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10-K/A</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(Amendment No. 2)</w:t>
      </w:r>
    </w:p>
    <w:p>
      <w:pPr>
        <w:spacing w:after="0" w:line="105" w:lineRule="exact"/>
        <w:rPr>
          <w:sz w:val="24"/>
          <w:szCs w:val="24"/>
          <w:color w:val="auto"/>
        </w:rPr>
      </w:pPr>
    </w:p>
    <w:p>
      <w:pPr>
        <w:ind w:left="400" w:hanging="386"/>
        <w:spacing w:after="0"/>
        <w:tabs>
          <w:tab w:leader="none" w:pos="400" w:val="left"/>
        </w:tabs>
        <w:numPr>
          <w:ilvl w:val="0"/>
          <w:numId w:val="1"/>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0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(Mark One)</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5" w:lineRule="exact"/>
        <w:rPr>
          <w:sz w:val="24"/>
          <w:szCs w:val="24"/>
          <w:color w:val="auto"/>
        </w:rPr>
      </w:pPr>
    </w:p>
    <w:p>
      <w:pPr>
        <w:ind w:left="400" w:hanging="386"/>
        <w:spacing w:after="0"/>
        <w:tabs>
          <w:tab w:leader="none" w:pos="40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9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___to _____</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001-34785</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XWELL, INC.</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8" w:lineRule="exact"/>
        <w:rPr>
          <w:sz w:val="24"/>
          <w:szCs w:val="24"/>
          <w:color w:val="auto"/>
        </w:rPr>
      </w:pPr>
    </w:p>
    <w:tbl>
      <w:tblPr>
        <w:tblLayout w:type="fixed"/>
        <w:tblInd w:w="960" w:type="dxa"/>
        <w:tblCellMar>
          <w:top w:w="0" w:type="dxa"/>
          <w:left w:w="0" w:type="dxa"/>
          <w:bottom w:w="0" w:type="dxa"/>
          <w:right w:w="0" w:type="dxa"/>
        </w:tblCellMar>
      </w:tblPr>
      <w:tr>
        <w:trPr>
          <w:trHeight w:val="190"/>
        </w:trPr>
        <w:tc>
          <w:tcPr>
            <w:tcW w:w="4400" w:type="dxa"/>
            <w:vAlign w:val="bottom"/>
          </w:tcPr>
          <w:p>
            <w:pPr>
              <w:jc w:val="center"/>
              <w:ind w:right="17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74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20-4988129</w:t>
            </w:r>
          </w:p>
        </w:tc>
        <w:tc>
          <w:tcPr>
            <w:tcW w:w="0" w:type="dxa"/>
            <w:vAlign w:val="bottom"/>
          </w:tcPr>
          <w:p>
            <w:pPr>
              <w:spacing w:after="0"/>
              <w:rPr>
                <w:sz w:val="1"/>
                <w:szCs w:val="1"/>
                <w:color w:val="auto"/>
              </w:rPr>
            </w:pPr>
          </w:p>
        </w:tc>
      </w:tr>
      <w:tr>
        <w:trPr>
          <w:trHeight w:val="176"/>
        </w:trPr>
        <w:tc>
          <w:tcPr>
            <w:tcW w:w="4400" w:type="dxa"/>
            <w:vAlign w:val="bottom"/>
          </w:tcPr>
          <w:p>
            <w:pPr>
              <w:jc w:val="center"/>
              <w:ind w:right="1708"/>
              <w:spacing w:after="0"/>
              <w:rPr>
                <w:sz w:val="20"/>
                <w:szCs w:val="20"/>
                <w:color w:val="auto"/>
              </w:rPr>
            </w:pPr>
            <w:r>
              <w:rPr>
                <w:rFonts w:ascii="Times New Roman" w:cs="Times New Roman" w:eastAsia="Times New Roman" w:hAnsi="Times New Roman"/>
                <w:sz w:val="14"/>
                <w:szCs w:val="14"/>
                <w:color w:val="auto"/>
              </w:rPr>
              <w:t>(State or other jurisdiction of incorporation or</w:t>
            </w:r>
          </w:p>
        </w:tc>
        <w:tc>
          <w:tcPr>
            <w:tcW w:w="3740" w:type="dxa"/>
            <w:vAlign w:val="bottom"/>
          </w:tcPr>
          <w:p>
            <w:pPr>
              <w:jc w:val="center"/>
              <w:ind w:left="15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4400" w:type="dxa"/>
            <w:vAlign w:val="bottom"/>
          </w:tcPr>
          <w:p>
            <w:pPr>
              <w:jc w:val="center"/>
              <w:ind w:right="1708"/>
              <w:spacing w:after="0"/>
              <w:rPr>
                <w:sz w:val="20"/>
                <w:szCs w:val="20"/>
                <w:color w:val="auto"/>
              </w:rPr>
            </w:pPr>
            <w:r>
              <w:rPr>
                <w:rFonts w:ascii="Times New Roman" w:cs="Times New Roman" w:eastAsia="Times New Roman" w:hAnsi="Times New Roman"/>
                <w:sz w:val="14"/>
                <w:szCs w:val="14"/>
                <w:color w:val="auto"/>
              </w:rPr>
              <w:t>organization)</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4400" w:type="dxa"/>
            <w:vAlign w:val="bottom"/>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w w:val="99"/>
              </w:rPr>
              <w:t>254 West 31</w:t>
            </w:r>
            <w:r>
              <w:rPr>
                <w:rFonts w:ascii="Times New Roman" w:cs="Times New Roman" w:eastAsia="Times New Roman" w:hAnsi="Times New Roman"/>
                <w:sz w:val="21"/>
                <w:szCs w:val="21"/>
                <w:b w:val="1"/>
                <w:bCs w:val="1"/>
                <w:color w:val="auto"/>
                <w:w w:val="99"/>
                <w:vertAlign w:val="superscript"/>
              </w:rPr>
              <w:t>st</w:t>
            </w:r>
            <w:r>
              <w:rPr>
                <w:rFonts w:ascii="Times New Roman" w:cs="Times New Roman" w:eastAsia="Times New Roman" w:hAnsi="Times New Roman"/>
                <w:sz w:val="14"/>
                <w:szCs w:val="14"/>
                <w:b w:val="1"/>
                <w:bCs w:val="1"/>
                <w:color w:val="auto"/>
                <w:w w:val="99"/>
              </w:rPr>
              <w:t xml:space="preserve"> Street 11</w:t>
            </w:r>
            <w:r>
              <w:rPr>
                <w:rFonts w:ascii="Times New Roman" w:cs="Times New Roman" w:eastAsia="Times New Roman" w:hAnsi="Times New Roman"/>
                <w:sz w:val="21"/>
                <w:szCs w:val="21"/>
                <w:b w:val="1"/>
                <w:bCs w:val="1"/>
                <w:color w:val="auto"/>
                <w:w w:val="99"/>
                <w:vertAlign w:val="superscript"/>
              </w:rPr>
              <w:t>th</w:t>
            </w:r>
            <w:r>
              <w:rPr>
                <w:rFonts w:ascii="Times New Roman" w:cs="Times New Roman" w:eastAsia="Times New Roman" w:hAnsi="Times New Roman"/>
                <w:sz w:val="14"/>
                <w:szCs w:val="14"/>
                <w:b w:val="1"/>
                <w:bCs w:val="1"/>
                <w:color w:val="auto"/>
                <w:w w:val="99"/>
              </w:rPr>
              <w:t xml:space="preserve"> Floor</w:t>
            </w:r>
          </w:p>
        </w:tc>
        <w:tc>
          <w:tcPr>
            <w:tcW w:w="3740" w:type="dxa"/>
            <w:vAlign w:val="bottom"/>
            <w:vMerge w:val="restart"/>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10001</w:t>
            </w:r>
          </w:p>
        </w:tc>
        <w:tc>
          <w:tcPr>
            <w:tcW w:w="0" w:type="dxa"/>
            <w:vAlign w:val="bottom"/>
          </w:tcPr>
          <w:p>
            <w:pPr>
              <w:spacing w:after="0"/>
              <w:rPr>
                <w:sz w:val="1"/>
                <w:szCs w:val="1"/>
                <w:color w:val="auto"/>
              </w:rPr>
            </w:pPr>
          </w:p>
        </w:tc>
      </w:tr>
      <w:tr>
        <w:trPr>
          <w:trHeight w:val="151"/>
        </w:trPr>
        <w:tc>
          <w:tcPr>
            <w:tcW w:w="4400" w:type="dxa"/>
            <w:vAlign w:val="bottom"/>
          </w:tcPr>
          <w:p>
            <w:pPr>
              <w:jc w:val="center"/>
              <w:ind w:right="1108"/>
              <w:spacing w:after="0" w:line="151" w:lineRule="exact"/>
              <w:rPr>
                <w:sz w:val="20"/>
                <w:szCs w:val="20"/>
                <w:color w:val="auto"/>
              </w:rPr>
            </w:pPr>
            <w:r>
              <w:rPr>
                <w:rFonts w:ascii="Times New Roman" w:cs="Times New Roman" w:eastAsia="Times New Roman" w:hAnsi="Times New Roman"/>
                <w:sz w:val="14"/>
                <w:szCs w:val="14"/>
                <w:b w:val="1"/>
                <w:bCs w:val="1"/>
                <w:color w:val="auto"/>
              </w:rPr>
              <w:t>New York, NY</w:t>
            </w:r>
          </w:p>
        </w:tc>
        <w:tc>
          <w:tcPr>
            <w:tcW w:w="3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400" w:type="dxa"/>
            <w:vAlign w:val="bottom"/>
          </w:tcPr>
          <w:p>
            <w:pPr>
              <w:jc w:val="center"/>
              <w:ind w:right="11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740" w:type="dxa"/>
            <w:vAlign w:val="bottom"/>
          </w:tcPr>
          <w:p>
            <w:pPr>
              <w:jc w:val="center"/>
              <w:ind w:left="8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(212)-750-9595</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5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0" w:type="dxa"/>
            <w:vAlign w:val="bottom"/>
          </w:tcPr>
          <w:p>
            <w:pPr>
              <w:spacing w:after="0"/>
              <w:rPr>
                <w:sz w:val="15"/>
                <w:szCs w:val="15"/>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80" w:lineRule="exact"/>
        <w:rPr>
          <w:sz w:val="24"/>
          <w:szCs w:val="24"/>
          <w:color w:val="auto"/>
        </w:rPr>
      </w:pPr>
    </w:p>
    <w:p>
      <w:pPr>
        <w:ind w:left="20" w:right="2300"/>
        <w:spacing w:after="0" w:line="262"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61" w:lineRule="exact"/>
        <w:rPr>
          <w:sz w:val="24"/>
          <w:szCs w:val="24"/>
          <w:color w:val="auto"/>
        </w:rPr>
      </w:pPr>
    </w:p>
    <w:p>
      <w:pPr>
        <w:jc w:val="both"/>
        <w:ind w:left="2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80"/>
        <w:spacing w:after="0" w:line="188"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72" w:lineRule="exact"/>
        <w:rPr>
          <w:sz w:val="24"/>
          <w:szCs w:val="24"/>
          <w:color w:val="auto"/>
        </w:rPr>
      </w:pPr>
    </w:p>
    <w:p>
      <w:pPr>
        <w:jc w:val="both"/>
        <w:ind w:lef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60" w:lineRule="exact"/>
        <w:rPr>
          <w:sz w:val="24"/>
          <w:szCs w:val="24"/>
          <w:color w:val="auto"/>
        </w:rPr>
      </w:pPr>
    </w:p>
    <w:p>
      <w:pPr>
        <w:jc w:val="both"/>
        <w:ind w:left="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4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980" w:type="dxa"/>
            <w:vAlign w:val="bottom"/>
          </w:tcPr>
          <w:p>
            <w:pPr>
              <w:ind w:left="190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175"/>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40" w:type="dxa"/>
            <w:vAlign w:val="bottom"/>
          </w:tcPr>
          <w:p>
            <w:pPr>
              <w:ind w:left="68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980" w:type="dxa"/>
            <w:vAlign w:val="bottom"/>
          </w:tcPr>
          <w:p>
            <w:pPr>
              <w:ind w:left="19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r>
      <w:tr>
        <w:trPr>
          <w:trHeight w:val="242"/>
        </w:trPr>
        <w:tc>
          <w:tcPr>
            <w:tcW w:w="19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980" w:type="dxa"/>
            <w:vAlign w:val="bottom"/>
          </w:tcPr>
          <w:p>
            <w:pPr>
              <w:ind w:left="190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6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19" w:lineRule="exact"/>
        <w:rPr>
          <w:sz w:val="24"/>
          <w:szCs w:val="24"/>
          <w:color w:val="auto"/>
        </w:rPr>
      </w:pPr>
    </w:p>
    <w:p>
      <w:pPr>
        <w:jc w:val="both"/>
        <w:ind w:left="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60" w:lineRule="exact"/>
        <w:rPr>
          <w:sz w:val="24"/>
          <w:szCs w:val="24"/>
          <w:color w:val="auto"/>
        </w:rPr>
      </w:pPr>
    </w:p>
    <w:p>
      <w:pPr>
        <w:jc w:val="both"/>
        <w:ind w:left="20"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jc w:val="both"/>
        <w:ind w:left="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jc w:val="both"/>
        <w:ind w:left="20"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4"/>
          <w:szCs w:val="14"/>
          <w:color w:val="auto"/>
        </w:rPr>
        <w:t>☐</w:t>
      </w:r>
    </w:p>
    <w:p>
      <w:pPr>
        <w:ind w:left="20"/>
        <w:spacing w:after="0" w:line="188" w:lineRule="exact"/>
        <w:tabs>
          <w:tab w:leader="none" w:pos="65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102" w:lineRule="exact"/>
        <w:rPr>
          <w:sz w:val="24"/>
          <w:szCs w:val="24"/>
          <w:color w:val="auto"/>
        </w:rPr>
      </w:pPr>
    </w:p>
    <w:p>
      <w:pPr>
        <w:jc w:val="both"/>
        <w:ind w:left="20"/>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(without admitting that any person whose shares are not included in such calculation is an affiliate), as of June 30, 2023, the last business day of the registrant’s most recently completed second quarter, was $16,663,729 computed by reference to the closing sale price of $4.00 per share on the Nasdaq Stock Market LLC on June 30, 2023.</w:t>
      </w:r>
    </w:p>
    <w:p>
      <w:pPr>
        <w:spacing w:after="0" w:line="1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As of April 29, 2024, 4,183,435 shares of the registrant’s common stock are outstanding.</w:t>
      </w:r>
    </w:p>
    <w:p>
      <w:pPr>
        <w:spacing w:after="0" w:line="40"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 None</w:t>
      </w:r>
    </w:p>
    <w:p>
      <w:pPr>
        <w:spacing w:after="0" w:line="260" w:lineRule="exact"/>
        <w:rPr>
          <w:sz w:val="24"/>
          <w:szCs w:val="24"/>
          <w:color w:val="auto"/>
        </w:rPr>
      </w:pPr>
    </w:p>
    <w:p>
      <w:pPr>
        <w:ind w:left="840"/>
        <w:spacing w:after="0"/>
        <w:tabs>
          <w:tab w:leader="none" w:pos="4060" w:val="left"/>
          <w:tab w:leader="none" w:pos="7500" w:val="left"/>
        </w:tabs>
        <w:rPr>
          <w:sz w:val="20"/>
          <w:szCs w:val="20"/>
          <w:color w:val="auto"/>
        </w:rPr>
      </w:pPr>
      <w:r>
        <w:rPr>
          <w:rFonts w:ascii="Times New Roman" w:cs="Times New Roman" w:eastAsia="Times New Roman" w:hAnsi="Times New Roman"/>
          <w:sz w:val="14"/>
          <w:szCs w:val="14"/>
          <w:color w:val="auto"/>
        </w:rPr>
        <w:t>Auditor Name:Marcum LLP</w:t>
      </w:r>
      <w:r>
        <w:rPr>
          <w:sz w:val="20"/>
          <w:szCs w:val="20"/>
          <w:color w:val="auto"/>
        </w:rPr>
        <w:tab/>
      </w:r>
      <w:r>
        <w:rPr>
          <w:rFonts w:ascii="Times New Roman" w:cs="Times New Roman" w:eastAsia="Times New Roman" w:hAnsi="Times New Roman"/>
          <w:sz w:val="14"/>
          <w:szCs w:val="14"/>
          <w:color w:val="auto"/>
        </w:rPr>
        <w:t>Auditor Location:East Hanover, New Jersey</w:t>
      </w:r>
      <w:r>
        <w:rPr>
          <w:sz w:val="20"/>
          <w:szCs w:val="20"/>
          <w:color w:val="auto"/>
        </w:rPr>
        <w:tab/>
      </w:r>
      <w:r>
        <w:rPr>
          <w:rFonts w:ascii="Times New Roman" w:cs="Times New Roman" w:eastAsia="Times New Roman" w:hAnsi="Times New Roman"/>
          <w:sz w:val="14"/>
          <w:szCs w:val="14"/>
          <w:color w:val="auto"/>
        </w:rPr>
        <w:t>Auditor Firm ID:688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529590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109220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143510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18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Explanatory Note</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0"/>
              </w:rPr>
              <w:t>PART III</w:t>
            </w:r>
          </w:p>
        </w:tc>
        <w:tc>
          <w:tcPr>
            <w:tcW w:w="500" w:type="dxa"/>
            <w:vAlign w:val="bottom"/>
            <w:tcBorders>
              <w:bottom w:val="single" w:sz="8" w:color="CCEEFF"/>
            </w:tcBorders>
            <w:gridSpan w:val="3"/>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w:t>
            </w:r>
          </w:p>
        </w:tc>
        <w:tc>
          <w:tcPr>
            <w:tcW w:w="7040" w:type="dxa"/>
            <w:vAlign w:val="bottom"/>
            <w:gridSpan w:val="11"/>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Item 12:</w:t>
            </w:r>
          </w:p>
        </w:tc>
        <w:tc>
          <w:tcPr>
            <w:tcW w:w="7040" w:type="dxa"/>
            <w:vAlign w:val="bottom"/>
            <w:gridSpan w:val="11"/>
          </w:tcPr>
          <w:p>
            <w:pPr>
              <w:ind w:left="6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28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15:   Exhibits, Financial Statement Schedules</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 Page</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This Amendment No. 2 on Form 10-K/A (this “Form 10-K/A”) amends the Annual Report on Form 10-K of XWELL, Inc. (“XWELL” or the “Company”) for the fiscal year ended December 31, 2023 as originally filed with the Securities and Exchange Commission (the “SEC”) on April 16, 2024, as amended on April 17, 2024 (collectively the “Original Filing”). This Form 10-K/A amends the Original Filing to include the information required by Part III of the Original Filing because the Company has not filed and will not file a definitive proxy statement within 120 days after the end of its 2023 fiscal year. In addition, this Form 10-K/A amends Item 15 of Part IV of the Original Filing to include new certifications by our principal executive officer and principal financial and accounting officer under Section 302 of the Sarbanes-Oxley Act of 2002, as required by Rule 12b-15 under the Securities Exchange Act of 1934, as amended (the “Exchange Act”).</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Except for the foregoing, we have not modified or updated disclosures presented in the Original Filing in this Form 10-K/A. Accordingly, this Form 10-K/A does not modify or update the disclosures in the Original Filing to reflect subsequent events, results or developments or facts that have become known to us after the date of the Original Filing. Information not affected by this Form 10-K/A remains unchanged and reflects the disclosures made at the time the Original Filing was filed. Therefore, this Form 10-K/A should be read in conjunction with any documents incorporated by reference therein and our filings made with the SEC subsequent to the Original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Form 10-K/A contains “forward-looking statements” within the meaning of the Private Securities Litigation Reform Act of 1995. Such statements are based on management’s expectations and are subject to certain factors, risks and uncertainties that may cause actual results, outcome of events, timing and performance to differ materially from those expressed or implied by such forward-looking statements. Forward-looking statements should be evaluated together with the many uncertainties that affect our business, particularly those mentioned in the Risk Factors in Item 1A of our Original Filing and in our Quarterly Reports on Form 10-Q and Current Reports on Form 8-K.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9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All references in this Form 10-K/A to “we,” “us” and “our” refer to XWELL, Inc., a Delaware corporation, and its consolidated subsidiaries unless the 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Board of Directors (the “Board of Directors” or the “Board”)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Set forth below are the names of our directors and executive officers, their ages (as of the filing date of this Form 10-K/A),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Additionally, information about the specific experience, qualifications, attributes or skills that led to our Board of Directors’ conclusion that each person listed below as a director should serve as a director is set forth below:</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5"/>
                <w:szCs w:val="15"/>
                <w:color w:val="auto"/>
              </w:rPr>
            </w:pPr>
          </w:p>
        </w:tc>
        <w:tc>
          <w:tcPr>
            <w:tcW w:w="27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Position(s) with the Company</w:t>
            </w:r>
          </w:p>
        </w:tc>
      </w:tr>
      <w:tr>
        <w:trPr>
          <w:trHeight w:val="209"/>
        </w:trPr>
        <w:tc>
          <w:tcPr>
            <w:tcW w:w="20" w:type="dxa"/>
            <w:vAlign w:val="bottom"/>
          </w:tcPr>
          <w:p>
            <w:pPr>
              <w:spacing w:after="0"/>
              <w:rPr>
                <w:sz w:val="18"/>
                <w:szCs w:val="18"/>
                <w:color w:val="auto"/>
              </w:rPr>
            </w:pPr>
          </w:p>
        </w:tc>
        <w:tc>
          <w:tcPr>
            <w:tcW w:w="554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Bruce T. Bernstein*</w:t>
            </w:r>
            <w:r>
              <w:rPr>
                <w:rFonts w:ascii="Times New Roman" w:cs="Times New Roman" w:eastAsia="Times New Roman" w:hAnsi="Times New Roman"/>
                <w:sz w:val="24"/>
                <w:szCs w:val="24"/>
                <w:color w:val="auto"/>
                <w:vertAlign w:val="superscript"/>
              </w:rPr>
              <w:t>(1)(2)(3)(4)</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Robert Weinstein</w:t>
            </w:r>
            <w:r>
              <w:rPr>
                <w:rFonts w:ascii="Times New Roman" w:cs="Times New Roman" w:eastAsia="Times New Roman" w:hAnsi="Times New Roman"/>
                <w:sz w:val="25"/>
                <w:szCs w:val="25"/>
                <w:color w:val="auto"/>
                <w:vertAlign w:val="superscript"/>
              </w:rPr>
              <w:t>*(1)(2)(3)(4)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Lebowitz</w:t>
            </w:r>
            <w:r>
              <w:rPr>
                <w:rFonts w:ascii="Times New Roman" w:cs="Times New Roman" w:eastAsia="Times New Roman" w:hAnsi="Times New Roman"/>
                <w:sz w:val="25"/>
                <w:szCs w:val="25"/>
                <w:color w:val="auto"/>
                <w:vertAlign w:val="superscript"/>
              </w:rPr>
              <w:t>* (3)(4)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Gaëlle Wizenberg*</w:t>
            </w:r>
            <w:r>
              <w:rPr>
                <w:rFonts w:ascii="Times New Roman" w:cs="Times New Roman" w:eastAsia="Times New Roman" w:hAnsi="Times New Roman"/>
                <w:sz w:val="25"/>
                <w:szCs w:val="25"/>
                <w:color w:val="auto"/>
                <w:vertAlign w:val="superscript"/>
              </w:rPr>
              <w:t>(1)(2)(5)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R. Milford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Suzanne A. Scrabis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98"/>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w w:val="99"/>
              </w:rPr>
              <w:t>Executive Vice President of XWELL,</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Executive Officer of</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XpresTest, Inc. and President and</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Executive Officer of</w:t>
            </w:r>
          </w:p>
        </w:tc>
      </w:tr>
      <w:tr>
        <w:trPr>
          <w:trHeight w:val="234"/>
        </w:trPr>
        <w:tc>
          <w:tcPr>
            <w:tcW w:w="20" w:type="dxa"/>
            <w:vAlign w:val="bottom"/>
          </w:tcPr>
          <w:p>
            <w:pPr>
              <w:spacing w:after="0"/>
              <w:rPr>
                <w:sz w:val="20"/>
                <w:szCs w:val="20"/>
                <w:color w:val="auto"/>
              </w:rPr>
            </w:pPr>
          </w:p>
        </w:tc>
        <w:tc>
          <w:tcPr>
            <w:tcW w:w="5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Ezra T. Ernst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Hyperpointe</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20" w:type="dxa"/>
            <w:vAlign w:val="bottom"/>
          </w:tcPr>
          <w:p>
            <w:pPr>
              <w:spacing w:after="0"/>
              <w:rPr>
                <w:sz w:val="10"/>
                <w:szCs w:val="10"/>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*Independent director under the rules of The Nasdaq Stock Market (“Nasdaq”)</w:t>
      </w:r>
    </w:p>
    <w:p>
      <w:pPr>
        <w:spacing w:after="0" w:line="27" w:lineRule="exact"/>
        <w:rPr>
          <w:sz w:val="20"/>
          <w:szCs w:val="20"/>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Compensation Committee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Audit Committee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Nominating and Corporate Governance Committee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Strategic Affairs Committee</w:t>
      </w:r>
    </w:p>
    <w:p>
      <w:pPr>
        <w:spacing w:after="0" w:line="9" w:lineRule="exact"/>
        <w:rPr>
          <w:rFonts w:ascii="Times New Roman" w:cs="Times New Roman" w:eastAsia="Times New Roman" w:hAnsi="Times New Roman"/>
          <w:sz w:val="18"/>
          <w:szCs w:val="18"/>
          <w:color w:val="auto"/>
        </w:rPr>
      </w:pPr>
    </w:p>
    <w:p>
      <w:pPr>
        <w:ind w:left="380" w:right="79" w:hanging="330"/>
        <w:spacing w:after="0" w:line="26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15, 2023, the Board of Directors elected Gaëlle Wizenberg to be a member of the Board of Directors, effective as of January 1, 2024</w:t>
      </w:r>
    </w:p>
    <w:p>
      <w:pPr>
        <w:spacing w:after="0" w:line="1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Nasdaq</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Bruce T. Bernstein, Gaelle Wizenberg, Robert Weinstein, and Michael Lebowitz.</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T. Bernstein </w:t>
      </w:r>
      <w:r>
        <w:rPr>
          <w:rFonts w:ascii="Times New Roman" w:cs="Times New Roman" w:eastAsia="Times New Roman" w:hAnsi="Times New Roman"/>
          <w:sz w:val="18"/>
          <w:szCs w:val="18"/>
          <w:color w:val="auto"/>
        </w:rPr>
        <w:t>joined our Board of Directors in February 2016 and has served as the Chairman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February 2018. Mr. Bernstein has over thirty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served as Senior Vice President in the bank’s Global Securities Arbitrage business unit of Fortis Investments, Inc., specializing in equity structured products and equity arbitrage and then President in charge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bank’s proprietary investment business in the United States. Prior to Fortis Investments,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Synaptogenix, Inc. (formerly Neurotrope Bioscience, Inc.), Mr. Bernstein is also a member of the board of Summit Digital Health, a laser-based blood glucose monitor distributor, based in New Jersey. Mr. Bernstein holds a B.B.A. from City University of New York (Baruch).</w:t>
      </w:r>
    </w:p>
    <w:p>
      <w:pPr>
        <w:spacing w:after="0" w:line="189" w:lineRule="exact"/>
        <w:rPr>
          <w:sz w:val="20"/>
          <w:szCs w:val="20"/>
          <w:color w:val="auto"/>
        </w:rPr>
      </w:pPr>
    </w:p>
    <w:p>
      <w:pPr>
        <w:ind w:left="60" w:right="1599"/>
        <w:spacing w:after="0" w:line="282" w:lineRule="auto"/>
        <w:rPr>
          <w:sz w:val="20"/>
          <w:szCs w:val="20"/>
          <w:color w:val="auto"/>
        </w:rPr>
      </w:pPr>
      <w:r>
        <w:rPr>
          <w:rFonts w:ascii="Times New Roman" w:cs="Times New Roman" w:eastAsia="Times New Roman" w:hAnsi="Times New Roman"/>
          <w:sz w:val="18"/>
          <w:szCs w:val="18"/>
          <w:color w:val="auto"/>
        </w:rPr>
        <w:t>We believe Mr. Bernstein’s extensive experience in the securities industry qualifies him to serve as the Chairman of our Board of Directors.</w:t>
      </w:r>
    </w:p>
    <w:p>
      <w:pPr>
        <w:spacing w:after="0" w:line="15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Weinstein </w:t>
      </w:r>
      <w:r>
        <w:rPr>
          <w:rFonts w:ascii="Times New Roman" w:cs="Times New Roman" w:eastAsia="Times New Roman" w:hAnsi="Times New Roman"/>
          <w:sz w:val="18"/>
          <w:szCs w:val="18"/>
          <w:color w:val="auto"/>
        </w:rPr>
        <w:t>joined our Board of Directors in February 2020. Mr. Weinstein has extensive accounting and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spanning more than thirty years, as a public accountant, investment banker, healthcare private equity fund principal and chief financial officer. Since October 2013, Mr. Weinstein has been the Chief Financial Officer of Synaptogenix, Inc. (formerly Neurotrope Bioscience, Inc.), a publicly-traded biotechnology company. From 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publicly-traded energy consulting company. From August 2007 to February 2010, Mr. Weinstein served as Chief Financial Officer of Xcorporeal, Inc., a publicly-traded,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19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Mr. Weinstein’s extensive financial expertise and healthcare experience qualifies him to serve on our Board of Directors and as a member and the chairperson of the audit committee of our Board of Directors.</w:t>
      </w:r>
    </w:p>
    <w:p>
      <w:pPr>
        <w:spacing w:after="0" w:line="158"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Lebowitz </w:t>
      </w:r>
      <w:r>
        <w:rPr>
          <w:rFonts w:ascii="Times New Roman" w:cs="Times New Roman" w:eastAsia="Times New Roman" w:hAnsi="Times New Roman"/>
          <w:sz w:val="18"/>
          <w:szCs w:val="18"/>
          <w:color w:val="auto"/>
        </w:rPr>
        <w:t>joined our Board of Directors in April 2020. An expert in customer experience strategy and innovation,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Lebowitz has a twenty-five year track record 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Mr. Lebowitz’s extensive experience in the area of creative brand strategy qualifies him to serve on our Board of Directors.</w:t>
      </w:r>
    </w:p>
    <w:p>
      <w:pPr>
        <w:spacing w:after="0" w:line="15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Gaëlle </w:t>
      </w:r>
      <w:r>
        <w:rPr>
          <w:rFonts w:ascii="Times New Roman" w:cs="Times New Roman" w:eastAsia="Times New Roman" w:hAnsi="Times New Roman"/>
          <w:sz w:val="18"/>
          <w:szCs w:val="18"/>
          <w:color w:val="auto"/>
        </w:rPr>
        <w:t>Wizenberg joined our Board of Directors in January 2024. An expert in luxury consumer packaged goods and serial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entrepreneur, Ms. Wizenberg founded Objects of Magic LLC, a wellness brand offering team building and office retreats, in August 2022 and has served as CEO since the founding of the company. Prior to this, she founded Charlie Banana Consulting, LLC in July 2019 and served as Director and CEO from July 2019 to March 2024. Additionally, she founded Charlie Banana USA, LLC, a luxury brand of eco-friendly baby products, in 2013 and has served as CEO until 2020 when it was acquired by Proctor &amp; Gamble. Before that, Ms. Wizenberg founded Winc Design Limited, a global cloth diaper manufacturer in 2007 and has served as CEO until 2020. We believe Ms. Wizenberg’s entrepreneurial experience with consumer and wellness brands qualifies her to serve on our Board of Directors.</w:t>
      </w:r>
    </w:p>
    <w:p>
      <w:pPr>
        <w:spacing w:after="0" w:line="18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R. Milford </w:t>
      </w:r>
      <w:r>
        <w:rPr>
          <w:rFonts w:ascii="Times New Roman" w:cs="Times New Roman" w:eastAsia="Times New Roman" w:hAnsi="Times New Roman"/>
          <w:sz w:val="18"/>
          <w:szCs w:val="18"/>
          <w:color w:val="auto"/>
        </w:rPr>
        <w:t>joined the Company in July 2019 and has served as our Chief Executive Officer and as a member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since January 19, 2022. Prior to January 2022, Mr. Milford served as our Chief Operating Officer since December 2020. Prior to that, he served as our first Chief People Officer since July 2019. Mr. Milford has over 30 years of experience at high profile and diverse organizations. Prior to joining XWELL, he served as VP, People Operations at SoulCycle from January to July 2019, where he led the creation and deployment of that company’s talent acquisition strategy, the development of an annual performance cycle, and created and deployed the “people strategy” that supported the opening of the brand’s first European studio in London. This included the development of talent acquisition and talent management plans, compensation design and all policies and procedures governing studio operations. Prior to that, he served as Chief People Officer for Bayada, a $1 billion Home Health Care Company, during 2018, where he played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significant role in building the organizational infrastructure necessary to scale the business from 400 service offices to 1,000 offices. Previously, he was Senior Vice President – Human Resources for Le Pain Quotidien from 2016 to 2018, where he was responsible for driving operational excellence through strategic HR planning, building organizational and employee capabilities, facilitating change, and building effective working relationships with employees and guests on a global scale. His other relevant experience includes senior leadership positions at Town Sports International, Starbucks Coffee Company, Universal Music Group, Viacom, and Blockbuster Entertainment.</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believe Mr. Milford’s extensive experience in the retail industry and his knowledge of the Company’s business due to his status as an executive officer of the Company qualifies him to serve on our Board of Directors.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Suzanne A. Scrabis </w:t>
      </w:r>
      <w:r>
        <w:rPr>
          <w:rFonts w:ascii="Times New Roman" w:cs="Times New Roman" w:eastAsia="Times New Roman" w:hAnsi="Times New Roman"/>
          <w:sz w:val="18"/>
          <w:szCs w:val="18"/>
          <w:color w:val="auto"/>
        </w:rPr>
        <w:t>has served as Chief Financial Officer of the Company since July 2023. Prior to July 2023, Ms. Scrabis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Program Manager, Technology Platforms for Rockwell Automation in 2020, after serving as Chief Financial Officer for MAVERICK Technologies Holdings, LLC, a privately held independent systems integrator based in Columbia, Illinois from 2006 to 2019. As CFO, she helped lead the acquisition of Maverick Technologies by Rockwell Automation based in Milwaukee, Wisconsin. Before that, she served as the Director of Operations at MAVERICK from 2003 to 2006. Ms. Scrabis also served from 2001 to 2003 as the Director of Logistics for Aurora Foods, a packaged foods manufacturing company that was subsequently acquired by Pinnacle Foods in 2004. Prior to that she served at Ernst &amp; Young as a senior asset manager for the Pacific and New York Metro regions from 1996-2001. Ms. Scrabis holds a Bachelor of Science in Operations Management and Marketing from California State University Long Beach.</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Ezra T. Ernst </w:t>
      </w:r>
      <w:r>
        <w:rPr>
          <w:rFonts w:ascii="Times New Roman" w:cs="Times New Roman" w:eastAsia="Times New Roman" w:hAnsi="Times New Roman"/>
          <w:sz w:val="18"/>
          <w:szCs w:val="18"/>
          <w:color w:val="auto"/>
        </w:rPr>
        <w:t>has served as Executive Vice President of the Company and Chief Executive Officer of our subsidiary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XpresTest, Inc. since our January 2022 acquisition of gcg Connect LLC d/b/a HyperPointe. He also has served as President and Chief Executive Officer of HyperPointe since March, 2020. Prior to HyperPointe, he previously served as Chief Executive Officer of Physicians Weekly, LLC, a provider of medical news and education for healthcare professionals, from August 2015 to March 2020, Chief Commercial Officer of Treato, a health-related data analytics company, from September 2013 to August 2015 and General Manager at WebMD, an online publisher of health and medical news and information, from December 2008 to January 2013.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 and Meetings</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Meeting Attendance. </w:t>
      </w:r>
      <w:r>
        <w:rPr>
          <w:rFonts w:ascii="Times New Roman" w:cs="Times New Roman" w:eastAsia="Times New Roman" w:hAnsi="Times New Roman"/>
          <w:sz w:val="18"/>
          <w:szCs w:val="18"/>
          <w:color w:val="auto"/>
        </w:rPr>
        <w:t>During the fiscal year ended December 31, 2023, there were three meetings of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well as thirteen unanimous written consents of the Board of Directors. The various committees of the Board of Directors met a total of eleven times, collectively. Each director attended more than 75 percent of the aggregate of the total number of meetings of the Board of Directors and each director serving on a committee attended more than 75 percent of the total number of meetings held by an applicable committee(s) of the Board of Directors on which such director served during the year ended December 31, 2023. The Board of Directors has adopted a policy under which each member of the Board of Directors is strongly encouraged, but not required, to attend each annual meeting of our stockholders. All five of our 2023 directors attended our 2023 annual meeting of stockholders.</w:t>
      </w:r>
    </w:p>
    <w:p>
      <w:pPr>
        <w:spacing w:after="0" w:line="21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(the “Audit Committee”) met four times during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The Audit Committee currently has three members: Robert Weinstein (Chairman), Bruce T. Bernstein and Gaëlle Wizenberg. Effective as of January 1, 2024, Donald E. Stout ceased to be a member of the Board of Directors and all committees thereto, including the Audit Committee. As of January 30, 2024, Gaëlle Wizenberg was elected to be a member of the Audit Committee.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Board determined that all members of the Audit Committee qualify as independent under the listing standards promulgated by the SEC and Nasdaq, as such standards apply specifically to members of audit committees. The Board of Directors has determined that both Messrs. Weinstein and Bernstein are “audit committee financial experts,” as defined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by the SEC in Item 407 of Regulation S-K. A copy of the Audit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www.xwell.com/corporate-governance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(the “Compensation Committee”) met one time during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2023. This committee currently has three members: Bruce T. Bernstein (Chairman), Robert Weinstein and Gaëlle Wizenberg. Effective as of January 1, 2024, Donald E. Stout ceased to be a member of the Board of Directors and all committees thereof, including the Compensation Committee. As of January 30, 2024, Gaëlle Wizenberg was elected to be a member of the Compensation Committee.</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2020 Equity Incentive Plan (the “2020 Plan”). The Compensation Committee is responsible for (1) the determination of the compensation of our Chief Executive Officer, and conducts its decision-making process with respect to that issue without the Chief Executive Officer present, (2) the determination of the compensation of the executive officers of the Company other than the Chief Executive Officer based upon the recommendation of the Chief Executive Officer and such other customary factors that the Committee deems necessary or appropriate, and (3)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2023, the Compensation Committee did engage a third-party compensation consultant, StreeterWyatt Analytics, to review the Board’s compensation structure as well as benchmark it against the Company’s peer group.</w:t>
      </w:r>
    </w:p>
    <w:p>
      <w:pPr>
        <w:spacing w:after="0" w:line="19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 xml:space="preserve">The Board determined all members of the Compensation Committee qualify as independent under the Nasdaq listing standards. A copy of the Compensation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www.xwell.com/corporate-governance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“Nominating and Corporate Governance Committee”) met one time during the year ended December 31, 2023. This committee currently has three members: Bruce T. Bernstein (Chairman), Michael Lebowitz and Robert Weinstein. Effective as of January 1, 2024, Donald E. Stout ceased to be a member of the Board of Directors and all committees thereof, including the Nominating and Corporate Governance Committee. As of January 30, 2024, Michael Lebowitz was elected to be a member of the Nominating and Corporate Governance Committee. The Nominating and Corporate Governance Committee’s role and responsibilities are set forth in the Nominating and Corporate Governance Committee’s written charter and include authority to:</w:t>
      </w:r>
    </w:p>
    <w:p>
      <w:pPr>
        <w:spacing w:after="0" w:line="189"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nominate members of the Board of Directors;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Board of Directors and management;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corporate governance guidelines to the Board of Directors;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the members of the Board of Directors; and</w:t>
      </w:r>
    </w:p>
    <w:p>
      <w:pPr>
        <w:spacing w:after="0" w:line="9"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of Directors as to the structure, composition and functioning of the Board of Directors and its committees.</w:t>
      </w:r>
    </w:p>
    <w:p>
      <w:pPr>
        <w:spacing w:after="0" w:line="1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under our current corporate governance policies, the Nominating and Corporate Governance Committee may consider candidates recommended by stockholders as well as from other sources such as other directors or officers, third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The Board determined that all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www.xwell.com/corporate-governance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Strategic Affairs Committee. </w:t>
      </w:r>
      <w:r>
        <w:rPr>
          <w:rFonts w:ascii="Times New Roman" w:cs="Times New Roman" w:eastAsia="Times New Roman" w:hAnsi="Times New Roman"/>
          <w:sz w:val="18"/>
          <w:szCs w:val="18"/>
          <w:color w:val="auto"/>
        </w:rPr>
        <w:t>The Strategic Affairs Committee (the “Strategic Affairs Committee”) met four times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year ended December 31, 2023. This committee was formed in September 2021 to assist the Board in reviewing, analyzing, considering and assessing, potential acquisitions, joint ventures, strategic investments, divestitures and other strategic transactions. The Strategic Affairs Committee currently has three members: Bruce T. Bernstein (Chairman), Robert Weinstein and Michael Lebowitz. The Strategic Affairs Committee’s responsibilities include, among others:</w:t>
      </w:r>
    </w:p>
    <w:p>
      <w:pPr>
        <w:spacing w:after="0" w:line="200" w:lineRule="exact"/>
        <w:rPr>
          <w:sz w:val="20"/>
          <w:szCs w:val="20"/>
          <w:color w:val="auto"/>
        </w:rPr>
      </w:pPr>
    </w:p>
    <w:p>
      <w:pPr>
        <w:spacing w:after="0" w:line="203" w:lineRule="exact"/>
        <w:rPr>
          <w:sz w:val="20"/>
          <w:szCs w:val="20"/>
          <w:color w:val="auto"/>
        </w:rPr>
      </w:pPr>
    </w:p>
    <w:p>
      <w:pPr>
        <w:ind w:left="720" w:right="479" w:hanging="319"/>
        <w:spacing w:after="0" w:line="25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with the identification of potential acquisition, joint venture, strategic investment, divestiture and other strategic transaction opportunities and review transaction candidates with management, when and as appropriate;</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strategic transactions received by the Company or proposed by management; and</w:t>
      </w:r>
    </w:p>
    <w:p>
      <w:pPr>
        <w:spacing w:after="0" w:line="9" w:lineRule="exact"/>
        <w:rPr>
          <w:rFonts w:ascii="Times New Roman" w:cs="Times New Roman" w:eastAsia="Times New Roman" w:hAnsi="Times New Roman"/>
          <w:sz w:val="18"/>
          <w:szCs w:val="18"/>
          <w:color w:val="auto"/>
        </w:rPr>
      </w:pPr>
    </w:p>
    <w:p>
      <w:pPr>
        <w:ind w:left="720" w:right="439" w:hanging="319"/>
        <w:spacing w:after="0" w:line="25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coordinating the process of reviewing, analyzing and responding to proposals received by the Company or proposed by management with respect to such potential acquisition, joint venture, strategic investment, divestiture and other strategic transaction opportunities.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Effective as of February 5, 2018, the Board appointed Bruce T. Bernstein as the non-executive Chairman of the Board of Directors.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different areas of our business risks and our risk mitigation practices.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 of our directors or executive officers has been involved in any of the following events during the past ten years:</w:t>
      </w:r>
    </w:p>
    <w:p>
      <w:pPr>
        <w:spacing w:after="0" w:line="225" w:lineRule="exact"/>
        <w:rPr>
          <w:sz w:val="20"/>
          <w:szCs w:val="20"/>
          <w:color w:val="auto"/>
        </w:rPr>
      </w:pPr>
    </w:p>
    <w:p>
      <w:pPr>
        <w:ind w:left="720" w:right="7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bankruptcy petition filed by or against any business of which such person was a general partner or executive officer either at the time of the bankruptcy or within two years prior to that time;</w:t>
      </w: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conviction in a criminal proceeding or being subject to a pending criminal proceeding (excluding traffic violations and other minor offences);</w:t>
      </w:r>
    </w:p>
    <w:p>
      <w:pPr>
        <w:ind w:left="720" w:right="9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or</w:t>
      </w:r>
    </w:p>
    <w:p>
      <w:pPr>
        <w:spacing w:after="0" w:line="1" w:lineRule="exact"/>
        <w:rPr>
          <w:rFonts w:ascii="Times New Roman" w:cs="Times New Roman" w:eastAsia="Times New Roman" w:hAnsi="Times New Roman"/>
          <w:sz w:val="18"/>
          <w:szCs w:val="18"/>
          <w:color w:val="auto"/>
        </w:rPr>
      </w:pPr>
    </w:p>
    <w:p>
      <w:pPr>
        <w:ind w:left="720" w:right="299" w:hanging="319"/>
        <w:spacing w:after="0" w:line="255"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Nasdaq diversity matrix is set forth below as required under the listing requirements of Nasdaq.</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Diversity Matrix (As of April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657850" cy="2649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49220"/>
                    </a:xfrm>
                    <a:prstGeom prst="rect">
                      <a:avLst/>
                    </a:prstGeom>
                    <a:noFill/>
                  </pic:spPr>
                </pic:pic>
              </a:graphicData>
            </a:graphic>
          </wp:anchor>
        </w:drawing>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Directors - 5</w:t>
            </w:r>
          </w:p>
        </w:tc>
        <w:tc>
          <w:tcPr>
            <w:tcW w:w="1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Did Not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3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Disclose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4</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Asian</w:t>
            </w: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Hispanic or Latinx</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White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4</w:t>
            </w: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LGBTQ+</w:t>
            </w:r>
          </w:p>
        </w:tc>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Did Not Disclose Demographic</w:t>
            </w:r>
          </w:p>
        </w:tc>
        <w:tc>
          <w:tcPr>
            <w:tcW w:w="14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Background</w:t>
            </w:r>
          </w:p>
        </w:tc>
        <w:tc>
          <w:tcPr>
            <w:tcW w:w="14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officers, and persons who own more than ten percent of our common stock, to file with the SEC initial reports of ownership and reports of changes in ownership of our common stock. To our knowledge, based solely on our records and a review of the copies of such reports furnished to us, during the fiscal year ended December 31, 2023, we believe that all reports applicable to our officers, directors and greater than ten percent stockholders which were required to be filed pursuant to Section 16(a) of the Exchange Act were filed on a timely basis. ​</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07" w:lineRule="exact"/>
        <w:rPr>
          <w:sz w:val="20"/>
          <w:szCs w:val="20"/>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18"/>
          <w:szCs w:val="18"/>
          <w:color w:val="auto"/>
        </w:rPr>
        <w:t xml:space="preserve">We have adopted a Code of Conduct and Ethics that applies to all of our employees, including our principal executive officer and principal financial and accounting officer. The text of the Code of Conduct and Ethics is posted on the “Investors — Corporate Governance” section of our website at </w:t>
      </w:r>
      <w:r>
        <w:rPr>
          <w:rFonts w:ascii="Times New Roman" w:cs="Times New Roman" w:eastAsia="Times New Roman" w:hAnsi="Times New Roman"/>
          <w:sz w:val="18"/>
          <w:szCs w:val="18"/>
          <w:i w:val="1"/>
          <w:iCs w:val="1"/>
          <w:color w:val="auto"/>
        </w:rPr>
        <w:t>www.xwell.com/corporate-governance</w:t>
      </w:r>
      <w:r>
        <w:rPr>
          <w:rFonts w:ascii="Times New Roman" w:cs="Times New Roman" w:eastAsia="Times New Roman" w:hAnsi="Times New Roman"/>
          <w:sz w:val="18"/>
          <w:szCs w:val="18"/>
          <w:color w:val="auto"/>
        </w:rPr>
        <w:t>, and will be made available to stockholders without charge, upon request, in writing to the Corporate Secretary at 254 West 31st Street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The insider trading policy is designed to promote compliance with respect to insider trading laws, rules and regulations.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total compensation awarded or paid by us during the years ended December 31, 2023 and 2022 to (i) our principal executive officer, (ii) the two most highly compensated executive officers other than the principal executive officer who were serving as executive officers at December 31, 2023, and (iii) up to two additional individuals for whom disclosure would have been provided under clause (ii) but for the fact that the person was not serving as an executive officer at the end of the year ended December 31, 2023 (collectively, the “named executive officers”).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2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 Awards</w:t>
            </w:r>
          </w:p>
        </w:tc>
        <w:tc>
          <w:tcPr>
            <w:tcW w:w="10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20" w:type="dxa"/>
            <w:vAlign w:val="bottom"/>
            <w:gridSpan w:val="3"/>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(1)</w:t>
            </w:r>
          </w:p>
        </w:tc>
        <w:tc>
          <w:tcPr>
            <w:tcW w:w="140" w:type="dxa"/>
            <w:vAlign w:val="bottom"/>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(1)</w:t>
            </w: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(5)</w:t>
            </w:r>
          </w:p>
        </w:tc>
        <w:tc>
          <w:tcPr>
            <w:tcW w:w="140" w:type="dxa"/>
            <w:vAlign w:val="bottom"/>
          </w:tcPr>
          <w:p>
            <w:pPr>
              <w:spacing w:after="0"/>
              <w:rPr>
                <w:sz w:val="15"/>
                <w:szCs w:val="15"/>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2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Scott R. Milford</w:t>
            </w:r>
            <w:r>
              <w:rPr>
                <w:rFonts w:ascii="Times New Roman" w:cs="Times New Roman" w:eastAsia="Times New Roman" w:hAnsi="Times New Roman"/>
                <w:sz w:val="25"/>
                <w:szCs w:val="25"/>
                <w:color w:val="auto"/>
                <w:vertAlign w:val="superscript"/>
              </w:rPr>
              <w:t>(2)</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425,000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516,529</w:t>
            </w: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413,462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615,500</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1,246,956</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Suzanne A. Scrabis</w:t>
            </w:r>
            <w:r>
              <w:rPr>
                <w:rFonts w:ascii="Times New Roman" w:cs="Times New Roman" w:eastAsia="Times New Roman" w:hAnsi="Times New Roman"/>
                <w:sz w:val="25"/>
                <w:szCs w:val="25"/>
                <w:color w:val="auto"/>
                <w:vertAlign w:val="superscript"/>
              </w:rPr>
              <w:t>(3)</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135,367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165,476</w:t>
            </w:r>
          </w:p>
        </w:tc>
        <w:tc>
          <w:tcPr>
            <w:tcW w:w="0" w:type="dxa"/>
            <w:vAlign w:val="bottom"/>
          </w:tcPr>
          <w:p>
            <w:pPr>
              <w:spacing w:after="0"/>
              <w:rPr>
                <w:sz w:val="1"/>
                <w:szCs w:val="1"/>
                <w:color w:val="auto"/>
              </w:rPr>
            </w:pPr>
          </w:p>
        </w:tc>
      </w:tr>
      <w:tr>
        <w:trPr>
          <w:trHeight w:val="216"/>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Omar A Haynes</w:t>
            </w:r>
            <w:r>
              <w:rPr>
                <w:rFonts w:ascii="Times New Roman" w:cs="Times New Roman" w:eastAsia="Times New Roman" w:hAnsi="Times New Roman"/>
                <w:sz w:val="25"/>
                <w:szCs w:val="25"/>
                <w:color w:val="auto"/>
                <w:vertAlign w:val="superscript"/>
              </w:rPr>
              <w:t>(4)</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317,893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25,450</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378,286</w:t>
            </w:r>
          </w:p>
        </w:tc>
        <w:tc>
          <w:tcPr>
            <w:tcW w:w="0" w:type="dxa"/>
            <w:vAlign w:val="bottom"/>
          </w:tcPr>
          <w:p>
            <w:pPr>
              <w:spacing w:after="0"/>
              <w:rPr>
                <w:sz w:val="1"/>
                <w:szCs w:val="1"/>
                <w:color w:val="auto"/>
              </w:rPr>
            </w:pPr>
          </w:p>
        </w:tc>
      </w:tr>
      <w:tr>
        <w:trPr>
          <w:trHeight w:val="196"/>
        </w:trPr>
        <w:tc>
          <w:tcPr>
            <w:tcW w:w="2720" w:type="dxa"/>
            <w:vAlign w:val="bottom"/>
            <w:gridSpan w:val="3"/>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Former Interim Chief Financial</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251,250</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101,856</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454,397</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Ezra T. Ernst</w:t>
            </w:r>
            <w:r>
              <w:rPr>
                <w:rFonts w:ascii="Times New Roman" w:cs="Times New Roman" w:eastAsia="Times New Roman" w:hAnsi="Times New Roman"/>
                <w:sz w:val="25"/>
                <w:szCs w:val="25"/>
                <w:color w:val="auto"/>
                <w:vertAlign w:val="superscript"/>
              </w:rPr>
              <w:t>(5)</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411,079</w:t>
            </w:r>
          </w:p>
        </w:tc>
        <w:tc>
          <w:tcPr>
            <w:tcW w:w="0" w:type="dxa"/>
            <w:vAlign w:val="bottom"/>
          </w:tcPr>
          <w:p>
            <w:pPr>
              <w:spacing w:after="0"/>
              <w:rPr>
                <w:sz w:val="1"/>
                <w:szCs w:val="1"/>
                <w:color w:val="auto"/>
              </w:rPr>
            </w:pPr>
          </w:p>
        </w:tc>
      </w:tr>
      <w:tr>
        <w:trPr>
          <w:trHeight w:val="196"/>
        </w:trPr>
        <w:tc>
          <w:tcPr>
            <w:tcW w:w="2720" w:type="dxa"/>
            <w:vAlign w:val="bottom"/>
            <w:gridSpan w:val="3"/>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Executive Vice President of</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XWELL, Chief Executive Officer of</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XpresTest and President and Chief</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 of HyperPointe</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318,425</w:t>
            </w: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362,900</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681,325</w:t>
            </w: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both"/>
        <w:ind w:left="380" w:right="79" w:hanging="330"/>
        <w:spacing w:after="0" w:line="258"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aggregate grant date fair value in accordance with FASB ASC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For the assumptions made in the valuation of our equity awards see Notes 2 and 15 to our consolidated financial statements included in the Original Filing.</w:t>
      </w:r>
    </w:p>
    <w:p>
      <w:pPr>
        <w:jc w:val="both"/>
        <w:ind w:left="380" w:right="79" w:hanging="330"/>
        <w:spacing w:after="0" w:line="250"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Milford is currently our Chief Executive Officer, effective as of January 19, 2022. Prior to that, he served as our Chief Operating Officer since December 14, 2020. Compensation for the year ended December 31, 2023 includes equity awards of stock options. Compensation for the year ended December 31, 2022 includes equity awards of stock options and restricted stock.</w:t>
      </w:r>
    </w:p>
    <w:p>
      <w:pPr>
        <w:spacing w:after="0" w:line="1"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Scrabis is our current Chief Financial Officer, effective as of July 10, 2023. Compensation for the year ended December 31, 2023 includes equity awards of stock options and restricted stock.</w:t>
      </w:r>
    </w:p>
    <w:p>
      <w:pPr>
        <w:jc w:val="both"/>
        <w:ind w:left="380" w:right="79" w:hanging="330"/>
        <w:spacing w:after="0" w:line="250"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Haynes was our former Interim Chief Financial Officer, effective as of June 13, 2022. On July 10, 2023, upon the appointment of Suzanne A. Scrabis to the role of Chief Financial Officer, Mr. Haynes resumed his former role as Vice President of Treasury &amp; Finance, effective as of the same date. Compensation for the year ended December 31, 2023 includes equity awards of stock options and restricted stock. Compensation for the year ended December 31, 2022 includes equity awards of stock options and restricted stock.</w:t>
      </w:r>
    </w:p>
    <w:p>
      <w:pPr>
        <w:spacing w:after="0" w:line="1" w:lineRule="exact"/>
        <w:rPr>
          <w:rFonts w:ascii="Times New Roman" w:cs="Times New Roman" w:eastAsia="Times New Roman" w:hAnsi="Times New Roman"/>
          <w:sz w:val="18"/>
          <w:szCs w:val="18"/>
          <w:color w:val="auto"/>
        </w:rPr>
      </w:pPr>
    </w:p>
    <w:p>
      <w:pPr>
        <w:jc w:val="both"/>
        <w:ind w:left="380" w:right="79" w:hanging="330"/>
        <w:spacing w:after="0" w:line="255"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Ernst has served as the Executive Vice President and the Chief Executive Officer of XpresTest Inc. since January 9, 2022. Compensation for the year ended December 31, 2023 includes equity awards of stock options. Compensation for the year ended December 31, 2022 includes equity awards of stock options.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Scott R. Milford</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July 8, 2019, we entered into an employment agreement with Mr. Milford, pursuant to which he agreed to serve as our Chief People Officer for an annual base salary of $280,000 and $300,000, for the year ended July 31, 2020 and the year ending on July 31, 2021, respectively. After July 31, 2021, Mr. Milford continued to be employed by the Company as an ‘at will’ employee, subject to annual review by the Compensation Committee. Mr. Milford was also entitled to a one-time 10% minimum guaranteed bonus for 2019 to be calculated off his base salary as of his July 8, 2019 commencement date as well as to participate in any annual bonus or other incentive compensation program that the Company may adopt from time to time for its executive officers. Mr. Milford was promoted to Chief Operating Officer in December 2020; no changes to his compensation were made at that time in connection with the promotion.</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March 28, 2022, the Company and Mr. Milford entered into an executive employment agreement (the “Milford Employment Agreement”), effective as of January 19, 2022, the date of Mr. Milford’s assumption of the role of Chief Executive Officer. The Milford Employment Agreement had a term of two years from its effective date of January 19, 2022, and terminated on January 19, 2024. The Milford Employment Agreement entitled Mr. Milford to receive an annual base salary of $425,000. Mr. Milford continues to be employed by the Company as an “at will” employee. He is also eligible to participate in any annual bonus and other incentive compensation program that the Company may adopt from time to time for its executive officers. Prior to January 19, 2024, Mr. Milford was eligible to earn an annual bonus, the target amount of which is up to one hundred percent (100%) of his base salary, based upon the achievement of performance goals and metrics established by the Board at its sole discretion. Any applicable bonus was determined as soon as reasonably practicable after our annual financial statements were finalized and was split 50/50 between cash and a grant of restricted stock units (“RSUs”) with respect to our common stock.</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Prior to January 19, 2024, in the event the Milford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 In addition, the agreement contained non-solicitation and non-competition provisions that applied during the term of Mr. Milford’s employment and for six months thereafter. As of January 19, 2024, the Milford Employment Agreement is no longer in effect.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Suzanne A. Scrabis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her service as Chief Financial Officer, pursuant to an offer letter, dated as of June 26, 2023, by and between us and Ms.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Scrabis (the “Scrabis Offer Letter”), Ms. Scrabis receives an annual base salary of $300,000, subject to review by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 Committee. Ms. Scrabis is eligible to receive an annual cash bonus with a target of 50% of her base salary,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which was not pro rated for 2023 and half of which amount is guaranteed. For the year ended December 31, 2023, Ms.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Scrabis received a cash bonus of $75,000. Ms. Scrabis is additionally eligible to participate in Company’s long-term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incentive plan with the potential to receive stock options valued at up to 1.75 times her annual base salary (pro-rated for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 Ms. Scrabis received (i) non-qualified stock options to purchase 3,750 shares of common stock with an exercise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price of $4.60, and (ii) 5,000 RSUs, with each grant made as of July 10, 2023 and vesting in four quarterly installments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first, second, third and fourth quarters after the grant date.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In the event Ms. Scrabis terminates her employment for good reason, or by the Company without cause (each as defined in the Scrabis Offer Letter) and Ms. Scrabis provides the Company with a release of claims, Ms. Scrabis will be entitled to receive a payment equal to 50% of her then-current base salary, payable in installments over a period of six months.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Omar A. Haynes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his service as Interim Chief Financial Officer, which terminated on July 10, 2023, upon the appointment of Suzanne A. Scrabis as our Chief Financial Officer, Mr. Haynes received a base salary of $288,750 annually, that was subject to review by the Compensation Committee of the Company’s board of directors. He was eligible to receive an annual cash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bonus with a target of 50% of his base salary and was eligible to participate in any annual bonus or other incentive compensation program that the Company may adopt from time to time for its executive officers.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Ezra T. Ernst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9, 2022, the Company and Mr. Ernst entered into an executive employment agreement (the “Ernst Employment Agreement”), pursuant to which Mr. Ernst serves as the Chief Executive Officer and a director of XpresTest. The Ernst Employment Agreement has a term of three years from the date of closing of the Company’s acquisition of Hyperpointe. Pursuant to the Ernst Employment Agreement, Mr. Ernst is entitled to receive an annual base salary of $375,000. He is also eligible to participate in any annual bonus and other incentive compensation program that the Company may adopt from time to time for its executive officers. Mr. Ernst is eligible to earn an annual bonus, the target amount of which is up to fifty percent (50%) of his base salary, based upon the achievement of performance goals and metrics established by the Board at its sole discretion. Any bonus will be determined as soon as reasonably practicable after the Company’s annual financial statements are finalized and will be split 50/50 between cash and a grant of RSUs with respect to the Company’s common stock.</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event the Ernst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 In addition, the agreement contains non-solicitation and non-competition provisions that apply during the term of Mr. Ernst’s employment and for six months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 End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stock options and unvested stock awards outstanding on the last day of the fiscal year ended December 31, 2023, to each of our named executive officers.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 Unit Awards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of securities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securities</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12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0" w:type="dxa"/>
            <w:vAlign w:val="bottom"/>
          </w:tcPr>
          <w:p>
            <w:pPr>
              <w:spacing w:after="0"/>
              <w:rPr>
                <w:sz w:val="1"/>
                <w:szCs w:val="1"/>
                <w:color w:val="auto"/>
              </w:rPr>
            </w:pPr>
          </w:p>
        </w:tc>
      </w:tr>
      <w:tr>
        <w:trPr>
          <w:trHeight w:val="148"/>
        </w:trPr>
        <w:tc>
          <w:tcPr>
            <w:tcW w:w="2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un-</w:t>
            </w:r>
          </w:p>
        </w:tc>
        <w:tc>
          <w:tcPr>
            <w:tcW w:w="16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gridSpan w:val="2"/>
            <w:vMerge w:val="continue"/>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3"/>
        </w:trPr>
        <w:tc>
          <w:tcPr>
            <w:tcW w:w="2980" w:type="dxa"/>
            <w:vAlign w:val="bottom"/>
            <w:gridSpan w:val="3"/>
            <w:vMerge w:val="continue"/>
          </w:tcPr>
          <w:p>
            <w:pPr>
              <w:spacing w:after="0"/>
              <w:rPr>
                <w:sz w:val="15"/>
                <w:szCs w:val="15"/>
                <w:color w:val="auto"/>
              </w:rPr>
            </w:pPr>
          </w:p>
        </w:tc>
        <w:tc>
          <w:tcPr>
            <w:tcW w:w="10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1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price </w:t>
            </w: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vested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 xml:space="preserve">Scott R. Milford </w:t>
            </w:r>
            <w:r>
              <w:rPr>
                <w:rFonts w:ascii="Times New Roman" w:cs="Times New Roman" w:eastAsia="Times New Roman" w:hAnsi="Times New Roman"/>
                <w:sz w:val="16"/>
                <w:szCs w:val="16"/>
                <w:color w:val="auto"/>
                <w:vertAlign w:val="superscript"/>
              </w:rPr>
              <w:t>(1)</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w w:val="92"/>
              </w:rPr>
              <w:t>2020</w:t>
            </w:r>
          </w:p>
        </w:tc>
        <w:tc>
          <w:tcPr>
            <w:tcW w:w="2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Non-Qualified Stock Options from the 2012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140" w:type="dxa"/>
            <w:vAlign w:val="bottom"/>
          </w:tcPr>
          <w:p>
            <w:pPr>
              <w:spacing w:after="0"/>
              <w:rPr>
                <w:sz w:val="10"/>
                <w:szCs w:val="10"/>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April 20, 2030</w:t>
            </w: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w:t>
            </w:r>
          </w:p>
        </w:tc>
        <w:tc>
          <w:tcPr>
            <w:tcW w:w="26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2"/>
              </w:rPr>
              <w:t>2020</w:t>
            </w:r>
          </w:p>
        </w:tc>
        <w:tc>
          <w:tcPr>
            <w:tcW w:w="26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Incentive Stock Options from the 2012 Plan</w:t>
            </w: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1,605</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100.20</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September 6, 2030</w:t>
            </w: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w w:val="92"/>
              </w:rPr>
              <w:t>2020</w:t>
            </w:r>
          </w:p>
        </w:tc>
        <w:tc>
          <w:tcPr>
            <w:tcW w:w="2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Non-Qualified Stock Options from the 2020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100.20</w:t>
            </w:r>
          </w:p>
        </w:tc>
        <w:tc>
          <w:tcPr>
            <w:tcW w:w="140" w:type="dxa"/>
            <w:vAlign w:val="bottom"/>
          </w:tcPr>
          <w:p>
            <w:pPr>
              <w:spacing w:after="0"/>
              <w:rPr>
                <w:sz w:val="10"/>
                <w:szCs w:val="10"/>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October 28, 2030</w:t>
            </w: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w:t>
            </w:r>
          </w:p>
        </w:tc>
        <w:tc>
          <w:tcPr>
            <w:tcW w:w="26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w w:val="92"/>
              </w:rPr>
              <w:t>2021</w:t>
            </w:r>
          </w:p>
        </w:tc>
        <w:tc>
          <w:tcPr>
            <w:tcW w:w="26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Non-Qualified Stock Options from the 2020</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9,510</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9,511</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14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January 21, 2031</w:t>
            </w: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w:t>
            </w:r>
          </w:p>
        </w:tc>
        <w:tc>
          <w:tcPr>
            <w:tcW w:w="26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w w:val="92"/>
              </w:rPr>
              <w:t>2022</w:t>
            </w:r>
          </w:p>
        </w:tc>
        <w:tc>
          <w:tcPr>
            <w:tcW w:w="2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Non-Qualified Stock Options from the 2020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40" w:type="dxa"/>
            <w:vAlign w:val="bottom"/>
          </w:tcPr>
          <w:p>
            <w:pPr>
              <w:spacing w:after="0"/>
              <w:rPr>
                <w:sz w:val="10"/>
                <w:szCs w:val="10"/>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April 20, 2032</w:t>
            </w: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w:t>
            </w:r>
          </w:p>
        </w:tc>
        <w:tc>
          <w:tcPr>
            <w:tcW w:w="26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w w:val="92"/>
              </w:rPr>
              <w:t>2023</w:t>
            </w:r>
          </w:p>
        </w:tc>
        <w:tc>
          <w:tcPr>
            <w:tcW w:w="26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Non-Qualified Stock Options from the 2020</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20,625</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4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January 5, 2033</w:t>
            </w: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w:t>
            </w:r>
          </w:p>
        </w:tc>
        <w:tc>
          <w:tcPr>
            <w:tcW w:w="26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Omar A. Haynes </w:t>
            </w:r>
            <w:r>
              <w:rPr>
                <w:rFonts w:ascii="Times New Roman" w:cs="Times New Roman" w:eastAsia="Times New Roman" w:hAnsi="Times New Roman"/>
                <w:sz w:val="17"/>
                <w:szCs w:val="17"/>
                <w:color w:val="auto"/>
                <w:vertAlign w:val="superscript"/>
              </w:rPr>
              <w:t>(1)</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w w:val="92"/>
              </w:rPr>
              <w:t>2020</w:t>
            </w:r>
          </w:p>
        </w:tc>
        <w:tc>
          <w:tcPr>
            <w:tcW w:w="2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Non-Qualified Stock Options from the 2012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140" w:type="dxa"/>
            <w:vAlign w:val="bottom"/>
          </w:tcPr>
          <w:p>
            <w:pPr>
              <w:spacing w:after="0"/>
              <w:rPr>
                <w:sz w:val="10"/>
                <w:szCs w:val="10"/>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April 20, 2030</w:t>
            </w: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w:t>
            </w:r>
          </w:p>
        </w:tc>
        <w:tc>
          <w:tcPr>
            <w:tcW w:w="26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w w:val="92"/>
              </w:rPr>
              <w:t>2021</w:t>
            </w:r>
          </w:p>
        </w:tc>
        <w:tc>
          <w:tcPr>
            <w:tcW w:w="26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Non-Qualified Stock Options from the 2020</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14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April 19, 2024</w:t>
            </w: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w:t>
            </w:r>
          </w:p>
        </w:tc>
        <w:tc>
          <w:tcPr>
            <w:tcW w:w="26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w w:val="92"/>
              </w:rPr>
              <w:t>2022</w:t>
            </w:r>
          </w:p>
        </w:tc>
        <w:tc>
          <w:tcPr>
            <w:tcW w:w="2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Non-Qualified Stock Options from the 2020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40" w:type="dxa"/>
            <w:vAlign w:val="bottom"/>
          </w:tcPr>
          <w:p>
            <w:pPr>
              <w:spacing w:after="0"/>
              <w:rPr>
                <w:sz w:val="10"/>
                <w:szCs w:val="10"/>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April 19, 2024</w:t>
            </w: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w:t>
            </w:r>
          </w:p>
        </w:tc>
        <w:tc>
          <w:tcPr>
            <w:tcW w:w="26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w w:val="92"/>
              </w:rPr>
              <w:t>2023</w:t>
            </w:r>
          </w:p>
        </w:tc>
        <w:tc>
          <w:tcPr>
            <w:tcW w:w="26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Non-Qualified Stock Options from the 2020</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4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April 19, 2024</w:t>
            </w: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w:t>
            </w:r>
          </w:p>
        </w:tc>
        <w:tc>
          <w:tcPr>
            <w:tcW w:w="26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Ezra T. Ernst </w:t>
            </w:r>
            <w:r>
              <w:rPr>
                <w:rFonts w:ascii="Times New Roman" w:cs="Times New Roman" w:eastAsia="Times New Roman" w:hAnsi="Times New Roman"/>
                <w:sz w:val="17"/>
                <w:szCs w:val="17"/>
                <w:color w:val="auto"/>
                <w:vertAlign w:val="superscript"/>
              </w:rPr>
              <w:t>(1)</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Inducement Plan</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16,666</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33,334</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32.80</w:t>
            </w:r>
          </w:p>
        </w:tc>
        <w:tc>
          <w:tcPr>
            <w:tcW w:w="140" w:type="dxa"/>
            <w:vAlign w:val="bottom"/>
          </w:tcPr>
          <w:p>
            <w:pPr>
              <w:spacing w:after="0"/>
              <w:rPr>
                <w:sz w:val="12"/>
                <w:szCs w:val="12"/>
                <w:color w:val="auto"/>
              </w:rPr>
            </w:pPr>
          </w:p>
        </w:tc>
        <w:tc>
          <w:tcPr>
            <w:tcW w:w="13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January 14, 2032</w:t>
            </w: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w w:val="92"/>
              </w:rPr>
              <w:t>2023</w:t>
            </w:r>
          </w:p>
        </w:tc>
        <w:tc>
          <w:tcPr>
            <w:tcW w:w="26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Non-Qualified Stock Options from the 2020</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4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January 5, 2033</w:t>
            </w: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w:t>
            </w:r>
          </w:p>
        </w:tc>
        <w:tc>
          <w:tcPr>
            <w:tcW w:w="26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Suzanne A. Scrabis</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$ 4.56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w w:val="92"/>
              </w:rPr>
              <w:t>2023</w:t>
            </w:r>
          </w:p>
        </w:tc>
        <w:tc>
          <w:tcPr>
            <w:tcW w:w="2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Non-Qualified Stock Options from the 2020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40" w:type="dxa"/>
            <w:vAlign w:val="bottom"/>
          </w:tcPr>
          <w:p>
            <w:pPr>
              <w:spacing w:after="0"/>
              <w:rPr>
                <w:sz w:val="10"/>
                <w:szCs w:val="10"/>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July 10, 2033</w:t>
            </w: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w:t>
            </w:r>
          </w:p>
        </w:tc>
        <w:tc>
          <w:tcPr>
            <w:tcW w:w="26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14141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Un-exercisable options vest in equal annual increments over each of the remaining anniversaries of the date of grant.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plans.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following summarizes the payments and potential payments to each of our named executive officers as of December 31, 2023 upon termination or change-in-control. The discussion assumes that such event occurred on December 31, 2023, the last business day of our fiscal year, at which time the closing price of our common stock as listed on Nasdaq was $1.74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per share. For a further discussion of these provisions see the “Narrative Disclosure to Summary Compensation Table”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Scott R. Milford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January 19, 2024, Mr. Milford is not entitled to any payments upon termination or change-in-control.</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Prior to January 19, 2024, in the event Mr. Milford’s employment agreement was terminated for good reason by Mr. Milford, or by the Company without cause and Mr. Milford provided the Company with a release of claims, Mr. Milford was entitled to receive a cash severance payment in the amount of one hundred percent (100%) of his then current base salary and one year of COBRA continuation coverage.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Ezra T. Ernst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event Mr. Ernst’s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Suzanne A. Scrabis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the event Ms. Scrabis terminates her employment for good reason, or in the event Ms. Scrabis’ employment 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terminated by the Company without cause and Ms. Scrabis provides the Company with a release of claims, Ms. Scrabis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will be entitled to receive a payment equal to 50% of her then-current base salary, payable in installments over a period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six months.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Omar A. Haynes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Mr. Haynes is not entitled to any payments upon termination or change-in-control.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of persons who served as non-employee members of our Board of Directors during the fiscal year ended December 31,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2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Unit Awards</w:t>
            </w:r>
          </w:p>
        </w:tc>
        <w:tc>
          <w:tcPr>
            <w:tcW w:w="10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20" w:type="dxa"/>
            <w:vAlign w:val="bottom"/>
            <w:gridSpan w:val="2"/>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0"/>
                <w:szCs w:val="20"/>
                <w:b w:val="1"/>
                <w:bCs w:val="1"/>
                <w:color w:val="auto"/>
                <w:w w:val="87"/>
                <w:vertAlign w:val="superscript"/>
              </w:rPr>
              <w:t>(1)</w:t>
            </w:r>
          </w:p>
        </w:tc>
        <w:tc>
          <w:tcPr>
            <w:tcW w:w="220" w:type="dxa"/>
            <w:vAlign w:val="bottom"/>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(1)</w:t>
            </w:r>
          </w:p>
        </w:tc>
        <w:tc>
          <w:tcPr>
            <w:tcW w:w="22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(6)</w:t>
            </w:r>
          </w:p>
        </w:tc>
        <w:tc>
          <w:tcPr>
            <w:tcW w:w="220" w:type="dxa"/>
            <w:vAlign w:val="bottom"/>
          </w:tcPr>
          <w:p>
            <w:pPr>
              <w:spacing w:after="0"/>
              <w:rPr>
                <w:sz w:val="15"/>
                <w:szCs w:val="15"/>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Bruce T. Bernstein</w:t>
            </w:r>
            <w:r>
              <w:rPr>
                <w:rFonts w:ascii="Times New Roman" w:cs="Times New Roman" w:eastAsia="Times New Roman" w:hAnsi="Times New Roman"/>
                <w:sz w:val="24"/>
                <w:szCs w:val="24"/>
                <w:color w:val="auto"/>
                <w:vertAlign w:val="superscript"/>
              </w:rPr>
              <w:t>(2)(6)</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166,250</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338,450</w:t>
            </w:r>
          </w:p>
        </w:tc>
        <w:tc>
          <w:tcPr>
            <w:tcW w:w="0" w:type="dxa"/>
            <w:vAlign w:val="bottom"/>
          </w:tcPr>
          <w:p>
            <w:pPr>
              <w:spacing w:after="0"/>
              <w:rPr>
                <w:sz w:val="1"/>
                <w:szCs w:val="1"/>
                <w:color w:val="auto"/>
              </w:rPr>
            </w:pPr>
          </w:p>
        </w:tc>
      </w:tr>
      <w:tr>
        <w:trPr>
          <w:trHeight w:val="216"/>
        </w:trPr>
        <w:tc>
          <w:tcPr>
            <w:tcW w:w="36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Donald E. Stout</w:t>
            </w:r>
            <w:r>
              <w:rPr>
                <w:rFonts w:ascii="Times New Roman" w:cs="Times New Roman" w:eastAsia="Times New Roman" w:hAnsi="Times New Roman"/>
                <w:sz w:val="25"/>
                <w:szCs w:val="25"/>
                <w:color w:val="auto"/>
                <w:vertAlign w:val="superscript"/>
              </w:rPr>
              <w:t>(3)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78,750</w:t>
            </w:r>
          </w:p>
        </w:tc>
        <w:tc>
          <w:tcPr>
            <w:tcW w:w="22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104,850</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Robert Weinstein</w:t>
            </w:r>
            <w:r>
              <w:rPr>
                <w:rFonts w:ascii="Times New Roman" w:cs="Times New Roman" w:eastAsia="Times New Roman" w:hAnsi="Times New Roman"/>
                <w:sz w:val="25"/>
                <w:szCs w:val="25"/>
                <w:color w:val="auto"/>
                <w:vertAlign w:val="superscript"/>
              </w:rPr>
              <w:t>(4)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131,100</w:t>
            </w:r>
          </w:p>
        </w:tc>
        <w:tc>
          <w:tcPr>
            <w:tcW w:w="0" w:type="dxa"/>
            <w:vAlign w:val="bottom"/>
          </w:tcPr>
          <w:p>
            <w:pPr>
              <w:spacing w:after="0"/>
              <w:rPr>
                <w:sz w:val="1"/>
                <w:szCs w:val="1"/>
                <w:color w:val="auto"/>
              </w:rPr>
            </w:pPr>
          </w:p>
        </w:tc>
      </w:tr>
      <w:tr>
        <w:trPr>
          <w:trHeight w:val="355"/>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Lebowitz</w:t>
            </w:r>
            <w:r>
              <w:rPr>
                <w:rFonts w:ascii="Times New Roman" w:cs="Times New Roman" w:eastAsia="Times New Roman" w:hAnsi="Times New Roman"/>
                <w:sz w:val="26"/>
                <w:szCs w:val="26"/>
                <w:color w:val="auto"/>
                <w:vertAlign w:val="superscript"/>
              </w:rPr>
              <w:t>(5)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78,750</w:t>
            </w:r>
          </w:p>
        </w:tc>
        <w:tc>
          <w:tcPr>
            <w:tcW w:w="220" w:type="dxa"/>
            <w:vAlign w:val="bottom"/>
          </w:tcPr>
          <w:p>
            <w:pPr>
              <w:spacing w:after="0"/>
              <w:rPr>
                <w:sz w:val="24"/>
                <w:szCs w:val="24"/>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104,850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14141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65" w:lineRule="exact"/>
        <w:rPr>
          <w:sz w:val="20"/>
          <w:szCs w:val="20"/>
          <w:color w:val="auto"/>
        </w:rPr>
      </w:pPr>
    </w:p>
    <w:p>
      <w:pPr>
        <w:jc w:val="both"/>
        <w:ind w:left="380" w:right="79" w:hanging="330"/>
        <w:spacing w:after="0" w:line="257"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aggregate grant date fair value of the RSUs and option awards granted during the fiscal year computed in accordance with FASB ASC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See Notes 2 and 15 to the consolidated financial statements included in the Original Filing for the assumptions made in the valuation of the equity awards.</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Mr. Bernstein held 42,511 unexercised options.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Mr. Stout held 22,670 unexercised options.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Mr. Weinstein held 22,579 unexercised options.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Mr. Lebowitz held 21,996 unexercised options.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$120,000 in cash paid in respect of XpresTest, Inc. board services (as described below).</w:t>
      </w:r>
    </w:p>
    <w:p>
      <w:pPr>
        <w:spacing w:after="0" w:line="207" w:lineRule="exact"/>
        <w:rPr>
          <w:sz w:val="20"/>
          <w:szCs w:val="20"/>
          <w:color w:val="auto"/>
        </w:rPr>
      </w:pPr>
    </w:p>
    <w:p>
      <w:pPr>
        <w:ind w:left="60" w:right="59"/>
        <w:spacing w:after="0" w:line="275" w:lineRule="auto"/>
        <w:rPr>
          <w:sz w:val="20"/>
          <w:szCs w:val="20"/>
          <w:color w:val="auto"/>
        </w:rPr>
      </w:pPr>
      <w:r>
        <w:rPr>
          <w:rFonts w:ascii="Times New Roman" w:cs="Times New Roman" w:eastAsia="Times New Roman" w:hAnsi="Times New Roman"/>
          <w:sz w:val="18"/>
          <w:szCs w:val="18"/>
          <w:color w:val="auto"/>
        </w:rPr>
        <w:t>In January 2023, the Board and the Compensation Committee engaged StreeterWyatt Analytics, an independent third-party compensation analyst, to evaluate and make recommendations regarding­ the compensation paid to our directors. ​</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Based on its review, the director compensation program remained the same:</w:t>
      </w:r>
    </w:p>
    <w:p>
      <w:pPr>
        <w:spacing w:after="0" w:line="207" w:lineRule="exact"/>
        <w:rPr>
          <w:sz w:val="20"/>
          <w:szCs w:val="20"/>
          <w:color w:val="auto"/>
        </w:rPr>
      </w:pPr>
    </w:p>
    <w:p>
      <w:pPr>
        <w:ind w:left="1040" w:right="3619" w:hanging="639"/>
        <w:spacing w:after="0" w:line="252" w:lineRule="auto"/>
        <w:tabs>
          <w:tab w:leader="none" w:pos="7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Chairman of the Board: $350,000 per year, consisting of: </w:t>
      </w: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$150,000 in cash; and</w:t>
      </w:r>
    </w:p>
    <w:p>
      <w:pPr>
        <w:spacing w:after="0" w:line="1" w:lineRule="exact"/>
        <w:rPr>
          <w:rFonts w:ascii="Times New Roman" w:cs="Times New Roman" w:eastAsia="Times New Roman" w:hAnsi="Times New Roman"/>
          <w:sz w:val="18"/>
          <w:szCs w:val="18"/>
          <w:color w:val="auto"/>
        </w:rPr>
      </w:pPr>
    </w:p>
    <w:p>
      <w:pPr>
        <w:ind w:left="1380" w:right="79" w:hanging="324"/>
        <w:spacing w:after="0" w:line="238"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equity awards having a combined value of $200,000, consisting of (i) a grant of a Non-Qualified Stock</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Option to purchase such number of shares of Common Stock having a grant date fair value of $120,000 and (ii) a grant of RSUs of such number of shares having a grant date value of $80,000.</w:t>
      </w: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other non-employee Directors: $170,000 per year, consisting of:</w:t>
      </w:r>
    </w:p>
    <w:p>
      <w:pPr>
        <w:spacing w:after="0" w:line="3" w:lineRule="exact"/>
        <w:rPr>
          <w:sz w:val="20"/>
          <w:szCs w:val="20"/>
          <w:color w:val="auto"/>
        </w:rPr>
      </w:pPr>
    </w:p>
    <w:p>
      <w:pPr>
        <w:ind w:left="1380" w:hanging="331"/>
        <w:spacing w:after="0"/>
        <w:tabs>
          <w:tab w:leader="none" w:pos="1380" w:val="left"/>
        </w:tabs>
        <w:numPr>
          <w:ilvl w:val="1"/>
          <w:numId w:val="1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$70,000 in cash; and</w:t>
      </w:r>
    </w:p>
    <w:p>
      <w:pPr>
        <w:spacing w:after="0" w:line="1" w:lineRule="exact"/>
        <w:rPr>
          <w:rFonts w:ascii="Courier New" w:cs="Courier New" w:eastAsia="Courier New" w:hAnsi="Courier New"/>
          <w:sz w:val="18"/>
          <w:szCs w:val="18"/>
          <w:color w:val="auto"/>
        </w:rPr>
      </w:pPr>
    </w:p>
    <w:p>
      <w:pPr>
        <w:jc w:val="both"/>
        <w:ind w:left="1380" w:right="79" w:hanging="331"/>
        <w:spacing w:after="0" w:line="243" w:lineRule="auto"/>
        <w:tabs>
          <w:tab w:leader="none" w:pos="1380" w:val="left"/>
        </w:tabs>
        <w:numPr>
          <w:ilvl w:val="1"/>
          <w:numId w:val="1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equity awards having a combined value of $100,000, consisting of (i) a grant of a Non-Qualified Stock Option to purchase such number of shares of Common Stock having a grant date fair value of $60,000 and (ii) a grant of RSUs of such number of shares having a grant date value of $40,000.</w:t>
      </w:r>
    </w:p>
    <w:p>
      <w:pPr>
        <w:spacing w:after="0" w:line="2" w:lineRule="exact"/>
        <w:rPr>
          <w:rFonts w:ascii="Courier New" w:cs="Courier New" w:eastAsia="Courier New" w:hAnsi="Courier New"/>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cash payments:</w:t>
      </w:r>
    </w:p>
    <w:p>
      <w:pPr>
        <w:spacing w:after="0" w:line="9" w:lineRule="exact"/>
        <w:rPr>
          <w:rFonts w:ascii="Times New Roman" w:cs="Times New Roman" w:eastAsia="Times New Roman" w:hAnsi="Times New Roman"/>
          <w:sz w:val="18"/>
          <w:szCs w:val="18"/>
          <w:color w:val="auto"/>
        </w:rPr>
      </w:pPr>
    </w:p>
    <w:p>
      <w:pPr>
        <w:ind w:left="1380" w:hanging="331"/>
        <w:spacing w:after="0" w:line="233" w:lineRule="auto"/>
        <w:tabs>
          <w:tab w:leader="none" w:pos="1380" w:val="left"/>
        </w:tabs>
        <w:numPr>
          <w:ilvl w:val="1"/>
          <w:numId w:val="1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$30,000 in cash to the Chairman of the Audit Committee.</w:t>
      </w:r>
    </w:p>
    <w:p>
      <w:pPr>
        <w:spacing w:after="0" w:line="2" w:lineRule="exact"/>
        <w:rPr>
          <w:rFonts w:ascii="Courier New" w:cs="Courier New" w:eastAsia="Courier New" w:hAnsi="Courier New"/>
          <w:sz w:val="18"/>
          <w:szCs w:val="18"/>
          <w:color w:val="auto"/>
        </w:rPr>
      </w:pPr>
    </w:p>
    <w:p>
      <w:pPr>
        <w:ind w:left="1380" w:hanging="331"/>
        <w:spacing w:after="0" w:line="231" w:lineRule="auto"/>
        <w:tabs>
          <w:tab w:leader="none" w:pos="1380" w:val="left"/>
        </w:tabs>
        <w:numPr>
          <w:ilvl w:val="1"/>
          <w:numId w:val="1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$20,000 in cash to the Chairman of the Compensation Committee.</w:t>
      </w:r>
    </w:p>
    <w:p>
      <w:pPr>
        <w:spacing w:after="0" w:line="2" w:lineRule="exact"/>
        <w:rPr>
          <w:rFonts w:ascii="Courier New" w:cs="Courier New" w:eastAsia="Courier New" w:hAnsi="Courier New"/>
          <w:sz w:val="18"/>
          <w:szCs w:val="18"/>
          <w:color w:val="auto"/>
        </w:rPr>
      </w:pPr>
    </w:p>
    <w:p>
      <w:pPr>
        <w:ind w:left="1380" w:hanging="331"/>
        <w:spacing w:after="0" w:line="231" w:lineRule="auto"/>
        <w:tabs>
          <w:tab w:leader="none" w:pos="1380" w:val="left"/>
        </w:tabs>
        <w:numPr>
          <w:ilvl w:val="1"/>
          <w:numId w:val="10"/>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$20,000 in cash to each member of the Strategic Affairs Committee.</w:t>
      </w:r>
    </w:p>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reimburse our directors for reasonable out-of-pocket expenses incurred in connection with attendance and participation in Board and committee meetings (including costs of travel, food and lodging).</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Mr. Bernstein received $120,000 in cash compensation in the year ended December 31, 2023 specifically related to the duties, responsibilities and services of Mr. Bernstein beyond the scope of normal Board member services in connection with his role as a non-employee director of XpresTest, which amount was approved in March 2021 following the Board’s review of an analysis and evaluation from StreeterWyatt Analytics of appropriate director compensation specifically related to such duties. The Board concluded at the time, and continued to conclude, that under the circumstances and in light of the services performed, such compensation represents “ordinary-course compensation” for Mr. Bernstein’s XpresTest board services as a member of the board of directors of XpresTest, and that such compensation therefore would not preclude a determination that Mr. Bernstein would be independent for, among other things,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membership of the Audit Committee of the Company under Rule 10A-3 under the Securities Exchange Act of 1934, as amended, and Nasdaq listing rules, as such compensation represents fees for such XpresTest board services.</w:t>
      </w:r>
    </w:p>
    <w:p>
      <w:pPr>
        <w:spacing w:after="0" w:line="162" w:lineRule="exact"/>
        <w:rPr>
          <w:sz w:val="20"/>
          <w:szCs w:val="20"/>
          <w:color w:val="auto"/>
        </w:rPr>
      </w:pPr>
    </w:p>
    <w:p>
      <w:pPr>
        <w:ind w:left="60" w:right="59"/>
        <w:spacing w:after="0" w:line="275" w:lineRule="auto"/>
        <w:rPr>
          <w:sz w:val="20"/>
          <w:szCs w:val="20"/>
          <w:color w:val="auto"/>
        </w:rPr>
      </w:pPr>
      <w:r>
        <w:rPr>
          <w:rFonts w:ascii="Times New Roman" w:cs="Times New Roman" w:eastAsia="Times New Roman" w:hAnsi="Times New Roman"/>
          <w:sz w:val="18"/>
          <w:szCs w:val="18"/>
          <w:color w:val="auto"/>
        </w:rPr>
        <w:t>In September 2023, the Board reevaluated the Company’s compensation structure. Based on its review, the Compensation Committee recommended, and the full Board approved, a new director compensation program effective October 1, 2023: ​</w:t>
      </w:r>
    </w:p>
    <w:p>
      <w:pPr>
        <w:spacing w:after="0" w:line="192" w:lineRule="exact"/>
        <w:rPr>
          <w:sz w:val="20"/>
          <w:szCs w:val="20"/>
          <w:color w:val="auto"/>
        </w:rPr>
      </w:pPr>
    </w:p>
    <w:p>
      <w:pPr>
        <w:ind w:left="1040" w:right="6039" w:hanging="639"/>
        <w:spacing w:after="0" w:line="242" w:lineRule="auto"/>
        <w:tabs>
          <w:tab w:leader="none" w:pos="7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Chairman of the Board: </w:t>
      </w: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$75,000 in cash</w:t>
      </w:r>
    </w:p>
    <w:p>
      <w:pPr>
        <w:ind w:left="1040" w:right="5519" w:hanging="639"/>
        <w:spacing w:after="0" w:line="241" w:lineRule="auto"/>
        <w:tabs>
          <w:tab w:leader="none" w:pos="7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other non-employee Directors: </w:t>
      </w: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$35,000 in cash</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cash payments:</w:t>
      </w:r>
    </w:p>
    <w:p>
      <w:pPr>
        <w:spacing w:after="0" w:line="1" w:lineRule="exact"/>
        <w:rPr>
          <w:sz w:val="20"/>
          <w:szCs w:val="20"/>
          <w:color w:val="auto"/>
        </w:rPr>
      </w:pPr>
    </w:p>
    <w:p>
      <w:pPr>
        <w:ind w:left="1380" w:hanging="331"/>
        <w:spacing w:after="0"/>
        <w:tabs>
          <w:tab w:leader="none" w:pos="1380" w:val="left"/>
        </w:tabs>
        <w:numPr>
          <w:ilvl w:val="0"/>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$10,000 in cash to the Chairman of the Audit Committee.</w:t>
      </w:r>
    </w:p>
    <w:p>
      <w:pPr>
        <w:spacing w:after="0" w:line="1" w:lineRule="exact"/>
        <w:rPr>
          <w:rFonts w:ascii="Courier New" w:cs="Courier New" w:eastAsia="Courier New" w:hAnsi="Courier New"/>
          <w:sz w:val="18"/>
          <w:szCs w:val="18"/>
          <w:color w:val="auto"/>
        </w:rPr>
      </w:pPr>
    </w:p>
    <w:p>
      <w:pPr>
        <w:ind w:left="1380" w:hanging="331"/>
        <w:spacing w:after="0" w:line="231" w:lineRule="auto"/>
        <w:tabs>
          <w:tab w:leader="none" w:pos="1380" w:val="left"/>
        </w:tabs>
        <w:numPr>
          <w:ilvl w:val="0"/>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$10,000 in cash to the Chairman of the Compensation Committee.</w:t>
      </w:r>
    </w:p>
    <w:p>
      <w:pPr>
        <w:spacing w:after="0" w:line="2" w:lineRule="exact"/>
        <w:rPr>
          <w:rFonts w:ascii="Courier New" w:cs="Courier New" w:eastAsia="Courier New" w:hAnsi="Courier New"/>
          <w:sz w:val="18"/>
          <w:szCs w:val="18"/>
          <w:color w:val="auto"/>
        </w:rPr>
      </w:pPr>
    </w:p>
    <w:p>
      <w:pPr>
        <w:ind w:left="1380" w:hanging="331"/>
        <w:spacing w:after="0" w:line="231" w:lineRule="auto"/>
        <w:tabs>
          <w:tab w:leader="none" w:pos="1380" w:val="left"/>
        </w:tabs>
        <w:numPr>
          <w:ilvl w:val="0"/>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$20,000 in cash to each member of the Strategic Affairs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aggregate information, as of December 31, 2023 with respect to all of our equity compensation plans then in effect:</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 of securities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 of securities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5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2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73"/>
        </w:trPr>
        <w:tc>
          <w:tcPr>
            <w:tcW w:w="5400" w:type="dxa"/>
            <w:vAlign w:val="bottom"/>
            <w:gridSpan w:val="3"/>
            <w:vMerge w:val="continue"/>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rights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first column)</w:t>
            </w:r>
          </w:p>
        </w:tc>
        <w:tc>
          <w:tcPr>
            <w:tcW w:w="0" w:type="dxa"/>
            <w:vAlign w:val="bottom"/>
          </w:tcPr>
          <w:p>
            <w:pPr>
              <w:spacing w:after="0"/>
              <w:rPr>
                <w:sz w:val="1"/>
                <w:szCs w:val="1"/>
                <w:color w:val="auto"/>
              </w:rPr>
            </w:pPr>
          </w:p>
        </w:tc>
      </w:tr>
      <w:tr>
        <w:trPr>
          <w:trHeight w:val="210"/>
        </w:trPr>
        <w:tc>
          <w:tcPr>
            <w:tcW w:w="526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equity compensation plans approved by security holders </w:t>
            </w:r>
            <w:r>
              <w:rPr>
                <w:rFonts w:ascii="Times New Roman" w:cs="Times New Roman" w:eastAsia="Times New Roman" w:hAnsi="Times New Roman"/>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353,149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249,899</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58"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plans consist solely of the 2020 Plan, as approved by our Board of Directors in September 2020 and by our stockholders in October 2020. On October 4, 2022, shareholders approved the amendment to the Company’s 2020 Equity Incentive Plan to increase the number of shares authorized for issuance under the Plan by 375,000 shares of Common Stock to an aggregate of 625,000 shares. Under the 2020 Equity Incentive Plan (the “2020 Plan”), a maximum of 249,899 shares of Common Stock remained available for issuance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common stock as of April 29, 2024, for (a) each stockholder known by us to own beneficially more than 5% of any class of our voting securities, (b) each of our named executive officers, (c) each of our directors, and (d) all of our current directors and executive officers as a group.</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We deem shares of common stock that may be acquired by an individual or group within 60 days of April 29, 2024, pursuant to the exercise of options or warrants or the vesting of RSUs, as applicable, to be outstanding for the purpose of computing the percentage ownership of such individual or group, but not for the purpose of computing the percentage ownership of any other person shown in the table.</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4,183,435 shares of common stock issued and outstanding as of April 29, 2024.</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3180" w:type="dxa"/>
            <w:vAlign w:val="bottom"/>
          </w:tcPr>
          <w:p>
            <w:pPr>
              <w:jc w:val="center"/>
              <w:ind w:left="21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3180" w:type="dxa"/>
            <w:vAlign w:val="bottom"/>
          </w:tcPr>
          <w:p>
            <w:pPr>
              <w:jc w:val="center"/>
              <w:ind w:left="2168"/>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3180" w:type="dxa"/>
            <w:vAlign w:val="bottom"/>
          </w:tcPr>
          <w:p>
            <w:pPr>
              <w:jc w:val="center"/>
              <w:ind w:left="216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3180" w:type="dxa"/>
            <w:vAlign w:val="bottom"/>
          </w:tcPr>
          <w:p>
            <w:pPr>
              <w:jc w:val="center"/>
              <w:ind w:left="21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9"/>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21"/>
                <w:szCs w:val="21"/>
                <w:b w:val="1"/>
                <w:bCs w:val="1"/>
                <w:color w:val="auto"/>
                <w:vertAlign w:val="superscript"/>
              </w:rPr>
              <w:t>(1)</w:t>
            </w:r>
          </w:p>
        </w:tc>
        <w:tc>
          <w:tcPr>
            <w:tcW w:w="3180" w:type="dxa"/>
            <w:vAlign w:val="bottom"/>
          </w:tcPr>
          <w:p>
            <w:pPr>
              <w:jc w:val="center"/>
              <w:ind w:left="2228"/>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8"/>
        </w:trPr>
        <w:tc>
          <w:tcPr>
            <w:tcW w:w="4900" w:type="dxa"/>
            <w:vAlign w:val="bottom"/>
            <w:vMerge w:val="continue"/>
          </w:tcPr>
          <w:p>
            <w:pPr>
              <w:spacing w:after="0"/>
              <w:rPr>
                <w:sz w:val="16"/>
                <w:szCs w:val="16"/>
                <w:color w:val="auto"/>
              </w:rPr>
            </w:pPr>
          </w:p>
        </w:tc>
        <w:tc>
          <w:tcPr>
            <w:tcW w:w="318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564896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i w:val="1"/>
          <w:iCs w:val="1"/>
          <w:color w:val="auto"/>
        </w:rPr>
        <w:t>5% percent or more beneficial owners: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3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Scott R. Milford</w:t>
            </w:r>
            <w:r>
              <w:rPr>
                <w:rFonts w:ascii="Times New Roman" w:cs="Times New Roman" w:eastAsia="Times New Roman" w:hAnsi="Times New Roman"/>
                <w:sz w:val="25"/>
                <w:szCs w:val="25"/>
                <w:color w:val="auto"/>
                <w:vertAlign w:val="superscript"/>
              </w:rPr>
              <w:t>(2)</w:t>
            </w:r>
          </w:p>
        </w:tc>
        <w:tc>
          <w:tcPr>
            <w:tcW w:w="1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59,055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Suzanne A. Scrabis</w:t>
            </w:r>
            <w:r>
              <w:rPr>
                <w:rFonts w:ascii="Times New Roman" w:cs="Times New Roman" w:eastAsia="Times New Roman" w:hAnsi="Times New Roman"/>
                <w:sz w:val="25"/>
                <w:szCs w:val="25"/>
                <w:color w:val="auto"/>
                <w:vertAlign w:val="superscript"/>
              </w:rPr>
              <w:t>(3)</w:t>
            </w: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17,812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Ezra T. Ernst</w:t>
            </w:r>
            <w:r>
              <w:rPr>
                <w:rFonts w:ascii="Times New Roman" w:cs="Times New Roman" w:eastAsia="Times New Roman" w:hAnsi="Times New Roman"/>
                <w:sz w:val="25"/>
                <w:szCs w:val="25"/>
                <w:color w:val="auto"/>
                <w:vertAlign w:val="superscript"/>
              </w:rPr>
              <w:t>(4)</w:t>
            </w:r>
          </w:p>
        </w:tc>
        <w:tc>
          <w:tcPr>
            <w:tcW w:w="1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49,463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Bruce T. Bernstein</w:t>
            </w:r>
            <w:r>
              <w:rPr>
                <w:rFonts w:ascii="Times New Roman" w:cs="Times New Roman" w:eastAsia="Times New Roman" w:hAnsi="Times New Roman"/>
                <w:sz w:val="25"/>
                <w:szCs w:val="25"/>
                <w:color w:val="auto"/>
                <w:vertAlign w:val="superscript"/>
              </w:rPr>
              <w:t>(5)</w:t>
            </w: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81,467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3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Donald E. Stout</w:t>
            </w:r>
            <w:r>
              <w:rPr>
                <w:rFonts w:ascii="Times New Roman" w:cs="Times New Roman" w:eastAsia="Times New Roman" w:hAnsi="Times New Roman"/>
                <w:sz w:val="25"/>
                <w:szCs w:val="25"/>
                <w:color w:val="auto"/>
                <w:vertAlign w:val="superscript"/>
              </w:rPr>
              <w:t>(6)</w:t>
            </w:r>
          </w:p>
        </w:tc>
        <w:tc>
          <w:tcPr>
            <w:tcW w:w="1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30,634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Robert Weinstein</w:t>
            </w:r>
            <w:r>
              <w:rPr>
                <w:rFonts w:ascii="Times New Roman" w:cs="Times New Roman" w:eastAsia="Times New Roman" w:hAnsi="Times New Roman"/>
                <w:sz w:val="25"/>
                <w:szCs w:val="25"/>
                <w:color w:val="auto"/>
                <w:vertAlign w:val="superscript"/>
              </w:rPr>
              <w:t>(7)</w:t>
            </w: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30,403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Michael Lebowitz</w:t>
            </w:r>
            <w:r>
              <w:rPr>
                <w:rFonts w:ascii="Times New Roman" w:cs="Times New Roman" w:eastAsia="Times New Roman" w:hAnsi="Times New Roman"/>
                <w:sz w:val="25"/>
                <w:szCs w:val="25"/>
                <w:color w:val="auto"/>
                <w:vertAlign w:val="superscript"/>
              </w:rPr>
              <w:t>(8)</w:t>
            </w:r>
          </w:p>
        </w:tc>
        <w:tc>
          <w:tcPr>
            <w:tcW w:w="1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34,970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Omar T. Haynes</w:t>
            </w:r>
            <w:r>
              <w:rPr>
                <w:rFonts w:ascii="Times New Roman" w:cs="Times New Roman" w:eastAsia="Times New Roman" w:hAnsi="Times New Roman"/>
                <w:sz w:val="25"/>
                <w:szCs w:val="25"/>
                <w:color w:val="auto"/>
                <w:vertAlign w:val="superscript"/>
              </w:rPr>
              <w:t>(9)</w:t>
            </w: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6,693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355"/>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(8 individuals)</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color w:val="auto"/>
              </w:rPr>
              <w:t>:</w:t>
            </w: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310,498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-19050</wp:posOffset>
            </wp:positionV>
            <wp:extent cx="14141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380" w:right="7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in the footnote below, the business address of the individuals in the table above is c/o XWELL, Inc., 254 West 31st Street, 11th Floor, New York, NY 10001.</w:t>
      </w:r>
    </w:p>
    <w:p>
      <w:pPr>
        <w:ind w:left="380" w:right="7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2,058 shares of common stock and options to purchase 56,997 shares of common stock, which are exercisable within 60 days of April 29, 2024.</w:t>
      </w:r>
    </w:p>
    <w:p>
      <w:pPr>
        <w:ind w:left="380" w:right="7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5,000 RSUs and options to purchase 12,812 shares of common stock, which are exercisable within 60 days of April 29, 2024.</w:t>
      </w:r>
    </w:p>
    <w:p>
      <w:pPr>
        <w:ind w:left="380" w:right="7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1,130 shares of common stock and options to purchase 48,333 shares of common stock, which are exercisable within 60 days of April 29, 2024.</w:t>
      </w:r>
    </w:p>
    <w:p>
      <w:pPr>
        <w:ind w:left="380" w:right="7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38,956 shares of common stock and options to purchase 42,511 shares of common stock, which are exercisable within 60 days of April 29, 2024.</w:t>
      </w:r>
    </w:p>
    <w:p>
      <w:pPr>
        <w:ind w:left="380" w:right="79" w:hanging="330"/>
        <w:spacing w:after="0" w:line="26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7,974 shares of common stock and options to purchase 22,660 shares of common stock, which are exercisable within 60 days of April 29, 2024.</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hanging="330"/>
        <w:spacing w:after="0" w:line="261"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7,824 shares of common stock and options to purchase 22,579 shares of common stock, which are exercisable within 60 days of April 29, 2024.</w:t>
      </w:r>
    </w:p>
    <w:p>
      <w:pPr>
        <w:ind w:left="380" w:right="79" w:hanging="330"/>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12,974 vested shares of common stock and options to purchase 21,996 shares of common stock, which are exercisable within 60 days of April 29, 2024.</w:t>
      </w:r>
    </w:p>
    <w:p>
      <w:pPr>
        <w:ind w:left="380" w:right="79" w:hanging="330"/>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5,027 shares of common stock and RSUs and options to purchase 1,666 shares of common stock, which are exercisable within 60 days of April 29, 2024.</w:t>
      </w:r>
    </w:p>
    <w:p>
      <w:pPr>
        <w:ind w:left="380" w:hanging="330"/>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(2) through (9).</w:t>
      </w:r>
    </w:p>
    <w:p>
      <w:pPr>
        <w:spacing w:after="0" w:line="200" w:lineRule="exact"/>
        <w:rPr>
          <w:sz w:val="20"/>
          <w:szCs w:val="20"/>
          <w:color w:val="auto"/>
        </w:rPr>
      </w:pPr>
    </w:p>
    <w:p>
      <w:pPr>
        <w:spacing w:after="0" w:line="219" w:lineRule="exact"/>
        <w:rPr>
          <w:sz w:val="20"/>
          <w:szCs w:val="20"/>
          <w:color w:val="auto"/>
        </w:rPr>
      </w:pPr>
    </w:p>
    <w:p>
      <w:pPr>
        <w:ind w:left="60" w:right="1559"/>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Related Person Transactions Approval Policy</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 and Committee Qualifications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us, either directly or indirectly. Based upon this review, we believe that Messrs. Bernstein, Weinstein, Lebowitz and Mme. Wizenberg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May 4, 2020, we approved the engagement of Friedman LLP (“Friedman”) as our independent registered public accounting firm for the fiscal year ended December 31, 2020. This selection was ratified by our stockholders at the 2020, 2021, 2022 and 2023 annual meetings held on October 28, 2020, September 30, 2021 October 4, 2022 and August 22, 2023. In deciding to select Friedman, the Audit Committee carefully considered the qualifications of Friedman, including their reputation for integrity, quality, and competence in the fields of accounting and auditing. Effective September 1, 2022, Friedman combined with Marcum LLP (“Marcum”), and Marcum became our auditors as of October 4, 2022, following the approval of their engagement by our Audit Committee. Further, the Audit Committee reviewed auditor independence issues and existing commercial relationships with Marcum. The Audit Committee concluded that independence of Marcum was not impaired for the fiscal years ended December 31, 2023, and 2022. For the fiscal years ended December 31, 2023, and 2022, we incurred the following fees for the services of Marcum:</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7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22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r>
        <w:trPr>
          <w:trHeight w:val="216"/>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Marcum:</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48"/>
        </w:trPr>
        <w:tc>
          <w:tcPr>
            <w:tcW w:w="22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71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$ 567,070</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$ 410,025</w:t>
            </w:r>
          </w:p>
        </w:tc>
      </w:tr>
      <w:tr>
        <w:trPr>
          <w:trHeight w:val="216"/>
        </w:trPr>
        <w:tc>
          <w:tcPr>
            <w:tcW w:w="71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5"/>
                <w:szCs w:val="25"/>
                <w:color w:val="auto"/>
                <w:vertAlign w:val="superscript"/>
              </w:rPr>
              <w:t>(2)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120,915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80,242</w:t>
            </w:r>
          </w:p>
        </w:tc>
      </w:tr>
      <w:tr>
        <w:trPr>
          <w:trHeight w:val="216"/>
        </w:trPr>
        <w:tc>
          <w:tcPr>
            <w:tcW w:w="71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5"/>
                <w:szCs w:val="25"/>
                <w:color w:val="auto"/>
                <w:vertAlign w:val="superscript"/>
              </w:rPr>
              <w:t>(4)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r>
      <w:tr>
        <w:trPr>
          <w:trHeight w:val="21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490,267</w:t>
            </w:r>
          </w:p>
        </w:tc>
      </w:tr>
      <w:tr>
        <w:trPr>
          <w:trHeight w:val="20"/>
        </w:trPr>
        <w:tc>
          <w:tcPr>
            <w:tcW w:w="22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63" w:lineRule="exact"/>
        <w:rPr>
          <w:sz w:val="20"/>
          <w:szCs w:val="20"/>
          <w:color w:val="auto"/>
        </w:rPr>
      </w:pPr>
    </w:p>
    <w:p>
      <w:pPr>
        <w:jc w:val="both"/>
        <w:ind w:left="380" w:right="79" w:hanging="330"/>
        <w:spacing w:after="0" w:line="257"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includes fees for benefit plan audits and lease compliance audits.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services, including tax compliance, tax advice and tax planning.</w:t>
      </w:r>
    </w:p>
    <w:p>
      <w:pPr>
        <w:spacing w:after="0" w:line="9" w:lineRule="exact"/>
        <w:rPr>
          <w:rFonts w:ascii="Times New Roman" w:cs="Times New Roman" w:eastAsia="Times New Roman" w:hAnsi="Times New Roman"/>
          <w:sz w:val="18"/>
          <w:szCs w:val="18"/>
          <w:color w:val="auto"/>
        </w:rPr>
      </w:pPr>
    </w:p>
    <w:p>
      <w:pPr>
        <w:ind w:left="380" w:right="79" w:hanging="330"/>
        <w:spacing w:after="0" w:line="26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in this category pertain to fees billed for products and services provided by Marcum, other than the services reported in the categories above.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 Audit and Non-Audit Services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firms for the years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financial statements are filed with this Amendment No. 2. These items were included as part of the Original Filing.</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Amendment No. 2 to the Original Filing.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20" w:type="dxa"/>
            <w:vAlign w:val="bottom"/>
            <w:gridSpan w:val="4"/>
          </w:tcPr>
          <w:p>
            <w:pPr>
              <w:ind w:left="2720"/>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41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7720" w:type="dxa"/>
            <w:vAlign w:val="bottom"/>
            <w:gridSpan w:val="4"/>
          </w:tcPr>
          <w:p>
            <w:pPr>
              <w:ind w:left="3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607"/>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20" w:type="dxa"/>
            <w:vAlign w:val="bottom"/>
            <w:tcBorders>
              <w:top w:val="single" w:sz="8" w:color="auto"/>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Exchange Act, Rules 13a – 14(a) and 15d – 14(a),</w:t>
            </w:r>
          </w:p>
        </w:tc>
        <w:tc>
          <w:tcPr>
            <w:tcW w:w="100" w:type="dxa"/>
            <w:vAlign w:val="bottom"/>
            <w:tcBorders>
              <w:top w:val="single" w:sz="8" w:color="auto"/>
            </w:tcBorders>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Exchange Act, Rules 13a – 14(a) and 15d – 14(a),</w:t>
            </w: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c>
          <w:tcPr>
            <w:tcW w:w="160" w:type="dxa"/>
            <w:vAlign w:val="bottom"/>
            <w:gridSpan w:val="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1959" w:hanging="10"/>
        <w:spacing w:after="0" w:line="548" w:lineRule="auto"/>
        <w:tabs>
          <w:tab w:leader="none" w:pos="122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documents)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-373380</wp:posOffset>
            </wp:positionV>
            <wp:extent cx="14141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Act of 1934, the registrant has duly caused this Amendment No. 1 to Annual Report on Form 10-K/A to be signed on its behalf by the undersigned, thereunto duly authorized, in the City of New York of New York on the 29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April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5031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Scott R Milford</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36" w:lineRule="exact"/>
        <w:rPr>
          <w:sz w:val="20"/>
          <w:szCs w:val="20"/>
          <w:color w:val="auto"/>
        </w:rPr>
      </w:pPr>
    </w:p>
    <w:p>
      <w:pPr>
        <w:ind w:left="452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Suzanne A. Scrabis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5031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Suzanne A. Scrabis</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R. Milford,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2 to the Annual Report on Form 10-K of XWELL, Inc.;</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1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3145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Suzanne A. Scrabis,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2 to the Annual Report on Form 10-K of XWELL, Inc.;</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18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SUZANNE A. SCRABIS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31457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502920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lvl w:ilvl="1">
      <w:lvlJc w:val="left"/>
      <w:lvlText w:val="o"/>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o"/>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7"/>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04"/>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2024-04-29T10:44:18Z</dcterms:created>
  <dcterms:modified xsi:type="dcterms:W3CDTF">2024-04-29T10:44:18Z</dcterms:modified>
</cp:coreProperties>
</file>