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xwel-20230331x10q.htm"/>
        <w:bookmarkStart w:id="1" w:name="ksxwel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008dc0c0_611b_438c_9697_c0b4cdf0f062"/>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left"/>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2023</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TRANSITION REPORT PURSUANT TO SECTION 13 OR 15(d) OF THE SECURITIES EXCHANGE ACT OF 1934</w:t>
      </w:r>
    </w:p>
    <w:p>
      <w:pPr>
        <w:pStyle w:val="TextBody"/>
        <w:pBdr/>
        <w:bidi w:val="0"/>
        <w:spacing w:before="0" w:after="240"/>
        <w:ind w:left="72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001-34785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XWELL,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k3mwWP9OmEyI4ceHKZ_Fzw_4_2"/>
      <w:bookmarkStart w:id="4" w:name="Tc_dcpsWWG7QU2KzGwhMOxSrw_4_0"/>
      <w:bookmarkStart w:id="5" w:name="Tc_1CmglthHZ0KAsPziTjmBQQ_3_0"/>
      <w:bookmarkStart w:id="6" w:name="Tc_RwoXaGOh5EGIvUB7LCPeXg_1_2"/>
      <w:bookmarkStart w:id="7" w:name="Tc_VCY4ErXfE0CwWT-sBRGXbw_1_0"/>
      <w:bookmarkStart w:id="8" w:name="_eb5356e1_7dbb_41c2_901a_bf0acaaa1578"/>
      <w:bookmarkStart w:id="9" w:name="Tc_k3mwWP9OmEyI4ceHKZ_Fzw_4_2"/>
      <w:bookmarkStart w:id="10" w:name="Tc_dcpsWWG7QU2KzGwhMOxSrw_4_0"/>
      <w:bookmarkStart w:id="11" w:name="Tc_1CmglthHZ0KAsPziTjmBQQ_3_0"/>
      <w:bookmarkStart w:id="12" w:name="Tc_RwoXaGOh5EGIvUB7LCPeXg_1_2"/>
      <w:bookmarkStart w:id="13" w:name="Tc_VCY4ErXfE0CwWT-sBRGXbw_1_0"/>
      <w:bookmarkStart w:id="14" w:name="_eb5356e1_7dbb_41c2_901a_bf0acaaa1578"/>
      <w:bookmarkEnd w:id="9"/>
      <w:bookmarkEnd w:id="10"/>
      <w:bookmarkEnd w:id="11"/>
      <w:bookmarkEnd w:id="12"/>
      <w:bookmarkEnd w:id="13"/>
      <w:bookmarkEnd w:id="14"/>
    </w:p>
    <w:tbl>
      <w:tblPr>
        <w:tblW w:w="5878" w:type="dxa"/>
        <w:jc w:val="left"/>
        <w:tblInd w:w="0" w:type="dxa"/>
        <w:tblLayout w:type="fixed"/>
        <w:tblCellMar>
          <w:top w:w="0" w:type="dxa"/>
          <w:left w:w="0" w:type="dxa"/>
          <w:bottom w:w="0" w:type="dxa"/>
          <w:right w:w="0" w:type="dxa"/>
        </w:tblCellMar>
      </w:tblPr>
      <w:tblGrid>
        <w:gridCol w:w="4081"/>
        <w:gridCol w:w="146"/>
        <w:gridCol w:w="1651"/>
      </w:tblGrid>
      <w:tr>
        <w:trPr/>
        <w:tc>
          <w:tcPr>
            <w:tcW w:w="40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20-4988129</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4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left"/>
              <w:rPr/>
            </w:pPr>
            <w:r>
              <w:rPr/>
              <w:t> </w:t>
            </w:r>
          </w:p>
        </w:tc>
      </w:tr>
      <w:tr>
        <w:trPr/>
        <w:tc>
          <w:tcPr>
            <w:tcW w:w="408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254 West 31</w:t>
            </w:r>
            <w:r>
              <w:rPr>
                <w:rFonts w:ascii="Times New Roman;Times;serif" w:hAnsi="Times New Roman;Times;serif"/>
                <w:b/>
                <w:sz w:val="15"/>
              </w:rPr>
              <w:t>st</w:t>
            </w:r>
            <w:r>
              <w:rPr>
                <w:rFonts w:ascii="Times New Roman;Times;serif" w:hAnsi="Times New Roman;Times;serif"/>
                <w:sz w:val="20"/>
              </w:rPr>
              <w:t xml:space="preserve"> </w:t>
            </w:r>
            <w:r>
              <w:rPr>
                <w:rFonts w:ascii="Times New Roman;Times;serif" w:hAnsi="Times New Roman;Times;serif"/>
                <w:b/>
                <w:sz w:val="20"/>
              </w:rPr>
              <w:t>Street, 11th Floor, New York, NY</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10001</w:t>
            </w:r>
          </w:p>
        </w:tc>
      </w:tr>
      <w:tr>
        <w:trPr/>
        <w:tc>
          <w:tcPr>
            <w:tcW w:w="4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(212) 750-9595</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5" w:name="Tc_j5s9F1O6N0SavljdDIhuRw_2_4"/>
      <w:bookmarkStart w:id="16" w:name="Tc_088F0N0t6U2GTGbyFFuRCg_1_4"/>
      <w:bookmarkStart w:id="17" w:name="Tc__QgI7Tz-nEafkj58cTDBow_1_2"/>
      <w:bookmarkStart w:id="18" w:name="Tc_M--8GpjR10ie8Ec5Y2VPjg_1_0"/>
      <w:bookmarkStart w:id="19" w:name="_2b7c7af7_3bda_434d_a88c_b37f3b56b004"/>
      <w:bookmarkStart w:id="20" w:name="Tc_j5s9F1O6N0SavljdDIhuRw_2_4"/>
      <w:bookmarkStart w:id="21" w:name="Tc_088F0N0t6U2GTGbyFFuRCg_1_4"/>
      <w:bookmarkStart w:id="22" w:name="Tc__QgI7Tz-nEafkj58cTDBow_1_2"/>
      <w:bookmarkStart w:id="23" w:name="Tc_M--8GpjR10ie8Ec5Y2VPjg_1_0"/>
      <w:bookmarkStart w:id="24" w:name="_2b7c7af7_3bda_434d_a88c_b37f3b56b004"/>
      <w:bookmarkEnd w:id="2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696"/>
        <w:gridCol w:w="32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vAlign w:val="center"/>
          </w:tcPr>
          <w:p>
            <w:pPr>
              <w:pStyle w:val="TableContents"/>
              <w:bidi w:val="0"/>
              <w:spacing w:before="0" w:after="0"/>
              <w:ind w:left="0" w:right="0" w:hanging="0"/>
              <w:jc w:val="center"/>
              <w:rPr/>
            </w:pPr>
            <w:r>
              <w:rPr/>
              <w:t>    </w:t>
            </w:r>
          </w:p>
        </w:tc>
        <w:tc>
          <w:tcPr>
            <w:tcW w:w="16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26" w:type="dxa"/>
            <w:tcBorders/>
            <w:vAlign w:val="center"/>
          </w:tcPr>
          <w:p>
            <w:pPr>
              <w:pStyle w:val="TableContents"/>
              <w:bidi w:val="0"/>
              <w:spacing w:before="0" w:after="0"/>
              <w:ind w:left="0" w:right="0" w:hanging="0"/>
              <w:jc w:val="center"/>
              <w:rPr/>
            </w:pPr>
            <w:r>
              <w:rPr/>
              <w:t>    </w:t>
            </w:r>
          </w:p>
        </w:tc>
        <w:tc>
          <w:tcPr>
            <w:tcW w:w="382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XWEL</w:t>
            </w:r>
          </w:p>
        </w:tc>
        <w:tc>
          <w:tcPr>
            <w:tcW w:w="32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SJrkl_F6dU6dVq1hdmZEpg_2_2"/>
      <w:bookmarkStart w:id="26" w:name="Tc_Xo-VRsjYYE6Dt-PH5sCFbA_1_2"/>
      <w:bookmarkStart w:id="27" w:name="Tc_GNM5LME_9kauY69ngxhdKg_1_1"/>
      <w:bookmarkStart w:id="28" w:name="Tc_6tUKpmTrW06ysfLSpnhzeQ_0_3"/>
      <w:bookmarkStart w:id="29" w:name="Tc_WTVgoB1Kl0mwjZ0tRaSikQ_0_2"/>
      <w:bookmarkStart w:id="30" w:name="Tc_vVwXtbBRtUahb-Oy_73bWQ_0_1"/>
      <w:bookmarkStart w:id="31" w:name="Tc_i8DGoOyEXkuGcvd5Qq2Qyw_0_0"/>
      <w:bookmarkStart w:id="32" w:name="_856ccd18_83af_422a_8199_4e911668d10e"/>
      <w:bookmarkStart w:id="33" w:name="Tc_SJrkl_F6dU6dVq1hdmZEpg_2_2"/>
      <w:bookmarkStart w:id="34" w:name="Tc_Xo-VRsjYYE6Dt-PH5sCFbA_1_2"/>
      <w:bookmarkStart w:id="35" w:name="Tc_GNM5LME_9kauY69ngxhdKg_1_1"/>
      <w:bookmarkStart w:id="36" w:name="Tc_6tUKpmTrW06ysfLSpnhzeQ_0_3"/>
      <w:bookmarkStart w:id="37" w:name="Tc_WTVgoB1Kl0mwjZ0tRaSikQ_0_2"/>
      <w:bookmarkStart w:id="38" w:name="Tc_vVwXtbBRtUahb-Oy_73bWQ_0_1"/>
      <w:bookmarkStart w:id="39" w:name="Tc_i8DGoOyEXkuGcvd5Qq2Qyw_0_0"/>
      <w:bookmarkStart w:id="40" w:name="_856ccd18_83af_422a_8199_4e911668d10e"/>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20"/>
        </w:rPr>
        <w:t>As of May 12, 2023, 83,418,535</w:t>
      </w:r>
      <w:r>
        <w:rPr>
          <w:rFonts w:ascii="Times New Roman;Times;serif" w:hAnsi="Times New Roman;Times;serif"/>
          <w:sz w:val="18"/>
        </w:rPr>
        <w:t xml:space="preserve"> </w:t>
      </w:r>
      <w:r>
        <w:rPr>
          <w:rFonts w:ascii="Times New Roman;Times;serif" w:hAnsi="Times New Roman;Times;serif"/>
          <w:sz w:val="20"/>
        </w:rPr>
        <w:t>shares of the registrant’s common stock were outstanding.</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41" w:name="_eb3e26cb_63c5_4890_941b_d90db34fe652"/>
      <w:bookmarkEnd w:id="41"/>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2" w:name="TOC"/>
      <w:bookmarkStart w:id="43" w:name="_779ffe1d_c083_4e1a_b4b9_c18ff12abb29"/>
      <w:bookmarkEnd w:id="42"/>
      <w:bookmarkEnd w:id="43"/>
      <w:r>
        <w:rPr>
          <w:rFonts w:ascii="Times New Roman;Times;serif" w:hAnsi="Times New Roman;Times;serif"/>
          <w:b/>
          <w:sz w:val="20"/>
        </w:rPr>
        <w:t>XWELL,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9014" w:type="dxa"/>
        <w:jc w:val="left"/>
        <w:tblInd w:w="0" w:type="dxa"/>
        <w:tblLayout w:type="fixed"/>
        <w:tblCellMar>
          <w:top w:w="0" w:type="dxa"/>
          <w:left w:w="0" w:type="dxa"/>
          <w:bottom w:w="0" w:type="dxa"/>
          <w:right w:w="0" w:type="dxa"/>
        </w:tblCellMar>
      </w:tblPr>
      <w:tblGrid>
        <w:gridCol w:w="811"/>
        <w:gridCol w:w="7366"/>
        <w:gridCol w:w="32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77" w:type="dxa"/>
            <w:gridSpan w:val="2"/>
            <w:tcBorders/>
            <w:vAlign w:val="center"/>
          </w:tcPr>
          <w:p>
            <w:pPr>
              <w:pStyle w:val="TableContents"/>
              <w:bidi w:val="0"/>
              <w:spacing w:before="0" w:after="0"/>
              <w:ind w:left="0" w:right="0" w:hanging="0"/>
              <w:jc w:val="left"/>
              <w:rPr/>
            </w:pPr>
            <w:hyperlink w:anchor="PARTIFINANCIALINFORMATION_936580">
              <w:r>
                <w:rPr>
                  <w:rStyle w:val="InternetLink"/>
                  <w:rFonts w:ascii="Times New Roman;Times;serif" w:hAnsi="Times New Roman;Times;serif"/>
                  <w:b w:val="false"/>
                  <w:i w:val="false"/>
                  <w:caps w:val="false"/>
                  <w:smallCaps w:val="false"/>
                  <w:sz w:val="20"/>
                </w:rPr>
                <w:t>PART I. FINANCIAL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ConsolidatedCondens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603492">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77" w:type="dxa"/>
            <w:gridSpan w:val="2"/>
            <w:tcBorders/>
            <w:vAlign w:val="center"/>
          </w:tcPr>
          <w:p>
            <w:pPr>
              <w:pStyle w:val="TableContents"/>
              <w:bidi w:val="0"/>
              <w:spacing w:before="0" w:after="0"/>
              <w:ind w:left="0" w:right="0" w:hanging="0"/>
              <w:jc w:val="left"/>
              <w:rPr/>
            </w:pPr>
            <w:hyperlink w:anchor="PARTIIOTHERINFORMATION_90261">
              <w:r>
                <w:rPr>
                  <w:rStyle w:val="InternetLink"/>
                  <w:rFonts w:ascii="Times New Roman;Times;serif" w:hAnsi="Times New Roman;Times;serif"/>
                  <w:b w:val="false"/>
                  <w:i w:val="false"/>
                  <w:caps w:val="false"/>
                  <w:smallCaps w:val="false"/>
                  <w:sz w:val="20"/>
                </w:rPr>
                <w:t>PART II. 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288324">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714642">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_2_Unreg_Sal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163017">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955432">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5OtherInformation_663071">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663071">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900445">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44" w:name="PARTIFINANCIALINFORMATION_936580"/>
      <w:bookmarkStart w:id="45" w:name="_d76864f5_95c2_4402_a195_66077704aece"/>
      <w:bookmarkEnd w:id="44"/>
      <w:bookmarkEnd w:id="45"/>
      <w:r>
        <w:rPr>
          <w:rFonts w:ascii="Times New Roman;Times;serif" w:hAnsi="Times New Roman;Times;serif"/>
          <w:b/>
          <w:sz w:val="20"/>
        </w:rPr>
        <w:t>PART I - FINANCIAL INFORMATION</w:t>
      </w:r>
    </w:p>
    <w:p>
      <w:pPr>
        <w:pStyle w:val="TextBody"/>
        <w:bidi w:val="0"/>
        <w:spacing w:before="0" w:after="120"/>
        <w:ind w:left="0" w:right="0" w:hanging="0"/>
        <w:jc w:val="left"/>
        <w:rPr>
          <w:rFonts w:ascii="Times New Roman;Times;serif" w:hAnsi="Times New Roman;Times;serif"/>
          <w:b/>
          <w:sz w:val="20"/>
        </w:rPr>
      </w:pPr>
      <w:bookmarkStart w:id="46" w:name="Item1ConsolidatedCondensedFinancialState"/>
      <w:bookmarkEnd w:id="46"/>
      <w:r>
        <w:rPr>
          <w:rFonts w:ascii="Times New Roman;Times;serif" w:hAnsi="Times New Roman;Times;serif"/>
          <w:b/>
          <w:i w:val="false"/>
          <w:caps w:val="false"/>
          <w:smallCaps w:val="false"/>
          <w:sz w:val="20"/>
        </w:rPr>
        <w:t>Item 1.</w:t>
      </w:r>
      <w:r>
        <w:rPr>
          <w:rFonts w:ascii="Times New Roman;Times;serif" w:hAnsi="Times New Roman;Times;serif"/>
          <w:b/>
          <w:sz w:val="20"/>
        </w:rPr>
        <w:t>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47" w:name="Tc_zP8IOlneeEiUTwH7yLIwOQ_39_5"/>
      <w:bookmarkStart w:id="48" w:name="Tc_JUysEi3MSE6vOqR-WhdV0A_39_2"/>
      <w:bookmarkStart w:id="49" w:name="Tc_oUxgVro0CUaZbMCkmftwsA_39_0"/>
      <w:bookmarkStart w:id="50" w:name="Tc_rUwLTOZf1EqGOHvmJjfsrg_38_0"/>
      <w:bookmarkStart w:id="51" w:name="Tc_aTXKxrlggUW-MNCS8FJ_zw_37_0"/>
      <w:bookmarkStart w:id="52" w:name="Tc_EISdJwu9nES4G7wFdmQIKA_36_0"/>
      <w:bookmarkStart w:id="53" w:name="Tc_AO8XlJG4MU6p5o5I64HVjQ_35_0"/>
      <w:bookmarkStart w:id="54" w:name="Tc_bIsefHjGgkq2VOR1A9C3vA_34_0"/>
      <w:bookmarkStart w:id="55" w:name="Tc_57S4m_wHN0yPp3Yk2l00Xg_33_0"/>
      <w:bookmarkStart w:id="56" w:name="Tc_ECWGU8n18UykmqSUyULyyg_32_0"/>
      <w:bookmarkStart w:id="57" w:name="Tc_QMsIS5pJ5kCn5uGPc7HArg_31_0"/>
      <w:bookmarkStart w:id="58" w:name="Tc_U5AUJ5ofBUCKCXv-chE9Eg_29_0"/>
      <w:bookmarkStart w:id="59" w:name="Tc_CyXO8tH_lUu94REOGpHxoA_28_0"/>
      <w:bookmarkStart w:id="60" w:name="Tc_vxGD2Ol6f0eNnPitoVt-ew_27_0"/>
      <w:bookmarkStart w:id="61" w:name="Tc_JTy1x0TkTUmgR2Xa9RZ-1Q_26_0"/>
      <w:bookmarkStart w:id="62" w:name="Tc_vIARdivCzEeVi8UT7QSaiQ_24_0"/>
      <w:bookmarkStart w:id="63" w:name="Tc_XXHeM2CQ7kWmEHvO2XLyzQ_23_0"/>
      <w:bookmarkStart w:id="64" w:name="Tc_QcKIsCAop0-JccNb0t2PTA_22_0"/>
      <w:bookmarkStart w:id="65" w:name="Tc_6AnZ4YyfLEWFxT-CMjHPmw_21_0"/>
      <w:bookmarkStart w:id="66" w:name="Tc_gsfTaGtnrEuvwqfxwEkKhQ_20_5"/>
      <w:bookmarkStart w:id="67" w:name="Tc_MTNz3LTNREq5uUSLGVforA_20_2"/>
      <w:bookmarkStart w:id="68" w:name="Tc_TYmgsZOq10u27mmW6EqJjg_20_0"/>
      <w:bookmarkStart w:id="69" w:name="Tc_xHPpD3zvYkqKu6ei0JX8Hw_19_0"/>
      <w:bookmarkStart w:id="70" w:name="Tc_f27y4uw3VECSeW_f2nkTag_17_5"/>
      <w:bookmarkStart w:id="71" w:name="Tc_4oql0QX7ZUWr5dIN2fSpPQ_17_2"/>
      <w:bookmarkStart w:id="72" w:name="Tc_PD2J0wt2VEanhX_qsVdZFg_17_0"/>
      <w:bookmarkStart w:id="73" w:name="Tc_0ztAT7nCVka0gpgPlOtvMg_16_0"/>
      <w:bookmarkStart w:id="74" w:name="Tc_C5sVb4qYsUGSqB1aoA-DEQ_15_0"/>
      <w:bookmarkStart w:id="75" w:name="Tc_Bk8_UgXh60mFf2yvnNytdA_14_0"/>
      <w:bookmarkStart w:id="76" w:name="Tc_aYLRy-yVMU-CsDAPmfaujg_13_0"/>
      <w:bookmarkStart w:id="77" w:name="Tc_gxXNWz-xsEKaxYjkqklptQ_12_0"/>
      <w:bookmarkStart w:id="78" w:name="Tc_lDpiqkw2GkGxGsP9_RBJGA_11_0"/>
      <w:bookmarkStart w:id="79" w:name="Tc_nRDVq2OVCk2O5CCLG6Uw0A_9_0"/>
      <w:bookmarkStart w:id="80" w:name="Tc_FB9goSj0ykmgTvo7eqdVgw_8_0"/>
      <w:bookmarkStart w:id="81" w:name="Tc_U8QXYjxXXUubP1WbgQ-nRQ_7_0"/>
      <w:bookmarkStart w:id="82" w:name="Tc_y_lUy2BWxEy2YXP1DwQeFw_6_0"/>
      <w:bookmarkStart w:id="83" w:name="Tc_Dm9CfgDNkE2JUFAydg0SqA_5_0"/>
      <w:bookmarkStart w:id="84" w:name="Tc_sH2Oredk9k-7z7be9BeKAg_4_5"/>
      <w:bookmarkStart w:id="85" w:name="Tc__m3tTxLtAUiCwUAaQsa6og_4_2"/>
      <w:bookmarkStart w:id="86" w:name="Tc_uFhAD4aNgUKtxCDQW11kAA_4_0"/>
      <w:bookmarkStart w:id="87" w:name="Tc_9CCpgVePMUivmd-pPr3bhQ_3_0"/>
      <w:bookmarkStart w:id="88" w:name="Tc_S_YuaSMPJkyVm0_kfnI6oQ_2_5"/>
      <w:bookmarkStart w:id="89" w:name="Tc_a6UHu_e5VkC4gCFovtD-Aw_2_2"/>
      <w:bookmarkStart w:id="90" w:name="Tc_1a13e0zhlkSn2997aRWSKg_1_5"/>
      <w:bookmarkStart w:id="91" w:name="Tc_W4O_8gYoFUyWLoA3NRosZQ_1_2"/>
      <w:bookmarkStart w:id="92" w:name="_f9e4045d_0dce_4935_abc6_e6329979d923"/>
      <w:bookmarkStart w:id="93" w:name="Tc_zP8IOlneeEiUTwH7yLIwOQ_39_5"/>
      <w:bookmarkStart w:id="94" w:name="Tc_JUysEi3MSE6vOqR-WhdV0A_39_2"/>
      <w:bookmarkStart w:id="95" w:name="Tc_oUxgVro0CUaZbMCkmftwsA_39_0"/>
      <w:bookmarkStart w:id="96" w:name="Tc_rUwLTOZf1EqGOHvmJjfsrg_38_0"/>
      <w:bookmarkStart w:id="97" w:name="Tc_aTXKxrlggUW-MNCS8FJ_zw_37_0"/>
      <w:bookmarkStart w:id="98" w:name="Tc_EISdJwu9nES4G7wFdmQIKA_36_0"/>
      <w:bookmarkStart w:id="99" w:name="Tc_AO8XlJG4MU6p5o5I64HVjQ_35_0"/>
      <w:bookmarkStart w:id="100" w:name="Tc_bIsefHjGgkq2VOR1A9C3vA_34_0"/>
      <w:bookmarkStart w:id="101" w:name="Tc_57S4m_wHN0yPp3Yk2l00Xg_33_0"/>
      <w:bookmarkStart w:id="102" w:name="Tc_ECWGU8n18UykmqSUyULyyg_32_0"/>
      <w:bookmarkStart w:id="103" w:name="Tc_QMsIS5pJ5kCn5uGPc7HArg_31_0"/>
      <w:bookmarkStart w:id="104" w:name="Tc_U5AUJ5ofBUCKCXv-chE9Eg_29_0"/>
      <w:bookmarkStart w:id="105" w:name="Tc_CyXO8tH_lUu94REOGpHxoA_28_0"/>
      <w:bookmarkStart w:id="106" w:name="Tc_vxGD2Ol6f0eNnPitoVt-ew_27_0"/>
      <w:bookmarkStart w:id="107" w:name="Tc_JTy1x0TkTUmgR2Xa9RZ-1Q_26_0"/>
      <w:bookmarkStart w:id="108" w:name="Tc_vIARdivCzEeVi8UT7QSaiQ_24_0"/>
      <w:bookmarkStart w:id="109" w:name="Tc_XXHeM2CQ7kWmEHvO2XLyzQ_23_0"/>
      <w:bookmarkStart w:id="110" w:name="Tc_QcKIsCAop0-JccNb0t2PTA_22_0"/>
      <w:bookmarkStart w:id="111" w:name="Tc_6AnZ4YyfLEWFxT-CMjHPmw_21_0"/>
      <w:bookmarkStart w:id="112" w:name="Tc_gsfTaGtnrEuvwqfxwEkKhQ_20_5"/>
      <w:bookmarkStart w:id="113" w:name="Tc_MTNz3LTNREq5uUSLGVforA_20_2"/>
      <w:bookmarkStart w:id="114" w:name="Tc_TYmgsZOq10u27mmW6EqJjg_20_0"/>
      <w:bookmarkStart w:id="115" w:name="Tc_xHPpD3zvYkqKu6ei0JX8Hw_19_0"/>
      <w:bookmarkStart w:id="116" w:name="Tc_f27y4uw3VECSeW_f2nkTag_17_5"/>
      <w:bookmarkStart w:id="117" w:name="Tc_4oql0QX7ZUWr5dIN2fSpPQ_17_2"/>
      <w:bookmarkStart w:id="118" w:name="Tc_PD2J0wt2VEanhX_qsVdZFg_17_0"/>
      <w:bookmarkStart w:id="119" w:name="Tc_0ztAT7nCVka0gpgPlOtvMg_16_0"/>
      <w:bookmarkStart w:id="120" w:name="Tc_C5sVb4qYsUGSqB1aoA-DEQ_15_0"/>
      <w:bookmarkStart w:id="121" w:name="Tc_Bk8_UgXh60mFf2yvnNytdA_14_0"/>
      <w:bookmarkStart w:id="122" w:name="Tc_aYLRy-yVMU-CsDAPmfaujg_13_0"/>
      <w:bookmarkStart w:id="123" w:name="Tc_gxXNWz-xsEKaxYjkqklptQ_12_0"/>
      <w:bookmarkStart w:id="124" w:name="Tc_lDpiqkw2GkGxGsP9_RBJGA_11_0"/>
      <w:bookmarkStart w:id="125" w:name="Tc_nRDVq2OVCk2O5CCLG6Uw0A_9_0"/>
      <w:bookmarkStart w:id="126" w:name="Tc_FB9goSj0ykmgTvo7eqdVgw_8_0"/>
      <w:bookmarkStart w:id="127" w:name="Tc_U8QXYjxXXUubP1WbgQ-nRQ_7_0"/>
      <w:bookmarkStart w:id="128" w:name="Tc_y_lUy2BWxEy2YXP1DwQeFw_6_0"/>
      <w:bookmarkStart w:id="129" w:name="Tc_Dm9CfgDNkE2JUFAydg0SqA_5_0"/>
      <w:bookmarkStart w:id="130" w:name="Tc_sH2Oredk9k-7z7be9BeKAg_4_5"/>
      <w:bookmarkStart w:id="131" w:name="Tc__m3tTxLtAUiCwUAaQsa6og_4_2"/>
      <w:bookmarkStart w:id="132" w:name="Tc_uFhAD4aNgUKtxCDQW11kAA_4_0"/>
      <w:bookmarkStart w:id="133" w:name="Tc_9CCpgVePMUivmd-pPr3bhQ_3_0"/>
      <w:bookmarkStart w:id="134" w:name="Tc_S_YuaSMPJkyVm0_kfnI6oQ_2_5"/>
      <w:bookmarkStart w:id="135" w:name="Tc_a6UHu_e5VkC4gCFovtD-Aw_2_2"/>
      <w:bookmarkStart w:id="136" w:name="Tc_1a13e0zhlkSn2997aRWSKg_1_5"/>
      <w:bookmarkStart w:id="137" w:name="Tc_W4O_8gYoFUyWLoA3NRosZQ_1_2"/>
      <w:bookmarkStart w:id="138" w:name="_f9e4045d_0dce_4935_abc6_e6329979d923"/>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7435"/>
        <w:gridCol w:w="326"/>
        <w:gridCol w:w="196"/>
        <w:gridCol w:w="781"/>
        <w:gridCol w:w="326"/>
        <w:gridCol w:w="224"/>
        <w:gridCol w:w="917"/>
      </w:tblGrid>
      <w:tr>
        <w:trPr/>
        <w:tc>
          <w:tcPr>
            <w:tcW w:w="7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21225" cy="175260"/>
                      <wp:effectExtent l="0" t="0" r="0" b="0"/>
                      <wp:wrapNone/>
                      <wp:docPr id="1" name="Frame1"/>
                      <a:graphic xmlns:a="http://schemas.openxmlformats.org/drawingml/2006/main">
                        <a:graphicData uri="http://schemas.microsoft.com/office/word/2010/wordprocessingShape">
                          <wps:wsp>
                            <wps:cNvSpPr txBox="1"/>
                            <wps:spPr>
                              <a:xfrm>
                                <a:off x="0" y="0"/>
                                <a:ext cx="4721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2240" cy="175260"/>
                      <wp:effectExtent l="0" t="0" r="0" b="0"/>
                      <wp:wrapNone/>
                      <wp:docPr id="6" name="Frame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82295" cy="175260"/>
                      <wp:effectExtent l="0" t="0" r="0" b="0"/>
                      <wp:wrapNone/>
                      <wp:docPr id="7" name="Frame7"/>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9,869</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19,038</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25,241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23,153</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2,015</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2,858</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1,161</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Other current assets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1,773</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1,122</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39,893</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47,332</w: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left"/>
              <w:rPr/>
            </w:pPr>
            <w:r>
              <w:rPr/>
              <w:t>​</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751</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Property and equipment, net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4,326</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3,666</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3,629</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4,008</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 of use assets,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7,759</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8,276</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4,024</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2,213</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2,369</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62,595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70,426</w: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left"/>
              <w:rPr/>
            </w:pPr>
            <w:r>
              <w:rPr/>
              <w:t>​</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2,318</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2,312</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4,014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5,719</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2,376</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2,586</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Deferred revenue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9,053</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10,956</w:t>
            </w:r>
          </w:p>
        </w:tc>
      </w:tr>
      <w:tr>
        <w:trPr/>
        <w:tc>
          <w:tcPr>
            <w:tcW w:w="743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left"/>
              <w:rPr/>
            </w:pPr>
            <w:r>
              <w:rPr/>
              <w:t>​</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pPr>
            <w:r>
              <w:rPr/>
              <w:t>​</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10,951</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11,521</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20,004</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22,477</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 (see Note 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743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left"/>
              <w:rPr/>
            </w:pPr>
            <w:r>
              <w:rPr/>
              <w:t>​</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pPr>
            <w:r>
              <w:rPr/>
              <w:t>  </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$0.01</w:t>
            </w:r>
            <w:r>
              <w:rPr>
                <w:rFonts w:ascii="Times New Roman;Times;serif" w:hAnsi="Times New Roman;Times;serif"/>
                <w:sz w:val="20"/>
              </w:rPr>
              <w:t xml:space="preserve"> </w:t>
            </w:r>
            <w:r>
              <w:rPr>
                <w:rFonts w:ascii="Times New Roman;Times;serif" w:hAnsi="Times New Roman;Times;serif"/>
                <w:sz w:val="16"/>
              </w:rPr>
              <w:t>par value per share, 150,000,000</w:t>
            </w:r>
            <w:r>
              <w:rPr>
                <w:rFonts w:ascii="Times New Roman;Times;serif" w:hAnsi="Times New Roman;Times;serif"/>
                <w:sz w:val="20"/>
              </w:rPr>
              <w:t xml:space="preserve"> </w:t>
            </w:r>
            <w:r>
              <w:rPr>
                <w:rFonts w:ascii="Times New Roman;Times;serif" w:hAnsi="Times New Roman;Times;serif"/>
                <w:sz w:val="16"/>
              </w:rPr>
              <w:t>shares authorized; 83,352,580</w:t>
            </w:r>
            <w:r>
              <w:rPr>
                <w:rFonts w:ascii="Times New Roman;Times;serif" w:hAnsi="Times New Roman;Times;serif"/>
                <w:sz w:val="20"/>
              </w:rPr>
              <w:t xml:space="preserve"> </w:t>
            </w:r>
            <w:r>
              <w:rPr>
                <w:rFonts w:ascii="Times New Roman;Times;serif" w:hAnsi="Times New Roman;Times;serif"/>
                <w:sz w:val="16"/>
              </w:rPr>
              <w:t>and 83,232,262</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as of March 31, 2023 and December 31, 2022, respectively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833</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468,306</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467,740</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(433,621)</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(428,112)</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(664)</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 attributable to XWELL, Inc.</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34,854</w:t>
            </w:r>
          </w:p>
        </w:tc>
        <w:tc>
          <w:tcPr>
            <w:tcW w:w="32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39,926</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7,737</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8,023</w:t>
            </w:r>
          </w:p>
        </w:tc>
      </w:tr>
      <w:tr>
        <w:trPr/>
        <w:tc>
          <w:tcPr>
            <w:tcW w:w="743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42,591</w:t>
            </w:r>
          </w:p>
        </w:tc>
        <w:tc>
          <w:tcPr>
            <w:tcW w:w="32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47,949</w:t>
            </w:r>
          </w:p>
        </w:tc>
      </w:tr>
      <w:tr>
        <w:trPr/>
        <w:tc>
          <w:tcPr>
            <w:tcW w:w="743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62,595</w:t>
            </w:r>
          </w:p>
        </w:tc>
        <w:tc>
          <w:tcPr>
            <w:tcW w:w="32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70,426</w:t>
            </w:r>
          </w:p>
        </w:tc>
      </w:tr>
    </w:tbl>
    <w:p>
      <w:pPr>
        <w:pStyle w:val="TextBody"/>
        <w:bidi w:val="0"/>
        <w:spacing w:before="0" w:after="240"/>
        <w:ind w:left="0" w:right="0" w:hanging="0"/>
        <w:jc w:val="left"/>
        <w:rPr/>
      </w:pPr>
      <w:r>
        <w:rPr/>
        <w:t>​</w:t>
      </w:r>
    </w:p>
    <w:p>
      <w:pPr>
        <w:pStyle w:val="TextBody"/>
        <w:bidi w:val="0"/>
        <w:spacing w:lineRule="atLeast" w:line="180" w:before="0" w:after="240"/>
        <w:ind w:left="0" w:right="0" w:hanging="0"/>
        <w:jc w:val="left"/>
        <w:rPr/>
      </w:pPr>
      <w:r>
        <w:rPr/>
        <w:t>​</w:t>
      </w:r>
    </w:p>
    <w:p>
      <w:pPr>
        <w:pStyle w:val="TextBody"/>
        <w:bidi w:val="0"/>
        <w:spacing w:lineRule="atLeast" w:line="180"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_39ffa26e_49f7_405f_bb34_d2d9d13466fd"/>
      <w:bookmarkEnd w:id="139"/>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0" w:name="Tc_PBIkNZcquUyXhk9DMyxEUQ_40_0"/>
      <w:bookmarkStart w:id="141" w:name="Tc_hZTBHhkq_katyXRSwqagIg_39_0"/>
      <w:bookmarkStart w:id="142" w:name="Tc_SSb3vFrY0kKjoryudFw1Yw_38_0"/>
      <w:bookmarkStart w:id="143" w:name="Tc_N683X0Z0LEyaK576068PqA_37_0"/>
      <w:bookmarkStart w:id="144" w:name="Tc_uDz9Z8azH0-xVPqBBkxQpA_36_0"/>
      <w:bookmarkStart w:id="145" w:name="Tc_W1QB2y2jjU2x4iIcD6y9hw_35_6"/>
      <w:bookmarkStart w:id="146" w:name="Tc_hjAT3cpNYEWqSSnIHuuNcg_35_3"/>
      <w:bookmarkStart w:id="147" w:name="Tc_UWvECT7osEq4zmCfjbKlFg_35_0"/>
      <w:bookmarkStart w:id="148" w:name="Tc_bDcZ7xE9Ak2k9ORr7kIQFw_34_0"/>
      <w:bookmarkStart w:id="149" w:name="Tc_pxIIyRET-0-9mVzmHvy6IA_33_6"/>
      <w:bookmarkStart w:id="150" w:name="Tc_9t_t1K0bKUaPYpc2B-ApWg_33_3"/>
      <w:bookmarkStart w:id="151" w:name="Tc_ehMpOIjUnE67GpsJ7sCLYw_33_0"/>
      <w:bookmarkStart w:id="152" w:name="Tc_jTyrc_N7g0WvfVXk5ucLgQ_31_6"/>
      <w:bookmarkStart w:id="153" w:name="Tc_cdQIHInL70uXjmwTdl_77w_31_3"/>
      <w:bookmarkStart w:id="154" w:name="Tc_WeDtdUxX-0iaPtMVtPx0ZQ_31_0"/>
      <w:bookmarkStart w:id="155" w:name="Tc_xGTXyPEL6kykWT6Y7NHJrw_30_0"/>
      <w:bookmarkStart w:id="156" w:name="Tc_RMJV5EjFJUyVUy3GnXyerg_29_0"/>
      <w:bookmarkStart w:id="157" w:name="Tc_wlxGf_jZx0SZuEu3_19ylg_28_7"/>
      <w:bookmarkStart w:id="158" w:name="Tc_uBT8yTBCoUqycOaSnutPQA_28_4"/>
      <w:bookmarkStart w:id="159" w:name="Tc_hkkorFS9Fkenyof6VWKtZQ_28_0"/>
      <w:bookmarkStart w:id="160" w:name="Tc_gq12bAx5v0SWfm2dzHKtRg_27_0"/>
      <w:bookmarkStart w:id="161" w:name="Tc_eHtM7nypDUWGp4rtro205A_26_0"/>
      <w:bookmarkStart w:id="162" w:name="Tc_r2bjrS2YXUKnJxHEthldNQ_25_0"/>
      <w:bookmarkStart w:id="163" w:name="Tc_NGNLrRRKokGyYVaO51UOAA_24_0"/>
      <w:bookmarkStart w:id="164" w:name="Tc_dCSu-ekTq0GT6BYhUGRs7A_23_0"/>
      <w:bookmarkStart w:id="165" w:name="Tc_b8dATGn1MUmRyHL2w-4iqQ_22_0"/>
      <w:bookmarkStart w:id="166" w:name="Tc_id2n9Ll9pEeVqAoyGkfeMA_21_0"/>
      <w:bookmarkStart w:id="167" w:name="Tc_iR4GRM5GMkKZAMuvLGxstQ_20_7"/>
      <w:bookmarkStart w:id="168" w:name="Tc_O7kdvXbRhUa55fHFFoVMCA_20_0"/>
      <w:bookmarkStart w:id="169" w:name="Tc_-S1bsyRQD0qdFxeOrAsNSw_19_0"/>
      <w:bookmarkStart w:id="170" w:name="Tc_9hFVYn3eF0iEXwPcIW522Q_17_0"/>
      <w:bookmarkStart w:id="171" w:name="Tc_N1bIAXI2R0-dVCN9ZIeHXQ_15_0"/>
      <w:bookmarkStart w:id="172" w:name="Tc_l74CnF8S2ESmxODVTRObEA_14_0"/>
      <w:bookmarkStart w:id="173" w:name="Tc_2W4LbaDMP0yiD2ANhMks8g_13_0"/>
      <w:bookmarkStart w:id="174" w:name="Tc_22yXyn-3PEeg2gQUK6UGIg_12_0"/>
      <w:bookmarkStart w:id="175" w:name="Tc_qUMbziUYhkCI1c2JipVtHw_11_0"/>
      <w:bookmarkStart w:id="176" w:name="Tc_BklFw-ru7kyo8d4UucceHw_10_0"/>
      <w:bookmarkStart w:id="177" w:name="Tc_dQcNBp8SDkSkGbJLXXwiOA_9_0"/>
      <w:bookmarkStart w:id="178" w:name="Tc_VqWfUqGVnkGgPzq1ArLLfg_8_0"/>
      <w:bookmarkStart w:id="179" w:name="Tc_9yspFMWXr0uxWCK0oswtbw_7_0"/>
      <w:bookmarkStart w:id="180" w:name="Tc_skoYMuAa40KfgeGDG-L8Gw_6_0"/>
      <w:bookmarkStart w:id="181" w:name="Tc_-frwRYRE80S3BZ8URUVqIg_5_6"/>
      <w:bookmarkStart w:id="182" w:name="Tc_BYG2RNCrMUq5fi9pisL_Cg_5_3"/>
      <w:bookmarkStart w:id="183" w:name="Tc_ooLOsmEiMkyUNm7fPN7KZw_5_0"/>
      <w:bookmarkStart w:id="184" w:name="Tc_rAPiluyvXEGCuGWsUDPTiQ_4_0"/>
      <w:bookmarkStart w:id="185" w:name="Tc_Y_1fA76raU6UWvrK2ErhgQ_2_6"/>
      <w:bookmarkStart w:id="186" w:name="Tc_iFL0f0V-eEONFmL4dm2W9A_2_3"/>
      <w:bookmarkStart w:id="187" w:name="Tc_InAkllGGxEOm-AEdBovKfw_1_3"/>
      <w:bookmarkStart w:id="188" w:name="_cb455402_7fc2_474f_93a7_36e01dde22ba"/>
      <w:bookmarkStart w:id="189" w:name="Tc_PBIkNZcquUyXhk9DMyxEUQ_40_0"/>
      <w:bookmarkStart w:id="190" w:name="Tc_hZTBHhkq_katyXRSwqagIg_39_0"/>
      <w:bookmarkStart w:id="191" w:name="Tc_SSb3vFrY0kKjoryudFw1Yw_38_0"/>
      <w:bookmarkStart w:id="192" w:name="Tc_N683X0Z0LEyaK576068PqA_37_0"/>
      <w:bookmarkStart w:id="193" w:name="Tc_uDz9Z8azH0-xVPqBBkxQpA_36_0"/>
      <w:bookmarkStart w:id="194" w:name="Tc_W1QB2y2jjU2x4iIcD6y9hw_35_6"/>
      <w:bookmarkStart w:id="195" w:name="Tc_hjAT3cpNYEWqSSnIHuuNcg_35_3"/>
      <w:bookmarkStart w:id="196" w:name="Tc_UWvECT7osEq4zmCfjbKlFg_35_0"/>
      <w:bookmarkStart w:id="197" w:name="Tc_bDcZ7xE9Ak2k9ORr7kIQFw_34_0"/>
      <w:bookmarkStart w:id="198" w:name="Tc_pxIIyRET-0-9mVzmHvy6IA_33_6"/>
      <w:bookmarkStart w:id="199" w:name="Tc_9t_t1K0bKUaPYpc2B-ApWg_33_3"/>
      <w:bookmarkStart w:id="200" w:name="Tc_ehMpOIjUnE67GpsJ7sCLYw_33_0"/>
      <w:bookmarkStart w:id="201" w:name="Tc_jTyrc_N7g0WvfVXk5ucLgQ_31_6"/>
      <w:bookmarkStart w:id="202" w:name="Tc_cdQIHInL70uXjmwTdl_77w_31_3"/>
      <w:bookmarkStart w:id="203" w:name="Tc_WeDtdUxX-0iaPtMVtPx0ZQ_31_0"/>
      <w:bookmarkStart w:id="204" w:name="Tc_xGTXyPEL6kykWT6Y7NHJrw_30_0"/>
      <w:bookmarkStart w:id="205" w:name="Tc_RMJV5EjFJUyVUy3GnXyerg_29_0"/>
      <w:bookmarkStart w:id="206" w:name="Tc_wlxGf_jZx0SZuEu3_19ylg_28_7"/>
      <w:bookmarkStart w:id="207" w:name="Tc_uBT8yTBCoUqycOaSnutPQA_28_4"/>
      <w:bookmarkStart w:id="208" w:name="Tc_hkkorFS9Fkenyof6VWKtZQ_28_0"/>
      <w:bookmarkStart w:id="209" w:name="Tc_gq12bAx5v0SWfm2dzHKtRg_27_0"/>
      <w:bookmarkStart w:id="210" w:name="Tc_eHtM7nypDUWGp4rtro205A_26_0"/>
      <w:bookmarkStart w:id="211" w:name="Tc_r2bjrS2YXUKnJxHEthldNQ_25_0"/>
      <w:bookmarkStart w:id="212" w:name="Tc_NGNLrRRKokGyYVaO51UOAA_24_0"/>
      <w:bookmarkStart w:id="213" w:name="Tc_dCSu-ekTq0GT6BYhUGRs7A_23_0"/>
      <w:bookmarkStart w:id="214" w:name="Tc_b8dATGn1MUmRyHL2w-4iqQ_22_0"/>
      <w:bookmarkStart w:id="215" w:name="Tc_id2n9Ll9pEeVqAoyGkfeMA_21_0"/>
      <w:bookmarkStart w:id="216" w:name="Tc_iR4GRM5GMkKZAMuvLGxstQ_20_7"/>
      <w:bookmarkStart w:id="217" w:name="Tc_O7kdvXbRhUa55fHFFoVMCA_20_0"/>
      <w:bookmarkStart w:id="218" w:name="Tc_-S1bsyRQD0qdFxeOrAsNSw_19_0"/>
      <w:bookmarkStart w:id="219" w:name="Tc_9hFVYn3eF0iEXwPcIW522Q_17_0"/>
      <w:bookmarkStart w:id="220" w:name="Tc_N1bIAXI2R0-dVCN9ZIeHXQ_15_0"/>
      <w:bookmarkStart w:id="221" w:name="Tc_l74CnF8S2ESmxODVTRObEA_14_0"/>
      <w:bookmarkStart w:id="222" w:name="Tc_2W4LbaDMP0yiD2ANhMks8g_13_0"/>
      <w:bookmarkStart w:id="223" w:name="Tc_22yXyn-3PEeg2gQUK6UGIg_12_0"/>
      <w:bookmarkStart w:id="224" w:name="Tc_qUMbziUYhkCI1c2JipVtHw_11_0"/>
      <w:bookmarkStart w:id="225" w:name="Tc_BklFw-ru7kyo8d4UucceHw_10_0"/>
      <w:bookmarkStart w:id="226" w:name="Tc_dQcNBp8SDkSkGbJLXXwiOA_9_0"/>
      <w:bookmarkStart w:id="227" w:name="Tc_VqWfUqGVnkGgPzq1ArLLfg_8_0"/>
      <w:bookmarkStart w:id="228" w:name="Tc_9yspFMWXr0uxWCK0oswtbw_7_0"/>
      <w:bookmarkStart w:id="229" w:name="Tc_skoYMuAa40KfgeGDG-L8Gw_6_0"/>
      <w:bookmarkStart w:id="230" w:name="Tc_-frwRYRE80S3BZ8URUVqIg_5_6"/>
      <w:bookmarkStart w:id="231" w:name="Tc_BYG2RNCrMUq5fi9pisL_Cg_5_3"/>
      <w:bookmarkStart w:id="232" w:name="Tc_ooLOsmEiMkyUNm7fPN7KZw_5_0"/>
      <w:bookmarkStart w:id="233" w:name="Tc_rAPiluyvXEGCuGWsUDPTiQ_4_0"/>
      <w:bookmarkStart w:id="234" w:name="Tc_Y_1fA76raU6UWvrK2ErhgQ_2_6"/>
      <w:bookmarkStart w:id="235" w:name="Tc_iFL0f0V-eEONFmL4dm2W9A_2_3"/>
      <w:bookmarkStart w:id="236" w:name="Tc_InAkllGGxEOm-AEdBovKfw_1_3"/>
      <w:bookmarkStart w:id="237" w:name="_cb455402_7fc2_474f_93a7_36e01dde22ba"/>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tbl>
      <w:tblPr>
        <w:tblW w:w="8929" w:type="dxa"/>
        <w:jc w:val="left"/>
        <w:tblInd w:w="0" w:type="dxa"/>
        <w:tblLayout w:type="fixed"/>
        <w:tblCellMar>
          <w:top w:w="0" w:type="dxa"/>
          <w:left w:w="0" w:type="dxa"/>
          <w:bottom w:w="0" w:type="dxa"/>
          <w:right w:w="0" w:type="dxa"/>
        </w:tblCellMar>
      </w:tblPr>
      <w:tblGrid>
        <w:gridCol w:w="5266"/>
        <w:gridCol w:w="326"/>
        <w:gridCol w:w="326"/>
        <w:gridCol w:w="196"/>
        <w:gridCol w:w="916"/>
        <w:gridCol w:w="326"/>
        <w:gridCol w:w="196"/>
        <w:gridCol w:w="1006"/>
        <w:gridCol w:w="371"/>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343910" cy="175260"/>
                      <wp:effectExtent l="0" t="0" r="0" b="0"/>
                      <wp:wrapNone/>
                      <wp:docPr id="8" name="Frame8"/>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81660" cy="175260"/>
                      <wp:effectExtent l="0" t="0" r="0" b="0"/>
                      <wp:wrapNone/>
                      <wp:docPr id="12" name="Frame1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38810" cy="175260"/>
                      <wp:effectExtent l="0" t="0" r="0" b="0"/>
                      <wp:wrapNone/>
                      <wp:docPr id="15" name="Frame1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35585" cy="175260"/>
                      <wp:effectExtent l="0" t="0" r="0" b="0"/>
                      <wp:wrapNone/>
                      <wp:docPr id="16" name="Frame1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371" w:type="dxa"/>
            <w:tcBorders/>
            <w:vAlign w:val="center"/>
          </w:tcPr>
          <w:p>
            <w:pPr>
              <w:pStyle w:val="TableContents"/>
              <w:bidi w:val="0"/>
              <w:spacing w:before="0" w:after="1"/>
              <w:ind w:left="0" w:right="0" w:hanging="0"/>
              <w:jc w:val="center"/>
              <w:rPr/>
            </w:pPr>
            <w:r>
              <w:rPr/>
              <w:t>​</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vAlign w:val="center"/>
          </w:tcPr>
          <w:p>
            <w:pPr>
              <w:pStyle w:val="TableContents"/>
              <w:bidi w:val="0"/>
              <w:spacing w:before="0" w:after="1"/>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2022</w:t>
            </w:r>
          </w:p>
        </w:tc>
        <w:tc>
          <w:tcPr>
            <w:tcW w:w="371" w:type="dxa"/>
            <w:tcBorders/>
            <w:vAlign w:val="center"/>
          </w:tcPr>
          <w:p>
            <w:pPr>
              <w:pStyle w:val="TableContents"/>
              <w:bidi w:val="0"/>
              <w:spacing w:before="0" w:after="1"/>
              <w:ind w:left="0" w:right="0" w:hanging="0"/>
              <w:jc w:val="center"/>
              <w:rPr/>
            </w:pPr>
            <w:r>
              <w:rPr/>
              <w:t>    </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color w:val="FF0000"/>
              </w:rPr>
            </w:pPr>
            <w:r>
              <w:rPr>
                <w:color w:val="FF0000"/>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Revenue, net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Patient services revenue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19,389</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HyperPointe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revenue, net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24,048</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Cost of sales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Labor</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5,462</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Occupancy</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1,068</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Products and other operating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8,517</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15,047</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9,001</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1,264</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disposal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10,188</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11,452</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Operating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(2,451)</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exchange gain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non-operating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(316)</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Loss before income taxes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(2,762)</w:t>
            </w:r>
          </w:p>
        </w:tc>
        <w:tc>
          <w:tcPr>
            <w:tcW w:w="371" w:type="dxa"/>
            <w:tcBorders/>
            <w:vAlign w:val="center"/>
          </w:tcPr>
          <w:p>
            <w:pPr>
              <w:pStyle w:val="TableContents"/>
              <w:bidi w:val="0"/>
              <w:spacing w:before="0" w:after="1"/>
              <w:ind w:left="0" w:right="0" w:hanging="0"/>
              <w:jc w:val="left"/>
              <w:rPr/>
            </w:pPr>
            <w:r>
              <w:rPr/>
              <w:t> </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(2,762)</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(1,521)</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 attributable to XWELL, Inc.</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(4,283)</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(2,762)</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(5,959)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(2,803)</w:t>
            </w:r>
          </w:p>
        </w:tc>
        <w:tc>
          <w:tcPr>
            <w:tcW w:w="371" w:type="dxa"/>
            <w:tcBorders/>
            <w:vAlign w:val="center"/>
          </w:tcPr>
          <w:p>
            <w:pPr>
              <w:pStyle w:val="TableContents"/>
              <w:bidi w:val="0"/>
              <w:spacing w:before="0" w:after="1"/>
              <w:ind w:left="0" w:right="0" w:hanging="0"/>
              <w:jc w:val="left"/>
              <w:rPr/>
            </w:pPr>
            <w:r>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Loss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Basic and diluted loss per share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(0.04)</w:t>
            </w:r>
          </w:p>
        </w:tc>
        <w:tc>
          <w:tcPr>
            <w:tcW w:w="371" w:type="dxa"/>
            <w:tcBorders/>
            <w:vAlign w:val="center"/>
          </w:tcPr>
          <w:p>
            <w:pPr>
              <w:pStyle w:val="TableContents"/>
              <w:bidi w:val="0"/>
              <w:spacing w:before="0" w:after="1"/>
              <w:ind w:left="0" w:right="0" w:hanging="0"/>
              <w:jc w:val="left"/>
              <w:rPr>
                <w:color w:val="FF0000"/>
              </w:rPr>
            </w:pPr>
            <w:r>
              <w:rPr>
                <w:color w:val="FF0000"/>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Weighted-average number of shares outstanding during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83,345,896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101,601,913</w:t>
            </w:r>
          </w:p>
        </w:tc>
        <w:tc>
          <w:tcPr>
            <w:tcW w:w="371" w:type="dxa"/>
            <w:tcBorders/>
            <w:vAlign w:val="center"/>
          </w:tcPr>
          <w:p>
            <w:pPr>
              <w:pStyle w:val="TableContents"/>
              <w:bidi w:val="0"/>
              <w:spacing w:before="0" w:after="1"/>
              <w:ind w:left="0" w:right="0" w:hanging="0"/>
              <w:jc w:val="left"/>
              <w:rPr>
                <w:color w:val="FF0000"/>
              </w:rPr>
            </w:pPr>
            <w:r>
              <w:rPr>
                <w:color w:val="FF0000"/>
              </w:rPr>
              <w:t>​</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83,345,896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101,601,913</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8" w:name="_228a409b_b4a1_411d_b441_55c1fffdca4b"/>
      <w:bookmarkEnd w:id="238"/>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9" w:name="Tc_jFnFa8R0q0-dVAzJw-GTEg_11_22"/>
      <w:bookmarkStart w:id="240" w:name="Tc_S0HMHSv9jUmLXOb2sOYGrg_11_19"/>
      <w:bookmarkStart w:id="241" w:name="Tc_heHqXr-APEy7II2drgxUgQ_11_16"/>
      <w:bookmarkStart w:id="242" w:name="Tc_X36I9Wcoy0W2kBQiGCceyw_11_13"/>
      <w:bookmarkStart w:id="243" w:name="Tc_jEfobBu2S0m_D1dq_o3eNQ_11_10"/>
      <w:bookmarkStart w:id="244" w:name="Tc_zlT5FI_IYESNgy55fex7tw_11_7"/>
      <w:bookmarkStart w:id="245" w:name="Tc_Gj0wMHyUUk2l19ZgfA3OCQ_11_4"/>
      <w:bookmarkStart w:id="246" w:name="Tc_E8Rody-c70mvfKaMif1OWQ_11_0"/>
      <w:bookmarkStart w:id="247" w:name="Tc_WmMysH6nVkKVJ4wULzDcHg_10_11"/>
      <w:bookmarkStart w:id="248" w:name="Tc_J2UshGpXo0aZUIDr3miHuA_10_8"/>
      <w:bookmarkStart w:id="249" w:name="Tc_opNMdlKlpECM7fwibiMmxg_10_5"/>
      <w:bookmarkStart w:id="250" w:name="Tc_9s9mV-hurkueKatVhDy7LA_10_2"/>
      <w:bookmarkStart w:id="251" w:name="Tc_Ekr2o_giTEegrcXnOD-1NQ_10_0"/>
      <w:bookmarkStart w:id="252" w:name="Tc_aWOsoFlGw0C6j1XCma1e7Q_9_14"/>
      <w:bookmarkStart w:id="253" w:name="Tc_orXPeDdjZE-ihhdkXBgUGQ_9_8"/>
      <w:bookmarkStart w:id="254" w:name="Tc_5XYAzkU19UWg9_A9XI4rdA_9_5"/>
      <w:bookmarkStart w:id="255" w:name="Tc_uToDMTsnVUKUV3ax_zN_oQ_9_2"/>
      <w:bookmarkStart w:id="256" w:name="Tc_TXDPtGtwfU-b_6jlBAwP4Q_9_0"/>
      <w:bookmarkStart w:id="257" w:name="Tc_AaV-BK85ckK8KUtAcatSTg_8_14"/>
      <w:bookmarkStart w:id="258" w:name="Tc_aNEtIFbvqkO6KjrXOfFYYQ_8_11"/>
      <w:bookmarkStart w:id="259" w:name="Tc_r4xdGGeerUKUU5Zpc8mI5Q_8_5"/>
      <w:bookmarkStart w:id="260" w:name="Tc_Lf3C9b8gkE6YPNWIsU4tTA_8_2"/>
      <w:bookmarkStart w:id="261" w:name="Tc_SOmZA55GBEWfxOZPD0feuA_8_0"/>
      <w:bookmarkStart w:id="262" w:name="Tc_eWKwwD5BkkOK839eesYAZg_7_20"/>
      <w:bookmarkStart w:id="263" w:name="Tc_wJZrqOWOzUmzvMJsjE_XDQ_7_14"/>
      <w:bookmarkStart w:id="264" w:name="Tc_St0iVeBf-UiRfwWQsfsQrw_7_11"/>
      <w:bookmarkStart w:id="265" w:name="Tc_PGbl7BzUD0edmjCgynBC8w_7_5"/>
      <w:bookmarkStart w:id="266" w:name="Tc_vIHlnw63pUSE5aqVWChxeg_7_2"/>
      <w:bookmarkStart w:id="267" w:name="Tc_KuBMIc-xpUu3G1y_lsVNxw_7_0"/>
      <w:bookmarkStart w:id="268" w:name="Tc_O7sMMe2W8kGpgh3foBVt5g_6_23"/>
      <w:bookmarkStart w:id="269" w:name="Tc_lPFkgoGkv06PmY3dQGWljw_6_20"/>
      <w:bookmarkStart w:id="270" w:name="Tc_ZuLch5dV9UWdaNCwyuTzqg_6_17"/>
      <w:bookmarkStart w:id="271" w:name="Tc_9bUqHLU7L0avgSYEYR33CQ_6_14"/>
      <w:bookmarkStart w:id="272" w:name="Tc_cud8bEP6JUObE8BXbfG6Ng_6_11"/>
      <w:bookmarkStart w:id="273" w:name="Tc_QMuaZ10R8kiNkbEuJ-5RvQ_6_0"/>
      <w:bookmarkStart w:id="274" w:name="Tc_FDIckOXI2UyBcDioD79OuA_5_22"/>
      <w:bookmarkStart w:id="275" w:name="Tc_P5LcClO9skCvQmbandv5NA_5_19"/>
      <w:bookmarkStart w:id="276" w:name="Tc_iY_MZHrVwU6JOJJE_ereZg_5_16"/>
      <w:bookmarkStart w:id="277" w:name="Tc_Z2R02F6AzkW3hpMyEBoz7g_5_13"/>
      <w:bookmarkStart w:id="278" w:name="Tc_ZrH6csLI6kGnck-GPkEX-A_5_10"/>
      <w:bookmarkStart w:id="279" w:name="Tc_Xk1rdvwgT0ay4rDHwHLUGA_5_7"/>
      <w:bookmarkStart w:id="280" w:name="Tc_vJkLlR4MJEu46tclh-j-Kw_5_4"/>
      <w:bookmarkStart w:id="281" w:name="Tc_I_eSGgRyiEGY-w1No4Hz6g_5_0"/>
      <w:bookmarkStart w:id="282" w:name="Tc_cGIxoDHcfEq6l-A32x2U6g_4_22"/>
      <w:bookmarkStart w:id="283" w:name="Tc_0AOam2a3QUWi1ONyWDvA6w_4_19"/>
      <w:bookmarkStart w:id="284" w:name="Tc_92muzrxEw0OXYhGseN8VWA_4_16"/>
      <w:bookmarkStart w:id="285" w:name="Tc_5F_IlaXLVkm8oGbQe8xIvQ_4_13"/>
      <w:bookmarkStart w:id="286" w:name="Tc_1zs_gCVQiEC6keU9Es4ESg_4_10"/>
      <w:bookmarkStart w:id="287" w:name="Tc_DrrNFydmwk2dUhs8ih1mbA_4_7"/>
      <w:bookmarkStart w:id="288" w:name="Tc_txau_5O2p0mJ4W2tYUk9Ew_4_4"/>
      <w:bookmarkStart w:id="289" w:name="Tc_tEE-YQpo7EKQi-2OW0BShA_4_2"/>
      <w:bookmarkStart w:id="290" w:name="Tc_3YntXTPSVkqZicFkDyIm3Q_3_22"/>
      <w:bookmarkStart w:id="291" w:name="Tc_sRYHXjKkikG9gOuHVqb91w_3_19"/>
      <w:bookmarkStart w:id="292" w:name="Tc_D5QSgdm7TUKEyAmsTDQCDw_3_16"/>
      <w:bookmarkStart w:id="293" w:name="Tc_CLEvo6kVgECTb7m7Oll8Cg_3_13"/>
      <w:bookmarkStart w:id="294" w:name="Tc_QhXOOuVnxU-fNfffAcmRIA_3_10"/>
      <w:bookmarkStart w:id="295" w:name="Tc_JoOldx_L3EqS0RvM95rb6A_3_7"/>
      <w:bookmarkStart w:id="296" w:name="Tc_uZLzw8vGM0uy5dspgct3tw_3_2"/>
      <w:bookmarkStart w:id="297" w:name="Tc_MB9mOLKVpUWZ8NyVqVuOiQ_2_19"/>
      <w:bookmarkStart w:id="298" w:name="Tc_hRzNWyG7YUK5kMPpqtQ3qQ_2_16"/>
      <w:bookmarkStart w:id="299" w:name="Tc_nSp8cEEw7UmRzDLBnV6pkA_2_13"/>
      <w:bookmarkStart w:id="300" w:name="Tc_RiwdpE9pq06L1s-bKqgZHw_2_7"/>
      <w:bookmarkStart w:id="301" w:name="Tc_PlcwUOji0U6n4ojZ2jLYxQ_1_13"/>
      <w:bookmarkStart w:id="302" w:name="_fb8fb72d_e5a5_45cb_a4d9_12dead38599e"/>
      <w:bookmarkStart w:id="303" w:name="Tc_jFnFa8R0q0-dVAzJw-GTEg_11_22"/>
      <w:bookmarkStart w:id="304" w:name="Tc_S0HMHSv9jUmLXOb2sOYGrg_11_19"/>
      <w:bookmarkStart w:id="305" w:name="Tc_heHqXr-APEy7II2drgxUgQ_11_16"/>
      <w:bookmarkStart w:id="306" w:name="Tc_X36I9Wcoy0W2kBQiGCceyw_11_13"/>
      <w:bookmarkStart w:id="307" w:name="Tc_jEfobBu2S0m_D1dq_o3eNQ_11_10"/>
      <w:bookmarkStart w:id="308" w:name="Tc_zlT5FI_IYESNgy55fex7tw_11_7"/>
      <w:bookmarkStart w:id="309" w:name="Tc_Gj0wMHyUUk2l19ZgfA3OCQ_11_4"/>
      <w:bookmarkStart w:id="310" w:name="Tc_E8Rody-c70mvfKaMif1OWQ_11_0"/>
      <w:bookmarkStart w:id="311" w:name="Tc_WmMysH6nVkKVJ4wULzDcHg_10_11"/>
      <w:bookmarkStart w:id="312" w:name="Tc_J2UshGpXo0aZUIDr3miHuA_10_8"/>
      <w:bookmarkStart w:id="313" w:name="Tc_opNMdlKlpECM7fwibiMmxg_10_5"/>
      <w:bookmarkStart w:id="314" w:name="Tc_9s9mV-hurkueKatVhDy7LA_10_2"/>
      <w:bookmarkStart w:id="315" w:name="Tc_Ekr2o_giTEegrcXnOD-1NQ_10_0"/>
      <w:bookmarkStart w:id="316" w:name="Tc_aWOsoFlGw0C6j1XCma1e7Q_9_14"/>
      <w:bookmarkStart w:id="317" w:name="Tc_orXPeDdjZE-ihhdkXBgUGQ_9_8"/>
      <w:bookmarkStart w:id="318" w:name="Tc_5XYAzkU19UWg9_A9XI4rdA_9_5"/>
      <w:bookmarkStart w:id="319" w:name="Tc_uToDMTsnVUKUV3ax_zN_oQ_9_2"/>
      <w:bookmarkStart w:id="320" w:name="Tc_TXDPtGtwfU-b_6jlBAwP4Q_9_0"/>
      <w:bookmarkStart w:id="321" w:name="Tc_AaV-BK85ckK8KUtAcatSTg_8_14"/>
      <w:bookmarkStart w:id="322" w:name="Tc_aNEtIFbvqkO6KjrXOfFYYQ_8_11"/>
      <w:bookmarkStart w:id="323" w:name="Tc_r4xdGGeerUKUU5Zpc8mI5Q_8_5"/>
      <w:bookmarkStart w:id="324" w:name="Tc_Lf3C9b8gkE6YPNWIsU4tTA_8_2"/>
      <w:bookmarkStart w:id="325" w:name="Tc_SOmZA55GBEWfxOZPD0feuA_8_0"/>
      <w:bookmarkStart w:id="326" w:name="Tc_eWKwwD5BkkOK839eesYAZg_7_20"/>
      <w:bookmarkStart w:id="327" w:name="Tc_wJZrqOWOzUmzvMJsjE_XDQ_7_14"/>
      <w:bookmarkStart w:id="328" w:name="Tc_St0iVeBf-UiRfwWQsfsQrw_7_11"/>
      <w:bookmarkStart w:id="329" w:name="Tc_PGbl7BzUD0edmjCgynBC8w_7_5"/>
      <w:bookmarkStart w:id="330" w:name="Tc_vIHlnw63pUSE5aqVWChxeg_7_2"/>
      <w:bookmarkStart w:id="331" w:name="Tc_KuBMIc-xpUu3G1y_lsVNxw_7_0"/>
      <w:bookmarkStart w:id="332" w:name="Tc_O7sMMe2W8kGpgh3foBVt5g_6_23"/>
      <w:bookmarkStart w:id="333" w:name="Tc_lPFkgoGkv06PmY3dQGWljw_6_20"/>
      <w:bookmarkStart w:id="334" w:name="Tc_ZuLch5dV9UWdaNCwyuTzqg_6_17"/>
      <w:bookmarkStart w:id="335" w:name="Tc_9bUqHLU7L0avgSYEYR33CQ_6_14"/>
      <w:bookmarkStart w:id="336" w:name="Tc_cud8bEP6JUObE8BXbfG6Ng_6_11"/>
      <w:bookmarkStart w:id="337" w:name="Tc_QMuaZ10R8kiNkbEuJ-5RvQ_6_0"/>
      <w:bookmarkStart w:id="338" w:name="Tc_FDIckOXI2UyBcDioD79OuA_5_22"/>
      <w:bookmarkStart w:id="339" w:name="Tc_P5LcClO9skCvQmbandv5NA_5_19"/>
      <w:bookmarkStart w:id="340" w:name="Tc_iY_MZHrVwU6JOJJE_ereZg_5_16"/>
      <w:bookmarkStart w:id="341" w:name="Tc_Z2R02F6AzkW3hpMyEBoz7g_5_13"/>
      <w:bookmarkStart w:id="342" w:name="Tc_ZrH6csLI6kGnck-GPkEX-A_5_10"/>
      <w:bookmarkStart w:id="343" w:name="Tc_Xk1rdvwgT0ay4rDHwHLUGA_5_7"/>
      <w:bookmarkStart w:id="344" w:name="Tc_vJkLlR4MJEu46tclh-j-Kw_5_4"/>
      <w:bookmarkStart w:id="345" w:name="Tc_I_eSGgRyiEGY-w1No4Hz6g_5_0"/>
      <w:bookmarkStart w:id="346" w:name="Tc_cGIxoDHcfEq6l-A32x2U6g_4_22"/>
      <w:bookmarkStart w:id="347" w:name="Tc_0AOam2a3QUWi1ONyWDvA6w_4_19"/>
      <w:bookmarkStart w:id="348" w:name="Tc_92muzrxEw0OXYhGseN8VWA_4_16"/>
      <w:bookmarkStart w:id="349" w:name="Tc_5F_IlaXLVkm8oGbQe8xIvQ_4_13"/>
      <w:bookmarkStart w:id="350" w:name="Tc_1zs_gCVQiEC6keU9Es4ESg_4_10"/>
      <w:bookmarkStart w:id="351" w:name="Tc_DrrNFydmwk2dUhs8ih1mbA_4_7"/>
      <w:bookmarkStart w:id="352" w:name="Tc_txau_5O2p0mJ4W2tYUk9Ew_4_4"/>
      <w:bookmarkStart w:id="353" w:name="Tc_tEE-YQpo7EKQi-2OW0BShA_4_2"/>
      <w:bookmarkStart w:id="354" w:name="Tc_3YntXTPSVkqZicFkDyIm3Q_3_22"/>
      <w:bookmarkStart w:id="355" w:name="Tc_sRYHXjKkikG9gOuHVqb91w_3_19"/>
      <w:bookmarkStart w:id="356" w:name="Tc_D5QSgdm7TUKEyAmsTDQCDw_3_16"/>
      <w:bookmarkStart w:id="357" w:name="Tc_CLEvo6kVgECTb7m7Oll8Cg_3_13"/>
      <w:bookmarkStart w:id="358" w:name="Tc_QhXOOuVnxU-fNfffAcmRIA_3_10"/>
      <w:bookmarkStart w:id="359" w:name="Tc_JoOldx_L3EqS0RvM95rb6A_3_7"/>
      <w:bookmarkStart w:id="360" w:name="Tc_uZLzw8vGM0uy5dspgct3tw_3_2"/>
      <w:bookmarkStart w:id="361" w:name="Tc_MB9mOLKVpUWZ8NyVqVuOiQ_2_19"/>
      <w:bookmarkStart w:id="362" w:name="Tc_hRzNWyG7YUK5kMPpqtQ3qQ_2_16"/>
      <w:bookmarkStart w:id="363" w:name="Tc_nSp8cEEw7UmRzDLBnV6pkA_2_13"/>
      <w:bookmarkStart w:id="364" w:name="Tc_RiwdpE9pq06L1s-bKqgZHw_2_7"/>
      <w:bookmarkStart w:id="365" w:name="Tc_PlcwUOji0U6n4ojZ2jLYxQ_1_13"/>
      <w:bookmarkStart w:id="366" w:name="_fb8fb72d_e5a5_45cb_a4d9_12dead38599e"/>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tbl>
      <w:tblPr>
        <w:tblW w:w="10802" w:type="dxa"/>
        <w:jc w:val="left"/>
        <w:tblInd w:w="0" w:type="dxa"/>
        <w:tblLayout w:type="fixed"/>
        <w:tblCellMar>
          <w:top w:w="0" w:type="dxa"/>
          <w:left w:w="0" w:type="dxa"/>
          <w:bottom w:w="0" w:type="dxa"/>
          <w:right w:w="0" w:type="dxa"/>
        </w:tblCellMar>
      </w:tblPr>
      <w:tblGrid>
        <w:gridCol w:w="1081"/>
        <w:gridCol w:w="326"/>
        <w:gridCol w:w="916"/>
        <w:gridCol w:w="326"/>
        <w:gridCol w:w="236"/>
        <w:gridCol w:w="455"/>
        <w:gridCol w:w="109"/>
        <w:gridCol w:w="196"/>
        <w:gridCol w:w="691"/>
        <w:gridCol w:w="326"/>
        <w:gridCol w:w="217"/>
        <w:gridCol w:w="834"/>
        <w:gridCol w:w="326"/>
        <w:gridCol w:w="362"/>
        <w:gridCol w:w="809"/>
        <w:gridCol w:w="326"/>
        <w:gridCol w:w="196"/>
        <w:gridCol w:w="615"/>
        <w:gridCol w:w="326"/>
        <w:gridCol w:w="249"/>
        <w:gridCol w:w="652"/>
        <w:gridCol w:w="326"/>
        <w:gridCol w:w="196"/>
        <w:gridCol w:w="70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10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916"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36" w:type="dxa"/>
            <w:tcBorders/>
            <w:shd w:fill="FFFFFF" w:val="clear"/>
            <w:vAlign w:val="center"/>
          </w:tcPr>
          <w:p>
            <w:pPr>
              <w:pStyle w:val="TableContents"/>
              <w:bidi w:val="0"/>
              <w:spacing w:before="0" w:after="1"/>
              <w:ind w:left="0" w:right="0" w:hanging="0"/>
              <w:jc w:val="left"/>
              <w:rPr/>
            </w:pPr>
            <w:r>
              <w:rPr/>
              <w:t>​</w:t>
            </w:r>
          </w:p>
        </w:tc>
        <w:tc>
          <w:tcPr>
            <w:tcW w:w="455" w:type="dxa"/>
            <w:tcBorders/>
            <w:shd w:fill="FFFFFF" w:val="clear"/>
            <w:vAlign w:val="center"/>
          </w:tcPr>
          <w:p>
            <w:pPr>
              <w:pStyle w:val="TableContents"/>
              <w:bidi w:val="0"/>
              <w:spacing w:before="0" w:after="1"/>
              <w:ind w:left="0" w:right="0" w:hanging="0"/>
              <w:jc w:val="center"/>
              <w:rPr/>
            </w:pPr>
            <w:r>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69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217" w:type="dxa"/>
            <w:tcBorders/>
            <w:shd w:fill="FFFFFF" w:val="clear"/>
            <w:vAlign w:val="center"/>
          </w:tcPr>
          <w:p>
            <w:pPr>
              <w:pStyle w:val="TableContents"/>
              <w:bidi w:val="0"/>
              <w:spacing w:before="0" w:after="1"/>
              <w:ind w:left="0" w:right="0" w:hanging="0"/>
              <w:jc w:val="left"/>
              <w:rPr/>
            </w:pPr>
            <w:r>
              <w:rPr/>
              <w:t>​</w:t>
            </w:r>
          </w:p>
        </w:tc>
        <w:tc>
          <w:tcPr>
            <w:tcW w:w="834"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17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1"/>
              <w:ind w:left="0" w:right="0" w:hanging="0"/>
              <w:jc w:val="left"/>
              <w:rPr/>
            </w:pPr>
            <w:r>
              <w:rPr/>
              <w:t>    </w:t>
            </w:r>
          </w:p>
        </w:tc>
        <w:tc>
          <w:tcPr>
            <w:tcW w:w="811" w:type="dxa"/>
            <w:gridSpan w:val="2"/>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249" w:type="dxa"/>
            <w:tcBorders/>
            <w:shd w:fill="FFFFFF" w:val="clear"/>
            <w:vAlign w:val="center"/>
          </w:tcPr>
          <w:p>
            <w:pPr>
              <w:pStyle w:val="TableContents"/>
              <w:bidi w:val="0"/>
              <w:spacing w:before="0" w:after="1"/>
              <w:ind w:left="0" w:right="0" w:hanging="0"/>
              <w:jc w:val="left"/>
              <w:rPr/>
            </w:pPr>
            <w:r>
              <w:rPr/>
              <w:t>​</w:t>
            </w:r>
          </w:p>
        </w:tc>
        <w:tc>
          <w:tcPr>
            <w:tcW w:w="652"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96" w:type="dxa"/>
            <w:tcBorders/>
            <w:shd w:fill="FFFFFF" w:val="clear"/>
            <w:vAlign w:val="center"/>
          </w:tcPr>
          <w:p>
            <w:pPr>
              <w:pStyle w:val="TableContents"/>
              <w:bidi w:val="0"/>
              <w:spacing w:before="0" w:after="1"/>
              <w:ind w:left="0" w:right="0" w:hanging="0"/>
              <w:jc w:val="left"/>
              <w:rPr/>
            </w:pPr>
            <w:r>
              <w:rPr/>
              <w:t>​</w:t>
            </w:r>
          </w:p>
        </w:tc>
        <w:tc>
          <w:tcPr>
            <w:tcW w:w="706" w:type="dxa"/>
            <w:tcBorders/>
            <w:shd w:fill="FFFFFF" w:val="clear"/>
            <w:vAlign w:val="center"/>
          </w:tcPr>
          <w:p>
            <w:pPr>
              <w:pStyle w:val="TableContents"/>
              <w:bidi w:val="0"/>
              <w:spacing w:before="0" w:after="1"/>
              <w:ind w:left="0" w:right="0" w:hanging="0"/>
              <w:jc w:val="center"/>
              <w:rPr/>
            </w:pPr>
            <w:r>
              <w:rPr/>
              <w:t>​</w:t>
            </w:r>
          </w:p>
        </w:tc>
      </w:tr>
      <w:tr>
        <w:trPr/>
        <w:tc>
          <w:tcPr>
            <w:tcW w:w="10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91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236" w:type="dxa"/>
            <w:tcBorders/>
            <w:shd w:fill="FFFFFF" w:val="clear"/>
            <w:vAlign w:val="center"/>
          </w:tcPr>
          <w:p>
            <w:pPr>
              <w:pStyle w:val="TableContents"/>
              <w:bidi w:val="0"/>
              <w:spacing w:before="0" w:after="1"/>
              <w:ind w:left="0" w:right="0" w:hanging="0"/>
              <w:jc w:val="left"/>
              <w:rPr/>
            </w:pPr>
            <w:r>
              <w:rPr/>
              <w:t>​</w:t>
            </w:r>
          </w:p>
        </w:tc>
        <w:tc>
          <w:tcPr>
            <w:tcW w:w="455"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887"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FFFFFF" w:val="clear"/>
            <w:vAlign w:val="center"/>
          </w:tcPr>
          <w:p>
            <w:pPr>
              <w:pStyle w:val="TableContents"/>
              <w:bidi w:val="0"/>
              <w:spacing w:before="0" w:after="1"/>
              <w:ind w:left="0" w:right="0" w:hanging="0"/>
              <w:jc w:val="left"/>
              <w:rPr/>
            </w:pPr>
            <w:r>
              <w:rPr/>
              <w:t>​</w:t>
            </w:r>
          </w:p>
        </w:tc>
        <w:tc>
          <w:tcPr>
            <w:tcW w:w="217" w:type="dxa"/>
            <w:tcBorders/>
            <w:shd w:fill="FFFFFF" w:val="clear"/>
            <w:vAlign w:val="center"/>
          </w:tcPr>
          <w:p>
            <w:pPr>
              <w:pStyle w:val="TableContents"/>
              <w:bidi w:val="0"/>
              <w:spacing w:before="0" w:after="1"/>
              <w:ind w:left="0" w:right="0" w:hanging="0"/>
              <w:jc w:val="left"/>
              <w:rPr/>
            </w:pPr>
            <w:r>
              <w:rPr/>
              <w:t>​</w:t>
            </w:r>
          </w:p>
        </w:tc>
        <w:tc>
          <w:tcPr>
            <w:tcW w:w="834"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7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FFFFFF" w:val="clear"/>
            <w:vAlign w:val="center"/>
          </w:tcPr>
          <w:p>
            <w:pPr>
              <w:pStyle w:val="TableContents"/>
              <w:bidi w:val="0"/>
              <w:spacing w:before="0" w:after="1"/>
              <w:ind w:left="0" w:right="0" w:hanging="0"/>
              <w:jc w:val="left"/>
              <w:rPr/>
            </w:pPr>
            <w:r>
              <w:rPr/>
              <w:t>​</w:t>
            </w:r>
          </w:p>
        </w:tc>
        <w:tc>
          <w:tcPr>
            <w:tcW w:w="81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FFFFFF" w:val="clear"/>
            <w:vAlign w:val="center"/>
          </w:tcPr>
          <w:p>
            <w:pPr>
              <w:pStyle w:val="TableContents"/>
              <w:bidi w:val="0"/>
              <w:spacing w:before="0" w:after="1"/>
              <w:ind w:left="0" w:right="0" w:hanging="0"/>
              <w:jc w:val="left"/>
              <w:rPr/>
            </w:pPr>
            <w:r>
              <w:rPr/>
              <w:t>​</w:t>
            </w:r>
          </w:p>
        </w:tc>
        <w:tc>
          <w:tcPr>
            <w:tcW w:w="90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706" w:type="dxa"/>
            <w:tcBorders/>
            <w:shd w:fill="FFFFFF" w:val="clear"/>
            <w:vAlign w:val="center"/>
          </w:tcPr>
          <w:p>
            <w:pPr>
              <w:pStyle w:val="TableContents"/>
              <w:bidi w:val="0"/>
              <w:spacing w:before="0" w:after="1"/>
              <w:ind w:left="0" w:right="0" w:hanging="0"/>
              <w:jc w:val="center"/>
              <w:rPr/>
            </w:pPr>
            <w:r>
              <w:rPr/>
              <w:t>​</w:t>
            </w:r>
          </w:p>
        </w:tc>
      </w:tr>
      <w:tr>
        <w:trPr/>
        <w:tc>
          <w:tcPr>
            <w:tcW w:w="10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109" w:type="dxa"/>
            <w:tcBorders/>
            <w:shd w:fill="FFFFFF" w:val="clear"/>
            <w:vAlign w:val="center"/>
          </w:tcPr>
          <w:p>
            <w:pPr>
              <w:pStyle w:val="TableContents"/>
              <w:bidi w:val="0"/>
              <w:spacing w:before="0" w:after="1"/>
              <w:ind w:left="0" w:right="0" w:hanging="0"/>
              <w:jc w:val="center"/>
              <w:rPr/>
            </w:pPr>
            <w:r>
              <w:rPr/>
              <w:t>​</w:t>
            </w:r>
          </w:p>
        </w:tc>
        <w:tc>
          <w:tcPr>
            <w:tcW w:w="887"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1"/>
              <w:ind w:left="0" w:right="0" w:hanging="0"/>
              <w:jc w:val="left"/>
              <w:rPr/>
            </w:pPr>
            <w:r>
              <w:rPr/>
              <w:t>​</w:t>
            </w:r>
          </w:p>
        </w:tc>
        <w:tc>
          <w:tcPr>
            <w:tcW w:w="117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FFFFFF" w:val="clear"/>
            <w:vAlign w:val="center"/>
          </w:tcPr>
          <w:p>
            <w:pPr>
              <w:pStyle w:val="TableContents"/>
              <w:bidi w:val="0"/>
              <w:spacing w:before="0" w:after="1"/>
              <w:ind w:left="0" w:right="0" w:hanging="0"/>
              <w:jc w:val="left"/>
              <w:rPr/>
            </w:pPr>
            <w:r>
              <w:rPr/>
              <w:t>​</w:t>
            </w:r>
          </w:p>
        </w:tc>
        <w:tc>
          <w:tcPr>
            <w:tcW w:w="81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26" w:type="dxa"/>
            <w:tcBorders/>
            <w:shd w:fill="FFFFFF" w:val="clear"/>
            <w:vAlign w:val="center"/>
          </w:tcPr>
          <w:p>
            <w:pPr>
              <w:pStyle w:val="TableContents"/>
              <w:bidi w:val="0"/>
              <w:spacing w:before="0" w:after="1"/>
              <w:ind w:left="0" w:right="0" w:hanging="0"/>
              <w:jc w:val="left"/>
              <w:rPr/>
            </w:pPr>
            <w:r>
              <w:rPr/>
              <w:t>​</w:t>
            </w:r>
          </w:p>
        </w:tc>
        <w:tc>
          <w:tcPr>
            <w:tcW w:w="90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shd w:fill="FFFFFF" w:val="clear"/>
            <w:vAlign w:val="center"/>
          </w:tcPr>
          <w:p>
            <w:pPr>
              <w:pStyle w:val="TableContents"/>
              <w:bidi w:val="0"/>
              <w:spacing w:before="0" w:after="1"/>
              <w:ind w:left="0" w:right="0" w:hanging="0"/>
              <w:jc w:val="left"/>
              <w:rPr/>
            </w:pPr>
            <w:r>
              <w:rPr/>
              <w:t>​</w:t>
            </w:r>
          </w:p>
        </w:tc>
        <w:tc>
          <w:tcPr>
            <w:tcW w:w="902"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FFFFFF" w:val="clear"/>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FFFFFF" w:val="clear"/>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FFFFFF" w:val="clear"/>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FFFFFF" w:val="clear"/>
            <w:vAlign w:val="center"/>
          </w:tcPr>
          <w:p>
            <w:pPr>
              <w:pStyle w:val="TableContents"/>
              <w:bidi w:val="0"/>
              <w:spacing w:before="0" w:after="1"/>
              <w:ind w:left="0" w:right="0" w:hanging="0"/>
              <w:jc w:val="left"/>
              <w:rPr/>
            </w:pPr>
            <w:r>
              <w:rPr/>
              <w:t>    </w:t>
            </w:r>
          </w:p>
        </w:tc>
        <w:tc>
          <w:tcPr>
            <w:tcW w:w="81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shd w:fill="FFFFFF" w:val="clear"/>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83,232,262</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832</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467,740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(428,112)</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39,926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47,949</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stock units </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120,318</w:t>
            </w:r>
          </w:p>
        </w:tc>
        <w:tc>
          <w:tcPr>
            <w:tcW w:w="326" w:type="dxa"/>
            <w:tcBorders/>
            <w:vAlign w:val="center"/>
          </w:tcPr>
          <w:p>
            <w:pPr>
              <w:pStyle w:val="TableContents"/>
              <w:bidi w:val="0"/>
              <w:spacing w:before="0" w:after="1"/>
              <w:ind w:left="0" w:right="0" w:hanging="0"/>
              <w:jc w:val="right"/>
              <w:rPr/>
            </w:pPr>
            <w:r>
              <w:rPr/>
              <w:t>​</w:t>
            </w:r>
          </w:p>
        </w:tc>
        <w:tc>
          <w:tcPr>
            <w:tcW w:w="236" w:type="dxa"/>
            <w:tcBorders/>
            <w:vAlign w:val="center"/>
          </w:tcPr>
          <w:p>
            <w:pPr>
              <w:pStyle w:val="TableContents"/>
              <w:bidi w:val="0"/>
              <w:spacing w:before="0" w:after="1"/>
              <w:ind w:left="0" w:right="0" w:hanging="0"/>
              <w:jc w:val="right"/>
              <w:rPr/>
            </w:pPr>
            <w:r>
              <w:rPr/>
              <w:t>​</w:t>
            </w:r>
          </w:p>
        </w:tc>
        <w:tc>
          <w:tcPr>
            <w:tcW w:w="4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righ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right"/>
              <w:rPr/>
            </w:pPr>
            <w:r>
              <w:rPr/>
              <w:t>​</w:t>
            </w:r>
          </w:p>
        </w:tc>
        <w:tc>
          <w:tcPr>
            <w:tcW w:w="8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righ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Value of Shares Withheld to fund payroll taxes</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righ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righ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righ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righ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6" w:type="dxa"/>
            <w:tcBorders/>
            <w:vAlign w:val="center"/>
          </w:tcPr>
          <w:p>
            <w:pPr>
              <w:pStyle w:val="TableContents"/>
              <w:bidi w:val="0"/>
              <w:spacing w:before="0" w:after="1"/>
              <w:ind w:left="0" w:right="0" w:hanging="0"/>
              <w:jc w:val="right"/>
              <w:rPr/>
            </w:pPr>
            <w:r>
              <w:rPr/>
              <w:t>​</w:t>
            </w:r>
          </w:p>
        </w:tc>
        <w:tc>
          <w:tcPr>
            <w:tcW w:w="4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w:t>
            </w:r>
          </w:p>
        </w:tc>
        <w:tc>
          <w:tcPr>
            <w:tcW w:w="326" w:type="dxa"/>
            <w:tcBorders/>
            <w:vAlign w:val="center"/>
          </w:tcPr>
          <w:p>
            <w:pPr>
              <w:pStyle w:val="TableContents"/>
              <w:bidi w:val="0"/>
              <w:spacing w:before="0" w:after="1"/>
              <w:ind w:left="0" w:right="0" w:hanging="0"/>
              <w:jc w:val="right"/>
              <w:rPr/>
            </w:pPr>
            <w:r>
              <w:rPr/>
              <w:t>​</w:t>
            </w:r>
          </w:p>
        </w:tc>
        <w:tc>
          <w:tcPr>
            <w:tcW w:w="217" w:type="dxa"/>
            <w:tcBorders/>
            <w:vAlign w:val="center"/>
          </w:tcPr>
          <w:p>
            <w:pPr>
              <w:pStyle w:val="TableContents"/>
              <w:bidi w:val="0"/>
              <w:spacing w:before="0" w:after="1"/>
              <w:ind w:left="0" w:right="0" w:hanging="0"/>
              <w:jc w:val="righ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right"/>
              <w:rPr/>
            </w:pPr>
            <w:r>
              <w:rPr/>
              <w:t>​</w:t>
            </w:r>
          </w:p>
        </w:tc>
        <w:tc>
          <w:tcPr>
            <w:tcW w:w="8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w:t>
            </w:r>
          </w:p>
        </w:tc>
        <w:tc>
          <w:tcPr>
            <w:tcW w:w="326" w:type="dxa"/>
            <w:tcBorders/>
            <w:vAlign w:val="center"/>
          </w:tcPr>
          <w:p>
            <w:pPr>
              <w:pStyle w:val="TableContents"/>
              <w:bidi w:val="0"/>
              <w:spacing w:before="0" w:after="1"/>
              <w:ind w:left="0" w:right="0" w:hanging="0"/>
              <w:jc w:val="right"/>
              <w:rPr/>
            </w:pPr>
            <w:r>
              <w:rPr/>
              <w:t>​</w:t>
            </w:r>
          </w:p>
        </w:tc>
        <w:tc>
          <w:tcPr>
            <w:tcW w:w="249" w:type="dxa"/>
            <w:tcBorders/>
            <w:vAlign w:val="center"/>
          </w:tcPr>
          <w:p>
            <w:pPr>
              <w:pStyle w:val="TableContents"/>
              <w:bidi w:val="0"/>
              <w:spacing w:before="0" w:after="1"/>
              <w:ind w:left="0" w:right="0" w:hanging="0"/>
              <w:jc w:val="right"/>
              <w:rPr/>
            </w:pPr>
            <w:r>
              <w:rPr/>
              <w:t>​</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2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36" w:type="dxa"/>
            <w:tcBorders/>
            <w:shd w:fill="CCEEFF" w:val="clear"/>
            <w:vAlign w:val="center"/>
          </w:tcPr>
          <w:p>
            <w:pPr>
              <w:pStyle w:val="TableContents"/>
              <w:bidi w:val="0"/>
              <w:spacing w:before="0" w:after="1"/>
              <w:ind w:left="0" w:right="0" w:hanging="0"/>
              <w:jc w:val="right"/>
              <w:rPr/>
            </w:pPr>
            <w:r>
              <w:rPr/>
              <w:t>​</w:t>
            </w:r>
          </w:p>
        </w:tc>
        <w:tc>
          <w:tcPr>
            <w:tcW w:w="45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17" w:type="dxa"/>
            <w:tcBorders/>
            <w:shd w:fill="CCEEFF" w:val="clear"/>
            <w:vAlign w:val="center"/>
          </w:tcPr>
          <w:p>
            <w:pPr>
              <w:pStyle w:val="TableContents"/>
              <w:bidi w:val="0"/>
              <w:spacing w:before="0" w:after="1"/>
              <w:ind w:left="0" w:right="0" w:hanging="0"/>
              <w:jc w:val="righ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(5,509)</w:t>
            </w:r>
          </w:p>
        </w:tc>
        <w:tc>
          <w:tcPr>
            <w:tcW w:w="326" w:type="dxa"/>
            <w:tcBorders/>
            <w:shd w:fill="CCEEFF" w:val="clear"/>
            <w:vAlign w:val="center"/>
          </w:tcPr>
          <w:p>
            <w:pPr>
              <w:pStyle w:val="TableContents"/>
              <w:bidi w:val="0"/>
              <w:spacing w:before="0" w:after="1"/>
              <w:ind w:left="0" w:right="0" w:hanging="0"/>
              <w:jc w:val="right"/>
              <w:rPr/>
            </w:pPr>
            <w:r>
              <w:rPr/>
              <w:t>​</w:t>
            </w:r>
          </w:p>
        </w:tc>
        <w:tc>
          <w:tcPr>
            <w:tcW w:w="362" w:type="dxa"/>
            <w:tcBorders/>
            <w:shd w:fill="CCEEFF" w:val="clear"/>
            <w:vAlign w:val="center"/>
          </w:tcPr>
          <w:p>
            <w:pPr>
              <w:pStyle w:val="TableContents"/>
              <w:bidi w:val="0"/>
              <w:spacing w:before="0" w:after="1"/>
              <w:ind w:left="0" w:right="0" w:hanging="0"/>
              <w:jc w:val="righ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(5,509)</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shd w:fill="CCEEFF" w:val="clear"/>
            <w:vAlign w:val="center"/>
          </w:tcPr>
          <w:p>
            <w:pPr>
              <w:pStyle w:val="TableContents"/>
              <w:bidi w:val="0"/>
              <w:spacing w:before="0" w:after="1"/>
              <w:ind w:left="0" w:right="0" w:hanging="0"/>
              <w:jc w:val="right"/>
              <w:rPr/>
            </w:pPr>
            <w:r>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(320)</w:t>
            </w:r>
          </w:p>
        </w:tc>
        <w:tc>
          <w:tcPr>
            <w:tcW w:w="32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(5,829)</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w:t>
            </w:r>
          </w:p>
        </w:tc>
        <w:tc>
          <w:tcPr>
            <w:tcW w:w="326" w:type="dxa"/>
            <w:tcBorders/>
            <w:vAlign w:val="center"/>
          </w:tcPr>
          <w:p>
            <w:pPr>
              <w:pStyle w:val="TableContents"/>
              <w:bidi w:val="0"/>
              <w:spacing w:before="0" w:after="1"/>
              <w:ind w:left="0" w:right="0" w:hanging="0"/>
              <w:jc w:val="righ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83,352,580</w:t>
            </w:r>
          </w:p>
        </w:tc>
        <w:tc>
          <w:tcPr>
            <w:tcW w:w="32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4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833</w:t>
            </w:r>
          </w:p>
        </w:tc>
        <w:tc>
          <w:tcPr>
            <w:tcW w:w="109"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468,306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(433,621)</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34,854</w:t>
            </w:r>
          </w:p>
        </w:tc>
        <w:tc>
          <w:tcPr>
            <w:tcW w:w="326" w:type="dxa"/>
            <w:tcBorders/>
            <w:shd w:fill="CCEEFF" w:val="clear"/>
            <w:vAlign w:val="center"/>
          </w:tcPr>
          <w:p>
            <w:pPr>
              <w:pStyle w:val="TableContents"/>
              <w:bidi w:val="0"/>
              <w:spacing w:before="0" w:after="1"/>
              <w:ind w:left="0" w:right="0" w:hanging="0"/>
              <w:jc w:val="righ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42,591</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16"/>
        </w:rPr>
      </w:pPr>
      <w:r>
        <w:rPr>
          <w:rFonts w:ascii="Times New Roman;Times;serif" w:hAnsi="Times New Roman;Times;serif"/>
          <w:sz w:val="16"/>
        </w:rPr>
        <w:t>The accompanying notes form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XWELL, Inc. (Formerly known as XpresSpa Group,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67" w:name="Tc_jM7hdoA36EGsN1QOf42WpA_16_22"/>
      <w:bookmarkStart w:id="368" w:name="Tc_Q4wKqZ-_P06-J-xCKcNCgA_16_19"/>
      <w:bookmarkStart w:id="369" w:name="Tc_Sk7HreQkNU-7oYca3AxUJQ_16_16"/>
      <w:bookmarkStart w:id="370" w:name="Tc_yWuLFqUGEkGlCzQ9wQHJCg_16_13"/>
      <w:bookmarkStart w:id="371" w:name="Tc_UZD8_jys-EiRa-CIdIOmdw_16_10"/>
      <w:bookmarkStart w:id="372" w:name="Tc_p7ue6t1ICkaIzJjkrpPB2A_16_7"/>
      <w:bookmarkStart w:id="373" w:name="Tc_TdutE-REVkqhuiuWREgk8w_16_4"/>
      <w:bookmarkStart w:id="374" w:name="Tc_M5jzBzs0FECBa1MIsfGZJQ_16_0"/>
      <w:bookmarkStart w:id="375" w:name="Tc_oBZimID7NUW0Rs5Mvos9jA_15_17"/>
      <w:bookmarkStart w:id="376" w:name="Tc_K6Ao_9GBI0mRSqn4H6L9qA_15_14"/>
      <w:bookmarkStart w:id="377" w:name="Tc_jGd5ctUCFUmuanFP8TLdFw_15_11"/>
      <w:bookmarkStart w:id="378" w:name="Tc_NqWC4RRP_k6LlyrrsMI--w_15_8"/>
      <w:bookmarkStart w:id="379" w:name="Tc_72DsZ5AiUEmRE-SbwLERfQ_15_5"/>
      <w:bookmarkStart w:id="380" w:name="Tc_9FGZbdwbIkOVzlHo24P3rQ_15_2"/>
      <w:bookmarkStart w:id="381" w:name="Tc_Jmy6pkKnvUKyEtSSWRwlkQ_15_0"/>
      <w:bookmarkStart w:id="382" w:name="Tc_NjyAxa7EokqK_WmjYEpmuw_14_17"/>
      <w:bookmarkStart w:id="383" w:name="Tc_fTvgEf6j_0mxFAtUhvJTTQ_14_14"/>
      <w:bookmarkStart w:id="384" w:name="Tc_c5SkqqjQKUWiuTaROuKinw_14_11"/>
      <w:bookmarkStart w:id="385" w:name="Tc_3jPjMkC74Ey4rURL7UQuUA_14_8"/>
      <w:bookmarkStart w:id="386" w:name="Tc_Yn2CGymIZEyfM9Wp2v_8Lw_14_5"/>
      <w:bookmarkStart w:id="387" w:name="Tc_TUVEsyaYlkygb8XVTT3cGA_14_2"/>
      <w:bookmarkStart w:id="388" w:name="Tc_fpwky-khkECFCT2-G3Z3Pw_14_0"/>
      <w:bookmarkStart w:id="389" w:name="Tc_vYhqYJU24kGKUmU4JDV8Xg_13_20"/>
      <w:bookmarkStart w:id="390" w:name="Tc_zPMl4h2ay0O93N3aSqUPqg_13_11"/>
      <w:bookmarkStart w:id="391" w:name="Tc_cAtqyrJiX0qYHheYzJtM4Q_13_8"/>
      <w:bookmarkStart w:id="392" w:name="Tc_YgJXk9qfa02U0RPmuz0Tgg_13_5"/>
      <w:bookmarkStart w:id="393" w:name="Tc__5q_LL__eUeb8en4_tAV1A_13_2"/>
      <w:bookmarkStart w:id="394" w:name="Tc_r1w9uLmy2UaQ1GUXZDr9Tg_13_0"/>
      <w:bookmarkStart w:id="395" w:name="Tc_FhyZSKJgp06SYam-ng4VRw_12_20"/>
      <w:bookmarkStart w:id="396" w:name="Tc_fSq-jB9BUEmkBWrxVRITpg_12_14"/>
      <w:bookmarkStart w:id="397" w:name="Tc_q4f1fAFqdkCyoancOA6YKg_12_11"/>
      <w:bookmarkStart w:id="398" w:name="Tc__Pr0wdZKOUKQAbXCnnF-Vg_12_0"/>
      <w:bookmarkStart w:id="399" w:name="Tc_8kwIn3ub1kaExjhLVGhcug_11_14"/>
      <w:bookmarkStart w:id="400" w:name="Tc_DXTqbthLhUCuWXZhUpbtcA_11_8"/>
      <w:bookmarkStart w:id="401" w:name="Tc_YbNW5BZZHkCnx0Etn3oxSg_11_5"/>
      <w:bookmarkStart w:id="402" w:name="Tc_VH4vMbZGQEmHXgfq_widzg_11_2"/>
      <w:bookmarkStart w:id="403" w:name="Tc_ZYHp0bYrrU2g8lfEZyu2xQ_11_0"/>
      <w:bookmarkStart w:id="404" w:name="Tc_1iXLDe97oEmqV0D1c7p4Qw_10_20"/>
      <w:bookmarkStart w:id="405" w:name="Tc_2d2rAs662UCwRdlURQuIug_10_14"/>
      <w:bookmarkStart w:id="406" w:name="Tc_LwHO4P7a6Uq5o9Jiqkz0XA_10_11"/>
      <w:bookmarkStart w:id="407" w:name="Tc_aK9zlnO8hkmXVoPdzwMXWg_10_5"/>
      <w:bookmarkStart w:id="408" w:name="Tc_vTtsKGbr7ESz_YGh4VyZ8g_10_2"/>
      <w:bookmarkStart w:id="409" w:name="Tc_DUuTj7hapUSqOuZiQy0PLw_10_0"/>
      <w:bookmarkStart w:id="410" w:name="Tc_dfrCR-OJAkinPTBqyEV7ww_9_20"/>
      <w:bookmarkStart w:id="411" w:name="Tc_i50aIClZwkSZV4pXDexAWg_9_14"/>
      <w:bookmarkStart w:id="412" w:name="Tc_CpL9a1btok6z3ba7L44R8w_9_11"/>
      <w:bookmarkStart w:id="413" w:name="Tc_b6pZA1-Q6065bs_twAvCrQ_9_5"/>
      <w:bookmarkStart w:id="414" w:name="Tc_gPHm6_HXsUeP722K7kr2zA_9_2"/>
      <w:bookmarkStart w:id="415" w:name="Tc_enrbLlie50KY1VrIjRLA_A_9_0"/>
      <w:bookmarkStart w:id="416" w:name="Tc_ybOEngGyCEy1535QW3zIEA_8_23"/>
      <w:bookmarkStart w:id="417" w:name="Tc_4OINN5NWakWNFZD3DEG7Bg_8_20"/>
      <w:bookmarkStart w:id="418" w:name="Tc_ZeK7klphXUejnBwtPKd99Q_8_17"/>
      <w:bookmarkStart w:id="419" w:name="Tc_JwHD3oNJD0uG8Fn42NgkyQ_8_14"/>
      <w:bookmarkStart w:id="420" w:name="Tc_Z715QIK8q0KYuEjymzyj_Q_8_11"/>
      <w:bookmarkStart w:id="421" w:name="Tc_bntV_-0H_km-8imUfHVWOw_8_0"/>
      <w:bookmarkStart w:id="422" w:name="Tc_k2PUouRXq0GhhmuNC7aPQw_7_20"/>
      <w:bookmarkStart w:id="423" w:name="Tc_DZcRXrmgA0Ona0GqGVNsZg_7_14"/>
      <w:bookmarkStart w:id="424" w:name="Tc_OtJOcqSHZUWkhdgbUC7uUA_7_11"/>
      <w:bookmarkStart w:id="425" w:name="Tc_QenAyWldZ0K-3MSCGreIWA_7_0"/>
      <w:bookmarkStart w:id="426" w:name="Tc_Rkaf7I7yb0yDsI-HmHtKBw_6_22"/>
      <w:bookmarkStart w:id="427" w:name="Tc_pwajczuBl0OYM2Cu1ULYVw_6_19"/>
      <w:bookmarkStart w:id="428" w:name="Tc_lWppmLZCs0uA-4ErA-nWAw_6_16"/>
      <w:bookmarkStart w:id="429" w:name="Tc_hCgpE9tcmkCfDAh8DtKozg_6_13"/>
      <w:bookmarkStart w:id="430" w:name="Tc_QNyCPVLVvECpuMFL9RWZsA_6_10"/>
      <w:bookmarkStart w:id="431" w:name="Tc_Jx96YWzUdEyd1ho1hFyM9w_6_7"/>
      <w:bookmarkStart w:id="432" w:name="Tc_a6bS_f4IGUisKFPDupDn1Q_6_4"/>
      <w:bookmarkStart w:id="433" w:name="Tc_TVWp9Zu3T0Goy3g9Kp8UJg_6_0"/>
      <w:bookmarkStart w:id="434" w:name="Tc_Jr44ryLah0m0fVcb4E6umA_5_22"/>
      <w:bookmarkStart w:id="435" w:name="Tc_1Qj5H6ui3kSmPolH2FQDwQ_5_19"/>
      <w:bookmarkStart w:id="436" w:name="Tc_IDHNbpf-3kGsbMgaz8M-Zw_5_16"/>
      <w:bookmarkStart w:id="437" w:name="Tc_bU4ZpeiCxUukXxNshiHZOQ_5_13"/>
      <w:bookmarkStart w:id="438" w:name="Tc_XoAGmckDWUenYiCWHT8qZA_5_10"/>
      <w:bookmarkStart w:id="439" w:name="Tc_CUagmIJSi0q9ERlyHIDg0A_5_7"/>
      <w:bookmarkStart w:id="440" w:name="Tc_QnhBsEB8p0-F_0CTSRGsKQ_5_4"/>
      <w:bookmarkStart w:id="441" w:name="Tc_WH_fE-Btik6tUz2DzNIgiQ_5_2"/>
      <w:bookmarkStart w:id="442" w:name="Tc_aMj7HQo270i-H58nsTcbEA_4_22"/>
      <w:bookmarkStart w:id="443" w:name="Tc_OKmwFkJLBkm1BF1ywFo_ZQ_4_19"/>
      <w:bookmarkStart w:id="444" w:name="Tc_PeM4pxXUP0yeAzwDtV-8VA_4_16"/>
      <w:bookmarkStart w:id="445" w:name="Tc_UMJI1vDnz0SFY0-OQdeEbw_4_13"/>
      <w:bookmarkStart w:id="446" w:name="Tc_fIEWfZsq10yNo-BcFhZyWQ_4_10"/>
      <w:bookmarkStart w:id="447" w:name="Tc__rOVZrGswkK7gU3XVZwm2w_4_7"/>
      <w:bookmarkStart w:id="448" w:name="Tc_DnzqZE7G2k658-9lU-G0kg_4_2"/>
      <w:bookmarkStart w:id="449" w:name="Tc_9sITEH1Ie02_7myGndbLrw_3_19"/>
      <w:bookmarkStart w:id="450" w:name="Tc_wxFa2M848kqzCxwLN2RXRw_3_16"/>
      <w:bookmarkStart w:id="451" w:name="Tc_1Uu5P_VB80CMhdlLLF-TzA_3_13"/>
      <w:bookmarkStart w:id="452" w:name="Tc_7Wi3wKTg_kaL9LhMKVZpWg_3_7"/>
      <w:bookmarkStart w:id="453" w:name="Tc_wUoem00j3UKUrpsgr7ZFOg_2_13"/>
      <w:bookmarkStart w:id="454" w:name="_68eea4c7_8837_4d6b_92fc_68d2c994a2cb"/>
      <w:bookmarkStart w:id="455" w:name="Tc_jM7hdoA36EGsN1QOf42WpA_16_22"/>
      <w:bookmarkStart w:id="456" w:name="Tc_Q4wKqZ-_P06-J-xCKcNCgA_16_19"/>
      <w:bookmarkStart w:id="457" w:name="Tc_Sk7HreQkNU-7oYca3AxUJQ_16_16"/>
      <w:bookmarkStart w:id="458" w:name="Tc_yWuLFqUGEkGlCzQ9wQHJCg_16_13"/>
      <w:bookmarkStart w:id="459" w:name="Tc_UZD8_jys-EiRa-CIdIOmdw_16_10"/>
      <w:bookmarkStart w:id="460" w:name="Tc_p7ue6t1ICkaIzJjkrpPB2A_16_7"/>
      <w:bookmarkStart w:id="461" w:name="Tc_TdutE-REVkqhuiuWREgk8w_16_4"/>
      <w:bookmarkStart w:id="462" w:name="Tc_M5jzBzs0FECBa1MIsfGZJQ_16_0"/>
      <w:bookmarkStart w:id="463" w:name="Tc_oBZimID7NUW0Rs5Mvos9jA_15_17"/>
      <w:bookmarkStart w:id="464" w:name="Tc_K6Ao_9GBI0mRSqn4H6L9qA_15_14"/>
      <w:bookmarkStart w:id="465" w:name="Tc_jGd5ctUCFUmuanFP8TLdFw_15_11"/>
      <w:bookmarkStart w:id="466" w:name="Tc_NqWC4RRP_k6LlyrrsMI--w_15_8"/>
      <w:bookmarkStart w:id="467" w:name="Tc_72DsZ5AiUEmRE-SbwLERfQ_15_5"/>
      <w:bookmarkStart w:id="468" w:name="Tc_9FGZbdwbIkOVzlHo24P3rQ_15_2"/>
      <w:bookmarkStart w:id="469" w:name="Tc_Jmy6pkKnvUKyEtSSWRwlkQ_15_0"/>
      <w:bookmarkStart w:id="470" w:name="Tc_NjyAxa7EokqK_WmjYEpmuw_14_17"/>
      <w:bookmarkStart w:id="471" w:name="Tc_fTvgEf6j_0mxFAtUhvJTTQ_14_14"/>
      <w:bookmarkStart w:id="472" w:name="Tc_c5SkqqjQKUWiuTaROuKinw_14_11"/>
      <w:bookmarkStart w:id="473" w:name="Tc_3jPjMkC74Ey4rURL7UQuUA_14_8"/>
      <w:bookmarkStart w:id="474" w:name="Tc_Yn2CGymIZEyfM9Wp2v_8Lw_14_5"/>
      <w:bookmarkStart w:id="475" w:name="Tc_TUVEsyaYlkygb8XVTT3cGA_14_2"/>
      <w:bookmarkStart w:id="476" w:name="Tc_fpwky-khkECFCT2-G3Z3Pw_14_0"/>
      <w:bookmarkStart w:id="477" w:name="Tc_vYhqYJU24kGKUmU4JDV8Xg_13_20"/>
      <w:bookmarkStart w:id="478" w:name="Tc_zPMl4h2ay0O93N3aSqUPqg_13_11"/>
      <w:bookmarkStart w:id="479" w:name="Tc_cAtqyrJiX0qYHheYzJtM4Q_13_8"/>
      <w:bookmarkStart w:id="480" w:name="Tc_YgJXk9qfa02U0RPmuz0Tgg_13_5"/>
      <w:bookmarkStart w:id="481" w:name="Tc__5q_LL__eUeb8en4_tAV1A_13_2"/>
      <w:bookmarkStart w:id="482" w:name="Tc_r1w9uLmy2UaQ1GUXZDr9Tg_13_0"/>
      <w:bookmarkStart w:id="483" w:name="Tc_FhyZSKJgp06SYam-ng4VRw_12_20"/>
      <w:bookmarkStart w:id="484" w:name="Tc_fSq-jB9BUEmkBWrxVRITpg_12_14"/>
      <w:bookmarkStart w:id="485" w:name="Tc_q4f1fAFqdkCyoancOA6YKg_12_11"/>
      <w:bookmarkStart w:id="486" w:name="Tc__Pr0wdZKOUKQAbXCnnF-Vg_12_0"/>
      <w:bookmarkStart w:id="487" w:name="Tc_8kwIn3ub1kaExjhLVGhcug_11_14"/>
      <w:bookmarkStart w:id="488" w:name="Tc_DXTqbthLhUCuWXZhUpbtcA_11_8"/>
      <w:bookmarkStart w:id="489" w:name="Tc_YbNW5BZZHkCnx0Etn3oxSg_11_5"/>
      <w:bookmarkStart w:id="490" w:name="Tc_VH4vMbZGQEmHXgfq_widzg_11_2"/>
      <w:bookmarkStart w:id="491" w:name="Tc_ZYHp0bYrrU2g8lfEZyu2xQ_11_0"/>
      <w:bookmarkStart w:id="492" w:name="Tc_1iXLDe97oEmqV0D1c7p4Qw_10_20"/>
      <w:bookmarkStart w:id="493" w:name="Tc_2d2rAs662UCwRdlURQuIug_10_14"/>
      <w:bookmarkStart w:id="494" w:name="Tc_LwHO4P7a6Uq5o9Jiqkz0XA_10_11"/>
      <w:bookmarkStart w:id="495" w:name="Tc_aK9zlnO8hkmXVoPdzwMXWg_10_5"/>
      <w:bookmarkStart w:id="496" w:name="Tc_vTtsKGbr7ESz_YGh4VyZ8g_10_2"/>
      <w:bookmarkStart w:id="497" w:name="Tc_DUuTj7hapUSqOuZiQy0PLw_10_0"/>
      <w:bookmarkStart w:id="498" w:name="Tc_dfrCR-OJAkinPTBqyEV7ww_9_20"/>
      <w:bookmarkStart w:id="499" w:name="Tc_i50aIClZwkSZV4pXDexAWg_9_14"/>
      <w:bookmarkStart w:id="500" w:name="Tc_CpL9a1btok6z3ba7L44R8w_9_11"/>
      <w:bookmarkStart w:id="501" w:name="Tc_b6pZA1-Q6065bs_twAvCrQ_9_5"/>
      <w:bookmarkStart w:id="502" w:name="Tc_gPHm6_HXsUeP722K7kr2zA_9_2"/>
      <w:bookmarkStart w:id="503" w:name="Tc_enrbLlie50KY1VrIjRLA_A_9_0"/>
      <w:bookmarkStart w:id="504" w:name="Tc_ybOEngGyCEy1535QW3zIEA_8_23"/>
      <w:bookmarkStart w:id="505" w:name="Tc_4OINN5NWakWNFZD3DEG7Bg_8_20"/>
      <w:bookmarkStart w:id="506" w:name="Tc_ZeK7klphXUejnBwtPKd99Q_8_17"/>
      <w:bookmarkStart w:id="507" w:name="Tc_JwHD3oNJD0uG8Fn42NgkyQ_8_14"/>
      <w:bookmarkStart w:id="508" w:name="Tc_Z715QIK8q0KYuEjymzyj_Q_8_11"/>
      <w:bookmarkStart w:id="509" w:name="Tc_bntV_-0H_km-8imUfHVWOw_8_0"/>
      <w:bookmarkStart w:id="510" w:name="Tc_k2PUouRXq0GhhmuNC7aPQw_7_20"/>
      <w:bookmarkStart w:id="511" w:name="Tc_DZcRXrmgA0Ona0GqGVNsZg_7_14"/>
      <w:bookmarkStart w:id="512" w:name="Tc_OtJOcqSHZUWkhdgbUC7uUA_7_11"/>
      <w:bookmarkStart w:id="513" w:name="Tc_QenAyWldZ0K-3MSCGreIWA_7_0"/>
      <w:bookmarkStart w:id="514" w:name="Tc_Rkaf7I7yb0yDsI-HmHtKBw_6_22"/>
      <w:bookmarkStart w:id="515" w:name="Tc_pwajczuBl0OYM2Cu1ULYVw_6_19"/>
      <w:bookmarkStart w:id="516" w:name="Tc_lWppmLZCs0uA-4ErA-nWAw_6_16"/>
      <w:bookmarkStart w:id="517" w:name="Tc_hCgpE9tcmkCfDAh8DtKozg_6_13"/>
      <w:bookmarkStart w:id="518" w:name="Tc_QNyCPVLVvECpuMFL9RWZsA_6_10"/>
      <w:bookmarkStart w:id="519" w:name="Tc_Jx96YWzUdEyd1ho1hFyM9w_6_7"/>
      <w:bookmarkStart w:id="520" w:name="Tc_a6bS_f4IGUisKFPDupDn1Q_6_4"/>
      <w:bookmarkStart w:id="521" w:name="Tc_TVWp9Zu3T0Goy3g9Kp8UJg_6_0"/>
      <w:bookmarkStart w:id="522" w:name="Tc_Jr44ryLah0m0fVcb4E6umA_5_22"/>
      <w:bookmarkStart w:id="523" w:name="Tc_1Qj5H6ui3kSmPolH2FQDwQ_5_19"/>
      <w:bookmarkStart w:id="524" w:name="Tc_IDHNbpf-3kGsbMgaz8M-Zw_5_16"/>
      <w:bookmarkStart w:id="525" w:name="Tc_bU4ZpeiCxUukXxNshiHZOQ_5_13"/>
      <w:bookmarkStart w:id="526" w:name="Tc_XoAGmckDWUenYiCWHT8qZA_5_10"/>
      <w:bookmarkStart w:id="527" w:name="Tc_CUagmIJSi0q9ERlyHIDg0A_5_7"/>
      <w:bookmarkStart w:id="528" w:name="Tc_QnhBsEB8p0-F_0CTSRGsKQ_5_4"/>
      <w:bookmarkStart w:id="529" w:name="Tc_WH_fE-Btik6tUz2DzNIgiQ_5_2"/>
      <w:bookmarkStart w:id="530" w:name="Tc_aMj7HQo270i-H58nsTcbEA_4_22"/>
      <w:bookmarkStart w:id="531" w:name="Tc_OKmwFkJLBkm1BF1ywFo_ZQ_4_19"/>
      <w:bookmarkStart w:id="532" w:name="Tc_PeM4pxXUP0yeAzwDtV-8VA_4_16"/>
      <w:bookmarkStart w:id="533" w:name="Tc_UMJI1vDnz0SFY0-OQdeEbw_4_13"/>
      <w:bookmarkStart w:id="534" w:name="Tc_fIEWfZsq10yNo-BcFhZyWQ_4_10"/>
      <w:bookmarkStart w:id="535" w:name="Tc__rOVZrGswkK7gU3XVZwm2w_4_7"/>
      <w:bookmarkStart w:id="536" w:name="Tc_DnzqZE7G2k658-9lU-G0kg_4_2"/>
      <w:bookmarkStart w:id="537" w:name="Tc_9sITEH1Ie02_7myGndbLrw_3_19"/>
      <w:bookmarkStart w:id="538" w:name="Tc_wxFa2M848kqzCxwLN2RXRw_3_16"/>
      <w:bookmarkStart w:id="539" w:name="Tc_1Uu5P_VB80CMhdlLLF-TzA_3_13"/>
      <w:bookmarkStart w:id="540" w:name="Tc_7Wi3wKTg_kaL9LhMKVZpWg_3_7"/>
      <w:bookmarkStart w:id="541" w:name="Tc_wUoem00j3UKUrpsgr7ZFOg_2_13"/>
      <w:bookmarkStart w:id="542" w:name="_68eea4c7_8837_4d6b_92fc_68d2c994a2cb"/>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tbl>
      <w:tblPr>
        <w:tblW w:w="11606" w:type="dxa"/>
        <w:jc w:val="left"/>
        <w:tblInd w:w="0" w:type="dxa"/>
        <w:tblLayout w:type="fixed"/>
        <w:tblCellMar>
          <w:top w:w="0" w:type="dxa"/>
          <w:left w:w="0" w:type="dxa"/>
          <w:bottom w:w="0" w:type="dxa"/>
          <w:right w:w="0" w:type="dxa"/>
        </w:tblCellMar>
      </w:tblPr>
      <w:tblGrid>
        <w:gridCol w:w="1516"/>
        <w:gridCol w:w="326"/>
        <w:gridCol w:w="1006"/>
        <w:gridCol w:w="326"/>
        <w:gridCol w:w="196"/>
        <w:gridCol w:w="511"/>
        <w:gridCol w:w="326"/>
        <w:gridCol w:w="196"/>
        <w:gridCol w:w="691"/>
        <w:gridCol w:w="326"/>
        <w:gridCol w:w="217"/>
        <w:gridCol w:w="834"/>
        <w:gridCol w:w="326"/>
        <w:gridCol w:w="362"/>
        <w:gridCol w:w="809"/>
        <w:gridCol w:w="326"/>
        <w:gridCol w:w="196"/>
        <w:gridCol w:w="661"/>
        <w:gridCol w:w="326"/>
        <w:gridCol w:w="249"/>
        <w:gridCol w:w="652"/>
        <w:gridCol w:w="326"/>
        <w:gridCol w:w="196"/>
        <w:gridCol w:w="706"/>
      </w:tblGrid>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color w:val="FF0000"/>
              </w:rPr>
            </w:pPr>
            <w:r>
              <w:rPr>
                <w:color w:val="FF0000"/>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center"/>
              <w:rPr/>
            </w:pPr>
            <w:r>
              <w:rPr/>
              <w:t>​</w:t>
            </w:r>
          </w:p>
        </w:tc>
        <w:tc>
          <w:tcPr>
            <w:tcW w:w="809"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61" w:type="dxa"/>
            <w:tcBorders/>
            <w:vAlign w:val="center"/>
          </w:tcPr>
          <w:p>
            <w:pPr>
              <w:pStyle w:val="TableContents"/>
              <w:bidi w:val="0"/>
              <w:spacing w:before="0" w:after="1"/>
              <w:ind w:left="0" w:right="0" w:hanging="0"/>
              <w:jc w:val="left"/>
              <w:rPr/>
            </w:pPr>
            <w:r>
              <w:rPr/>
              <w:t>    </w:t>
            </w:r>
          </w:p>
        </w:tc>
        <w:tc>
          <w:tcPr>
            <w:tcW w:w="575" w:type="dxa"/>
            <w:gridSpan w:val="2"/>
            <w:tcBorders/>
            <w:vAlign w:val="center"/>
          </w:tcPr>
          <w:p>
            <w:pPr>
              <w:pStyle w:val="TableContents"/>
              <w:bidi w:val="0"/>
              <w:spacing w:before="0" w:after="1"/>
              <w:ind w:left="0" w:right="0" w:hanging="0"/>
              <w:jc w:val="center"/>
              <w:rPr/>
            </w:pPr>
            <w:r>
              <w:rPr/>
              <w:t>​</w:t>
            </w:r>
          </w:p>
        </w:tc>
        <w:tc>
          <w:tcPr>
            <w:tcW w:w="6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96" w:type="dxa"/>
            <w:tcBorders/>
            <w:shd w:fill="FFFFFF" w:val="clear"/>
            <w:vAlign w:val="center"/>
          </w:tcPr>
          <w:p>
            <w:pPr>
              <w:pStyle w:val="TableContents"/>
              <w:bidi w:val="0"/>
              <w:spacing w:before="0" w:after="1"/>
              <w:ind w:left="0" w:right="0" w:hanging="0"/>
              <w:jc w:val="left"/>
              <w:rPr/>
            </w:pPr>
            <w:r>
              <w:rPr/>
              <w:t>​</w:t>
            </w:r>
          </w:p>
        </w:tc>
        <w:tc>
          <w:tcPr>
            <w:tcW w:w="691"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217" w:type="dxa"/>
            <w:tcBorders/>
            <w:shd w:fill="FFFFFF" w:val="clear"/>
            <w:vAlign w:val="center"/>
          </w:tcPr>
          <w:p>
            <w:pPr>
              <w:pStyle w:val="TableContents"/>
              <w:bidi w:val="0"/>
              <w:spacing w:before="0" w:after="1"/>
              <w:ind w:left="0" w:right="0" w:hanging="0"/>
              <w:jc w:val="left"/>
              <w:rPr/>
            </w:pPr>
            <w:r>
              <w:rPr/>
              <w:t>​</w:t>
            </w:r>
          </w:p>
        </w:tc>
        <w:tc>
          <w:tcPr>
            <w:tcW w:w="834"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17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1"/>
              <w:ind w:left="0" w:right="0" w:hanging="0"/>
              <w:jc w:val="left"/>
              <w:rPr/>
            </w:pPr>
            <w:r>
              <w:rPr/>
              <w:t>    </w:t>
            </w:r>
          </w:p>
        </w:tc>
        <w:tc>
          <w:tcPr>
            <w:tcW w:w="857" w:type="dxa"/>
            <w:gridSpan w:val="2"/>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249" w:type="dxa"/>
            <w:tcBorders/>
            <w:shd w:fill="FFFFFF" w:val="clear"/>
            <w:vAlign w:val="center"/>
          </w:tcPr>
          <w:p>
            <w:pPr>
              <w:pStyle w:val="TableContents"/>
              <w:bidi w:val="0"/>
              <w:spacing w:before="0" w:after="1"/>
              <w:ind w:left="0" w:right="0" w:hanging="0"/>
              <w:jc w:val="left"/>
              <w:rPr/>
            </w:pPr>
            <w:r>
              <w:rPr/>
              <w:t>​</w:t>
            </w:r>
          </w:p>
        </w:tc>
        <w:tc>
          <w:tcPr>
            <w:tcW w:w="652"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    </w:t>
            </w:r>
          </w:p>
        </w:tc>
        <w:tc>
          <w:tcPr>
            <w:tcW w:w="196" w:type="dxa"/>
            <w:tcBorders/>
            <w:shd w:fill="FFFFFF" w:val="clear"/>
            <w:vAlign w:val="center"/>
          </w:tcPr>
          <w:p>
            <w:pPr>
              <w:pStyle w:val="TableContents"/>
              <w:bidi w:val="0"/>
              <w:spacing w:before="0" w:after="1"/>
              <w:ind w:left="0" w:right="0" w:hanging="0"/>
              <w:jc w:val="left"/>
              <w:rPr/>
            </w:pPr>
            <w:r>
              <w:rPr/>
              <w:t>​</w:t>
            </w:r>
          </w:p>
        </w:tc>
        <w:tc>
          <w:tcPr>
            <w:tcW w:w="706" w:type="dxa"/>
            <w:tcBorders/>
            <w:shd w:fill="FFFFFF" w:val="clear"/>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511" w:type="dxa"/>
            <w:tcBorders/>
            <w:shd w:fill="FFFFFF" w:val="clear"/>
            <w:vAlign w:val="center"/>
          </w:tcPr>
          <w:p>
            <w:pPr>
              <w:pStyle w:val="TableContents"/>
              <w:bidi w:val="0"/>
              <w:spacing w:before="0" w:after="1"/>
              <w:ind w:left="0" w:right="0" w:hanging="0"/>
              <w:jc w:val="left"/>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887"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FFFFFF" w:val="clear"/>
            <w:vAlign w:val="center"/>
          </w:tcPr>
          <w:p>
            <w:pPr>
              <w:pStyle w:val="TableContents"/>
              <w:bidi w:val="0"/>
              <w:spacing w:before="0" w:after="1"/>
              <w:ind w:left="0" w:right="0" w:hanging="0"/>
              <w:jc w:val="left"/>
              <w:rPr/>
            </w:pPr>
            <w:r>
              <w:rPr/>
              <w:t>​</w:t>
            </w:r>
          </w:p>
        </w:tc>
        <w:tc>
          <w:tcPr>
            <w:tcW w:w="217" w:type="dxa"/>
            <w:tcBorders/>
            <w:shd w:fill="FFFFFF" w:val="clear"/>
            <w:vAlign w:val="center"/>
          </w:tcPr>
          <w:p>
            <w:pPr>
              <w:pStyle w:val="TableContents"/>
              <w:bidi w:val="0"/>
              <w:spacing w:before="0" w:after="1"/>
              <w:ind w:left="0" w:right="0" w:hanging="0"/>
              <w:jc w:val="left"/>
              <w:rPr/>
            </w:pPr>
            <w:r>
              <w:rPr/>
              <w:t>​</w:t>
            </w:r>
          </w:p>
        </w:tc>
        <w:tc>
          <w:tcPr>
            <w:tcW w:w="834" w:type="dxa"/>
            <w:tcBorders/>
            <w:shd w:fill="FFFFFF" w:val="clear"/>
            <w:vAlign w:val="center"/>
          </w:tcPr>
          <w:p>
            <w:pPr>
              <w:pStyle w:val="TableContents"/>
              <w:bidi w:val="0"/>
              <w:spacing w:before="0" w:after="1"/>
              <w:ind w:left="0" w:right="0" w:hanging="0"/>
              <w:jc w:val="center"/>
              <w:rPr/>
            </w:pPr>
            <w:r>
              <w:rPr/>
              <w:t>​</w:t>
            </w:r>
          </w:p>
        </w:tc>
        <w:tc>
          <w:tcPr>
            <w:tcW w:w="326" w:type="dxa"/>
            <w:tcBorders/>
            <w:shd w:fill="FFFFFF" w:val="clear"/>
            <w:vAlign w:val="center"/>
          </w:tcPr>
          <w:p>
            <w:pPr>
              <w:pStyle w:val="TableContents"/>
              <w:bidi w:val="0"/>
              <w:spacing w:before="0" w:after="1"/>
              <w:ind w:left="0" w:right="0" w:hanging="0"/>
              <w:jc w:val="left"/>
              <w:rPr/>
            </w:pPr>
            <w:r>
              <w:rPr/>
              <w:t>​</w:t>
            </w:r>
          </w:p>
        </w:tc>
        <w:tc>
          <w:tcPr>
            <w:tcW w:w="117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FFFFFF" w:val="clear"/>
            <w:vAlign w:val="center"/>
          </w:tcPr>
          <w:p>
            <w:pPr>
              <w:pStyle w:val="TableContents"/>
              <w:bidi w:val="0"/>
              <w:spacing w:before="0" w:after="1"/>
              <w:ind w:left="0" w:right="0" w:hanging="0"/>
              <w:jc w:val="left"/>
              <w:rPr/>
            </w:pPr>
            <w:r>
              <w:rPr/>
              <w:t>​</w:t>
            </w:r>
          </w:p>
        </w:tc>
        <w:tc>
          <w:tcPr>
            <w:tcW w:w="857"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FFFFFF" w:val="clear"/>
            <w:vAlign w:val="center"/>
          </w:tcPr>
          <w:p>
            <w:pPr>
              <w:pStyle w:val="TableContents"/>
              <w:bidi w:val="0"/>
              <w:spacing w:before="0" w:after="1"/>
              <w:ind w:left="0" w:right="0" w:hanging="0"/>
              <w:jc w:val="left"/>
              <w:rPr/>
            </w:pPr>
            <w:r>
              <w:rPr/>
              <w:t>​</w:t>
            </w:r>
          </w:p>
        </w:tc>
        <w:tc>
          <w:tcPr>
            <w:tcW w:w="90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shd w:fill="FFFFFF" w:val="clear"/>
            <w:vAlign w:val="center"/>
          </w:tcPr>
          <w:p>
            <w:pPr>
              <w:pStyle w:val="TableContents"/>
              <w:bidi w:val="0"/>
              <w:spacing w:before="0" w:after="1"/>
              <w:ind w:left="0" w:right="0" w:hanging="0"/>
              <w:jc w:val="left"/>
              <w:rPr/>
            </w:pPr>
            <w:r>
              <w:rPr/>
              <w:t>​</w:t>
            </w:r>
          </w:p>
        </w:tc>
        <w:tc>
          <w:tcPr>
            <w:tcW w:w="196" w:type="dxa"/>
            <w:tcBorders/>
            <w:shd w:fill="FFFFFF" w:val="clear"/>
            <w:vAlign w:val="center"/>
          </w:tcPr>
          <w:p>
            <w:pPr>
              <w:pStyle w:val="TableContents"/>
              <w:bidi w:val="0"/>
              <w:spacing w:before="0" w:after="1"/>
              <w:ind w:left="0" w:right="0" w:hanging="0"/>
              <w:jc w:val="left"/>
              <w:rPr/>
            </w:pPr>
            <w:r>
              <w:rPr/>
              <w:t>​</w:t>
            </w:r>
          </w:p>
        </w:tc>
        <w:tc>
          <w:tcPr>
            <w:tcW w:w="706" w:type="dxa"/>
            <w:tcBorders/>
            <w:shd w:fill="FFFFFF" w:val="clear"/>
            <w:vAlign w:val="center"/>
          </w:tcPr>
          <w:p>
            <w:pPr>
              <w:pStyle w:val="TableContents"/>
              <w:bidi w:val="0"/>
              <w:spacing w:before="0" w:after="1"/>
              <w:ind w:left="0" w:right="0" w:hanging="0"/>
              <w:jc w:val="center"/>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9"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FFFFFF" w:val="clear"/>
            <w:vAlign w:val="center"/>
          </w:tcPr>
          <w:p>
            <w:pPr>
              <w:pStyle w:val="TableContents"/>
              <w:bidi w:val="0"/>
              <w:spacing w:before="0" w:after="1"/>
              <w:ind w:left="0" w:right="0" w:hanging="0"/>
              <w:jc w:val="left"/>
              <w:rPr/>
            </w:pPr>
            <w:r>
              <w:rPr/>
              <w:t>​</w:t>
            </w:r>
          </w:p>
        </w:tc>
        <w:tc>
          <w:tcPr>
            <w:tcW w:w="887"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w:t>
            </w:r>
          </w:p>
        </w:tc>
        <w:tc>
          <w:tcPr>
            <w:tcW w:w="326" w:type="dxa"/>
            <w:tcBorders/>
            <w:shd w:fill="FFFFFF" w:val="clear"/>
            <w:vAlign w:val="center"/>
          </w:tcPr>
          <w:p>
            <w:pPr>
              <w:pStyle w:val="TableContents"/>
              <w:bidi w:val="0"/>
              <w:spacing w:before="0" w:after="1"/>
              <w:ind w:left="0" w:right="0" w:hanging="0"/>
              <w:jc w:val="left"/>
              <w:rPr/>
            </w:pPr>
            <w:r>
              <w:rPr/>
              <w:t>​</w:t>
            </w:r>
          </w:p>
        </w:tc>
        <w:tc>
          <w:tcPr>
            <w:tcW w:w="105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FFFFFF" w:val="clear"/>
            <w:vAlign w:val="center"/>
          </w:tcPr>
          <w:p>
            <w:pPr>
              <w:pStyle w:val="TableContents"/>
              <w:bidi w:val="0"/>
              <w:spacing w:before="0" w:after="1"/>
              <w:ind w:left="0" w:right="0" w:hanging="0"/>
              <w:jc w:val="left"/>
              <w:rPr/>
            </w:pPr>
            <w:r>
              <w:rPr/>
              <w:t>​</w:t>
            </w:r>
          </w:p>
        </w:tc>
        <w:tc>
          <w:tcPr>
            <w:tcW w:w="117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FFFFFF" w:val="clear"/>
            <w:vAlign w:val="center"/>
          </w:tcPr>
          <w:p>
            <w:pPr>
              <w:pStyle w:val="TableContents"/>
              <w:bidi w:val="0"/>
              <w:spacing w:before="0" w:after="1"/>
              <w:ind w:left="0" w:right="0" w:hanging="0"/>
              <w:jc w:val="left"/>
              <w:rPr/>
            </w:pPr>
            <w:r>
              <w:rPr/>
              <w:t>​</w:t>
            </w:r>
          </w:p>
        </w:tc>
        <w:tc>
          <w:tcPr>
            <w:tcW w:w="857"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Company</w:t>
            </w:r>
          </w:p>
        </w:tc>
        <w:tc>
          <w:tcPr>
            <w:tcW w:w="326" w:type="dxa"/>
            <w:tcBorders/>
            <w:shd w:fill="FFFFFF" w:val="clear"/>
            <w:vAlign w:val="center"/>
          </w:tcPr>
          <w:p>
            <w:pPr>
              <w:pStyle w:val="TableContents"/>
              <w:bidi w:val="0"/>
              <w:spacing w:before="0" w:after="1"/>
              <w:ind w:left="0" w:right="0" w:hanging="0"/>
              <w:jc w:val="left"/>
              <w:rPr/>
            </w:pPr>
            <w:r>
              <w:rPr/>
              <w:t>​</w:t>
            </w:r>
          </w:p>
        </w:tc>
        <w:tc>
          <w:tcPr>
            <w:tcW w:w="901"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shd w:fill="FFFFFF" w:val="clear"/>
            <w:vAlign w:val="center"/>
          </w:tcPr>
          <w:p>
            <w:pPr>
              <w:pStyle w:val="TableContents"/>
              <w:bidi w:val="0"/>
              <w:spacing w:before="0" w:after="1"/>
              <w:ind w:left="0" w:right="0" w:hanging="0"/>
              <w:jc w:val="left"/>
              <w:rPr/>
            </w:pPr>
            <w:r>
              <w:rPr/>
              <w:t>​</w:t>
            </w:r>
          </w:p>
        </w:tc>
        <w:tc>
          <w:tcPr>
            <w:tcW w:w="902"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FFFFFF" w:val="clear"/>
            <w:vAlign w:val="center"/>
          </w:tcPr>
          <w:p>
            <w:pPr>
              <w:pStyle w:val="TableContents"/>
              <w:bidi w:val="0"/>
              <w:spacing w:before="0" w:after="1"/>
              <w:ind w:left="0" w:right="0" w:hanging="0"/>
              <w:jc w:val="left"/>
              <w:rPr/>
            </w:pPr>
            <w:r>
              <w:rPr/>
              <w:t>    </w:t>
            </w:r>
          </w:p>
        </w:tc>
        <w:tc>
          <w:tcPr>
            <w:tcW w:w="70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FFFFFF" w:val="clear"/>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shd w:fill="FFFFFF" w:val="clear"/>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FFFFFF" w:val="clear"/>
            <w:vAlign w:val="center"/>
          </w:tcPr>
          <w:p>
            <w:pPr>
              <w:pStyle w:val="TableContents"/>
              <w:bidi w:val="0"/>
              <w:spacing w:before="0" w:after="1"/>
              <w:ind w:left="0" w:right="0" w:hanging="0"/>
              <w:jc w:val="left"/>
              <w:rPr/>
            </w:pPr>
            <w:r>
              <w:rPr/>
              <w:t>    </w:t>
            </w:r>
          </w:p>
        </w:tc>
        <w:tc>
          <w:tcPr>
            <w:tcW w:w="117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FFFFFF" w:val="clear"/>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shd w:fill="FFFFFF" w:val="clear"/>
            <w:vAlign w:val="center"/>
          </w:tcPr>
          <w:p>
            <w:pPr>
              <w:pStyle w:val="TableContents"/>
              <w:bidi w:val="0"/>
              <w:spacing w:before="0" w:after="1"/>
              <w:ind w:left="0" w:right="0" w:hanging="0"/>
              <w:jc w:val="left"/>
              <w:rPr/>
            </w:pPr>
            <w:r>
              <w:rPr/>
              <w:t>    </w:t>
            </w:r>
          </w:p>
        </w:tc>
        <w:tc>
          <w:tcPr>
            <w:tcW w:w="901"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shd w:fill="FFFFFF" w:val="clear"/>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101,269,349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487,306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(395,275)</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92,732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99,935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for acquisition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552,487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906</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906</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Vesting of restricted stock units </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391,820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pPr>
            <w:r>
              <w:rPr/>
              <w:t>—</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Value of Shares Withheld to fund payroll taxes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1,543</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for the period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(4,283)</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(4,283)</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and retirement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(7,142,446)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(11,024)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(11,095)</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(11,095)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(824)</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March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95,071,210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478,649</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(399,558)</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79,689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87,789</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r>
        <w:trPr/>
        <w:tc>
          <w:tcPr>
            <w:tcW w:w="15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65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65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43" w:name="_b03a486a_db9f_4b42_8cdf_507d50c745d4"/>
      <w:bookmarkEnd w:id="543"/>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44" w:name="Tc_D_l45w2slkCBqH_2jrJKkA_41_5"/>
      <w:bookmarkStart w:id="545" w:name="Tc_YAOERAfh_EG6mwpS9umZDg_41_3"/>
      <w:bookmarkStart w:id="546" w:name="Tc_B0G2F2h9VkK3ilvKiUkdbg_41_2"/>
      <w:bookmarkStart w:id="547" w:name="Tc_eXy8ZbddSU6EKuXx1HxQ3g_41_0"/>
      <w:bookmarkStart w:id="548" w:name="Tc_09HGKt3ZQEaO8KLPSu9kXg_40_5"/>
      <w:bookmarkStart w:id="549" w:name="Tc_VLXwoufY5kCmghkMy9eN4A_40_2"/>
      <w:bookmarkStart w:id="550" w:name="Tc_fGHj-HCb2kyzmYtQ2YBtLA_40_0"/>
      <w:bookmarkStart w:id="551" w:name="Tc_kza8Ce9HD0i4FWiAp2tGKw_39_0"/>
      <w:bookmarkStart w:id="552" w:name="Tc_9mCXQM3hYEyW89vBJEIzDg_38_6"/>
      <w:bookmarkStart w:id="553" w:name="Tc_pKMoOopAPku4pOmtXr6v-w_38_5"/>
      <w:bookmarkStart w:id="554" w:name="Tc_L02i0qS4w0G8B8u-YoYZWA_38_3"/>
      <w:bookmarkStart w:id="555" w:name="Tc_HtOgo_WVREW1wLygnwZcrQ_38_0"/>
      <w:bookmarkStart w:id="556" w:name="Tc_GN5GjKmrskia-xDvg0TKLg_37_5"/>
      <w:bookmarkStart w:id="557" w:name="Tc_GgcPm3aJ_0yYTXjjS6YHaw_37_3"/>
      <w:bookmarkStart w:id="558" w:name="Tc_xbQs2-2550emPBH1jVtBwg_37_2"/>
      <w:bookmarkStart w:id="559" w:name="Tc_MCYCPm2wUUGa2doSxkBr6g_37_0"/>
      <w:bookmarkStart w:id="560" w:name="Tc_c0X8yhHGwUifCFtkwaHLaw_36_0"/>
      <w:bookmarkStart w:id="561" w:name="Tc_ZK2b4wUe7k61FUqABQg-tg_35_5"/>
      <w:bookmarkStart w:id="562" w:name="Tc_AxwKvaz_eUyVX_9TeGONTQ_35_2"/>
      <w:bookmarkStart w:id="563" w:name="Tc_exxG6sUvA06Fst-9FyGZ_g_35_0"/>
      <w:bookmarkStart w:id="564" w:name="Tc_2e_cNS_ALE2BDEu-a5Xuyw_34_0"/>
      <w:bookmarkStart w:id="565" w:name="Tc_VMgt2RovNkGipOw9LRQvcQ_33_0"/>
      <w:bookmarkStart w:id="566" w:name="Tc_mfqH7IsBVUC9KHFWWNCptw_32_0"/>
      <w:bookmarkStart w:id="567" w:name="Tc_XtvxrrFIZkK6iOnLW_pJgw_31_0"/>
      <w:bookmarkStart w:id="568" w:name="Tc_hczwsHbqBUS88ReLgpHEBA_30_3"/>
      <w:bookmarkStart w:id="569" w:name="Tc_l-Dn4C2w7k2t2C37hDMzTQ_30_0"/>
      <w:bookmarkStart w:id="570" w:name="Tc_KxDuUGi0gkOLvnyPH5w3jQ_29_3"/>
      <w:bookmarkStart w:id="571" w:name="Tc_e2rAD7J0-0qdKUWY05iXAQ_29_0"/>
      <w:bookmarkStart w:id="572" w:name="Tc_-JrCWfNZE0OkXQGp7mLkSA_28_0"/>
      <w:bookmarkStart w:id="573" w:name="Tc_Y0M4Y4yTUUmLI3yCvFDCUw_27_3"/>
      <w:bookmarkStart w:id="574" w:name="Tc_3zXB5OM5IkCiaR1VNgQDlw_27_0"/>
      <w:bookmarkStart w:id="575" w:name="Tc_WtY6KQi3Kk-R7CHfb62tyg_26_3"/>
      <w:bookmarkStart w:id="576" w:name="Tc_OUHzxoCIFUWFTtqFwIv3FQ_26_0"/>
      <w:bookmarkStart w:id="577" w:name="Tc_APSAA1U_-U2vfyGRCjfpRg_25_0"/>
      <w:bookmarkStart w:id="578" w:name="Tc_XVGurFlNWEmZkuY2eHCwRw_24_0"/>
      <w:bookmarkStart w:id="579" w:name="Tc_NSODGQmz-0KROVhjmkq7fg_23_0"/>
      <w:bookmarkStart w:id="580" w:name="Tc_lHw7Lm9PVUWADvxWbhzgcA_22_3"/>
      <w:bookmarkStart w:id="581" w:name="Tc_x_HUERcTd0-Rsd37l_BIDA_22_0"/>
      <w:bookmarkStart w:id="582" w:name="Tc_ag6iO4XyJEu0b_FYsKrTPQ_21_6"/>
      <w:bookmarkStart w:id="583" w:name="Tc_NVOGZmEgT0-xigszKJQocQ_21_0"/>
      <w:bookmarkStart w:id="584" w:name="Tc_Pril0cUBok-NE79uCKHlrQ_20_0"/>
      <w:bookmarkStart w:id="585" w:name="Tc_RHHc5wYEf0yew074QItQHg_19_0"/>
      <w:bookmarkStart w:id="586" w:name="Tc_i06Nf-dwZUORXPH6C_gQ5g_18_0"/>
      <w:bookmarkStart w:id="587" w:name="Tc_dvpg1qzk-ESZrf7qzCMMtg_17_0"/>
      <w:bookmarkStart w:id="588" w:name="Tc_SPQLuY9hyUWz1xV-uYxzGw_16_0"/>
      <w:bookmarkStart w:id="589" w:name="Tc_8A_3rg5AakuXDMWHaC-AiA_15_0"/>
      <w:bookmarkStart w:id="590" w:name="Tc_q_7TIllUTE6xnbSUU3A0-A_14_0"/>
      <w:bookmarkStart w:id="591" w:name="Tc_g47jwvAhfkmKnTtlPEH0gA_13_0"/>
      <w:bookmarkStart w:id="592" w:name="Tc_PSr2hl4Mzk2bI5D3rpPJzw_12_0"/>
      <w:bookmarkStart w:id="593" w:name="Tc_kbdJ_W6Ha0KeCNHz7eRr3w_11_0"/>
      <w:bookmarkStart w:id="594" w:name="Tc_HnQaWy9PxESn2OgphornGQ_10_0"/>
      <w:bookmarkStart w:id="595" w:name="Tc_WDdcgrV49ES--2RT2LQPfg_9_0"/>
      <w:bookmarkStart w:id="596" w:name="Tc_C-EiQsu-2EOzdnb7vQ0P5g_8_0"/>
      <w:bookmarkStart w:id="597" w:name="Tc_S_D8XnAYsU-OHpdvyE2lyg_7_6"/>
      <w:bookmarkStart w:id="598" w:name="Tc_45Wxz_nFsU-MicZt05CJdg_7_0"/>
      <w:bookmarkStart w:id="599" w:name="Tc_nNdeuCad10C1xMR22jjwnQ_6_0"/>
      <w:bookmarkStart w:id="600" w:name="Tc_c3cN0E9N9UuV28gFJYM2xw_5_0"/>
      <w:bookmarkStart w:id="601" w:name="Tc_uCnve-J-gUiGJyy5_SIN0Q_4_5"/>
      <w:bookmarkStart w:id="602" w:name="Tc_-x_FPIdJNkeNMV6JAcxsbQ_4_2"/>
      <w:bookmarkStart w:id="603" w:name="Tc_rH57UJGlYUyzz3KPz_FAeQ_4_0"/>
      <w:bookmarkStart w:id="604" w:name="Tc_dvXrlQcGX0mNBW6ymfC2Ag_3_0"/>
      <w:bookmarkStart w:id="605" w:name="Tc_md-PHyT6T0KvaRfugwHELg_2_5"/>
      <w:bookmarkStart w:id="606" w:name="Tc_clO2d5ylVkiKiqj7jVHyNg_2_2"/>
      <w:bookmarkStart w:id="607" w:name="Tc_CnSul8op3U-Lg07KgCTLiA_1_2"/>
      <w:bookmarkStart w:id="608" w:name="_724ce1bd_1001_402c_a1c3_0c73940e9e6c"/>
      <w:bookmarkStart w:id="609" w:name="Tc_D_l45w2slkCBqH_2jrJKkA_41_5"/>
      <w:bookmarkStart w:id="610" w:name="Tc_YAOERAfh_EG6mwpS9umZDg_41_3"/>
      <w:bookmarkStart w:id="611" w:name="Tc_B0G2F2h9VkK3ilvKiUkdbg_41_2"/>
      <w:bookmarkStart w:id="612" w:name="Tc_eXy8ZbddSU6EKuXx1HxQ3g_41_0"/>
      <w:bookmarkStart w:id="613" w:name="Tc_09HGKt3ZQEaO8KLPSu9kXg_40_5"/>
      <w:bookmarkStart w:id="614" w:name="Tc_VLXwoufY5kCmghkMy9eN4A_40_2"/>
      <w:bookmarkStart w:id="615" w:name="Tc_fGHj-HCb2kyzmYtQ2YBtLA_40_0"/>
      <w:bookmarkStart w:id="616" w:name="Tc_kza8Ce9HD0i4FWiAp2tGKw_39_0"/>
      <w:bookmarkStart w:id="617" w:name="Tc_9mCXQM3hYEyW89vBJEIzDg_38_6"/>
      <w:bookmarkStart w:id="618" w:name="Tc_pKMoOopAPku4pOmtXr6v-w_38_5"/>
      <w:bookmarkStart w:id="619" w:name="Tc_L02i0qS4w0G8B8u-YoYZWA_38_3"/>
      <w:bookmarkStart w:id="620" w:name="Tc_HtOgo_WVREW1wLygnwZcrQ_38_0"/>
      <w:bookmarkStart w:id="621" w:name="Tc_GN5GjKmrskia-xDvg0TKLg_37_5"/>
      <w:bookmarkStart w:id="622" w:name="Tc_GgcPm3aJ_0yYTXjjS6YHaw_37_3"/>
      <w:bookmarkStart w:id="623" w:name="Tc_xbQs2-2550emPBH1jVtBwg_37_2"/>
      <w:bookmarkStart w:id="624" w:name="Tc_MCYCPm2wUUGa2doSxkBr6g_37_0"/>
      <w:bookmarkStart w:id="625" w:name="Tc_c0X8yhHGwUifCFtkwaHLaw_36_0"/>
      <w:bookmarkStart w:id="626" w:name="Tc_ZK2b4wUe7k61FUqABQg-tg_35_5"/>
      <w:bookmarkStart w:id="627" w:name="Tc_AxwKvaz_eUyVX_9TeGONTQ_35_2"/>
      <w:bookmarkStart w:id="628" w:name="Tc_exxG6sUvA06Fst-9FyGZ_g_35_0"/>
      <w:bookmarkStart w:id="629" w:name="Tc_2e_cNS_ALE2BDEu-a5Xuyw_34_0"/>
      <w:bookmarkStart w:id="630" w:name="Tc_VMgt2RovNkGipOw9LRQvcQ_33_0"/>
      <w:bookmarkStart w:id="631" w:name="Tc_mfqH7IsBVUC9KHFWWNCptw_32_0"/>
      <w:bookmarkStart w:id="632" w:name="Tc_XtvxrrFIZkK6iOnLW_pJgw_31_0"/>
      <w:bookmarkStart w:id="633" w:name="Tc_hczwsHbqBUS88ReLgpHEBA_30_3"/>
      <w:bookmarkStart w:id="634" w:name="Tc_l-Dn4C2w7k2t2C37hDMzTQ_30_0"/>
      <w:bookmarkStart w:id="635" w:name="Tc_KxDuUGi0gkOLvnyPH5w3jQ_29_3"/>
      <w:bookmarkStart w:id="636" w:name="Tc_e2rAD7J0-0qdKUWY05iXAQ_29_0"/>
      <w:bookmarkStart w:id="637" w:name="Tc_-JrCWfNZE0OkXQGp7mLkSA_28_0"/>
      <w:bookmarkStart w:id="638" w:name="Tc_Y0M4Y4yTUUmLI3yCvFDCUw_27_3"/>
      <w:bookmarkStart w:id="639" w:name="Tc_3zXB5OM5IkCiaR1VNgQDlw_27_0"/>
      <w:bookmarkStart w:id="640" w:name="Tc_WtY6KQi3Kk-R7CHfb62tyg_26_3"/>
      <w:bookmarkStart w:id="641" w:name="Tc_OUHzxoCIFUWFTtqFwIv3FQ_26_0"/>
      <w:bookmarkStart w:id="642" w:name="Tc_APSAA1U_-U2vfyGRCjfpRg_25_0"/>
      <w:bookmarkStart w:id="643" w:name="Tc_XVGurFlNWEmZkuY2eHCwRw_24_0"/>
      <w:bookmarkStart w:id="644" w:name="Tc_NSODGQmz-0KROVhjmkq7fg_23_0"/>
      <w:bookmarkStart w:id="645" w:name="Tc_lHw7Lm9PVUWADvxWbhzgcA_22_3"/>
      <w:bookmarkStart w:id="646" w:name="Tc_x_HUERcTd0-Rsd37l_BIDA_22_0"/>
      <w:bookmarkStart w:id="647" w:name="Tc_ag6iO4XyJEu0b_FYsKrTPQ_21_6"/>
      <w:bookmarkStart w:id="648" w:name="Tc_NVOGZmEgT0-xigszKJQocQ_21_0"/>
      <w:bookmarkStart w:id="649" w:name="Tc_Pril0cUBok-NE79uCKHlrQ_20_0"/>
      <w:bookmarkStart w:id="650" w:name="Tc_RHHc5wYEf0yew074QItQHg_19_0"/>
      <w:bookmarkStart w:id="651" w:name="Tc_i06Nf-dwZUORXPH6C_gQ5g_18_0"/>
      <w:bookmarkStart w:id="652" w:name="Tc_dvpg1qzk-ESZrf7qzCMMtg_17_0"/>
      <w:bookmarkStart w:id="653" w:name="Tc_SPQLuY9hyUWz1xV-uYxzGw_16_0"/>
      <w:bookmarkStart w:id="654" w:name="Tc_8A_3rg5AakuXDMWHaC-AiA_15_0"/>
      <w:bookmarkStart w:id="655" w:name="Tc_q_7TIllUTE6xnbSUU3A0-A_14_0"/>
      <w:bookmarkStart w:id="656" w:name="Tc_g47jwvAhfkmKnTtlPEH0gA_13_0"/>
      <w:bookmarkStart w:id="657" w:name="Tc_PSr2hl4Mzk2bI5D3rpPJzw_12_0"/>
      <w:bookmarkStart w:id="658" w:name="Tc_kbdJ_W6Ha0KeCNHz7eRr3w_11_0"/>
      <w:bookmarkStart w:id="659" w:name="Tc_HnQaWy9PxESn2OgphornGQ_10_0"/>
      <w:bookmarkStart w:id="660" w:name="Tc_WDdcgrV49ES--2RT2LQPfg_9_0"/>
      <w:bookmarkStart w:id="661" w:name="Tc_C-EiQsu-2EOzdnb7vQ0P5g_8_0"/>
      <w:bookmarkStart w:id="662" w:name="Tc_S_D8XnAYsU-OHpdvyE2lyg_7_6"/>
      <w:bookmarkStart w:id="663" w:name="Tc_45Wxz_nFsU-MicZt05CJdg_7_0"/>
      <w:bookmarkStart w:id="664" w:name="Tc_nNdeuCad10C1xMR22jjwnQ_6_0"/>
      <w:bookmarkStart w:id="665" w:name="Tc_c3cN0E9N9UuV28gFJYM2xw_5_0"/>
      <w:bookmarkStart w:id="666" w:name="Tc_uCnve-J-gUiGJyy5_SIN0Q_4_5"/>
      <w:bookmarkStart w:id="667" w:name="Tc_-x_FPIdJNkeNMV6JAcxsbQ_4_2"/>
      <w:bookmarkStart w:id="668" w:name="Tc_rH57UJGlYUyzz3KPz_FAeQ_4_0"/>
      <w:bookmarkStart w:id="669" w:name="Tc_dvXrlQcGX0mNBW6ymfC2Ag_3_0"/>
      <w:bookmarkStart w:id="670" w:name="Tc_md-PHyT6T0KvaRfugwHELg_2_5"/>
      <w:bookmarkStart w:id="671" w:name="Tc_clO2d5ylVkiKiqj7jVHyNg_2_2"/>
      <w:bookmarkStart w:id="672" w:name="Tc_CnSul8op3U-Lg07KgCTLiA_1_2"/>
      <w:bookmarkStart w:id="673" w:name="_724ce1bd_1001_402c_a1c3_0c73940e9e6c"/>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tbl>
      <w:tblPr>
        <w:tblW w:w="9595" w:type="dxa"/>
        <w:jc w:val="left"/>
        <w:tblInd w:w="0" w:type="dxa"/>
        <w:tblLayout w:type="fixed"/>
        <w:tblCellMar>
          <w:top w:w="0" w:type="dxa"/>
          <w:left w:w="0" w:type="dxa"/>
          <w:bottom w:w="0" w:type="dxa"/>
          <w:right w:w="0" w:type="dxa"/>
        </w:tblCellMar>
      </w:tblPr>
      <w:tblGrid>
        <w:gridCol w:w="6826"/>
        <w:gridCol w:w="326"/>
        <w:gridCol w:w="226"/>
        <w:gridCol w:w="729"/>
        <w:gridCol w:w="377"/>
        <w:gridCol w:w="226"/>
        <w:gridCol w:w="885"/>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34510" cy="175260"/>
                      <wp:effectExtent l="0" t="0" r="0" b="0"/>
                      <wp:wrapNone/>
                      <wp:docPr id="17" name="Frame17"/>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3510" cy="175260"/>
                      <wp:effectExtent l="0" t="0" r="0" b="0"/>
                      <wp:wrapNone/>
                      <wp:docPr id="19"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62915" cy="175260"/>
                      <wp:effectExtent l="0" t="0" r="0" b="0"/>
                      <wp:wrapNone/>
                      <wp:docPr id="20" name="Frame20"/>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9395" cy="175260"/>
                      <wp:effectExtent l="0" t="0" r="0" b="0"/>
                      <wp:wrapNone/>
                      <wp:docPr id="21" name="Frame21"/>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2" name="Frame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61975" cy="175260"/>
                      <wp:effectExtent l="0" t="0" r="0" b="0"/>
                      <wp:wrapNone/>
                      <wp:docPr id="23" name="Frame23"/>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7"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pPr>
            <w:r>
              <w:rPr/>
              <w:t>  </w:t>
            </w:r>
          </w:p>
        </w:tc>
        <w:tc>
          <w:tcPr>
            <w:tcW w:w="377"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  </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(5,829)</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(2,762)</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1,264</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operating lease right of use asset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416</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1,543</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loss on equity investment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273</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inventory</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(906)</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other assets, current and non-current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other liabilities, current and non-current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(2,482)</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(1,612)</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Net cash used in operating activities </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(5,865)</w:t>
            </w:r>
          </w:p>
        </w:tc>
        <w:tc>
          <w:tcPr>
            <w:tcW w:w="377"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  </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(1,404)</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Investment in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(1,882)</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HyperPointe net of cash assumed</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(4,853)</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(3,290)</w:t>
            </w:r>
          </w:p>
        </w:tc>
        <w:tc>
          <w:tcPr>
            <w:tcW w:w="3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(6,779)</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(11,095)</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Contributions from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for shares withheld on vesting</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 of Paycheck Protection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(2,151)</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(13,943)</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77"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(9,169)</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(22,516)</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the period</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19,789</w:t>
            </w:r>
          </w:p>
        </w:tc>
        <w:tc>
          <w:tcPr>
            <w:tcW w:w="377"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106,257</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10,620</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83,741</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paid for</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29"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vAlign w:val="center"/>
          </w:tcPr>
          <w:p>
            <w:pPr>
              <w:pStyle w:val="TableContents"/>
              <w:bidi w:val="0"/>
              <w:spacing w:before="0" w:after="0"/>
              <w:ind w:left="0" w:right="0" w:hanging="0"/>
              <w:jc w:val="righ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investing and financing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85" w:type="dxa"/>
            <w:tcBorders/>
            <w:shd w:fill="CCEEFF" w:val="clear"/>
            <w:vAlign w:val="center"/>
          </w:tcPr>
          <w:p>
            <w:pPr>
              <w:pStyle w:val="TableContents"/>
              <w:bidi w:val="0"/>
              <w:spacing w:before="0" w:after="0"/>
              <w:ind w:left="0" w:right="0" w:hanging="0"/>
              <w:jc w:val="righ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 included in Accounts payable, 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377"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on acquisition of gcg Connect, LLC, d/b/a HyperPointe</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5"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906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form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74" w:name="_Hlk133955199"/>
      <w:bookmarkStart w:id="675" w:name="_a9d62e79_462e_4d78_b640_0b0ede3a5c86"/>
      <w:bookmarkEnd w:id="674"/>
      <w:bookmarkEnd w:id="675"/>
      <w:r>
        <w:rPr>
          <w:rFonts w:ascii="Times New Roman;Times;serif" w:hAnsi="Times New Roman;Times;serif"/>
          <w:b/>
          <w:sz w:val="20"/>
        </w:rPr>
        <w:t>XWELL,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280" w:after="0"/>
        <w:ind w:left="0" w:right="0" w:hanging="0"/>
        <w:jc w:val="left"/>
        <w:rPr>
          <w:rFonts w:ascii="Times New Roman;Times;serif" w:hAnsi="Times New Roman;Times;serif"/>
          <w:b/>
          <w:sz w:val="24"/>
        </w:rPr>
      </w:pPr>
      <w:r>
        <w:rPr>
          <w:rFonts w:ascii="Times New Roman;Times;serif" w:hAnsi="Times New Roman;Times;serif"/>
          <w:b/>
          <w:sz w:val="24"/>
        </w:rPr>
        <w:t>Note 1. Business, Basis of Presentation and Liquidity</w:t>
      </w:r>
    </w:p>
    <w:p>
      <w:pPr>
        <w:pStyle w:val="TextBody"/>
        <w:bidi w:val="0"/>
        <w:spacing w:before="280" w:after="24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since the opening of the trading market on October 25, 2022. </w:t>
      </w:r>
      <w:r>
        <w:rPr>
          <w:rFonts w:ascii="Times New Roman;Times;serif" w:hAnsi="Times New Roman;Times;serif"/>
          <w:sz w:val="20"/>
          <w:shd w:fill="FFFFFF" w:val="clear"/>
        </w:rPr>
        <w:t xml:space="preserve"> The Company filed an amended and restated certificate of incorporation with the Delaware Secretary of State on October 24, 2022 (the “Amended and Restated Certificate”) reflecting the name change. </w:t>
      </w:r>
      <w:r>
        <w:rPr>
          <w:rFonts w:ascii="Times New Roman;Times;serif" w:hAnsi="Times New Roman;Times;serif"/>
          <w:sz w:val="20"/>
        </w:rPr>
        <w:t>Rebranding to XWELL aligned the Company’s corporate strategy to build a pure-play health and wellness services company, in both the airport and off airport marketplaces.</w:t>
      </w:r>
    </w:p>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14"/>
        </w:rPr>
      </w:pPr>
      <w:r>
        <w:rPr>
          <w:rFonts w:ascii="Times New Roman;Times;serif" w:hAnsi="Times New Roman;Times;serif"/>
          <w:sz w:val="20"/>
        </w:rPr>
        <w:t>XWELL is a global travel health and wellness services holding company. XWELL currently has four</w:t>
      </w:r>
      <w:r>
        <w:rPr>
          <w:rFonts w:ascii="Times New Roman;Times;serif" w:hAnsi="Times New Roman;Times;serif"/>
          <w:sz w:val="14"/>
        </w:rPr>
        <w:t xml:space="preserve"> </w:t>
      </w:r>
      <w:r>
        <w:rPr>
          <w:rFonts w:ascii="Times New Roman;Times;serif" w:hAnsi="Times New Roman;Times;serif"/>
          <w:sz w:val="20"/>
        </w:rPr>
        <w:t>reportable operating segments: XpresSpa</w:t>
      </w:r>
      <w:r>
        <w:rPr>
          <w:rFonts w:ascii="Times New Roman;Times;serif" w:hAnsi="Times New Roman;Times;serif"/>
          <w:sz w:val="11"/>
          <w:shd w:fill="FFFFFF" w:val="clear"/>
        </w:rPr>
        <w:t>®</w:t>
      </w:r>
      <w:r>
        <w:rPr>
          <w:rFonts w:ascii="Times New Roman;Times;serif" w:hAnsi="Times New Roman;Times;serif"/>
          <w:sz w:val="20"/>
        </w:rPr>
        <w:t>, XpresTest</w:t>
      </w:r>
      <w:r>
        <w:rPr>
          <w:rFonts w:ascii="Times New Roman;Times;serif" w:hAnsi="Times New Roman;Times;serif"/>
          <w:sz w:val="11"/>
          <w:shd w:fill="FFFFFF" w:val="clear"/>
        </w:rPr>
        <w:t>®</w:t>
      </w:r>
      <w:r>
        <w:rPr>
          <w:rFonts w:ascii="Times New Roman;Times;serif" w:hAnsi="Times New Roman;Times;serif"/>
          <w:sz w:val="20"/>
        </w:rPr>
        <w:t>, Treat</w:t>
      </w:r>
      <w:r>
        <w:rPr>
          <w:rFonts w:ascii="Times New Roman;Times;serif" w:hAnsi="Times New Roman;Times;serif"/>
          <w:sz w:val="14"/>
          <w:shd w:fill="FFFFFF" w:val="clear"/>
        </w:rPr>
        <w:t>™</w:t>
      </w:r>
      <w:r>
        <w:rPr>
          <w:rFonts w:ascii="Times New Roman;Times;serif" w:hAnsi="Times New Roman;Times;serif"/>
          <w:sz w:val="20"/>
        </w:rPr>
        <w:t>, and HyperPointe which was acquired in January 2022.</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XWELL’s subsidiary, XpresSpa Holdings, LLC (“XpresSpa”) has been a global airport retailer of spa services through its XpresSpa spa locations, offering travelers premium spa services, including massage, nail and skin care, as well as spa and travel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2023, there were </w:t>
      </w:r>
      <w:r>
        <w:rPr>
          <w:rFonts w:ascii="Times New Roman;Times;serif" w:hAnsi="Times New Roman;Times;serif"/>
          <w:sz w:val="20"/>
          <w:shd w:fill="FFFFFF" w:val="clear"/>
        </w:rPr>
        <w:t>25</w:t>
      </w:r>
      <w:r>
        <w:rPr>
          <w:rFonts w:ascii="Times New Roman;Times;serif" w:hAnsi="Times New Roman;Times;serif"/>
          <w:sz w:val="20"/>
        </w:rPr>
        <w:t xml:space="preserve"> operating XpresSpa domestic locations. During 2022, the Company sold one</w:t>
      </w:r>
      <w:r>
        <w:rPr>
          <w:rFonts w:ascii="Times New Roman;Times;serif" w:hAnsi="Times New Roman;Times;serif"/>
          <w:sz w:val="20"/>
          <w:shd w:fill="FFFFFF" w:val="clear"/>
        </w:rPr>
        <w:t xml:space="preserve"> location in Austin-Bergstrom International Airport to its franchisee which now operates both locations at this airport. </w:t>
      </w:r>
      <w:r>
        <w:rPr>
          <w:rFonts w:ascii="Times New Roman;Times;serif" w:hAnsi="Times New Roman;Times;serif"/>
          <w:sz w:val="20"/>
        </w:rPr>
        <w:t>As the Company continues to monitor fluctuating airport volumes, the Company will  also continue to review operating hours to optimize revenue opportunity.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also had 10 international locations operating as of March 31, 2023, including two XpresSpa locations in Dubai International Airport in the United Arab Emirates, three XpresSpa locations in Schiphol Amsterdam Airport in the Netherlands and five XpresSpa locations in Istanbul Airport in Turkey.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 partnership with certain COVID-19 testing partners, successfully launched its XpresCheck Wellness Centers through its XpresTest, Inc. subsidiary (“XpresTest”), offering testing services, also in airports.  During 2022, as countries continued to relax their testing requirements resulting in rapid decline of testing volumes at Company’s  XpresCheck locations, the Company closed all but one XpresCheck Wellness Center. Therefore, as of March 31, 2023, there was only one operating XpresCheck location operating in one airport.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XpresTest began conducting biosurveillance monitoring with the Centers for Disease Control and Prevention (CDC) in collaboration with Concentric by Ginkgo in 2021 and on January 31, 2022, the Company announced the extension of the initial program, bringing the total contract to $5,534. As of August 2022, the program was renewed in partnership with Ginkgo BioWorks for a new two-year contract term which represents approximately $7,331 in revenue (for the first year) for the XpresTest segment. Funding for the second year is anticipated but has not been confirmed at this time.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Treat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Treat segment, which is operating through XWELL’s subsidiary Treat, Inc. (“Treat”) is a travel health and wellness brand that provides access to health and wellness services for travelers at on-site centers (currently located in JFK International Airport and in Salt Lake City International Airport).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2022, the Company’s Treat brand opened new locations in Phoenix Sky Harbor International Airport (pre-security) and Salt Lake City International Airport. With respect to these locations in Phoenix and Salt Lake City, agreements had already been executed with the aiports and the decision was made to convert these locations to Treat.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the third quarter of 2022, it became clear that the Treat business was underperforming and as a result, the Company began to retool the offerings within the Treat locations by providing additional retail as part of our retail strategy expansion as well as lay the foundation to bring more spa-like services into the Treat location in an attempt to unify our core offering.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the fourth quarter of 2022, the decision was made to close the pre-security Treat location at Phoenix Sky Harbor Airport. As of March 31, 2023, the Treat brand operates two locations (JFK International Airport and Salt Lake City International Airport).  These remaining Treat locations offer a full retail product offering and a suite of wellness and spa services.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HyperPointe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HyperPointe segment, which the Company acquired in January 2022,  provides a broad range of service and support options for our customers, including technical support services and advanced services.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interim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2022, as amended. The condensed consolidated balance sheet as of December 31, 2022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as well as variable interest entities in which we are the primary beneficiaries. All adjustments that, in the opinion of management, are necessary for a fair presentation for the periods presented have been reflected by the Company. Such adjustments are of a normal, recurring nature. The results of operations for the three months ended March 31, 2023 are not necessarily indicative of the results that may be expected for the entire fiscal year or for any other interim period. All significant intercompany balances and transactions have been eliminated in consolidation.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Financial Condition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the Company had cash and cash equivalents, excluding restricted cash, of $9,869, $25,241 in marketable securities, and total current assets of $39,893. Our total current liabilities balance, which includes accounts payable, deferred revenue, accrued expenses, and operating lease liabilities was approximately $9,053 as of March 31, 2023 and $10,956 as of December 31, 2022. The working capital surplus was $30,840 as of March 31, 2023, compared to a working capital surplus of  $36,376 as of December 31,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significantly reduced operating and overhead expenses since the second half of 2022, while it continues to focus on returning to overall profitability.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taken actions to improve its overall cash position and access to liquidity through equity offerings and debt retirements, by exploring valuable strategic partnerships, right sizing its corporate structure and streamlining its operations.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Significant Accounting and Reporting Policies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 Revenue Recognition Policy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XpresSpa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collaborative agreements with marketing partners whereby it sells certain of its partners’ products in its XpresSpa spas.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XpresTest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third quarter of 2022, XpresTest, in partnership with Ginkgo Bioworks in continuation of their support to the CDC’s traveler-based SARS-CoV-2 genomic surveillance program were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we are entitled to $6,761 for the sample collection (passenger and aircraft wastewater) and $570 for the traveler enrollment initiatives, which represents the amount of consideration that we are entitled. The Company recognizes revenue over time for both sample collection performance obligations, using the input method based on time elapsed to measure progress towards satisfying each of the performance obligations. The Company recognizes revenue ratably (straight line basis) over the term of the contract (one year). We will recognize revenue over time for the traveler enrollment initiative performance obligation based on the amount for which we have the right to invoice. The Company recorded $1,670 in revenue during the first quarter ended March 31, 2023 related to sample collection performance obligations because the Company’s efforts towards satisfying each of the performance obligations are expended evenly throughout the period of performance.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Treat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 from the sale of Treat products and services when the services are rendered at Treat Centers and from the sale of products at the time products are purchased at the Treat Centers or online usually by credit card, net of discounts and applicable sales taxes. Accordingly, the Company recognizes revenue for the Company’s single performance obligation related to both in-centers and online sales at the point at which the service has been performed or the control of the merchandise has passed to the customer. Revenues from the Treat retail and e-commerce businesses are recorded at the time goods are shipped. Also, under the terms of Treat’s contracts professional limited liability companies (PLLCs), whereby the PLLCs as their performance obligations provide travel-related diagnostic testing for virus, cold, flu and other illnesses as well as hydration therapy, IV drips, and vitamin injections.  The Company determined that these PLLCs are variable interest entities due to its equity holder having insufficient capital at risk, and the Company having a variable interest in the PLLCs. As a result of this determination, the total revenue of the PLLCs is designated as revenue for the Company.  This  revenue is recognized at the point in time at which the service is performed by the PLLCs.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676" w:name="_Hlk22334523"/>
      <w:bookmarkEnd w:id="676"/>
      <w:r>
        <w:rPr>
          <w:rFonts w:ascii="Times New Roman;Times;serif" w:hAnsi="Times New Roman;Times;serif"/>
          <w:i/>
          <w:sz w:val="20"/>
        </w:rPr>
        <w:t>HyperPointe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HyperPointe segment which we acquired in January 2022,  provides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 billed in advance are treated as deferred revenue which was $310 and $322 as of March 31, 2023 and December 31, 2022, respectively.  HyperPointe had unbilled receivables of $295 and $0 as of March 31, 2023 and December 31, 2022, respectively, included in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excludes all sales taxes assessed to our customers from revenue. Sales taxes assessed on revenues are included in accrued expenses and other current liabilities on the Company’s condensed consolidated balance sheets until remitted to state agencies.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 Business Combinations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The Company applies the provisions of</w:t>
      </w:r>
      <w:r>
        <w:rPr>
          <w:rFonts w:ascii="Times New Roman;Times;serif" w:hAnsi="Times New Roman;Times;serif"/>
          <w:sz w:val="20"/>
        </w:rPr>
        <w:t xml:space="preserve"> </w:t>
      </w:r>
      <w:r>
        <w:rPr>
          <w:rFonts w:ascii="Times New Roman;Times;serif" w:hAnsi="Times New Roman;Times;serif"/>
          <w:sz w:val="20"/>
          <w:shd w:fill="FFFFFF" w:val="clear"/>
        </w:rPr>
        <w:t xml:space="preserve">Financial Accounting Standards Board (“FASB”) </w:t>
      </w:r>
      <w:r>
        <w:rPr>
          <w:rFonts w:ascii="Times New Roman;Times;serif" w:hAnsi="Times New Roman;Times;serif"/>
          <w:sz w:val="20"/>
        </w:rPr>
        <w:t xml:space="preserve">Accounting Standards Codification </w:t>
      </w:r>
      <w:r>
        <w:rPr>
          <w:rFonts w:ascii="Roboto" w:hAnsi="Roboto"/>
          <w:color w:val="4D5156"/>
          <w:sz w:val="21"/>
          <w:shd w:fill="FFFFFF" w:val="clear"/>
        </w:rPr>
        <w:t>(“</w:t>
      </w:r>
      <w:r>
        <w:rPr>
          <w:rFonts w:ascii="Times New Roman;Times;serif" w:hAnsi="Times New Roman;Times;serif"/>
          <w:sz w:val="20"/>
          <w:shd w:fill="FFFFFF" w:val="clear"/>
        </w:rPr>
        <w:t>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(c) Goodwill</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Company accounts for goodwill under FASB ASC 350-30, Intangibles-Goodwill and Other.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 Reclassification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balances in the condensed consolidated financial statements for the quarter ended March 31, 2022 have been reclassified to conform to the presentation in the condensed consolidated financial statements for the quarter ended March 31, 2023, primarily the separate classification and presentation of accounts payable, gross profits, and foreign exchange gain (loss). Such reclassifications did not have a material impact on the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2016, the FASB issued Accounting Standards Update (“ASU”) 2016-13, Financial Instruments-Credit Losses (Topic 326): Measurement of Credit Losses on Financial Instruments ("ASU 2016-13"). ASU 2016-13's main goal is to improve financial reporting by requiring earlier recognition of credit losses on financing receivables and other financial assets in scope. The guidance is effective for annual periods beginning after December 15, 2022, including interim periods within those fiscal years. On implementation in 2023, the ASU did not have material impact on the Company’s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October 2021, the FASB issued ASU 2021-08, Business Combinations (Topic 805): Accounting for Contract Assets and Contract Liabilities from Contracts with Customers (“ASU 2021-08”). ASU 2021-08 requires contract assets and contract liabilities acquired in a business acquisition to be recognized and measured in accordance with ASC Topic 606, Revenues from Contracts with Customers, which the Company generally expects will result in the recognition and measurement of contract assets and contract liabilities in a manner that is consistent with the acquiree. For the Company, the amendments are effective for fiscal years beginning after December 15, 2022, including interim periods within those fiscal years. The Company implemented the ASU 2021-08 in 2023. Although, the materiality of the application of ASU 2021-08 depends on the recognition and measurement of acquired assets and liabilities associated with future acquisitions, as the Company did not have any acquisition during the first quarter of 2023,  the adoption of  ASU 2021-08 did not have  material impact on the Company’s financial statements.   </w:t>
      </w:r>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77" w:name="Tc_jj-wa7teLk2DpOkJ3sCg8Q_15_0"/>
      <w:bookmarkStart w:id="678" w:name="Tc_JRk2sHO8KE6CVwMEZD9Zlw_14_0"/>
      <w:bookmarkStart w:id="679" w:name="Tc_sqwQDfiEL0eka0B4VS1dOg_13_0"/>
      <w:bookmarkStart w:id="680" w:name="Tc_CGLc8rZoxUiIapk92QiGEg_12_0"/>
      <w:bookmarkStart w:id="681" w:name="Tc_P7aJ9QYBk0Cljt4n1dADew_11_0"/>
      <w:bookmarkStart w:id="682" w:name="Tc_d3WVHBzeV06YYwvULaPsNA_9_0"/>
      <w:bookmarkStart w:id="683" w:name="Tc_6qmcegaLyEifu0oMz4_FJQ_8_0"/>
      <w:bookmarkStart w:id="684" w:name="Tc_xCdRtxB--kaeQCXksBpnmw_7_0"/>
      <w:bookmarkStart w:id="685" w:name="Tc_nt0psmDVOUy09KsYTNC7Sw_6_5"/>
      <w:bookmarkStart w:id="686" w:name="Tc_Purp0d2bvEic5C9wjl4WuA_6_2"/>
      <w:bookmarkStart w:id="687" w:name="Tc_DJZGaVpxMU-8h7by87rYEA_6_0"/>
      <w:bookmarkStart w:id="688" w:name="Tc_XWn5PLcZEEK6MmuylN_vBA_5_5"/>
      <w:bookmarkStart w:id="689" w:name="Tc_cxpMPR-IFECiCQShD_weAg_5_2"/>
      <w:bookmarkStart w:id="690" w:name="Tc_rWCR74LUJE-ryuufSqDyRw_5_0"/>
      <w:bookmarkStart w:id="691" w:name="Tc_f009vzSXtk2y_PIemLCitQ_4_0"/>
      <w:bookmarkStart w:id="692" w:name="Tc_O5xaX8hCrkieztckXnCG-g_3_5"/>
      <w:bookmarkStart w:id="693" w:name="Tc_7vj5SnB670Wbbw0_6-Rskw_3_2"/>
      <w:bookmarkStart w:id="694" w:name="Tc_83VfR-1sdU6NbK8rlpX-Ow_2_2"/>
      <w:bookmarkStart w:id="695" w:name="Tc_jM7dNo2fP0mskhKQlib37A_1_2"/>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Pr>
          <w:rFonts w:ascii="Times New Roman;Times;serif" w:hAnsi="Times New Roman;Times;serif"/>
          <w:b/>
          <w:sz w:val="20"/>
        </w:rPr>
        <w:t>Note 3. Potentially Dilutive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presents the computation of basic and diluted net loss per share of Common Stock:</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909"/>
        <w:gridCol w:w="326"/>
        <w:gridCol w:w="211"/>
        <w:gridCol w:w="1036"/>
        <w:gridCol w:w="326"/>
        <w:gridCol w:w="211"/>
        <w:gridCol w:w="1186"/>
      </w:tblGrid>
      <w:tr>
        <w:trPr/>
        <w:tc>
          <w:tcPr>
            <w:tcW w:w="6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387215" cy="175260"/>
                      <wp:effectExtent l="0" t="0" r="0" b="0"/>
                      <wp:wrapNone/>
                      <wp:docPr id="24" name="Frame24"/>
                      <a:graphic xmlns:a="http://schemas.openxmlformats.org/drawingml/2006/main">
                        <a:graphicData uri="http://schemas.microsoft.com/office/word/2010/wordprocessingShape">
                          <wps:wsp>
                            <wps:cNvSpPr txBox="1"/>
                            <wps:spPr>
                              <a:xfrm>
                                <a:off x="0" y="0"/>
                                <a:ext cx="438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57860" cy="175260"/>
                      <wp:effectExtent l="0" t="0" r="0" b="0"/>
                      <wp:wrapNone/>
                      <wp:docPr id="27" name="Frame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53110" cy="175260"/>
                      <wp:effectExtent l="0" t="0" r="0" b="0"/>
                      <wp:wrapNone/>
                      <wp:docPr id="30" name="Frame3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7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69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69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9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6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XWELL, Inc.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w:t>
            </w:r>
          </w:p>
        </w:tc>
      </w:tr>
      <w:tr>
        <w:trPr/>
        <w:tc>
          <w:tcPr>
            <w:tcW w:w="6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(4,283)</w:t>
            </w:r>
          </w:p>
        </w:tc>
      </w:tr>
      <w:tr>
        <w:trPr/>
        <w:tc>
          <w:tcPr>
            <w:tcW w:w="69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and diluted 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6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83,345,896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101,601,913</w:t>
            </w:r>
          </w:p>
        </w:tc>
      </w:tr>
      <w:tr>
        <w:trPr/>
        <w:tc>
          <w:tcPr>
            <w:tcW w:w="6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r>
      <w:tr>
        <w:trPr/>
        <w:tc>
          <w:tcPr>
            <w:tcW w:w="69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69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 data presented above excludes from the calculation of diluted net (loss) income, the following potentially dilutive securities, having an anti-dilutive impact, in case of 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6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Both vested and unvested options to purchase an equal number of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7,694,370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4,062,699</w:t>
            </w:r>
          </w:p>
        </w:tc>
      </w:tr>
      <w:tr>
        <w:trPr/>
        <w:tc>
          <w:tcPr>
            <w:tcW w:w="69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RSUs to issue an equal number of shares of 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367,189</w:t>
            </w:r>
          </w:p>
        </w:tc>
      </w:tr>
      <w:tr>
        <w:trPr/>
        <w:tc>
          <w:tcPr>
            <w:tcW w:w="69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to purchase an equal number of shares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29,460,560</w:t>
            </w:r>
          </w:p>
        </w:tc>
      </w:tr>
      <w:tr>
        <w:trPr/>
        <w:tc>
          <w:tcPr>
            <w:tcW w:w="69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number of potentially dilutive securities excluded from the calculation of earnings/(loss) per share attributable to common shareholders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8,024,758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33,890,448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96" w:name="Tc_SuV0Xh91fkaMhP1olN3V_g_6_5"/>
      <w:bookmarkStart w:id="697" w:name="Tc_xzKAqwLsc0yKxq7PbyVSkw_6_2"/>
      <w:bookmarkStart w:id="698" w:name="Tc_hkv0KnFnZEmk4GUXxDC1QA_6_0"/>
      <w:bookmarkStart w:id="699" w:name="Tc_oOwxwEnKx0ChwpxJOF2SDg_5_0"/>
      <w:bookmarkStart w:id="700" w:name="Tc_8sSUqzPldkyuLxjZ3OWItg_4_0"/>
      <w:bookmarkStart w:id="701" w:name="Tc_Covt-CzrlkKUFZ0Iw54wng_3_0"/>
      <w:bookmarkStart w:id="702" w:name="Tc_cKyM4QwJdkqXCZdKUbCFVw_2_5"/>
      <w:bookmarkStart w:id="703" w:name="Tc_HqPTYosKtUqKVL6m4qMr5w_2_2"/>
      <w:bookmarkStart w:id="704" w:name="Tc_EHslgK7RH0it4TxJ2kVxIQ_2_0"/>
      <w:bookmarkStart w:id="705" w:name="Tc_VaTQoMIPUUGs_TzdLSRKTg_1_5"/>
      <w:bookmarkStart w:id="706" w:name="Tc_D-pDoyeiQUiqLuxX0-_f1Q_1_2"/>
      <w:bookmarkEnd w:id="696"/>
      <w:bookmarkEnd w:id="697"/>
      <w:bookmarkEnd w:id="698"/>
      <w:bookmarkEnd w:id="699"/>
      <w:bookmarkEnd w:id="700"/>
      <w:bookmarkEnd w:id="701"/>
      <w:bookmarkEnd w:id="702"/>
      <w:bookmarkEnd w:id="703"/>
      <w:bookmarkEnd w:id="704"/>
      <w:bookmarkEnd w:id="705"/>
      <w:bookmarkEnd w:id="706"/>
      <w:r>
        <w:rPr>
          <w:rFonts w:ascii="Times New Roman;Times;serif" w:hAnsi="Times New Roman;Times;serif"/>
          <w:b/>
          <w:sz w:val="20"/>
        </w:rPr>
        <w:t xml:space="preserve">Note 4. Cash, Cash Equivalents, and Restricted Cash </w:t>
      </w:r>
    </w:p>
    <w:p>
      <w:pPr>
        <w:pStyle w:val="TextBody"/>
        <w:bidi w:val="0"/>
        <w:spacing w:before="0" w:after="0"/>
        <w:ind w:left="0" w:right="0" w:hanging="0"/>
        <w:jc w:val="left"/>
        <w:rPr/>
      </w:pPr>
      <w:r>
        <w:rPr/>
        <w:t>​</w:t>
      </w:r>
    </w:p>
    <w:tbl>
      <w:tblPr>
        <w:tblW w:w="9055" w:type="dxa"/>
        <w:jc w:val="left"/>
        <w:tblInd w:w="0" w:type="dxa"/>
        <w:tblLayout w:type="fixed"/>
        <w:tblCellMar>
          <w:top w:w="0" w:type="dxa"/>
          <w:left w:w="0" w:type="dxa"/>
          <w:bottom w:w="0" w:type="dxa"/>
          <w:right w:w="0" w:type="dxa"/>
        </w:tblCellMar>
      </w:tblPr>
      <w:tblGrid>
        <w:gridCol w:w="5191"/>
        <w:gridCol w:w="326"/>
        <w:gridCol w:w="342"/>
        <w:gridCol w:w="1099"/>
        <w:gridCol w:w="326"/>
        <w:gridCol w:w="376"/>
        <w:gridCol w:w="1395"/>
      </w:tblGrid>
      <w:tr>
        <w:trPr/>
        <w:tc>
          <w:tcPr>
            <w:tcW w:w="5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296285" cy="175260"/>
                      <wp:effectExtent l="0" t="0" r="0" b="0"/>
                      <wp:wrapNone/>
                      <wp:docPr id="31" name="Frame31"/>
                      <a:graphic xmlns:a="http://schemas.openxmlformats.org/drawingml/2006/main">
                        <a:graphicData uri="http://schemas.microsoft.com/office/word/2010/wordprocessingShape">
                          <wps:wsp>
                            <wps:cNvSpPr txBox="1"/>
                            <wps:spPr>
                              <a:xfrm>
                                <a:off x="0" y="0"/>
                                <a:ext cx="3296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7170" cy="175260"/>
                      <wp:effectExtent l="0" t="0" r="0" b="0"/>
                      <wp:wrapNone/>
                      <wp:docPr id="33" name="Frame3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7865" cy="175260"/>
                      <wp:effectExtent l="0" t="0" r="0" b="0"/>
                      <wp:wrapNone/>
                      <wp:docPr id="34" name="Frame34"/>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38760" cy="175260"/>
                      <wp:effectExtent l="0" t="0" r="0" b="0"/>
                      <wp:wrapNone/>
                      <wp:docPr id="36" name="Frame3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885825" cy="175260"/>
                      <wp:effectExtent l="0" t="0" r="0" b="0"/>
                      <wp:wrapNone/>
                      <wp:docPr id="37" name="Frame37"/>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denominated in United States dollars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7,405</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16,344</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denominated in currency other than United States dollars</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r>
      <w:tr>
        <w:trPr/>
        <w:tc>
          <w:tcPr>
            <w:tcW w:w="5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and debit card receivables</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5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10,620</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19,789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places its cash and temporary cash investments with credit quality institutions. At times, such cash denominated in United States dollars may be in excess of the Federal Deposit Insurance Corporation (“FDIC”) insurance limit. At March 31, 2023 and December 31, 2022, deposits in excess of FDIC limits were $7,286 and $16,069, respectively. As of March 31, 2023 and December 31, 2022, the Company held cash balances in overseas accounts, totaling $2,335 and $2,562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pStyle w:val="TextBody"/>
        <w:bidi w:val="0"/>
        <w:spacing w:before="0" w:after="240"/>
        <w:ind w:left="0" w:right="0" w:hanging="0"/>
        <w:jc w:val="left"/>
        <w:rPr>
          <w:rFonts w:ascii="Times New Roman;Times;serif" w:hAnsi="Times New Roman;Times;serif"/>
          <w:b/>
          <w:sz w:val="20"/>
        </w:rPr>
      </w:pPr>
      <w:bookmarkStart w:id="707" w:name="Tc_dAhef14Uu0m3X81GN7Q9Sg_8_2"/>
      <w:bookmarkStart w:id="708" w:name="Tc_96opUNOB6EG58m_YPolumQ_8_0"/>
      <w:bookmarkStart w:id="709" w:name="Tc_qEK-x8AlZkSpvoJFZCLTTw_7_0"/>
      <w:bookmarkStart w:id="710" w:name="Tc_NVz8zg5R40yphlb-5-lNpw_6_0"/>
      <w:bookmarkStart w:id="711" w:name="Tc_yttbZx5RAUiMOtiYWjm-jA_5_0"/>
      <w:bookmarkStart w:id="712" w:name="Tc_f8BqrZ3_ZkW4hHN5ujqQsA_4_0"/>
      <w:bookmarkStart w:id="713" w:name="Tc_dvhasUeu20WBku2AYLAung_3_0"/>
      <w:bookmarkStart w:id="714" w:name="Tc_JbTI3xw64EGWEznYukOYHQ_2_2"/>
      <w:bookmarkStart w:id="715" w:name="Tc_JDd0iKVDN0S-EoGQAn9Yiw_2_0"/>
      <w:bookmarkStart w:id="716" w:name="Tc_xEBkuxbDPEGf3wjN5mWJKg_1_2"/>
      <w:bookmarkStart w:id="717" w:name="Tc__80-3Fo2nkisS1vB1dmAUg_1_0"/>
      <w:bookmarkStart w:id="718" w:name="Tc_yWBiChJIfk6oLIxrawUdQA_9_17"/>
      <w:bookmarkStart w:id="719" w:name="Tc_iiO9nx0Jc0Ca313QjPF1cQ_9_14"/>
      <w:bookmarkStart w:id="720" w:name="Tc_VStV_wr51E6HhS6IRIpzaA_9_11"/>
      <w:bookmarkStart w:id="721" w:name="Tc_pM5pLrskVk-9roLzuXa-8g_9_8"/>
      <w:bookmarkStart w:id="722" w:name="Tc_ZV5_FdbgIE-khTOIjgfqcA_9_5"/>
      <w:bookmarkStart w:id="723" w:name="Tc_MJiS4kwp50qYjLwmy3pKew_9_2"/>
      <w:bookmarkStart w:id="724" w:name="Tc_uIN3KsVdpUKCVm8Nr_hwQg_9_0"/>
      <w:bookmarkStart w:id="725" w:name="Tc_AkHuo3MLI0G_nAMk1D0etA_8_0"/>
      <w:bookmarkStart w:id="726" w:name="Tc_10NqqKej_0CPuktnXri-Rw_7_0"/>
      <w:bookmarkStart w:id="727" w:name="Tc_2XMq0k8EXkeRJOd9slu80Q_6_0"/>
      <w:bookmarkStart w:id="728" w:name="Tc_7vNIhgnA1kqXDu3dmGVvZA_5_17"/>
      <w:bookmarkStart w:id="729" w:name="Tc_Z1QKRSeMTkqpboHC9x_EpQ_5_14"/>
      <w:bookmarkStart w:id="730" w:name="Tc_yIYjOQvn6E6xsFyl6wIJbA_5_11"/>
      <w:bookmarkStart w:id="731" w:name="Tc_k-Ab6SDA2kOWFNOTMbTn1g_5_8"/>
      <w:bookmarkStart w:id="732" w:name="Tc_IzUQW8fV-kC9phykOXE0Bw_5_5"/>
      <w:bookmarkStart w:id="733" w:name="Tc_LuMibauxB0ibEzWzzslkkg_5_2"/>
      <w:bookmarkStart w:id="734" w:name="Tc_mapSuoZcLEur96ImFfM6Qg_5_0"/>
      <w:bookmarkStart w:id="735" w:name="Tc_qJ1ouVALz0azsCC6fjVK5w_4_17"/>
      <w:bookmarkStart w:id="736" w:name="Tc_oag6KUoGSkGh06iXTRdGyA_4_14"/>
      <w:bookmarkStart w:id="737" w:name="Tc_Ee44Bqjaa06aqHXGboJDcg_4_11"/>
      <w:bookmarkStart w:id="738" w:name="Tc_ABk7eD_gxkONc11Ijx3f_A_4_8"/>
      <w:bookmarkStart w:id="739" w:name="Tc_GfRcTZFSw0Ckd5yF2l-exw_4_5"/>
      <w:bookmarkStart w:id="740" w:name="Tc_wsJk3MgIbEOworVyeNlt9Q_4_2"/>
      <w:bookmarkStart w:id="741" w:name="Tc_05vP9xpE4kKrLEYOV5KNOA_3_17"/>
      <w:bookmarkStart w:id="742" w:name="Tc_EE98UppQPEK5pEaim8PpUQ_3_14"/>
      <w:bookmarkStart w:id="743" w:name="Tc_ffbcktqdaUmfJg3xSoRMIw_3_11"/>
      <w:bookmarkStart w:id="744" w:name="Tc_G8Ie6_QE9UO0GOk26oMqqA_3_8"/>
      <w:bookmarkStart w:id="745" w:name="Tc_txjSDFRSf0S9QFwDQq2x1w_3_5"/>
      <w:bookmarkStart w:id="746" w:name="Tc_11Jxjt_i90qYoXLwk7COnA_3_2"/>
      <w:bookmarkStart w:id="747" w:name="Tc_dK5y35EufUGsjEAmfDvK2Q_2_17"/>
      <w:bookmarkStart w:id="748" w:name="Tc_sI4IhcV8SkmkKiEMiNOs4w_2_11"/>
      <w:bookmarkStart w:id="749" w:name="Tc_Wjin6q6mkkqdDQrVdDxffg_2_8"/>
      <w:bookmarkStart w:id="750" w:name="Tc_fEW_xD13zkeV10aEX88llQ_2_2"/>
      <w:bookmarkStart w:id="751" w:name="Tc_O8PBGvZBGEyAUm8nNooo7Q_1_11"/>
      <w:bookmarkStart w:id="752" w:name="Tc_8HIwkJtY9Em5LK9foSe2BA_1_2"/>
      <w:bookmarkStart w:id="753" w:name="_692211"/>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r>
        <w:rPr>
          <w:rFonts w:ascii="Times New Roman;Times;serif" w:hAnsi="Times New Roman;Times;serif"/>
          <w:b/>
          <w:sz w:val="20"/>
        </w:rPr>
        <w:t>Note 5. Intangible Assets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following table provides information regarding the Company’s intangible assets subject to amortization, which consist of the following:</w:t>
      </w:r>
    </w:p>
    <w:p>
      <w:pPr>
        <w:pStyle w:val="TextBody"/>
        <w:bidi w:val="0"/>
        <w:spacing w:before="0" w:after="0"/>
        <w:ind w:left="0" w:right="0" w:hanging="0"/>
        <w:jc w:val="left"/>
        <w:rPr/>
      </w:pPr>
      <w:r>
        <w:rPr/>
        <w:t>​</w:t>
      </w:r>
    </w:p>
    <w:tbl>
      <w:tblPr>
        <w:tblW w:w="10093" w:type="dxa"/>
        <w:jc w:val="left"/>
        <w:tblInd w:w="0" w:type="dxa"/>
        <w:tblLayout w:type="fixed"/>
        <w:tblCellMar>
          <w:top w:w="0" w:type="dxa"/>
          <w:left w:w="0" w:type="dxa"/>
          <w:bottom w:w="0" w:type="dxa"/>
          <w:right w:w="0" w:type="dxa"/>
        </w:tblCellMar>
      </w:tblPr>
      <w:tblGrid>
        <w:gridCol w:w="1996"/>
        <w:gridCol w:w="326"/>
        <w:gridCol w:w="243"/>
        <w:gridCol w:w="658"/>
        <w:gridCol w:w="326"/>
        <w:gridCol w:w="311"/>
        <w:gridCol w:w="935"/>
        <w:gridCol w:w="326"/>
        <w:gridCol w:w="243"/>
        <w:gridCol w:w="658"/>
        <w:gridCol w:w="326"/>
        <w:gridCol w:w="243"/>
        <w:gridCol w:w="658"/>
        <w:gridCol w:w="326"/>
        <w:gridCol w:w="311"/>
        <w:gridCol w:w="935"/>
        <w:gridCol w:w="326"/>
        <w:gridCol w:w="225"/>
        <w:gridCol w:w="72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67460" cy="175260"/>
                      <wp:effectExtent l="0" t="0" r="0" b="0"/>
                      <wp:wrapNone/>
                      <wp:docPr id="38" name="Frame38"/>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4305" cy="175260"/>
                      <wp:effectExtent l="0" t="0" r="0" b="0"/>
                      <wp:wrapNone/>
                      <wp:docPr id="40" name="Frame4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17830" cy="175260"/>
                      <wp:effectExtent l="0" t="0" r="0" b="0"/>
                      <wp:wrapNone/>
                      <wp:docPr id="41" name="Frame4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97485" cy="175260"/>
                      <wp:effectExtent l="0" t="0" r="0" b="0"/>
                      <wp:wrapNone/>
                      <wp:docPr id="43" name="Frame43"/>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93725" cy="175260"/>
                      <wp:effectExtent l="0" t="0" r="0" b="0"/>
                      <wp:wrapNone/>
                      <wp:docPr id="44" name="Frame44"/>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4305" cy="175260"/>
                      <wp:effectExtent l="0" t="0" r="0" b="0"/>
                      <wp:wrapNone/>
                      <wp:docPr id="46" name="Frame46"/>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17830" cy="175260"/>
                      <wp:effectExtent l="0" t="0" r="0" b="0"/>
                      <wp:wrapNone/>
                      <wp:docPr id="47" name="Frame47"/>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4305" cy="175260"/>
                      <wp:effectExtent l="0" t="0" r="0" b="0"/>
                      <wp:wrapNone/>
                      <wp:docPr id="49" name="Frame49"/>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17830" cy="175260"/>
                      <wp:effectExtent l="0" t="0" r="0" b="0"/>
                      <wp:wrapNone/>
                      <wp:docPr id="50" name="Frame5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97485" cy="175260"/>
                      <wp:effectExtent l="0" t="0" r="0" b="0"/>
                      <wp:wrapNone/>
                      <wp:docPr id="52" name="Frame52"/>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93725" cy="175260"/>
                      <wp:effectExtent l="0" t="0" r="0" b="0"/>
                      <wp:wrapNone/>
                      <wp:docPr id="53" name="Frame53"/>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2875" cy="175260"/>
                      <wp:effectExtent l="0" t="0" r="0" b="0"/>
                      <wp:wrapNone/>
                      <wp:docPr id="55" name="Frame5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57835" cy="175260"/>
                      <wp:effectExtent l="0" t="0" r="0" b="0"/>
                      <wp:wrapNone/>
                      <wp:docPr id="56" name="Frame5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70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vAlign w:val="center"/>
          </w:tcPr>
          <w:p>
            <w:pPr>
              <w:pStyle w:val="TableContents"/>
              <w:bidi w:val="0"/>
              <w:spacing w:before="0" w:after="1"/>
              <w:ind w:left="0" w:right="0" w:hanging="0"/>
              <w:jc w:val="center"/>
              <w:rPr/>
            </w:pPr>
            <w:r>
              <w:rPr/>
              <w:t>​</w:t>
            </w:r>
          </w:p>
        </w:tc>
        <w:tc>
          <w:tcPr>
            <w:tcW w:w="37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Gross</w:t>
            </w:r>
          </w:p>
        </w:tc>
        <w:tc>
          <w:tcPr>
            <w:tcW w:w="326" w:type="dxa"/>
            <w:tcBorders/>
            <w:vAlign w:val="center"/>
          </w:tcPr>
          <w:p>
            <w:pPr>
              <w:pStyle w:val="TableContents"/>
              <w:bidi w:val="0"/>
              <w:spacing w:before="0" w:after="1"/>
              <w:ind w:left="0" w:right="0" w:hanging="0"/>
              <w:jc w:val="center"/>
              <w:rPr/>
            </w:pPr>
            <w:r>
              <w:rPr/>
              <w:t>​</w:t>
            </w:r>
          </w:p>
        </w:tc>
        <w:tc>
          <w:tcPr>
            <w:tcW w:w="311" w:type="dxa"/>
            <w:tcBorders/>
            <w:vAlign w:val="center"/>
          </w:tcPr>
          <w:p>
            <w:pPr>
              <w:pStyle w:val="TableContents"/>
              <w:bidi w:val="0"/>
              <w:spacing w:before="0" w:after="1"/>
              <w:ind w:left="0" w:right="0" w:hanging="0"/>
              <w:jc w:val="center"/>
              <w:rPr/>
            </w:pPr>
            <w:r>
              <w:rPr/>
              <w:t>​</w:t>
            </w:r>
          </w:p>
        </w:tc>
        <w:tc>
          <w:tcPr>
            <w:tcW w:w="93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Net</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1"/>
              <w:ind w:left="0" w:right="0" w:hanging="0"/>
              <w:jc w:val="center"/>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1"/>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1"/>
              <w:ind w:left="0" w:right="0" w:hanging="0"/>
              <w:jc w:val="center"/>
              <w:rPr/>
            </w:pPr>
            <w:r>
              <w:rPr/>
              <w:t>    </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c>
          <w:tcPr>
            <w:tcW w:w="32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vAlign w:val="center"/>
          </w:tcPr>
          <w:p>
            <w:pPr>
              <w:pStyle w:val="TableContents"/>
              <w:bidi w:val="0"/>
              <w:spacing w:before="0" w:after="1"/>
              <w:ind w:left="0" w:right="0" w:hanging="0"/>
              <w:jc w:val="left"/>
              <w:rPr/>
            </w:pPr>
            <w:r>
              <w:rPr/>
              <w:t>​</w:t>
            </w:r>
          </w:p>
        </w:tc>
        <w:tc>
          <w:tcPr>
            <w:tcW w:w="311" w:type="dxa"/>
            <w:tcBorders/>
            <w:vAlign w:val="center"/>
          </w:tcPr>
          <w:p>
            <w:pPr>
              <w:pStyle w:val="TableContents"/>
              <w:bidi w:val="0"/>
              <w:spacing w:before="0" w:after="1"/>
              <w:ind w:left="0" w:right="0" w:hanging="0"/>
              <w:jc w:val="left"/>
              <w:rPr/>
            </w:pPr>
            <w:r>
              <w:rPr/>
              <w:t>​</w:t>
            </w:r>
          </w:p>
        </w:tc>
        <w:tc>
          <w:tcPr>
            <w:tcW w:w="9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4,199</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(1,785)</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4,485</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shd w:fill="CCEEFF" w:val="clear"/>
            <w:vAlign w:val="center"/>
          </w:tcPr>
          <w:p>
            <w:pPr>
              <w:pStyle w:val="TableContents"/>
              <w:bidi w:val="0"/>
              <w:spacing w:before="0" w:after="1"/>
              <w:ind w:left="0" w:right="0" w:hanging="0"/>
              <w:jc w:val="left"/>
              <w:rPr/>
            </w:pPr>
            <w:r>
              <w:rPr/>
              <w:t> </w:t>
            </w:r>
          </w:p>
        </w:tc>
        <w:tc>
          <w:tcPr>
            <w:tcW w:w="9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2,724</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Licenses</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1"/>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w:t>
            </w:r>
          </w:p>
        </w:tc>
        <w:tc>
          <w:tcPr>
            <w:tcW w:w="3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6,065</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3,629</w:t>
            </w:r>
          </w:p>
        </w:tc>
        <w:tc>
          <w:tcPr>
            <w:tcW w:w="326" w:type="dxa"/>
            <w:tcBorders/>
            <w:shd w:fill="CCEEFF" w:val="clear"/>
            <w:vAlign w:val="center"/>
          </w:tcPr>
          <w:p>
            <w:pPr>
              <w:pStyle w:val="TableContents"/>
              <w:bidi w:val="0"/>
              <w:spacing w:before="0" w:after="1"/>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6,352</w:t>
            </w:r>
          </w:p>
        </w:tc>
        <w:tc>
          <w:tcPr>
            <w:tcW w:w="326" w:type="dxa"/>
            <w:tcBorders/>
            <w:shd w:fill="CCEEFF" w:val="clear"/>
            <w:vAlign w:val="center"/>
          </w:tcPr>
          <w:p>
            <w:pPr>
              <w:pStyle w:val="TableContents"/>
              <w:bidi w:val="0"/>
              <w:spacing w:before="0" w:after="1"/>
              <w:ind w:left="0" w:right="0" w:hanging="0"/>
              <w:jc w:val="left"/>
              <w:rPr/>
            </w:pPr>
            <w:r>
              <w:rPr/>
              <w:t>​</w:t>
            </w:r>
          </w:p>
        </w:tc>
        <w:tc>
          <w:tcPr>
            <w:tcW w:w="3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(2,344)</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4,008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trade name relates to the value of the HyperPointe trade name, software relates to certain capitalized third-party costs related to a new website and a point-of-sale system; and licenses relates to certain capitalized costs of foreign acquisition.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intangible assets are amortized over their expected useful lives, which is six years for trade names and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and three years for software, whereas the intangibles obtained as a result of the HyperPointe acquisition have an estimated life of 5 to 12 years. The Company recorded amortization expense of $382 and $393 during the three months ended March 31, 2023 and 2022,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Estimated amortization expense for the Company’s intangible assets at March 31, 2023 is as follows:</w:t>
      </w:r>
    </w:p>
    <w:p>
      <w:pPr>
        <w:pStyle w:val="TextBody"/>
        <w:bidi w:val="0"/>
        <w:spacing w:before="0" w:after="0"/>
        <w:ind w:left="0" w:right="0" w:hanging="0"/>
        <w:jc w:val="left"/>
        <w:rPr/>
      </w:pPr>
      <w:r>
        <w:rPr/>
        <w:t>​</w:t>
      </w:r>
    </w:p>
    <w:tbl>
      <w:tblPr>
        <w:tblW w:w="4529" w:type="dxa"/>
        <w:jc w:val="left"/>
        <w:tblInd w:w="0" w:type="dxa"/>
        <w:tblLayout w:type="fixed"/>
        <w:tblCellMar>
          <w:top w:w="0" w:type="dxa"/>
          <w:left w:w="0" w:type="dxa"/>
          <w:bottom w:w="0" w:type="dxa"/>
          <w:right w:w="0" w:type="dxa"/>
        </w:tblCellMar>
      </w:tblPr>
      <w:tblGrid>
        <w:gridCol w:w="3316"/>
        <w:gridCol w:w="326"/>
        <w:gridCol w:w="211"/>
        <w:gridCol w:w="67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05660" cy="175260"/>
                      <wp:effectExtent l="0" t="0" r="0" b="0"/>
                      <wp:wrapNone/>
                      <wp:docPr id="57" name="Frame57"/>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0" name="Frame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4" w:name="Tc_vpwGlmjZlEiToYh0ra45UQ_5_5"/>
      <w:bookmarkStart w:id="755" w:name="Tc_daQ3gkW0ak6ME_jNeWWQhg_5_3"/>
      <w:bookmarkStart w:id="756" w:name="Tc_c1x33NLx9UGRECPTNgsUDw_5_2"/>
      <w:bookmarkStart w:id="757" w:name="Tc_-FPV4cFInk6FUF6rmDS8BQ_5_0"/>
      <w:bookmarkStart w:id="758" w:name="Tc_vRK1ut9AbE6jcLpdREREUA_4_5"/>
      <w:bookmarkStart w:id="759" w:name="Tc_ygkiJiiQIkup6fdMBYOpxw_4_2"/>
      <w:bookmarkStart w:id="760" w:name="Tc_67MiXlYMkUGigm0AkR4B0g_4_0"/>
      <w:bookmarkStart w:id="761" w:name="Tc_bBHjnwjQ5Ua153Es0vldrQ_3_0"/>
      <w:bookmarkStart w:id="762" w:name="Tc_Ke2U4tmseUu-bYTHdRXBMw_2_5"/>
      <w:bookmarkStart w:id="763" w:name="Tc_qaH191aD9UyH2CeOMIxmUw_2_2"/>
      <w:bookmarkStart w:id="764" w:name="Tc_pbWQR5zg7UmsKTLgq-sT2g_1_2"/>
      <w:bookmarkStart w:id="765" w:name="_Hlk56000623"/>
      <w:bookmarkEnd w:id="754"/>
      <w:bookmarkEnd w:id="755"/>
      <w:bookmarkEnd w:id="756"/>
      <w:bookmarkEnd w:id="757"/>
      <w:bookmarkEnd w:id="758"/>
      <w:bookmarkEnd w:id="759"/>
      <w:bookmarkEnd w:id="760"/>
      <w:bookmarkEnd w:id="761"/>
      <w:bookmarkEnd w:id="762"/>
      <w:bookmarkEnd w:id="763"/>
      <w:bookmarkEnd w:id="764"/>
      <w:bookmarkEnd w:id="765"/>
      <w:r>
        <w:rPr>
          <w:rFonts w:ascii="Times New Roman;Times;serif" w:hAnsi="Times New Roman;Times;serif"/>
          <w:b/>
          <w:sz w:val="20"/>
        </w:rPr>
        <w:t>Note 6. 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leases spa and clinic locations at various domestic and international airports. Additionally, the Company leases its corporate office in New York City. Certain leases entered into by the Company are accounted for in accordance with </w:t>
      </w:r>
      <w:r>
        <w:rPr>
          <w:rFonts w:ascii="Times New Roman;Times;serif" w:hAnsi="Times New Roman;Times;serif"/>
          <w:i/>
          <w:sz w:val="20"/>
        </w:rPr>
        <w:t xml:space="preserve">ASC 842- Leases </w:t>
      </w:r>
      <w:r>
        <w:rPr>
          <w:rFonts w:ascii="Times New Roman;Times;serif" w:hAnsi="Times New Roman;Times;serif"/>
          <w:sz w:val="20"/>
        </w:rPr>
        <w:t>(“ASC 842”). The Company determines if an arrangement is a lease at inception and if it qualifies under ASC 842. The Company’s lease arrangements generally contain fixed payments throughout the term of the lease and most also contain a variable component to determine the lease obligation where a certain percentage of sales is used to calculate the lease payments. The Company enters into leases that expire, are amended and extended, or are extended on a month-to-month basis. Leases are not included in the calculation of the total lease liability and the right of use asset when they are month-to-month.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assets and liabilities are recognized at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which approximates the rate at which the Company can borrow funds on a secured basis, using the information available at commencement date of the lease in determining the present value of the guaranteed lease payments. The interest rate implicit in the lease is generally not determinable in transactions where a company is the lessee.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leases for the three months ended March 31, 2023 and 2022 were as follows:</w:t>
      </w:r>
    </w:p>
    <w:p>
      <w:pPr>
        <w:pStyle w:val="TextBody"/>
        <w:bidi w:val="0"/>
        <w:spacing w:before="0" w:after="0"/>
        <w:ind w:left="0" w:right="0" w:hanging="0"/>
        <w:jc w:val="left"/>
        <w:rPr/>
      </w:pPr>
      <w:r>
        <w:rPr/>
        <w:t>​</w:t>
      </w:r>
    </w:p>
    <w:tbl>
      <w:tblPr>
        <w:tblW w:w="10015" w:type="dxa"/>
        <w:jc w:val="left"/>
        <w:tblInd w:w="0" w:type="dxa"/>
        <w:tblLayout w:type="fixed"/>
        <w:tblCellMar>
          <w:top w:w="0" w:type="dxa"/>
          <w:left w:w="0" w:type="dxa"/>
          <w:bottom w:w="0" w:type="dxa"/>
          <w:right w:w="0" w:type="dxa"/>
        </w:tblCellMar>
      </w:tblPr>
      <w:tblGrid>
        <w:gridCol w:w="6871"/>
        <w:gridCol w:w="326"/>
        <w:gridCol w:w="293"/>
        <w:gridCol w:w="753"/>
        <w:gridCol w:w="454"/>
        <w:gridCol w:w="293"/>
        <w:gridCol w:w="1025"/>
      </w:tblGrid>
      <w:tr>
        <w:trPr/>
        <w:tc>
          <w:tcPr>
            <w:tcW w:w="6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363085" cy="175260"/>
                      <wp:effectExtent l="0" t="0" r="0" b="0"/>
                      <wp:wrapNone/>
                      <wp:docPr id="61" name="Frame61"/>
                      <a:graphic xmlns:a="http://schemas.openxmlformats.org/drawingml/2006/main">
                        <a:graphicData uri="http://schemas.microsoft.com/office/word/2010/wordprocessingShape">
                          <wps:wsp>
                            <wps:cNvSpPr txBox="1"/>
                            <wps:spPr>
                              <a:xfrm>
                                <a:off x="0" y="0"/>
                                <a:ext cx="436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86055" cy="175260"/>
                      <wp:effectExtent l="0" t="0" r="0" b="0"/>
                      <wp:wrapNone/>
                      <wp:docPr id="63" name="Frame63"/>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8155" cy="175260"/>
                      <wp:effectExtent l="0" t="0" r="0" b="0"/>
                      <wp:wrapNone/>
                      <wp:docPr id="64" name="Frame64"/>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88290" cy="175260"/>
                      <wp:effectExtent l="0" t="0" r="0" b="0"/>
                      <wp:wrapNone/>
                      <wp:docPr id="65" name="Frame65"/>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86055" cy="175260"/>
                      <wp:effectExtent l="0" t="0" r="0" b="0"/>
                      <wp:wrapNone/>
                      <wp:docPr id="66" name="Frame66"/>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50875" cy="175260"/>
                      <wp:effectExtent l="0" t="0" r="0" b="0"/>
                      <wp:wrapNone/>
                      <wp:docPr id="67" name="Frame67"/>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68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54" w:type="dxa"/>
            <w:tcBorders/>
            <w:vAlign w:val="center"/>
          </w:tcPr>
          <w:p>
            <w:pPr>
              <w:pStyle w:val="TableContents"/>
              <w:bidi w:val="0"/>
              <w:spacing w:before="0" w:after="1"/>
              <w:ind w:left="0" w:right="0" w:hanging="0"/>
              <w:jc w:val="left"/>
              <w:rPr/>
            </w:pPr>
            <w:r>
              <w:rPr/>
              <w:t>    </w:t>
            </w:r>
          </w:p>
        </w:tc>
        <w:tc>
          <w:tcPr>
            <w:tcW w:w="13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left"/>
              <w:rPr/>
            </w:pPr>
            <w:r>
              <w:rPr/>
              <w:t>​</w:t>
            </w:r>
          </w:p>
        </w:tc>
        <w:tc>
          <w:tcPr>
            <w:tcW w:w="454"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w:t>
            </w:r>
          </w:p>
        </w:tc>
        <w:tc>
          <w:tcPr>
            <w:tcW w:w="454"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r>
      <w:tr>
        <w:trPr/>
        <w:tc>
          <w:tcPr>
            <w:tcW w:w="6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Leased assets obtained in exchange for new and modified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1"/>
              <w:ind w:left="0" w:right="0" w:hanging="0"/>
              <w:jc w:val="right"/>
              <w:rPr/>
            </w:pPr>
            <w:r>
              <w:rPr/>
              <w:t>—</w:t>
            </w:r>
          </w:p>
        </w:tc>
        <w:tc>
          <w:tcPr>
            <w:tcW w:w="454"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66" w:name="Tc_W45ZfiexL0GXWk-YgAOVNQ_2_4"/>
      <w:bookmarkStart w:id="767" w:name="Tc_XxqQdiDJH0WY09bTCNaUGQ_2_0"/>
      <w:bookmarkStart w:id="768" w:name="Tc_XrtSydqHWE-jOEIHkKWlbw_1_4"/>
      <w:bookmarkStart w:id="769" w:name="Tc_6uiZ3GunRUCFIatA7adf9g_1_0"/>
      <w:bookmarkStart w:id="770" w:name="Tc_0wF7arHdRE2Ag0Uat__rPg_11_2"/>
      <w:bookmarkStart w:id="771" w:name="Tc_hYoBX3rg-UOFbZf9IzmCNg_11_0"/>
      <w:bookmarkStart w:id="772" w:name="Tc_7atRfx04R060kqs1crBoIg_10_0"/>
      <w:bookmarkStart w:id="773" w:name="Tc_7QEZ-w8DT0SOKol6mrOpdw_9_0"/>
      <w:bookmarkStart w:id="774" w:name="Tc_CM7eb6_zQ0mKZcSspjiyvA_8_0"/>
      <w:bookmarkStart w:id="775" w:name="Tc_-DOAONiaTkiy1TpFGAfSyQ_7_0"/>
      <w:bookmarkStart w:id="776" w:name="Tc_w5LToSIegE2QnIVYaIkPNQ_6_0"/>
      <w:bookmarkStart w:id="777" w:name="Tc_YoG4L1yt0kKtgSMcjoNE8Q_5_0"/>
      <w:bookmarkStart w:id="778" w:name="Tc_0-EewIGXKEuTP2iVAGTUuQ_4_0"/>
      <w:bookmarkStart w:id="779" w:name="Tc_m03Rb5Fs8UqjOCed46WXPg_3_0"/>
      <w:bookmarkStart w:id="780" w:name="Tc_B1ML12gG-Uilc4cSxJvH4g_2_2"/>
      <w:bookmarkStart w:id="781" w:name="Tc_iaecL20dB0S9pnohu1Fr3g_2_0"/>
      <w:bookmarkStart w:id="782" w:name="Tc_5pgLolNJgkWw5NRKFvlIog_1_2"/>
      <w:bookmarkStart w:id="783" w:name="Tc_4rH9GP116k6l9RU2nE_Y_w_1_0"/>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Pr>
          <w:rFonts w:ascii="Times New Roman;Times;serif" w:hAnsi="Times New Roman;Times;serif"/>
          <w:sz w:val="20"/>
        </w:rPr>
        <w:t>As of March 31, 2023, operating leases contain the following future minimum commitments:</w:t>
      </w:r>
    </w:p>
    <w:p>
      <w:pPr>
        <w:pStyle w:val="TextBody"/>
        <w:bidi w:val="0"/>
        <w:spacing w:before="0" w:after="0"/>
        <w:ind w:left="0" w:right="0" w:hanging="0"/>
        <w:jc w:val="left"/>
        <w:rPr/>
      </w:pPr>
      <w:r>
        <w:rPr/>
        <w:t>​</w:t>
      </w:r>
    </w:p>
    <w:tbl>
      <w:tblPr>
        <w:tblW w:w="5639" w:type="dxa"/>
        <w:jc w:val="left"/>
        <w:tblInd w:w="0" w:type="dxa"/>
        <w:tblLayout w:type="fixed"/>
        <w:tblCellMar>
          <w:top w:w="0" w:type="dxa"/>
          <w:left w:w="0" w:type="dxa"/>
          <w:bottom w:w="0" w:type="dxa"/>
          <w:right w:w="0" w:type="dxa"/>
        </w:tblCellMar>
      </w:tblPr>
      <w:tblGrid>
        <w:gridCol w:w="4321"/>
        <w:gridCol w:w="326"/>
        <w:gridCol w:w="211"/>
        <w:gridCol w:w="78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743835" cy="175260"/>
                      <wp:effectExtent l="0" t="0" r="0" b="0"/>
                      <wp:wrapNone/>
                      <wp:docPr id="68" name="Frame68"/>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Calendar Years ending December 31, </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Remaining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future lease payments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 expense at incremental borrowing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present value of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13,327</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Other assumptions and pertinent information related to the Company’s accounting for operating leases are:</w:t>
      </w:r>
    </w:p>
    <w:p>
      <w:pPr>
        <w:pStyle w:val="TextBody"/>
        <w:bidi w:val="0"/>
        <w:spacing w:before="0" w:after="0"/>
        <w:ind w:left="0" w:right="0" w:hanging="0"/>
        <w:jc w:val="left"/>
        <w:rPr/>
      </w:pPr>
      <w:r>
        <w:rPr/>
        <w:t>​</w:t>
      </w:r>
    </w:p>
    <w:tbl>
      <w:tblPr>
        <w:tblW w:w="8838" w:type="dxa"/>
        <w:jc w:val="left"/>
        <w:tblInd w:w="0" w:type="dxa"/>
        <w:tblLayout w:type="fixed"/>
        <w:tblCellMar>
          <w:top w:w="0" w:type="dxa"/>
          <w:left w:w="0" w:type="dxa"/>
          <w:bottom w:w="0" w:type="dxa"/>
          <w:right w:w="0" w:type="dxa"/>
        </w:tblCellMar>
      </w:tblPr>
      <w:tblGrid>
        <w:gridCol w:w="7546"/>
        <w:gridCol w:w="146"/>
        <w:gridCol w:w="109"/>
        <w:gridCol w:w="466"/>
        <w:gridCol w:w="571"/>
      </w:tblGrid>
      <w:tr>
        <w:trPr/>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791710" cy="175260"/>
                      <wp:effectExtent l="0" t="0" r="0" b="0"/>
                      <wp:wrapNone/>
                      <wp:docPr id="72" name="Frame72"/>
                      <a:graphic xmlns:a="http://schemas.openxmlformats.org/drawingml/2006/main">
                        <a:graphicData uri="http://schemas.microsoft.com/office/word/2010/wordprocessingShape">
                          <wps:wsp>
                            <wps:cNvSpPr txBox="1"/>
                            <wps:spPr>
                              <a:xfrm>
                                <a:off x="0" y="0"/>
                                <a:ext cx="479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2710" cy="175260"/>
                      <wp:effectExtent l="0" t="0" r="0" b="0"/>
                      <wp:wrapNone/>
                      <wp:docPr id="73" name="Frame7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95910" cy="175260"/>
                      <wp:effectExtent l="0" t="0" r="0" b="0"/>
                      <wp:wrapNone/>
                      <wp:docPr id="75" name="Frame7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6"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7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 used to determine present value of operating lease liability:</w:t>
            </w:r>
          </w:p>
        </w:tc>
        <w:tc>
          <w:tcPr>
            <w:tcW w:w="1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Cash paid for minimum annual rental obligations was $662 and $271 for the three months ended March 31, 2023 and 2022, respectively.</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Variable lease payments calculated monthly as a percentage of product and services revenue were $345 and $364 for the three months ended March 31, 2023 and 2022, respectively.</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Variable Interest Entities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its XpresCheck Wellness and Treat Centers the Company provides services pursuant to contracts with PLLCs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PLLCs collectively represent the Company’s affiliated medical group. The PLLCs were designed and structured to comply with the relevant laws and regulations governing professional medical practice, which generally prohibits the practice of medicine by lay persons or entities. All of the issued and outstanding equity interests of the PLLCs are owned by a licensed medical professional nominated by the Company (the “Nominee Shareholder”). Upon formation of the PLLCs, and initial issuance of equity interests, the Nominee Shareholder contributes a nominal amount of capital in exchange for their interest in the PLLC. The Company then executes with each PLLC a MSA, which provide for various administrative services, management services and day-to-day activities of the practice to be rendered by the Company through its XpresCheck Wellness Centers.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also has exclusive responsibility for the provision of all non-medical services including contracting with customers who access the PLLCs for a medical visit, handling all financial transactions and day-to-day operations of each PLLC, overseeing the establishment of COVID-19 and other medical diagnostic testing services policies, and making recommendations to the PLLC in establishing the guidelines for the employment and compensation of the physicians and other employees of the PLLCs. Until June 30, 2021, MSA Fees were commensurate with the expected level of activity required to be billed by XpresCheck Wellness Centers. Therefore, these PLLCs were assessed not to be variable interest entities prior to July 1, 2021.</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Effective, July 1, 2021, contractual arrangements between the Company, the Company’s affiliated medical group and nominated shareholder were modified in a manner that changes the characteristics or adequacy of the nominee shareholder’s equity investment at risk and residual returns. Therefore, due to reassessment triggered by the development on July 1, 2021, the Company determined that the PLLCs are now variable interest entities. Notwithstanding their legal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84" w:name="_Hlk98446306"/>
      <w:bookmarkEnd w:id="784"/>
      <w:r>
        <w:rPr>
          <w:rFonts w:ascii="Times New Roman;Times;serif" w:hAnsi="Times New Roman;Times;serif"/>
          <w:sz w:val="20"/>
        </w:rPr>
        <w:t>form of ownership of equity interests in the PLLC,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PLLCs under the VIE model since the Company has the power to direct activities that most significantly impact the PLLCs’ economic performance and the right to receive benefits or the obligation to absorb losses that could potentially be significant to the PLLCs.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aggregate carrying value of total assets included on the condensed consolidated balance sheets for the PLLCs after elimination of intercompany transactions was $147, included in </w:t>
      </w:r>
      <w:r>
        <w:rPr>
          <w:rFonts w:ascii="Times New Roman;Times;serif" w:hAnsi="Times New Roman;Times;serif"/>
          <w:i/>
          <w:sz w:val="20"/>
        </w:rPr>
        <w:t>cash and cash equivalents</w:t>
      </w:r>
      <w:r>
        <w:rPr>
          <w:rFonts w:ascii="Times New Roman;Times;serif" w:hAnsi="Times New Roman;Times;serif"/>
          <w:sz w:val="20"/>
        </w:rPr>
        <w:t xml:space="preserve"> as of March 31, 2023. The aggregate carrying value of total assets and total liabilities included on the condensed balance sheets for the PLLCs after elimination of intercompany transactions were $275, included in </w:t>
      </w:r>
      <w:r>
        <w:rPr>
          <w:rFonts w:ascii="Times New Roman;Times;serif" w:hAnsi="Times New Roman;Times;serif"/>
          <w:i/>
          <w:sz w:val="20"/>
        </w:rPr>
        <w:t>cash and cash equivalents,</w:t>
      </w:r>
      <w:r>
        <w:rPr>
          <w:rFonts w:ascii="Times New Roman;Times;serif" w:hAnsi="Times New Roman;Times;serif"/>
          <w:sz w:val="20"/>
        </w:rPr>
        <w:t xml:space="preserve"> and $146, included in </w:t>
      </w:r>
      <w:r>
        <w:rPr>
          <w:rFonts w:ascii="Times New Roman;Times;serif" w:hAnsi="Times New Roman;Times;serif"/>
          <w:i/>
          <w:sz w:val="20"/>
        </w:rPr>
        <w:t>accrued expenses and other current liabilities</w:t>
      </w:r>
      <w:r>
        <w:rPr>
          <w:rFonts w:ascii="Times New Roman;Times;serif" w:hAnsi="Times New Roman;Times;serif"/>
          <w:sz w:val="20"/>
        </w:rPr>
        <w:t>, respectively, as of December 31, 2022. The total revenue included on the condensed consolidated statements of operations and comprehensive loss for the PLLCs after elimination of intercompany transactions was $131 and $19,389, for the three months ended March 31, 2023 and 2022, respectively.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85" w:name="Tc_2vWSOBuKakOOZ0ke26aTlA_7_7"/>
      <w:bookmarkStart w:id="786" w:name="Tc_R157Zp1RYU-N-In5-Vr_gQ_7_4"/>
      <w:bookmarkStart w:id="787" w:name="Tc_ub5P4QhhDU-tUFfMnhHOTw_7_0"/>
      <w:bookmarkStart w:id="788" w:name="Tc_bCaihTX4n0qp-OK1SGZ_-g_6_8"/>
      <w:bookmarkStart w:id="789" w:name="Tc_KCo5CQ65Q0yW5I-9YKpmEw_6_7"/>
      <w:bookmarkStart w:id="790" w:name="Tc_N0T4KoG9oESEWuCXwlkhOA_6_0"/>
      <w:bookmarkStart w:id="791" w:name="Tc_TXFMNGdc7EWV8pFLyh4dbQ_5_5"/>
      <w:bookmarkStart w:id="792" w:name="Tc_E5WJSWH_vkOo9XgmlQ5d6A_5_2"/>
      <w:bookmarkStart w:id="793" w:name="Tc_6IO5wtV1G0qFuN6-4RzS4w_5_0"/>
      <w:bookmarkStart w:id="794" w:name="Tc_VFXi-Qc8KUaBjl-bNE2rUA_4_5"/>
      <w:bookmarkStart w:id="795" w:name="Tc_IjCqhnBBEUiFCUpJlDlwRQ_4_2"/>
      <w:bookmarkStart w:id="796" w:name="Tc_IzO2PnE2CkSaecvGQsosRw_4_0"/>
      <w:bookmarkStart w:id="797" w:name="Tc_x2qmqgpx1keuKZ9SPJY5jQ_3_8"/>
      <w:bookmarkStart w:id="798" w:name="Tc_m9k8Znr490GVsygtVdwh5A_3_7"/>
      <w:bookmarkStart w:id="799" w:name="Tc_re3kCYkId0-rKse0yWS0UQ_3_4"/>
      <w:bookmarkStart w:id="800" w:name="Tc_TqD1JJFNNkCrT9xFOAmB1Q_3_0"/>
      <w:bookmarkStart w:id="801" w:name="Tc_iKN5RBHj00eiPc8o-kt_Dg_2_7"/>
      <w:bookmarkStart w:id="802" w:name="Tc_zBX82xPdh0e5O2U8-DBoWg_2_4"/>
      <w:bookmarkStart w:id="803" w:name="Tc_k4T12saN50aGYC-BYKaKKg_2_2"/>
      <w:bookmarkStart w:id="804" w:name="Tc_gvFSx6SWzEeWMSWZsuIXZw_1_7"/>
      <w:bookmarkStart w:id="805" w:name="Tc_PK4M7YwDzE-QHpBBQyypTw_1_4"/>
      <w:bookmarkStart w:id="806" w:name="_Hlk98941880"/>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r>
        <w:rPr>
          <w:rFonts w:ascii="Times New Roman;Times;serif" w:hAnsi="Times New Roman;Times;serif"/>
          <w:b/>
          <w:sz w:val="20"/>
        </w:rPr>
        <w:t>Note 8. Stockholders’ Equity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2022, the Company continued to execute on its share repurchase program, repurchasing 7,142,446 shares at an average cost of $1.55 per share, for a total of $11,095.  The Company did not repurchase any shares during the three months ended March 31,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Exceptions may apply, for example, if the repurchases are less than $1,000 or issued to employees. The U.S. Department of the Treasury (the “Treasury”) has been given authority to provide regulations and other guidance to carry out and prevent the abuse or avoidance of the excise tax.</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represents the activity related to the Company’s warrants during the three months ended March 31, 2023:</w:t>
      </w:r>
    </w:p>
    <w:p>
      <w:pPr>
        <w:pStyle w:val="TextBody"/>
        <w:bidi w:val="0"/>
        <w:spacing w:before="0" w:after="0"/>
        <w:ind w:left="0" w:right="0" w:hanging="0"/>
        <w:jc w:val="left"/>
        <w:rPr/>
      </w:pPr>
      <w:r>
        <w:rPr/>
        <w:t>​</w:t>
      </w:r>
    </w:p>
    <w:tbl>
      <w:tblPr>
        <w:tblW w:w="6811" w:type="dxa"/>
        <w:jc w:val="left"/>
        <w:tblInd w:w="0" w:type="dxa"/>
        <w:tblLayout w:type="fixed"/>
        <w:tblCellMar>
          <w:top w:w="0" w:type="dxa"/>
          <w:left w:w="0" w:type="dxa"/>
          <w:bottom w:w="0" w:type="dxa"/>
          <w:right w:w="0" w:type="dxa"/>
        </w:tblCellMar>
      </w:tblPr>
      <w:tblGrid>
        <w:gridCol w:w="1696"/>
        <w:gridCol w:w="109"/>
        <w:gridCol w:w="1471"/>
        <w:gridCol w:w="326"/>
        <w:gridCol w:w="445"/>
        <w:gridCol w:w="1206"/>
        <w:gridCol w:w="326"/>
        <w:gridCol w:w="211"/>
        <w:gridCol w:w="1021"/>
      </w:tblGrid>
      <w:tr>
        <w:trPr/>
        <w:tc>
          <w:tcPr>
            <w:tcW w:w="16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34085" cy="175260"/>
                      <wp:effectExtent l="0" t="0" r="0" b="0"/>
                      <wp:wrapNone/>
                      <wp:docPr id="78" name="Frame78"/>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82575" cy="175260"/>
                      <wp:effectExtent l="0" t="0" r="0" b="0"/>
                      <wp:wrapNone/>
                      <wp:docPr id="80" name="Frame80"/>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65810" cy="175260"/>
                      <wp:effectExtent l="0" t="0" r="0" b="0"/>
                      <wp:wrapNone/>
                      <wp:docPr id="81" name="Frame81"/>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335" cy="175260"/>
                      <wp:effectExtent l="0" t="0" r="0" b="0"/>
                      <wp:wrapNone/>
                      <wp:docPr id="84" name="Frame8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65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w:t>
            </w:r>
          </w:p>
        </w:tc>
        <w:tc>
          <w:tcPr>
            <w:tcW w:w="326" w:type="dxa"/>
            <w:tcBorders/>
            <w:vAlign w:val="center"/>
          </w:tcPr>
          <w:p>
            <w:pPr>
              <w:pStyle w:val="TableContents"/>
              <w:bidi w:val="0"/>
              <w:spacing w:before="0" w:after="1"/>
              <w:ind w:left="0" w:right="0" w:hanging="0"/>
              <w:jc w:val="center"/>
              <w:rPr/>
            </w:pPr>
            <w:r>
              <w:rPr/>
              <w:t>    </w:t>
            </w:r>
          </w:p>
        </w:tc>
        <w:tc>
          <w:tcPr>
            <w:tcW w:w="123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16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4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No. of Warrants</w:t>
            </w:r>
          </w:p>
        </w:tc>
        <w:tc>
          <w:tcPr>
            <w:tcW w:w="326" w:type="dxa"/>
            <w:tcBorders/>
            <w:vAlign w:val="center"/>
          </w:tcPr>
          <w:p>
            <w:pPr>
              <w:pStyle w:val="TableContents"/>
              <w:bidi w:val="0"/>
              <w:spacing w:before="0" w:after="1"/>
              <w:ind w:left="0" w:right="0" w:hanging="0"/>
              <w:jc w:val="center"/>
              <w:rPr/>
            </w:pPr>
            <w:r>
              <w:rPr/>
              <w:t>​</w:t>
            </w:r>
          </w:p>
        </w:tc>
        <w:tc>
          <w:tcPr>
            <w:tcW w:w="16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exercise price</w:t>
            </w:r>
          </w:p>
        </w:tc>
        <w:tc>
          <w:tcPr>
            <w:tcW w:w="326" w:type="dxa"/>
            <w:tcBorders/>
            <w:vAlign w:val="center"/>
          </w:tcPr>
          <w:p>
            <w:pPr>
              <w:pStyle w:val="TableContents"/>
              <w:bidi w:val="0"/>
              <w:spacing w:before="0" w:after="1"/>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price range</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1,172,088</w:t>
            </w:r>
          </w:p>
        </w:tc>
        <w:tc>
          <w:tcPr>
            <w:tcW w:w="326"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1.7 - 2.125</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14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pPr>
            <w:r>
              <w:rPr/>
              <w:t> </w:t>
            </w:r>
          </w:p>
        </w:tc>
        <w:tc>
          <w:tcPr>
            <w:tcW w:w="12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center"/>
              <w:rPr/>
            </w:pPr>
            <w:r>
              <w:rPr/>
              <w:t>​</w:t>
            </w:r>
          </w:p>
        </w:tc>
      </w:tr>
      <w:tr>
        <w:trPr/>
        <w:tc>
          <w:tcPr>
            <w:tcW w:w="1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w:t>
            </w:r>
          </w:p>
        </w:tc>
        <w:tc>
          <w:tcPr>
            <w:tcW w:w="109" w:type="dxa"/>
            <w:tcBorders/>
            <w:vAlign w:val="center"/>
          </w:tcPr>
          <w:p>
            <w:pPr>
              <w:pStyle w:val="TableContents"/>
              <w:bidi w:val="0"/>
              <w:spacing w:before="0" w:after="1"/>
              <w:ind w:left="0" w:right="0" w:hanging="0"/>
              <w:jc w:val="left"/>
              <w:rPr/>
            </w:pPr>
            <w:r>
              <w:rPr/>
              <w:t>​</w:t>
            </w:r>
          </w:p>
        </w:tc>
        <w:tc>
          <w:tcPr>
            <w:tcW w:w="1471" w:type="dxa"/>
            <w:tcBorders>
              <w:bottom w:val="single" w:sz="1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(1,168,088)</w:t>
            </w:r>
          </w:p>
        </w:tc>
        <w:tc>
          <w:tcPr>
            <w:tcW w:w="326" w:type="dxa"/>
            <w:tcBorders/>
            <w:vAlign w:val="center"/>
          </w:tcPr>
          <w:p>
            <w:pPr>
              <w:pStyle w:val="TableContents"/>
              <w:bidi w:val="0"/>
              <w:spacing w:before="0" w:after="1"/>
              <w:ind w:left="0" w:right="0" w:hanging="0"/>
              <w:jc w:val="left"/>
              <w:rPr/>
            </w:pPr>
            <w:r>
              <w:rPr/>
              <w:t>​</w:t>
            </w:r>
          </w:p>
        </w:tc>
        <w:tc>
          <w:tcPr>
            <w:tcW w:w="445" w:type="dxa"/>
            <w:tcBorders/>
            <w:vAlign w:val="center"/>
          </w:tcPr>
          <w:p>
            <w:pPr>
              <w:pStyle w:val="TableContents"/>
              <w:bidi w:val="0"/>
              <w:spacing w:before="0" w:after="1"/>
              <w:ind w:left="0" w:right="0" w:hanging="0"/>
              <w:jc w:val="left"/>
              <w:rPr/>
            </w:pPr>
            <w:r>
              <w:rPr/>
              <w:t>​</w:t>
            </w:r>
          </w:p>
        </w:tc>
        <w:tc>
          <w:tcPr>
            <w:tcW w:w="12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1.7 - 2.125</w:t>
            </w:r>
          </w:p>
        </w:tc>
      </w:tr>
      <w:tr>
        <w:trPr/>
        <w:tc>
          <w:tcPr>
            <w:tcW w:w="1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31, 2023</w:t>
            </w:r>
          </w:p>
        </w:tc>
        <w:tc>
          <w:tcPr>
            <w:tcW w:w="109" w:type="dxa"/>
            <w:tcBorders/>
            <w:shd w:fill="CCEEFF" w:val="clear"/>
            <w:vAlign w:val="center"/>
          </w:tcPr>
          <w:p>
            <w:pPr>
              <w:pStyle w:val="TableContents"/>
              <w:bidi w:val="0"/>
              <w:spacing w:before="0" w:after="1"/>
              <w:ind w:left="0" w:right="0" w:hanging="0"/>
              <w:jc w:val="left"/>
              <w:rPr/>
            </w:pPr>
            <w:r>
              <w:rPr/>
              <w:t>​</w:t>
            </w:r>
          </w:p>
        </w:tc>
        <w:tc>
          <w:tcPr>
            <w:tcW w:w="14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shd w:fill="CCEEFF" w:val="clear"/>
            <w:vAlign w:val="center"/>
          </w:tcPr>
          <w:p>
            <w:pPr>
              <w:pStyle w:val="TableContents"/>
              <w:bidi w:val="0"/>
              <w:spacing w:before="0" w:after="1"/>
              <w:ind w:left="0" w:right="0" w:hanging="0"/>
              <w:jc w:val="left"/>
              <w:rPr/>
            </w:pPr>
            <w:r>
              <w:rPr/>
              <w:t>​</w:t>
            </w:r>
          </w:p>
        </w:tc>
        <w:tc>
          <w:tcPr>
            <w:tcW w:w="4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2.125</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bookmarkStart w:id="807" w:name="Tc_Jg2ebUh5rEG0_Ajg-epfcA_6_4"/>
      <w:bookmarkStart w:id="808" w:name="Tc_0LaYrL60akGzKWOzukGb9Q_6_3"/>
      <w:bookmarkStart w:id="809" w:name="Tc_P6TwtkZDXEOSqeEmDv1NIA_6_0"/>
      <w:bookmarkStart w:id="810" w:name="Tc_9tte6xLTHUKnXujHWVpsFQ_5_4"/>
      <w:bookmarkStart w:id="811" w:name="Tc_01HeQiYV60ybcp2R-UzEmQ_5_3"/>
      <w:bookmarkStart w:id="812" w:name="Tc_hOtthAA-GEajgB10zvtDig_5_0"/>
      <w:bookmarkStart w:id="813" w:name="Tc_SxZGlFdAyUCu5OPcod5iww_4_4"/>
      <w:bookmarkStart w:id="814" w:name="Tc_81Jnl8pZ7EKZcuAkHQ-8ww_4_0"/>
      <w:bookmarkStart w:id="815" w:name="Tc_Pnx5TiADskC3VQAfEWhmBw_3_4"/>
      <w:bookmarkStart w:id="816" w:name="Tc_GG4cb1aZl0Gh0nf3uWexHw_3_3"/>
      <w:bookmarkStart w:id="817" w:name="Tc_Ecp-Sdqo8kSu0ymceCypxQ_3_0"/>
      <w:bookmarkStart w:id="818" w:name="Tc_MO6ObKn_yEmqpmkqu05QkA_2_3"/>
      <w:bookmarkStart w:id="819" w:name="Tc_b0Y7tp8X30OA0I0RYD5NXg_2_2"/>
      <w:bookmarkStart w:id="820" w:name="Tc_RSxlzM_7GUicHOwaS9eYSA_2_0"/>
      <w:bookmarkStart w:id="821" w:name="Tc_j0asg1Ksm0mdAOhr3TluZQ_1_3"/>
      <w:bookmarkStart w:id="822" w:name="Tc_OkwkXdG1ek-0jLpu7u3ENQ_1_2"/>
      <w:bookmarkStart w:id="823" w:name="Tc_qLtm4uD2AUe6WL6w42aoBw_1_0"/>
      <w:bookmarkStart w:id="824" w:name="_Hlk71885565"/>
      <w:bookmarkStart w:id="825" w:name="_Hlk118559827"/>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Pr>
          <w:rFonts w:ascii="Times New Roman;Times;serif" w:hAnsi="Times New Roman;Times;serif"/>
          <w:i/>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 stock-based compensation plan available to grant stock options and RSUs to the Company’s directors, employees and consultants.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2020, the Board of Directors approved the 2020 Equity Incentive Plan (the “2020 Plan”), a new stock-based compensation plan available to grant stock options, restricted stock and Restricted Stock Units (“RSU’s”) aggregating to 5,000,000 shares of Common Stock, to the Company’s directors, employees and consultants. Shareholder approval of the 2020 Plan was subsequently obtained on October 28, 2020. On October 4, 2022, shareholders approved </w:t>
      </w:r>
      <w:r>
        <w:rPr>
          <w:rFonts w:ascii="Times New Roman;Times;serif" w:hAnsi="Times New Roman;Times;serif"/>
          <w:color w:val="212529"/>
          <w:sz w:val="20"/>
          <w:shd w:fill="FFFFFF" w:val="clear"/>
        </w:rPr>
        <w:t xml:space="preserve">the amendment to the 2020 Plan to increase the number of shares authorized for issuance under the 2020 Plan by 7,500,000 shares of Common Stock to an aggregate of 12,500,000 shares. </w:t>
      </w:r>
      <w:r>
        <w:rPr>
          <w:rFonts w:ascii="Times New Roman;Times;serif" w:hAnsi="Times New Roman;Times;serif"/>
          <w:sz w:val="20"/>
        </w:rPr>
        <w:t>Under the 2020 Plan, a maximum of 4,388,329 shares of Common Stock remained available for issuance as of March 31, 2023.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 of the total number of shares of common stock of XpresTest as of March 31, 2023.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w:t>
      </w:r>
      <w:r>
        <w:rPr>
          <w:rFonts w:ascii="Times New Roman;Times;serif" w:hAnsi="Times New Roman;Times;serif"/>
          <w:sz w:val="20"/>
          <w:shd w:fill="FFFFFF" w:val="clear"/>
        </w:rPr>
        <w:t>XWELL’s</w:t>
      </w:r>
      <w:r>
        <w:rPr>
          <w:rFonts w:ascii="Times New Roman;Times;serif" w:hAnsi="Times New Roman;Times;serif"/>
          <w:sz w:val="20"/>
        </w:rPr>
        <w:t xml:space="preserve"> Net Market Cap and </w:t>
      </w:r>
      <w:r>
        <w:rPr>
          <w:rFonts w:ascii="Times New Roman;Times;serif" w:hAnsi="Times New Roman;Times;serif"/>
          <w:sz w:val="20"/>
          <w:shd w:fill="FFFFFF" w:val="clear"/>
        </w:rPr>
        <w:t>XWELL’s</w:t>
      </w:r>
      <w:r>
        <w:rPr>
          <w:rFonts w:ascii="Times New Roman;Times;serif" w:hAnsi="Times New Roman;Times;serif"/>
          <w:sz w:val="20"/>
        </w:rPr>
        <w:t xml:space="preserve"> standalone Fair Value, and (ii) Direct Valuation Method developing assumptions for XpresTest Representative Forecasted Revenue for 2021 and Peer companies Revenue’s Multiple. As of March 31, 2023, there is $167 of unrecognized stock-based compensation related to the XpresTest Plan.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variables were used as inputs in the model:</w:t>
      </w:r>
    </w:p>
    <w:p>
      <w:pPr>
        <w:pStyle w:val="TextBody"/>
        <w:bidi w:val="0"/>
        <w:spacing w:before="0" w:after="0"/>
        <w:ind w:left="0" w:right="0" w:hanging="0"/>
        <w:jc w:val="both"/>
        <w:rPr/>
      </w:pPr>
      <w:r>
        <w:rPr/>
        <w:t>​</w:t>
      </w:r>
    </w:p>
    <w:tbl>
      <w:tblPr>
        <w:tblW w:w="7478" w:type="dxa"/>
        <w:jc w:val="left"/>
        <w:tblInd w:w="0" w:type="dxa"/>
        <w:tblLayout w:type="fixed"/>
        <w:tblCellMar>
          <w:top w:w="0" w:type="dxa"/>
          <w:left w:w="0" w:type="dxa"/>
          <w:bottom w:w="0" w:type="dxa"/>
          <w:right w:w="0" w:type="dxa"/>
        </w:tblCellMar>
      </w:tblPr>
      <w:tblGrid>
        <w:gridCol w:w="5281"/>
        <w:gridCol w:w="109"/>
        <w:gridCol w:w="211"/>
        <w:gridCol w:w="1306"/>
        <w:gridCol w:w="57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353435" cy="175260"/>
                      <wp:effectExtent l="0" t="0" r="0" b="0"/>
                      <wp:wrapNone/>
                      <wp:docPr id="85" name="Frame85"/>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829310" cy="175260"/>
                      <wp:effectExtent l="0" t="0" r="0" b="0"/>
                      <wp:wrapNone/>
                      <wp:docPr id="88" name="Frame88"/>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89" name="Frame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price of the Company’s Common Stock on the grant date:</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0.36 - 0.41</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0.36 - 0.41</w:t>
            </w:r>
          </w:p>
        </w:tc>
        <w:tc>
          <w:tcPr>
            <w:tcW w:w="571" w:type="dxa"/>
            <w:tcBorders/>
            <w:vAlign w:val="center"/>
          </w:tcPr>
          <w:p>
            <w:pPr>
              <w:pStyle w:val="TableContents"/>
              <w:bidi w:val="0"/>
              <w:spacing w:before="0" w:after="0"/>
              <w:ind w:left="0" w:right="0" w:hanging="0"/>
              <w:jc w:val="left"/>
              <w:rPr/>
            </w:pPr>
            <w:r>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119.41-121.04</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average risk-free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3.65 - 3.96</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6.32 - 6.41</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26" w:name="Tc_w6JuBvd8kE6D_LssNzi9Ug_12_18"/>
      <w:bookmarkStart w:id="827" w:name="Tc_3hnI_-QqYUC7Yv-ttWx4Vw_12_17"/>
      <w:bookmarkStart w:id="828" w:name="Tc_9-R5fmY_jUGRkeXh0Y181g_12_14"/>
      <w:bookmarkStart w:id="829" w:name="Tc_jSPTmTPEvUajIDmAwRFuzw_12_0"/>
      <w:bookmarkStart w:id="830" w:name="Tc_Cb5Pw1RfQkOFd273yybVaw_11_18"/>
      <w:bookmarkStart w:id="831" w:name="Tc_oHDyVbpiNE64JXXNnmqx8Q_11_17"/>
      <w:bookmarkStart w:id="832" w:name="Tc_aPAE3ZG3o0evv2VU_B2fzw_11_14"/>
      <w:bookmarkStart w:id="833" w:name="Tc_E5KpOHO_rEmnrXtvMc0SMg_11_9"/>
      <w:bookmarkStart w:id="834" w:name="Tc_OgtT9-UnpkqDh71X134I8A_11_4"/>
      <w:bookmarkStart w:id="835" w:name="Tc_Lx1Mg7pmw0q5Kc8wO8hkJQ_11_0"/>
      <w:bookmarkStart w:id="836" w:name="Tc_OMQgop6VCUOqSTXjIDMVow_10_18"/>
      <w:bookmarkStart w:id="837" w:name="Tc_ZSSDXuB94UGT717mhNYlFQ_10_17"/>
      <w:bookmarkStart w:id="838" w:name="Tc_y1cySXkSMkS7phc5CPLKFw_10_14"/>
      <w:bookmarkStart w:id="839" w:name="Tc_sS5HPDAXY0aD3tI574QUqA_10_10"/>
      <w:bookmarkStart w:id="840" w:name="Tc_YWxS3fJJS0aFOnIwwHxV9w_10_7"/>
      <w:bookmarkStart w:id="841" w:name="Tc_5xE8kCiUQEahIudeukqT7A_10_5"/>
      <w:bookmarkStart w:id="842" w:name="Tc_nRw2KzaGCU-cUpbWpJJ-cw_10_2"/>
      <w:bookmarkStart w:id="843" w:name="Tc_VAcjYOIyGEiK96dK366l_A_10_0"/>
      <w:bookmarkStart w:id="844" w:name="Tc_rvTiiYu-y0amqkic_SdnfA_9_17"/>
      <w:bookmarkStart w:id="845" w:name="Tc_jE5olA_bU0WxNO18zrSh_Q_9_14"/>
      <w:bookmarkStart w:id="846" w:name="Tc_u0tubA6A60CbYhiVfoy1Zw_9_10"/>
      <w:bookmarkStart w:id="847" w:name="Tc_2Lsufi3PfEiYRZ_ZNrXxGw_9_7"/>
      <w:bookmarkStart w:id="848" w:name="Tc_TjC8HYVulkuKH34Aa1Gp-w_9_5"/>
      <w:bookmarkStart w:id="849" w:name="Tc_KcNGayyBhUSOzOcyCHqZTQ_9_2"/>
      <w:bookmarkStart w:id="850" w:name="Tc_D6D6ab94IUmZ7lo7ANOmEg_9_0"/>
      <w:bookmarkStart w:id="851" w:name="Tc_PD5EwVAfXE6VDv2Nye-5-Q_8_15"/>
      <w:bookmarkStart w:id="852" w:name="Tc_e7KCS-KmNU2HoLdAOa8gvA_8_12"/>
      <w:bookmarkStart w:id="853" w:name="Tc_itQi2ILDgEG3jA3rN7kjRg_8_10"/>
      <w:bookmarkStart w:id="854" w:name="Tc__xcOCMQBZESjmqTJYpwIwA_8_7"/>
      <w:bookmarkStart w:id="855" w:name="Tc_-urfV6ATkE2ISFJx8Gas3w_8_0"/>
      <w:bookmarkStart w:id="856" w:name="Tc_MHhVOy8uFk-ni25PTv6zuA_7_18"/>
      <w:bookmarkStart w:id="857" w:name="Tc_kVBB013KV0aJKv9p4lvO1g_7_14"/>
      <w:bookmarkStart w:id="858" w:name="Tc_XzOahpyBuEe9q5eFZ0ZKRw_7_10"/>
      <w:bookmarkStart w:id="859" w:name="Tc_69fu4D5lG0erTIzrx0lw6A_7_7"/>
      <w:bookmarkStart w:id="860" w:name="Tc_ZVEE6vcqtUeAmasiS0AuLQ_7_0"/>
      <w:bookmarkStart w:id="861" w:name="Tc_VW4_ViJin0u5o7JBeO-rnw_6_18"/>
      <w:bookmarkStart w:id="862" w:name="Tc_OQswrGYuWEm-M258X-_IJA_6_17"/>
      <w:bookmarkStart w:id="863" w:name="Tc_os28toA-xUO4yqlkV5d6yQ_6_14"/>
      <w:bookmarkStart w:id="864" w:name="Tc_7KehYB6QKkGOhDVMl0a2AQ_6_9"/>
      <w:bookmarkStart w:id="865" w:name="Tc_IIQjCTGtz0iQpsiB1KYIZg_6_4"/>
      <w:bookmarkStart w:id="866" w:name="Tc_ZS3bF3rMaUe8w8v-_ezPyw_6_0"/>
      <w:bookmarkStart w:id="867" w:name="Tc_s1iZ3L3COUK73zKoBJf1gg_5_17"/>
      <w:bookmarkStart w:id="868" w:name="Tc_zrzY0Kf7okGZf382K2y4jg_5_14"/>
      <w:bookmarkStart w:id="869" w:name="Tc_rX5aL8e4s02a9QLGSKeMMw_5_12"/>
      <w:bookmarkStart w:id="870" w:name="Tc_QPlPhrX1m02rHZj_pqhmCg_5_9"/>
      <w:bookmarkStart w:id="871" w:name="Tc_yZCBJZ0Mu02hgL2X2czEnA_5_7"/>
      <w:bookmarkStart w:id="872" w:name="Tc_yRUYRX75BEeYdZkH2BIVbg_5_4"/>
      <w:bookmarkStart w:id="873" w:name="Tc_cGz1-9d6NUutOFP6QjKXcQ_5_2"/>
      <w:bookmarkStart w:id="874" w:name="Tc_hCeKXJmre0yveG4BECxMPg_4_17"/>
      <w:bookmarkStart w:id="875" w:name="Tc_38EHWh5glkWra_FyVhxfAQ_4_14"/>
      <w:bookmarkStart w:id="876" w:name="Tc_PTeJ_PpYA0akLSTwrflekg_4_12"/>
      <w:bookmarkStart w:id="877" w:name="Tc_75FkPBUBV02pv20jrmHOKw_4_9"/>
      <w:bookmarkStart w:id="878" w:name="Tc_wNv33aFKJkG6uXnM3C1YRQ_4_7"/>
      <w:bookmarkStart w:id="879" w:name="Tc_J_TexMApbkudku4Cvp7gAA_4_4"/>
      <w:bookmarkStart w:id="880" w:name="Tc_ngrIca3Qnk6gPbtubocZDg_4_2"/>
      <w:bookmarkStart w:id="881" w:name="Tc_V1zFsw3Ed0ac4T--ZzGhCQ_3_17"/>
      <w:bookmarkStart w:id="882" w:name="Tc_VTWumI_oVEi-6mIoJr8VnA_3_14"/>
      <w:bookmarkStart w:id="883" w:name="Tc_fBeOxQHO7UWJvXEmbrUDwQ_3_9"/>
      <w:bookmarkStart w:id="884" w:name="Tc_vbkRNwe9nEKDThOguIFoIQ_3_4"/>
      <w:bookmarkStart w:id="885" w:name="Tc_y8mus9H-M028Bb6OhKmHjA_2_14"/>
      <w:bookmarkStart w:id="886" w:name="Tc_ZJi8vTfD7k2MAqWcKahLbw_2_9"/>
      <w:bookmarkStart w:id="887" w:name="Tc_EGCfOIkBiE6SLfvtrOG0zA_2_4"/>
      <w:bookmarkStart w:id="888" w:name="Tc_ef37yMpk70Sz0HyJXLdQmw_1_12"/>
      <w:bookmarkStart w:id="889" w:name="Tc_Ux4qp_mjUU2mvw66sEqiCA_1_7"/>
      <w:bookmarkStart w:id="890" w:name="Tc_tp7tRQJ2bE-noKuYiiTA2w_1_2"/>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sz w:val="20"/>
        </w:rPr>
        <w:t>The following tables summarize information about stock options and RSU activity during the three months ended March 31,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32"/>
        <w:gridCol w:w="326"/>
        <w:gridCol w:w="783"/>
        <w:gridCol w:w="326"/>
        <w:gridCol w:w="303"/>
        <w:gridCol w:w="673"/>
        <w:gridCol w:w="326"/>
        <w:gridCol w:w="601"/>
        <w:gridCol w:w="326"/>
        <w:gridCol w:w="231"/>
        <w:gridCol w:w="745"/>
        <w:gridCol w:w="326"/>
        <w:gridCol w:w="931"/>
        <w:gridCol w:w="326"/>
        <w:gridCol w:w="247"/>
        <w:gridCol w:w="669"/>
        <w:gridCol w:w="326"/>
        <w:gridCol w:w="211"/>
        <w:gridCol w:w="797"/>
      </w:tblGrid>
      <w:tr>
        <w:trPr/>
        <w:tc>
          <w:tcPr>
            <w:tcW w:w="1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099820" cy="175260"/>
                      <wp:effectExtent l="0" t="0" r="0" b="0"/>
                      <wp:wrapNone/>
                      <wp:docPr id="90" name="Frame90"/>
                      <a:graphic xmlns:a="http://schemas.openxmlformats.org/drawingml/2006/main">
                        <a:graphicData uri="http://schemas.microsoft.com/office/word/2010/wordprocessingShape">
                          <wps:wsp>
                            <wps:cNvSpPr txBox="1"/>
                            <wps:spPr>
                              <a:xfrm>
                                <a:off x="0" y="0"/>
                                <a:ext cx="1099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7205" cy="175260"/>
                      <wp:effectExtent l="0" t="0" r="0" b="0"/>
                      <wp:wrapNone/>
                      <wp:docPr id="92" name="Frame92"/>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2405" cy="175260"/>
                      <wp:effectExtent l="0" t="0" r="0" b="0"/>
                      <wp:wrapNone/>
                      <wp:docPr id="94" name="Frame9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7355" cy="175260"/>
                      <wp:effectExtent l="0" t="0" r="0" b="0"/>
                      <wp:wrapNone/>
                      <wp:docPr id="95" name="Frame95"/>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81635" cy="175260"/>
                      <wp:effectExtent l="0" t="0" r="0" b="0"/>
                      <wp:wrapNone/>
                      <wp:docPr id="97" name="Frame9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6685" cy="175260"/>
                      <wp:effectExtent l="0" t="0" r="0" b="0"/>
                      <wp:wrapNone/>
                      <wp:docPr id="99" name="Frame9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73075" cy="175260"/>
                      <wp:effectExtent l="0" t="0" r="0" b="0"/>
                      <wp:wrapNone/>
                      <wp:docPr id="100" name="Frame100"/>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91185" cy="175260"/>
                      <wp:effectExtent l="0" t="0" r="0" b="0"/>
                      <wp:wrapNone/>
                      <wp:docPr id="102" name="Frame10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6845" cy="175260"/>
                      <wp:effectExtent l="0" t="0" r="0" b="0"/>
                      <wp:wrapNone/>
                      <wp:docPr id="104" name="Frame104"/>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24815" cy="175260"/>
                      <wp:effectExtent l="0" t="0" r="0" b="0"/>
                      <wp:wrapNone/>
                      <wp:docPr id="105" name="Frame105"/>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06095" cy="175260"/>
                      <wp:effectExtent l="0" t="0" r="0" b="0"/>
                      <wp:wrapNone/>
                      <wp:docPr id="108" name="Frame108"/>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8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0"/>
              <w:ind w:left="0" w:right="0" w:hanging="0"/>
              <w:jc w:val="center"/>
              <w:rPr/>
            </w:pPr>
            <w:r>
              <w:rPr/>
              <w:t>​</w:t>
            </w:r>
          </w:p>
        </w:tc>
        <w:tc>
          <w:tcPr>
            <w:tcW w:w="190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XpresTest RSAs</w:t>
            </w:r>
          </w:p>
        </w:tc>
        <w:tc>
          <w:tcPr>
            <w:tcW w:w="326" w:type="dxa"/>
            <w:tcBorders/>
            <w:vAlign w:val="center"/>
          </w:tcPr>
          <w:p>
            <w:pPr>
              <w:pStyle w:val="TableContents"/>
              <w:bidi w:val="0"/>
              <w:spacing w:before="0" w:after="0"/>
              <w:ind w:left="0" w:right="0" w:hanging="0"/>
              <w:jc w:val="center"/>
              <w:rPr/>
            </w:pPr>
            <w:r>
              <w:rPr/>
              <w:t>​</w:t>
            </w:r>
          </w:p>
        </w:tc>
        <w:tc>
          <w:tcPr>
            <w:tcW w:w="350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Stock options</w:t>
            </w:r>
          </w:p>
        </w:tc>
      </w:tr>
      <w:tr>
        <w:trPr/>
        <w:tc>
          <w:tcPr>
            <w:tcW w:w="1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center"/>
              <w:rPr/>
            </w:pPr>
            <w:r>
              <w:rPr/>
              <w:t>    </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97" w:type="dxa"/>
            <w:tcBorders/>
            <w:vAlign w:val="center"/>
          </w:tcPr>
          <w:p>
            <w:pPr>
              <w:pStyle w:val="TableContents"/>
              <w:bidi w:val="0"/>
              <w:spacing w:before="0" w:after="0"/>
              <w:ind w:left="0" w:right="0" w:hanging="0"/>
              <w:jc w:val="center"/>
              <w:rPr/>
            </w:pPr>
            <w:r>
              <w:rPr/>
              <w:t>​</w:t>
            </w:r>
          </w:p>
        </w:tc>
      </w:tr>
      <w:tr>
        <w:trPr/>
        <w:tc>
          <w:tcPr>
            <w:tcW w:w="1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100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r>
      <w:tr>
        <w:trPr/>
        <w:tc>
          <w:tcPr>
            <w:tcW w:w="1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grant date</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of</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w:t>
            </w:r>
          </w:p>
        </w:tc>
        <w:tc>
          <w:tcPr>
            <w:tcW w:w="326" w:type="dxa"/>
            <w:tcBorders/>
            <w:vAlign w:val="center"/>
          </w:tcPr>
          <w:p>
            <w:pPr>
              <w:pStyle w:val="TableContents"/>
              <w:bidi w:val="0"/>
              <w:spacing w:before="0" w:after="0"/>
              <w:ind w:left="0" w:right="0" w:hanging="0"/>
              <w:jc w:val="center"/>
              <w:rPr/>
            </w:pPr>
            <w:r>
              <w:rPr/>
              <w:t>​</w:t>
            </w:r>
          </w:p>
        </w:tc>
        <w:tc>
          <w:tcPr>
            <w:tcW w:w="100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r>
      <w:tr>
        <w:trPr/>
        <w:tc>
          <w:tcPr>
            <w:tcW w:w="1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RSUs</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RSAs</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options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center"/>
              <w:rPr/>
            </w:pPr>
            <w:r>
              <w:rPr/>
              <w:t>​</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range</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281,250</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47,570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4,830,029</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0.65 - 2,460</w:t>
            </w:r>
          </w:p>
        </w:tc>
      </w:tr>
      <w:tr>
        <w:trPr/>
        <w:tc>
          <w:tcPr>
            <w:tcW w:w="1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138,888</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0.36</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2,886,388</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0.36 - 0.41</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Exercised/Vested</w:t>
            </w:r>
          </w:p>
        </w:tc>
        <w:tc>
          <w:tcPr>
            <w:tcW w:w="326"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(93,750)</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center"/>
              <w:rPr/>
            </w:pPr>
            <w:r>
              <w:rPr/>
              <w:t>​</w:t>
            </w:r>
          </w:p>
        </w:tc>
      </w:tr>
      <w:tr>
        <w:trPr/>
        <w:tc>
          <w:tcPr>
            <w:tcW w:w="1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(16,914)</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1.43</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1.53 - 1,908</w:t>
            </w:r>
          </w:p>
        </w:tc>
      </w:tr>
      <w:tr>
        <w:trPr/>
        <w:tc>
          <w:tcPr>
            <w:tcW w:w="17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March 31, 2023</w:t>
            </w:r>
          </w:p>
        </w:tc>
        <w:tc>
          <w:tcPr>
            <w:tcW w:w="326" w:type="dxa"/>
            <w:tcBorders/>
            <w:vAlign w:val="center"/>
          </w:tcPr>
          <w:p>
            <w:pPr>
              <w:pStyle w:val="TableContents"/>
              <w:bidi w:val="0"/>
              <w:spacing w:before="0" w:after="0"/>
              <w:ind w:left="0" w:right="0" w:hanging="0"/>
              <w:jc w:val="left"/>
              <w:rPr/>
            </w:pPr>
            <w:r>
              <w:rPr/>
              <w:t>​</w:t>
            </w:r>
          </w:p>
        </w:tc>
        <w:tc>
          <w:tcPr>
            <w:tcW w:w="7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326,388</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26" w:type="dxa"/>
            <w:tcBorders/>
            <w:vAlign w:val="center"/>
          </w:tcPr>
          <w:p>
            <w:pPr>
              <w:pStyle w:val="TableContents"/>
              <w:bidi w:val="0"/>
              <w:spacing w:before="0" w:after="0"/>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47,570</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7,694,370</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0.36 - 2,460</w:t>
            </w:r>
          </w:p>
        </w:tc>
      </w:tr>
      <w:tr>
        <w:trPr/>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March 31, 2023</w:t>
            </w:r>
          </w:p>
        </w:tc>
        <w:tc>
          <w:tcPr>
            <w:tcW w:w="326"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right"/>
              <w:rPr/>
            </w:pPr>
            <w:r>
              <w:rPr/>
              <w:t>​</w:t>
            </w:r>
          </w:p>
        </w:tc>
        <w:tc>
          <w:tcPr>
            <w:tcW w:w="67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3,285,125</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0.40- 2,460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Total stock-based compensation for the three-month periods ended March 31, 2023 and 2022 is $612 and $1,543, respectively. The Company had $2,992 and $2,506 of unrecognized stock-based compensation related to the XWELL Stock Options, as of March 31, 2023 and December 31, 2022, respectively.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91" w:name="Tc_tkG1ozH-Pkic-QIQJ2fbXw_11_7"/>
      <w:bookmarkStart w:id="892" w:name="Tc_87nzUVW7t0q-9f-SgfMwmA_11_2"/>
      <w:bookmarkStart w:id="893" w:name="Tc_zG8cyztLJ0CktvyNoab4Dw_11_0"/>
      <w:bookmarkStart w:id="894" w:name="Tc_5ahqdY-C7kmvY1G0GHl8Zw_10_0"/>
      <w:bookmarkStart w:id="895" w:name="Tc_DRfFb0pT2k6QK6nDsTOpaA_9_0"/>
      <w:bookmarkStart w:id="896" w:name="Tc_VI0f88g0VkCDdl8_JvUJXg_8_0"/>
      <w:bookmarkStart w:id="897" w:name="Tc_5BOMXwVvVkCkp2JGoHaWSg_7_0"/>
      <w:bookmarkStart w:id="898" w:name="Tc_b-3DIDX4yEmTokDQTYjIfQ_6_0"/>
      <w:bookmarkStart w:id="899" w:name="Tc_lZAoHlFIFE2MHLfEwHMZqg_5_0"/>
      <w:bookmarkStart w:id="900" w:name="Tc_a7KkTApKmkKG78wTdH8Wlw_4_0"/>
      <w:bookmarkStart w:id="901" w:name="Tc_7-oS7ncXo0e4yrsoYd6-bg_3_7"/>
      <w:bookmarkStart w:id="902" w:name="Tc_zF1lGuBqn0CDW09OmEo_KA_3_2"/>
      <w:bookmarkStart w:id="903" w:name="Tc_6Ky8vT59mES6G5aqIYPWQg_3_0"/>
      <w:bookmarkStart w:id="904" w:name="Tc_Puj5Q4t5EkakHhEivHqQ4g_2_7"/>
      <w:bookmarkStart w:id="905" w:name="Tc_NUJna_AbPEy_NYOPOP-s0A_2_2"/>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r>
        <w:rPr>
          <w:rFonts w:ascii="Times New Roman;Times;serif" w:hAnsi="Times New Roman;Times;serif"/>
          <w:b/>
          <w:sz w:val="20"/>
        </w:rPr>
        <w:t>Note 9. Accrued expenses and other current liabilities</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As of March 31, 2023 and  December 31, 2022, the Company’s accrued expenses and other current liabilities were comprised of the following:</w:t>
      </w:r>
    </w:p>
    <w:p>
      <w:pPr>
        <w:pStyle w:val="TextBody"/>
        <w:bidi w:val="0"/>
        <w:spacing w:before="0" w:after="0"/>
        <w:ind w:left="0" w:right="0" w:hanging="0"/>
        <w:jc w:val="left"/>
        <w:rPr/>
      </w:pPr>
      <w:r>
        <w:rPr/>
        <w:t>​</w:t>
      </w:r>
    </w:p>
    <w:tbl>
      <w:tblPr>
        <w:tblW w:w="8126" w:type="dxa"/>
        <w:jc w:val="left"/>
        <w:tblInd w:w="0" w:type="dxa"/>
        <w:tblLayout w:type="fixed"/>
        <w:tblCellMar>
          <w:top w:w="0" w:type="dxa"/>
          <w:left w:w="0" w:type="dxa"/>
          <w:bottom w:w="0" w:type="dxa"/>
          <w:right w:w="0" w:type="dxa"/>
        </w:tblCellMar>
      </w:tblPr>
      <w:tblGrid>
        <w:gridCol w:w="4261"/>
        <w:gridCol w:w="326"/>
        <w:gridCol w:w="388"/>
        <w:gridCol w:w="1053"/>
        <w:gridCol w:w="109"/>
        <w:gridCol w:w="109"/>
        <w:gridCol w:w="109"/>
        <w:gridCol w:w="421"/>
        <w:gridCol w:w="1350"/>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705735" cy="175260"/>
                      <wp:effectExtent l="0" t="0" r="0" b="0"/>
                      <wp:wrapNone/>
                      <wp:docPr id="109" name="Frame109"/>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46380" cy="175260"/>
                      <wp:effectExtent l="0" t="0" r="0" b="0"/>
                      <wp:wrapNone/>
                      <wp:docPr id="111" name="Frame111"/>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68655" cy="175260"/>
                      <wp:effectExtent l="0" t="0" r="0" b="0"/>
                      <wp:wrapNone/>
                      <wp:docPr id="112" name="Frame112"/>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5" name="Frame1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7335" cy="175260"/>
                      <wp:effectExtent l="0" t="0" r="0" b="0"/>
                      <wp:wrapNone/>
                      <wp:docPr id="116" name="Frame11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857250" cy="175260"/>
                      <wp:effectExtent l="0" t="0" r="0" b="0"/>
                      <wp:wrapNone/>
                      <wp:docPr id="117" name="Frame117"/>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left"/>
              <w:rPr/>
            </w:pPr>
            <w:r>
              <w:rPr/>
              <w:t>​</w:t>
            </w:r>
          </w:p>
        </w:tc>
      </w:tr>
      <w:tr>
        <w:trPr/>
        <w:tc>
          <w:tcPr>
            <w:tcW w:w="4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accrual</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Tax-related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area maintenance accruals</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certificates</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card processing fees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miscellaneous accruals</w:t>
            </w:r>
          </w:p>
        </w:tc>
        <w:tc>
          <w:tcPr>
            <w:tcW w:w="326" w:type="dxa"/>
            <w:tcBorders/>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10. 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provision for income taxes consists of federal, state, local, and foreign taxes in amounts necessary to align the Company’s year-to-date provision for income taxes with the effective tax rate that the Company expects to achieve for the full year. The income tax provision for the three-month period ended March 31, 2023 reflects a de minimis estimated global annual effective tax 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2023,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Net operating losses generated for tax years beginning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had de minimis income tax expense for each of the three-month period ended March 31, 2023 and 2022. This was attributable primarily to operating results in conjunction with a full valuation allowance. The final annual tax rate cannot be determined until the end of the fiscal year; therefore, the actual tax rate could differ from current estimates. The Company does not expect to record any additional material provisions for unrecognized tax benefits in the next year.</w:t>
      </w:r>
    </w:p>
    <w:p>
      <w:pPr>
        <w:pStyle w:val="TextBody"/>
        <w:bidi w:val="0"/>
        <w:spacing w:before="0" w:after="24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Commitments and 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$449 and $963 as of March 31, 2023 and December 31, 2022, respectively, which is included in </w:t>
      </w:r>
      <w:r>
        <w:rPr>
          <w:rFonts w:ascii="Times New Roman;Times;serif" w:hAnsi="Times New Roman;Times;serif"/>
          <w:i/>
          <w:sz w:val="20"/>
        </w:rPr>
        <w:t>Accounts payable, accrued expenses and other current liabilities</w:t>
      </w:r>
      <w:r>
        <w:rPr>
          <w:rFonts w:ascii="Times New Roman;Times;serif" w:hAnsi="Times New Roman;Times;serif"/>
          <w:sz w:val="20"/>
        </w:rPr>
        <w:t xml:space="preserve"> in the condensed consolidated balance sheets.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expenses legal fees in the period in which they are incurred.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Kyle Collins v. Spa Products Import &amp; Distribution Co., LLC et al</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This is a combined class action and California Private Attorney’s General Act (“PAGA”) action.  Plaintiff seeks to recover wages, penalties and PAGA penalties for claims for (1) failure to provide meal periods, (2) failure to provide rest breaks, (3) 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which was approved on September 20, 2022 for the amount of $517 and additional payroll taxes of $4. Funding of the settlement amount occurred on January 26,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OTG Management PHL B v. XpresSpa Philadelphia Terminal B et 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w:t>
      </w:r>
      <w:r>
        <w:rPr>
          <w:rFonts w:ascii="Times New Roman;Times;serif" w:hAnsi="Times New Roman;Times;serif"/>
          <w:b w:val="false"/>
          <w:i w:val="false"/>
          <w:caps w:val="false"/>
          <w:smallCaps w:val="false"/>
          <w:sz w:val="20"/>
        </w:rPr>
        <w:t>12-year</w:t>
      </w:r>
      <w:r>
        <w:rPr>
          <w:rFonts w:ascii="Times New Roman;Times;serif" w:hAnsi="Times New Roman;Times;serif"/>
          <w:sz w:val="20"/>
        </w:rPr>
        <w:t xml:space="preserve"> contract. They claim that by refusing to complete the project, failing to commence and maintain operations, refusing to pay rent and improperly purporting to terminate the lease (among other acts and omissions), XWELL breached the lease. </w:t>
      </w:r>
      <w:r>
        <w:rPr>
          <w:rFonts w:ascii="Times New Roman;Times;serif" w:hAnsi="Times New Roman;Times;serif"/>
          <w:sz w:val="20"/>
          <w:shd w:fill="FFFFFF" w:val="clear"/>
        </w:rPr>
        <w:t>OTG </w:t>
      </w:r>
      <w:r>
        <w:rPr>
          <w:rFonts w:ascii="Times New Roman;Times;serif" w:hAnsi="Times New Roman;Times;serif"/>
          <w:sz w:val="20"/>
        </w:rPr>
        <w:t>Management</w:t>
      </w:r>
      <w:r>
        <w:rPr>
          <w:rFonts w:ascii="Times New Roman;Times;serif" w:hAnsi="Times New Roman;Times;serif"/>
          <w:sz w:val="20"/>
          <w:shd w:fill="FFFFFF" w:val="clear"/>
        </w:rPr>
        <w:t> has agreed to extend XWELL’s time to respond to the Complaint to July 4,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an action is brought against the Company or one of its subsidiaries, the Company will investigate the allegation and vigorously defend itself.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analyzes the results of the Company’s business through its four reportable segments: XpresSpa, XpresTest, Treat and HyperPointe.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w:t>
      </w:r>
      <w:r>
        <w:rPr>
          <w:rFonts w:ascii="Arial Narrow" w:hAnsi="Arial Narrow"/>
          <w:sz w:val="20"/>
        </w:rPr>
        <w:t xml:space="preserve">. </w:t>
      </w:r>
      <w:r>
        <w:rPr>
          <w:rFonts w:ascii="Times New Roman;Times;serif" w:hAnsi="Times New Roman;Times;serif"/>
          <w:sz w:val="20"/>
        </w:rPr>
        <w:t xml:space="preserve">HyperPointe, which the Company acquired in January 2022, provides a broad range of service and support options for our customers, including technical support services and advanced services.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06" w:name="Tc_Rm2fAiL2tEO29m9A79ZJnw_51_5"/>
      <w:bookmarkStart w:id="907" w:name="Tc_r5BtYZ0Ii0ahtU7u8S7S4Q_51_2"/>
      <w:bookmarkStart w:id="908" w:name="Tc_jf5NYscu1EWRoSbaIwk4Ag_51_0"/>
      <w:bookmarkStart w:id="909" w:name="Tc_Vqc6J4SRGkKM9Q425w7nVQ_50_0"/>
      <w:bookmarkStart w:id="910" w:name="Tc_Q0BVTfnOhkyTJfRTX-CY2A_49_0"/>
      <w:bookmarkStart w:id="911" w:name="Tc_tI8ttSu5gkuH7sKAoDo_oA_48_0"/>
      <w:bookmarkStart w:id="912" w:name="Tc_IWkA09MXI02jaCHkbQzBHA_47_0"/>
      <w:bookmarkStart w:id="913" w:name="Tc_VLAOBnsLlEGK3TID9rMgpg_46_5"/>
      <w:bookmarkStart w:id="914" w:name="Tc_VPGFlQ_yLkaOXqUxr6kFtA_46_2"/>
      <w:bookmarkStart w:id="915" w:name="Tc_HilzIyn4P0mrEigGSKWlBw_46_0"/>
      <w:bookmarkStart w:id="916" w:name="Tc_ZTiVZ6mk_kGBLnSvOeZNyQ_45_0"/>
      <w:bookmarkStart w:id="917" w:name="Tc_P4htKR1euE2khzkZdZCUgQ_44_5"/>
      <w:bookmarkStart w:id="918" w:name="Tc_XcBj1Z04Q0W9typ8GjKNhg_44_2"/>
      <w:bookmarkStart w:id="919" w:name="Tc_HnsU_vP8LkG3zLbKn2CJmg_40_5"/>
      <w:bookmarkStart w:id="920" w:name="Tc_GMTXYGGEOUS9M5CRMu0vpQ_40_2"/>
      <w:bookmarkStart w:id="921" w:name="Tc_QzrwLV84MEKq4OrRQZhWlw_40_0"/>
      <w:bookmarkStart w:id="922" w:name="Tc_llQlt47vgESP7qXjca1Guw_39_0"/>
      <w:bookmarkStart w:id="923" w:name="Tc_CX2f9JObMkeQgluj8xX44A_38_6"/>
      <w:bookmarkStart w:id="924" w:name="Tc_d8iHt-bEOUeFEvIHipVCZg_38_0"/>
      <w:bookmarkStart w:id="925" w:name="Tc_3Io82OV8YkqXFftFmnt2Zg_37_0"/>
      <w:bookmarkStart w:id="926" w:name="Tc_TB6iU4UlwUegGei575U_4Q_36_0"/>
      <w:bookmarkStart w:id="927" w:name="Tc_iycqJU4-tk-OUZyRVLSg_w_35_5"/>
      <w:bookmarkStart w:id="928" w:name="Tc_dp5ietW8I0urXVbH3sulCA_35_2"/>
      <w:bookmarkStart w:id="929" w:name="Tc_OP9AvYpW9EmDaBfXpN5wdA_35_0"/>
      <w:bookmarkStart w:id="930" w:name="Tc_CT12uZvbckiHSejNcZFiqA_34_0"/>
      <w:bookmarkStart w:id="931" w:name="Tc_qt_NzGaKKESCgom_-_eszQ_33_5"/>
      <w:bookmarkStart w:id="932" w:name="Tc_yeSajbuz7Eq09K2JYRS0jg_33_2"/>
      <w:bookmarkStart w:id="933" w:name="Tc_aozZJdIHRUmINJfFkXXUJw_32_2"/>
      <w:bookmarkStart w:id="934" w:name="Tc_EPk6uu8AY0mNy8J9Fy4HnQ_31_2"/>
      <w:bookmarkStart w:id="935" w:name="Tc_S7Y0tqnCTUyQE9hp2Ppflw_28_5"/>
      <w:bookmarkStart w:id="936" w:name="Tc_rex1goz9wk2qI6jSH5TFeg_28_2"/>
      <w:bookmarkStart w:id="937" w:name="Tc_NZcUbPdswE69D5V2otcc1Q_28_0"/>
      <w:bookmarkStart w:id="938" w:name="Tc_TAefh5pG9UqgHC51ZjNi4g_27_0"/>
      <w:bookmarkStart w:id="939" w:name="Tc_ludSqiP2vEC3O6Unbaj1cA_26_0"/>
      <w:bookmarkStart w:id="940" w:name="Tc_dAwjwrXrbk-PA-HHIsR1FQ_25_0"/>
      <w:bookmarkStart w:id="941" w:name="Tc_or51PJNY_kev-MPmHaNQTg_24_3"/>
      <w:bookmarkStart w:id="942" w:name="Tc_ScAJORLqv0qJk8P1JV5c2g_24_0"/>
      <w:bookmarkStart w:id="943" w:name="Tc_Mu6APSt1HkG-BhzpQYWAxg_23_5"/>
      <w:bookmarkStart w:id="944" w:name="Tc_FDJlH-dtdkyySC8_PqIOTg_23_2"/>
      <w:bookmarkStart w:id="945" w:name="Tc_3kFMnWLSSUCvQ8WUY_x0HA_23_0"/>
      <w:bookmarkStart w:id="946" w:name="Tc_r6GYCJI-G0y4YRn-S6VR2Q_22_0"/>
      <w:bookmarkStart w:id="947" w:name="Tc_Jwjj7NrLjEO0Y46LjHUAng_21_5"/>
      <w:bookmarkStart w:id="948" w:name="Tc_2PrcRAoAH0qOIC4bwjLZmw_21_2"/>
      <w:bookmarkStart w:id="949" w:name="Tc_Q8d7R1_nTEiH9njDuAZEAQ_19_5"/>
      <w:bookmarkStart w:id="950" w:name="Tc_JaQa9tuvsEWw9XPH5VALeQ_19_2"/>
      <w:bookmarkStart w:id="951" w:name="Tc_R1fgkGYbe06ZBLKi915dfw_19_0"/>
      <w:bookmarkStart w:id="952" w:name="Tc__2_ljmp9gEuADDU4VT_apg_18_0"/>
      <w:bookmarkStart w:id="953" w:name="Tc_mCcHcG0iOU2OzPo_YPDGAQ_17_0"/>
      <w:bookmarkStart w:id="954" w:name="Tc_jvIOO6pvX0S_W94kSq-LKg_16_0"/>
      <w:bookmarkStart w:id="955" w:name="Tc_QQyTh9RxaEe76iowF_Y7aA_15_0"/>
      <w:bookmarkStart w:id="956" w:name="Tc_4RWxU0La4keze8QoRAyqFw_14_5"/>
      <w:bookmarkStart w:id="957" w:name="Tc_XkZY79EcJUqbPU_xfJYkrg_14_2"/>
      <w:bookmarkStart w:id="958" w:name="Tc_ID7F2dXpjUaTkimkvGIWbQ_14_0"/>
      <w:bookmarkStart w:id="959" w:name="Tc_Ro9x5MnklEuqjIfyajJlEA_13_0"/>
      <w:bookmarkStart w:id="960" w:name="Tc_1ldBtGETyUS0FkgGPwLvyA_11_5"/>
      <w:bookmarkStart w:id="961" w:name="Tc_0utGCjY_LEyS9v9B6vJn1w_11_2"/>
      <w:bookmarkStart w:id="962" w:name="Tc_TbD1bq7NFEac3urL3GfDfA_9_5"/>
      <w:bookmarkStart w:id="963" w:name="Tc_TqfcIwtx7U-GEtMjW3bJgA_9_2"/>
      <w:bookmarkStart w:id="964" w:name="Tc_YtGoPrb7uEO-JwB4KXTIpQ_9_0"/>
      <w:bookmarkStart w:id="965" w:name="Tc_kLw3VUFI7Ua5nMBGQEeQzA_8_0"/>
      <w:bookmarkStart w:id="966" w:name="Tc_eM2ACLLA20azDYGJFA3qyg_7_0"/>
      <w:bookmarkStart w:id="967" w:name="Tc_dc7UYjweX0-d_ayT7C_B1A_6_0"/>
      <w:bookmarkStart w:id="968" w:name="Tc_XEUPv9FK80qTWw1xSQ54NA_5_5"/>
      <w:bookmarkStart w:id="969" w:name="Tc_-cVtozZIKEakjBqpDMafqw_5_2"/>
      <w:bookmarkStart w:id="970" w:name="Tc_ZOlHSrLFUUSlJ2V9ptVQEQ_5_0"/>
      <w:bookmarkStart w:id="971" w:name="Tc_cbdxvMWXV06yBNZSeb0Wqg_4_0"/>
      <w:bookmarkStart w:id="972" w:name="Tc_0VWs7sqO60i6KDYs0qCRiw_3_5"/>
      <w:bookmarkStart w:id="973" w:name="Tc_1ZgyvD0VhkqDWhlKw-4Hhg_3_2"/>
      <w:bookmarkStart w:id="974" w:name="Tc_fUBZoNfH80GqEy6xYEWJNw_2_2"/>
      <w:bookmarkStart w:id="975" w:name="Tc_2enTft1-IEuTZUvCu_oHyQ_1_2"/>
      <w:bookmarkStart w:id="976" w:name="Tc_Rm2fAiL2tEO29m9A79ZJnw_51_5"/>
      <w:bookmarkStart w:id="977" w:name="Tc_r5BtYZ0Ii0ahtU7u8S7S4Q_51_2"/>
      <w:bookmarkStart w:id="978" w:name="Tc_jf5NYscu1EWRoSbaIwk4Ag_51_0"/>
      <w:bookmarkStart w:id="979" w:name="Tc_Vqc6J4SRGkKM9Q425w7nVQ_50_0"/>
      <w:bookmarkStart w:id="980" w:name="Tc_Q0BVTfnOhkyTJfRTX-CY2A_49_0"/>
      <w:bookmarkStart w:id="981" w:name="Tc_tI8ttSu5gkuH7sKAoDo_oA_48_0"/>
      <w:bookmarkStart w:id="982" w:name="Tc_IWkA09MXI02jaCHkbQzBHA_47_0"/>
      <w:bookmarkStart w:id="983" w:name="Tc_VLAOBnsLlEGK3TID9rMgpg_46_5"/>
      <w:bookmarkStart w:id="984" w:name="Tc_VPGFlQ_yLkaOXqUxr6kFtA_46_2"/>
      <w:bookmarkStart w:id="985" w:name="Tc_HilzIyn4P0mrEigGSKWlBw_46_0"/>
      <w:bookmarkStart w:id="986" w:name="Tc_ZTiVZ6mk_kGBLnSvOeZNyQ_45_0"/>
      <w:bookmarkStart w:id="987" w:name="Tc_P4htKR1euE2khzkZdZCUgQ_44_5"/>
      <w:bookmarkStart w:id="988" w:name="Tc_XcBj1Z04Q0W9typ8GjKNhg_44_2"/>
      <w:bookmarkStart w:id="989" w:name="Tc_HnsU_vP8LkG3zLbKn2CJmg_40_5"/>
      <w:bookmarkStart w:id="990" w:name="Tc_GMTXYGGEOUS9M5CRMu0vpQ_40_2"/>
      <w:bookmarkStart w:id="991" w:name="Tc_QzrwLV84MEKq4OrRQZhWlw_40_0"/>
      <w:bookmarkStart w:id="992" w:name="Tc_llQlt47vgESP7qXjca1Guw_39_0"/>
      <w:bookmarkStart w:id="993" w:name="Tc_CX2f9JObMkeQgluj8xX44A_38_6"/>
      <w:bookmarkStart w:id="994" w:name="Tc_d8iHt-bEOUeFEvIHipVCZg_38_0"/>
      <w:bookmarkStart w:id="995" w:name="Tc_3Io82OV8YkqXFftFmnt2Zg_37_0"/>
      <w:bookmarkStart w:id="996" w:name="Tc_TB6iU4UlwUegGei575U_4Q_36_0"/>
      <w:bookmarkStart w:id="997" w:name="Tc_iycqJU4-tk-OUZyRVLSg_w_35_5"/>
      <w:bookmarkStart w:id="998" w:name="Tc_dp5ietW8I0urXVbH3sulCA_35_2"/>
      <w:bookmarkStart w:id="999" w:name="Tc_OP9AvYpW9EmDaBfXpN5wdA_35_0"/>
      <w:bookmarkStart w:id="1000" w:name="Tc_CT12uZvbckiHSejNcZFiqA_34_0"/>
      <w:bookmarkStart w:id="1001" w:name="Tc_qt_NzGaKKESCgom_-_eszQ_33_5"/>
      <w:bookmarkStart w:id="1002" w:name="Tc_yeSajbuz7Eq09K2JYRS0jg_33_2"/>
      <w:bookmarkStart w:id="1003" w:name="Tc_aozZJdIHRUmINJfFkXXUJw_32_2"/>
      <w:bookmarkStart w:id="1004" w:name="Tc_EPk6uu8AY0mNy8J9Fy4HnQ_31_2"/>
      <w:bookmarkStart w:id="1005" w:name="Tc_S7Y0tqnCTUyQE9hp2Ppflw_28_5"/>
      <w:bookmarkStart w:id="1006" w:name="Tc_rex1goz9wk2qI6jSH5TFeg_28_2"/>
      <w:bookmarkStart w:id="1007" w:name="Tc_NZcUbPdswE69D5V2otcc1Q_28_0"/>
      <w:bookmarkStart w:id="1008" w:name="Tc_TAefh5pG9UqgHC51ZjNi4g_27_0"/>
      <w:bookmarkStart w:id="1009" w:name="Tc_ludSqiP2vEC3O6Unbaj1cA_26_0"/>
      <w:bookmarkStart w:id="1010" w:name="Tc_dAwjwrXrbk-PA-HHIsR1FQ_25_0"/>
      <w:bookmarkStart w:id="1011" w:name="Tc_or51PJNY_kev-MPmHaNQTg_24_3"/>
      <w:bookmarkStart w:id="1012" w:name="Tc_ScAJORLqv0qJk8P1JV5c2g_24_0"/>
      <w:bookmarkStart w:id="1013" w:name="Tc_Mu6APSt1HkG-BhzpQYWAxg_23_5"/>
      <w:bookmarkStart w:id="1014" w:name="Tc_FDJlH-dtdkyySC8_PqIOTg_23_2"/>
      <w:bookmarkStart w:id="1015" w:name="Tc_3kFMnWLSSUCvQ8WUY_x0HA_23_0"/>
      <w:bookmarkStart w:id="1016" w:name="Tc_r6GYCJI-G0y4YRn-S6VR2Q_22_0"/>
      <w:bookmarkStart w:id="1017" w:name="Tc_Jwjj7NrLjEO0Y46LjHUAng_21_5"/>
      <w:bookmarkStart w:id="1018" w:name="Tc_2PrcRAoAH0qOIC4bwjLZmw_21_2"/>
      <w:bookmarkStart w:id="1019" w:name="Tc_Q8d7R1_nTEiH9njDuAZEAQ_19_5"/>
      <w:bookmarkStart w:id="1020" w:name="Tc_JaQa9tuvsEWw9XPH5VALeQ_19_2"/>
      <w:bookmarkStart w:id="1021" w:name="Tc_R1fgkGYbe06ZBLKi915dfw_19_0"/>
      <w:bookmarkStart w:id="1022" w:name="Tc__2_ljmp9gEuADDU4VT_apg_18_0"/>
      <w:bookmarkStart w:id="1023" w:name="Tc_mCcHcG0iOU2OzPo_YPDGAQ_17_0"/>
      <w:bookmarkStart w:id="1024" w:name="Tc_jvIOO6pvX0S_W94kSq-LKg_16_0"/>
      <w:bookmarkStart w:id="1025" w:name="Tc_QQyTh9RxaEe76iowF_Y7aA_15_0"/>
      <w:bookmarkStart w:id="1026" w:name="Tc_4RWxU0La4keze8QoRAyqFw_14_5"/>
      <w:bookmarkStart w:id="1027" w:name="Tc_XkZY79EcJUqbPU_xfJYkrg_14_2"/>
      <w:bookmarkStart w:id="1028" w:name="Tc_ID7F2dXpjUaTkimkvGIWbQ_14_0"/>
      <w:bookmarkStart w:id="1029" w:name="Tc_Ro9x5MnklEuqjIfyajJlEA_13_0"/>
      <w:bookmarkStart w:id="1030" w:name="Tc_1ldBtGETyUS0FkgGPwLvyA_11_5"/>
      <w:bookmarkStart w:id="1031" w:name="Tc_0utGCjY_LEyS9v9B6vJn1w_11_2"/>
      <w:bookmarkStart w:id="1032" w:name="Tc_TbD1bq7NFEac3urL3GfDfA_9_5"/>
      <w:bookmarkStart w:id="1033" w:name="Tc_TqfcIwtx7U-GEtMjW3bJgA_9_2"/>
      <w:bookmarkStart w:id="1034" w:name="Tc_YtGoPrb7uEO-JwB4KXTIpQ_9_0"/>
      <w:bookmarkStart w:id="1035" w:name="Tc_kLw3VUFI7Ua5nMBGQEeQzA_8_0"/>
      <w:bookmarkStart w:id="1036" w:name="Tc_eM2ACLLA20azDYGJFA3qyg_7_0"/>
      <w:bookmarkStart w:id="1037" w:name="Tc_dc7UYjweX0-d_ayT7C_B1A_6_0"/>
      <w:bookmarkStart w:id="1038" w:name="Tc_XEUPv9FK80qTWw1xSQ54NA_5_5"/>
      <w:bookmarkStart w:id="1039" w:name="Tc_-cVtozZIKEakjBqpDMafqw_5_2"/>
      <w:bookmarkStart w:id="1040" w:name="Tc_ZOlHSrLFUUSlJ2V9ptVQEQ_5_0"/>
      <w:bookmarkStart w:id="1041" w:name="Tc_cbdxvMWXV06yBNZSeb0Wqg_4_0"/>
      <w:bookmarkStart w:id="1042" w:name="Tc_0VWs7sqO60i6KDYs0qCRiw_3_5"/>
      <w:bookmarkStart w:id="1043" w:name="Tc_1ZgyvD0VhkqDWhlKw-4Hhg_3_2"/>
      <w:bookmarkStart w:id="1044" w:name="Tc_fUBZoNfH80GqEy6xYEWJNw_2_2"/>
      <w:bookmarkStart w:id="1045" w:name="Tc_2enTft1-IEuTZUvCu_oHyQ_1_2"/>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tbl>
      <w:tblPr>
        <w:tblW w:w="6965" w:type="dxa"/>
        <w:jc w:val="left"/>
        <w:tblInd w:w="0" w:type="dxa"/>
        <w:tblLayout w:type="fixed"/>
        <w:tblCellMar>
          <w:top w:w="0" w:type="dxa"/>
          <w:left w:w="0" w:type="dxa"/>
          <w:bottom w:w="0" w:type="dxa"/>
          <w:right w:w="0" w:type="dxa"/>
        </w:tblCellMar>
      </w:tblPr>
      <w:tblGrid>
        <w:gridCol w:w="3061"/>
        <w:gridCol w:w="326"/>
        <w:gridCol w:w="342"/>
        <w:gridCol w:w="1099"/>
        <w:gridCol w:w="366"/>
        <w:gridCol w:w="400"/>
        <w:gridCol w:w="1371"/>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943735" cy="175260"/>
                      <wp:effectExtent l="0" t="0" r="0" b="0"/>
                      <wp:wrapNone/>
                      <wp:docPr id="118" name="Frame118"/>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7170" cy="175260"/>
                      <wp:effectExtent l="0" t="0" r="0" b="0"/>
                      <wp:wrapNone/>
                      <wp:docPr id="120" name="Frame120"/>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7865" cy="175260"/>
                      <wp:effectExtent l="0" t="0" r="0" b="0"/>
                      <wp:wrapNone/>
                      <wp:docPr id="121" name="Frame121"/>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32410" cy="175260"/>
                      <wp:effectExtent l="0" t="0" r="0" b="0"/>
                      <wp:wrapNone/>
                      <wp:docPr id="122" name="Frame122"/>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54000" cy="175260"/>
                      <wp:effectExtent l="0" t="0" r="0" b="0"/>
                      <wp:wrapNone/>
                      <wp:docPr id="123" name="Frame12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70585" cy="175260"/>
                      <wp:effectExtent l="0" t="0" r="0" b="0"/>
                      <wp:wrapNone/>
                      <wp:docPr id="124" name="Frame124"/>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7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  </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XpresSpa</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4,499</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2,643</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20,596</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w:t>
            </w:r>
          </w:p>
        </w:tc>
        <w:tc>
          <w:tcPr>
            <w:tcW w:w="366" w:type="dxa"/>
            <w:tcBorders/>
            <w:vAlign w:val="center"/>
          </w:tcPr>
          <w:p>
            <w:pPr>
              <w:pStyle w:val="TableContents"/>
              <w:bidi w:val="0"/>
              <w:spacing w:before="0" w:after="0"/>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24,048</w:t>
            </w:r>
          </w:p>
        </w:tc>
      </w:tr>
      <w:tr>
        <w:trPr/>
        <w:tc>
          <w:tcPr>
            <w:tcW w:w="30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6" w:type="dxa"/>
            <w:tcBorders/>
            <w:vAlign w:val="center"/>
          </w:tcPr>
          <w:p>
            <w:pPr>
              <w:pStyle w:val="TableContents"/>
              <w:bidi w:val="0"/>
              <w:spacing w:before="0" w:after="0"/>
              <w:ind w:left="0" w:right="0" w:hanging="0"/>
              <w:jc w:val="center"/>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 </w:t>
            </w:r>
          </w:p>
        </w:tc>
        <w:tc>
          <w:tcPr>
            <w:tcW w:w="1371" w:type="dxa"/>
            <w:tcBorders/>
            <w:shd w:fill="CCEEFF" w:val="clear"/>
            <w:vAlign w:val="center"/>
          </w:tcPr>
          <w:p>
            <w:pPr>
              <w:pStyle w:val="TableContents"/>
              <w:bidi w:val="0"/>
              <w:spacing w:before="0" w:after="0"/>
              <w:ind w:left="0" w:right="0" w:hanging="0"/>
              <w:jc w:val="right"/>
              <w:rPr/>
            </w:pPr>
            <w:r>
              <w:rPr/>
              <w:t>  </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XpresSpa</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(3,132)</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6,205</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w:t>
            </w:r>
          </w:p>
        </w:tc>
        <w:tc>
          <w:tcPr>
            <w:tcW w:w="36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(6,288)</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(2,451)</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6" w:type="dxa"/>
            <w:tcBorders/>
            <w:vAlign w:val="center"/>
          </w:tcPr>
          <w:p>
            <w:pPr>
              <w:pStyle w:val="TableContents"/>
              <w:bidi w:val="0"/>
              <w:spacing w:before="0" w:after="0"/>
              <w:ind w:left="0" w:right="0" w:hanging="0"/>
              <w:jc w:val="left"/>
              <w:rPr/>
            </w:pPr>
            <w:r>
              <w:rPr/>
              <w:t>​</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&amp;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XpresSpa</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 </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depreciation &amp;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7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7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66" w:type="dxa"/>
            <w:tcBorders/>
            <w:vAlign w:val="center"/>
          </w:tcPr>
          <w:p>
            <w:pPr>
              <w:pStyle w:val="TableContents"/>
              <w:bidi w:val="0"/>
              <w:spacing w:before="0" w:after="0"/>
              <w:ind w:left="0" w:right="0" w:hanging="0"/>
              <w:jc w:val="left"/>
              <w:rPr/>
            </w:pPr>
            <w:r>
              <w:rPr/>
              <w:t>​</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XpresSpa</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 </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2,665</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r>
      <w:tr>
        <w:trPr/>
        <w:tc>
          <w:tcPr>
            <w:tcW w:w="30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78" w:type="dxa"/>
            <w:gridSpan w:val="5"/>
            <w:tcBorders/>
            <w:shd w:fill="CCEEFF" w:val="clear"/>
            <w:vAlign w:val="center"/>
          </w:tcPr>
          <w:p>
            <w:pPr>
              <w:pStyle w:val="TableContents"/>
              <w:bidi w:val="0"/>
              <w:spacing w:before="0" w:after="0"/>
              <w:ind w:left="0" w:right="0" w:hanging="0"/>
              <w:jc w:val="center"/>
              <w:rPr/>
            </w:pPr>
            <w:r>
              <w:rPr/>
              <w:t>​</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left"/>
              <w:rPr/>
            </w:pPr>
            <w:r>
              <w:rPr/>
              <w:t>​</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6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XpresSpa</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12,082</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11,851</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XpresTest</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HyperPointe</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4,082</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4,108</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26"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66"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long-lived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18,945</w:t>
            </w:r>
          </w:p>
        </w:tc>
        <w:tc>
          <w:tcPr>
            <w:tcW w:w="366"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18,794</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046" w:name="Tc_Cy-1xQet7EyzAmBZKqoGGw_60_5"/>
      <w:bookmarkStart w:id="1047" w:name="Tc_BBsjxZt2x0WWvHgiWdJ3uA_60_2"/>
      <w:bookmarkStart w:id="1048" w:name="Tc_kx2zt4KthUyFh5b3_oDChA_60_0"/>
      <w:bookmarkStart w:id="1049" w:name="Tc_mdID3m6liE6F7id5NxoLhw_59_0"/>
      <w:bookmarkStart w:id="1050" w:name="Tc_SwMa9U1V2UqvOywhKQxdAA_58_0"/>
      <w:bookmarkStart w:id="1051" w:name="Tc_sujmNXWMnUaL5iJwQhmcDg_57_0"/>
      <w:bookmarkStart w:id="1052" w:name="Tc_z88CHvMbJUCEov6mjAK_ug_56_0"/>
      <w:bookmarkStart w:id="1053" w:name="Tc_l8EtlKmab02LXMdsxrzzpQ_55_5"/>
      <w:bookmarkStart w:id="1054" w:name="Tc_kvBtnlAw2E-ABZ6UDLIgaQ_55_2"/>
      <w:bookmarkStart w:id="1055" w:name="Tc_MDtBb4hdLEqgH7SJZZqjIQ_55_0"/>
      <w:bookmarkStart w:id="1056" w:name="Tc_ktr3ERoYfkGv_UCK-t-leQ_54_0"/>
      <w:bookmarkStart w:id="1057" w:name="Tc_OiqQv2nE50m17tjBNUnrvg_53_5"/>
      <w:bookmarkStart w:id="1058" w:name="Tc_Mqe3cJ9uskyBIww7zo_2tA_53_2"/>
      <w:bookmarkStart w:id="1059" w:name="Tc_Cy-1xQet7EyzAmBZKqoGGw_60_5"/>
      <w:bookmarkStart w:id="1060" w:name="Tc_BBsjxZt2x0WWvHgiWdJ3uA_60_2"/>
      <w:bookmarkStart w:id="1061" w:name="Tc_kx2zt4KthUyFh5b3_oDChA_60_0"/>
      <w:bookmarkStart w:id="1062" w:name="Tc_mdID3m6liE6F7id5NxoLhw_59_0"/>
      <w:bookmarkStart w:id="1063" w:name="Tc_SwMa9U1V2UqvOywhKQxdAA_58_0"/>
      <w:bookmarkStart w:id="1064" w:name="Tc_sujmNXWMnUaL5iJwQhmcDg_57_0"/>
      <w:bookmarkStart w:id="1065" w:name="Tc_z88CHvMbJUCEov6mjAK_ug_56_0"/>
      <w:bookmarkStart w:id="1066" w:name="Tc_l8EtlKmab02LXMdsxrzzpQ_55_5"/>
      <w:bookmarkStart w:id="1067" w:name="Tc_kvBtnlAw2E-ABZ6UDLIgaQ_55_2"/>
      <w:bookmarkStart w:id="1068" w:name="Tc_MDtBb4hdLEqgH7SJZZqjIQ_55_0"/>
      <w:bookmarkStart w:id="1069" w:name="Tc_ktr3ERoYfkGv_UCK-t-leQ_54_0"/>
      <w:bookmarkStart w:id="1070" w:name="Tc_OiqQv2nE50m17tjBNUnrvg_53_5"/>
      <w:bookmarkStart w:id="1071" w:name="Tc_Mqe3cJ9uskyBIww7zo_2tA_53_2"/>
      <w:bookmarkEnd w:id="1059"/>
      <w:bookmarkEnd w:id="1060"/>
      <w:bookmarkEnd w:id="1061"/>
      <w:bookmarkEnd w:id="1062"/>
      <w:bookmarkEnd w:id="1063"/>
      <w:bookmarkEnd w:id="1064"/>
      <w:bookmarkEnd w:id="1065"/>
      <w:bookmarkEnd w:id="1066"/>
      <w:bookmarkEnd w:id="1067"/>
      <w:bookmarkEnd w:id="1068"/>
      <w:bookmarkEnd w:id="1069"/>
      <w:bookmarkEnd w:id="1070"/>
      <w:bookmarkEnd w:id="1071"/>
    </w:p>
    <w:tbl>
      <w:tblPr>
        <w:tblW w:w="5388" w:type="dxa"/>
        <w:jc w:val="left"/>
        <w:tblInd w:w="0" w:type="dxa"/>
        <w:tblLayout w:type="fixed"/>
        <w:tblCellMar>
          <w:top w:w="0" w:type="dxa"/>
          <w:left w:w="0" w:type="dxa"/>
          <w:bottom w:w="0" w:type="dxa"/>
          <w:right w:w="0" w:type="dxa"/>
        </w:tblCellMar>
      </w:tblPr>
      <w:tblGrid>
        <w:gridCol w:w="1741"/>
        <w:gridCol w:w="109"/>
        <w:gridCol w:w="342"/>
        <w:gridCol w:w="1099"/>
        <w:gridCol w:w="326"/>
        <w:gridCol w:w="376"/>
        <w:gridCol w:w="1395"/>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tc>
        <w:tc>
          <w:tcPr>
            <w:tcW w:w="326" w:type="dxa"/>
            <w:tcBorders/>
            <w:vAlign w:val="center"/>
          </w:tcPr>
          <w:p>
            <w:pPr>
              <w:pStyle w:val="TableContents"/>
              <w:bidi w:val="0"/>
              <w:spacing w:before="0" w:after="0"/>
              <w:ind w:left="0" w:right="0" w:hanging="0"/>
              <w:jc w:val="left"/>
              <w:rPr/>
            </w:pPr>
            <w:r>
              <w:rPr/>
              <w:t>    </w:t>
            </w:r>
          </w:p>
        </w:tc>
        <w:tc>
          <w:tcPr>
            <w:tcW w:w="1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 </w:t>
            </w:r>
          </w:p>
        </w:tc>
        <w:tc>
          <w:tcPr>
            <w:tcW w:w="1395" w:type="dxa"/>
            <w:tcBorders/>
            <w:shd w:fill="CCEEFF" w:val="clear"/>
            <w:vAlign w:val="center"/>
          </w:tcPr>
          <w:p>
            <w:pPr>
              <w:pStyle w:val="TableContents"/>
              <w:bidi w:val="0"/>
              <w:spacing w:before="0" w:after="0"/>
              <w:ind w:left="0" w:right="0" w:hanging="0"/>
              <w:jc w:val="righ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XpresSpa</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21,076</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21,135</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XpresTest</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 </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Treat</w:t>
            </w:r>
          </w:p>
        </w:tc>
        <w:tc>
          <w:tcPr>
            <w:tcW w:w="109"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3,228</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HyperPointe</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0"/>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29,417</w:t>
            </w:r>
          </w:p>
        </w:tc>
        <w:tc>
          <w:tcPr>
            <w:tcW w:w="32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34,907</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62,595</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70,426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72" w:name="Item2ManagementsDiscussionandAnalysisofF"/>
      <w:bookmarkStart w:id="1073" w:name="_0b64e7d1_1e39_4a58_bad9_264ed116b0b5"/>
      <w:bookmarkEnd w:id="1072"/>
      <w:bookmarkEnd w:id="107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2022 filed on April 17, 2023, as amended on May 1, 2023 (the “2022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All references in this Quarterly Report on Form 10-Q to “we,” “us” and “our” refer to XWELL, Inc., a Delaware corporation, and its consolidated subsidiaries.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25, 2022, we changed our name to XWELL, Inc. (“XWELL” or the “Company”) from XpresSpa Group, Inc. Our common stock, par value $0.01 per share, which had previously been listed under the trading symbol “XSPA” on the Nasdaq Capital Market, now trades under the trading symbol “XWEL” since the opening of the trading market on October 25, 2022.  Rebranding to XWELL, Inc. aligned our corporate strategy to build a pure-play health and wellness services company, both in the airport and off-airport marketplace</w:t>
      </w:r>
      <w:r>
        <w:rPr>
          <w:rFonts w:ascii="Times New Roman;Times;serif" w:hAnsi="Times New Roman;Times;serif"/>
          <w:i/>
          <w:sz w:val="20"/>
        </w:rPr>
        <w: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XWELL’s subsidiary, XpresSpa Holdings, LLC (“XpresSpa”) has been a global airport retailer of spa services through its XpresSpa spa locations, offering travelers premium spa services, including massage, nail and skin care, as well as spa and travel products.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Following the temporary closure of all global XpresSpa locations due to the categorization by local jurisdictions of the spa locations as “non-essential services” during the COVID-19 pandemic, XpresSpa reopened 25 domestic locations as of March 31, 2023. During 2022, we sold one</w:t>
      </w:r>
      <w:r>
        <w:rPr>
          <w:rFonts w:ascii="Times New Roman;Times;serif" w:hAnsi="Times New Roman;Times;serif"/>
          <w:sz w:val="20"/>
          <w:shd w:fill="FFFFFF" w:val="clear"/>
        </w:rPr>
        <w:t xml:space="preserve"> location in Austin-Bergstrom International Airport to its franchisee which now operates both locations at this airport. </w:t>
      </w:r>
      <w:r>
        <w:rPr>
          <w:rFonts w:ascii="Times New Roman;Times;serif" w:hAnsi="Times New Roman;Times;serif"/>
          <w:sz w:val="20"/>
        </w:rPr>
        <w:t>As we continue to monitor fluctuating airport volumes, we will  also continue to review operating hours to optimize revenue opportunity.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also have 10 international locations operating, including 2 XpresSpa locations in Dubai International Airport in the United Arab Emirates, three XpresSpa locations in Schiphol Amsterdam Airport in the Netherlands and five XpresSpa locations in Istanbul Airport in Turkey.</w:t>
      </w:r>
    </w:p>
    <w:p>
      <w:pPr>
        <w:pStyle w:val="TextBody"/>
        <w:bidi w:val="0"/>
        <w:spacing w:lineRule="auto" w:line="304" w:before="0" w:after="160"/>
        <w:ind w:left="0" w:right="0" w:hanging="0"/>
        <w:jc w:val="both"/>
        <w:rPr/>
      </w:pPr>
      <w:r>
        <w:rPr/>
        <w:t>​</w:t>
      </w:r>
    </w:p>
    <w:p>
      <w:pPr>
        <w:pStyle w:val="TextBody"/>
        <w:bidi w:val="0"/>
        <w:spacing w:lineRule="auto" w:line="240" w:before="0" w:after="0"/>
        <w:ind w:left="0" w:right="0" w:hanging="0"/>
        <w:jc w:val="both"/>
        <w:rPr>
          <w:rFonts w:ascii="Calibri;Helvetica;sans-serif" w:hAnsi="Calibri;Helvetica;sans-serif"/>
          <w:sz w:val="20"/>
        </w:rPr>
      </w:pPr>
      <w:r>
        <w:rPr>
          <w:rFonts w:ascii="Times New Roman;Times;serif" w:hAnsi="Times New Roman;Times;serif"/>
          <w:sz w:val="20"/>
        </w:rPr>
        <w:t xml:space="preserve">Following the temporary closure of all global XpresSpa locations noted above, in partnership with certain COVID-19 testing partners, we successfully launched our </w:t>
      </w:r>
      <w:r>
        <w:rPr>
          <w:rFonts w:ascii="Times New Roman;Times;serif" w:hAnsi="Times New Roman;Times;serif"/>
          <w:sz w:val="20"/>
          <w:shd w:fill="FFFFFF" w:val="clear"/>
        </w:rPr>
        <w:t>XpresCheck</w:t>
      </w:r>
      <w:r>
        <w:rPr>
          <w:rFonts w:ascii="Times New Roman;Times;serif" w:hAnsi="Times New Roman;Times;serif"/>
          <w:sz w:val="15"/>
        </w:rPr>
        <w:t>®</w:t>
      </w:r>
      <w:r>
        <w:rPr>
          <w:rFonts w:ascii="Calibri;Helvetica;sans-serif" w:hAnsi="Calibri;Helvetica;sans-serif"/>
          <w:sz w:val="20"/>
          <w:shd w:fill="FFFFFF" w:val="clear"/>
        </w:rPr>
        <w:t xml:space="preserve"> </w:t>
      </w:r>
      <w:r>
        <w:rPr>
          <w:rFonts w:ascii="Times New Roman;Times;serif" w:hAnsi="Times New Roman;Times;serif"/>
          <w:sz w:val="20"/>
          <w:shd w:fill="FFFFFF" w:val="clear"/>
        </w:rPr>
        <w:t>segment t</w:t>
      </w:r>
      <w:r>
        <w:rPr>
          <w:rFonts w:ascii="Times New Roman;Times;serif" w:hAnsi="Times New Roman;Times;serif"/>
          <w:sz w:val="20"/>
        </w:rPr>
        <w:t>hrough XWELL’s subsidiary XpresTest, Inc. (“XpresCheck” or “XpresTest”). The</w:t>
      </w:r>
      <w:r>
        <w:rPr>
          <w:rFonts w:ascii="Calibri;Helvetica;sans-serif" w:hAnsi="Calibri;Helvetica;sans-serif"/>
          <w:sz w:val="20"/>
        </w:rPr>
        <w:t xml:space="preserve"> </w:t>
      </w:r>
      <w:r>
        <w:rPr>
          <w:rFonts w:ascii="Times New Roman;Times;serif" w:hAnsi="Times New Roman;Times;serif"/>
          <w:sz w:val="20"/>
        </w:rPr>
        <w:t>XpresCheck Wellness Centers</w:t>
      </w:r>
      <w:r>
        <w:rPr>
          <w:rFonts w:ascii="Calibri;Helvetica;sans-serif" w:hAnsi="Calibri;Helvetica;sans-serif"/>
          <w:sz w:val="20"/>
        </w:rPr>
        <w:t xml:space="preserve"> </w:t>
      </w:r>
      <w:r>
        <w:rPr>
          <w:rFonts w:ascii="Times New Roman;Times;serif" w:hAnsi="Times New Roman;Times;serif"/>
          <w:sz w:val="20"/>
          <w:shd w:fill="FFFFFF" w:val="clear"/>
        </w:rPr>
        <w:t xml:space="preserve">offered </w:t>
      </w:r>
      <w:r>
        <w:rPr>
          <w:rFonts w:ascii="Times New Roman;Times;serif" w:hAnsi="Times New Roman;Times;serif"/>
          <w:sz w:val="20"/>
        </w:rPr>
        <w:t>COVID-19 and other medical diagnostic testing services to the traveling public, as well as airline, airport and concessionaire employees, and TSA and U.S. Customs and Border Protection agents during the pandemic</w:t>
      </w:r>
      <w:r>
        <w:rPr>
          <w:rFonts w:ascii="Calibri;Helvetica;sans-serif" w:hAnsi="Calibri;Helvetica;sans-serif"/>
          <w:sz w:val="20"/>
        </w:rPr>
        <w:t>.</w:t>
      </w:r>
    </w:p>
    <w:p>
      <w:pPr>
        <w:pStyle w:val="TextBody"/>
        <w:bidi w:val="0"/>
        <w:spacing w:lineRule="auto" w:line="304" w:before="0" w:after="160"/>
        <w:ind w:left="0" w:right="0" w:hanging="0"/>
        <w:jc w:val="both"/>
        <w:rPr/>
      </w:pPr>
      <w:r>
        <w:rPr/>
        <w:t>​</w:t>
      </w:r>
    </w:p>
    <w:p>
      <w:pPr>
        <w:pStyle w:val="TextBody"/>
        <w:bidi w:val="0"/>
        <w:spacing w:lineRule="auto" w:line="285" w:before="0" w:after="0"/>
        <w:ind w:left="0" w:right="0" w:hanging="0"/>
        <w:jc w:val="both"/>
        <w:rPr>
          <w:rFonts w:ascii="Calibri;Helvetica;sans-serif" w:hAnsi="Calibri;Helvetica;sans-serif"/>
          <w:sz w:val="20"/>
        </w:rPr>
      </w:pPr>
      <w:r>
        <w:rPr>
          <w:rFonts w:ascii="Times New Roman;Times;serif" w:hAnsi="Times New Roman;Times;serif"/>
          <w:sz w:val="20"/>
        </w:rPr>
        <w:t>At one point, XpresCheck had 15 locations open in 12 airports across the United States.  Following the relaxation of testing requirements by the US and other countries in 2022, XpresCheck locations began to close.  As of March 31, 2023,</w:t>
      </w:r>
      <w:r>
        <w:rPr>
          <w:rFonts w:ascii="Calibri;Helvetica;sans-serif" w:hAnsi="Calibri;Helvetica;sans-serif"/>
          <w:sz w:val="20"/>
        </w:rPr>
        <w:t xml:space="preserve"> </w:t>
      </w:r>
      <w:r>
        <w:rPr>
          <w:rFonts w:ascii="Times New Roman;Times;serif" w:hAnsi="Times New Roman;Times;serif"/>
          <w:sz w:val="20"/>
        </w:rPr>
        <w:t>there is only one operating XpresCheck location operating in one airport.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XpresTest began conducting biosurveillance monitoring with the Centers for Disease Control and Prevention (CDC) in collaboration with Concentric by Ginkgo in 2021 and on January 31, 2022, we announced the extension of our initial program, bringing the total contract to $5,534. Approximately $4,166 and $1,368 were recognized in 2022 and 2021, respectively. As of August 2022, the program was renewed in partnership with Ginkgo BioWorks. A new two-year contract was initiated which represents approximately $7,331 in revenue (for the first year) for the XpresTest segment. Funding for the second year is anticipated but has not been confirmed at this time.</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Treat segment, which is operating through XWELL’s subsidiary Treat, Inc. (“Treat”) is a travel, health and wellness brand that provides access to health and wellness services for travelers at on-site centers (currently located in JFK International Airport and in Salt Lake City International Airport), transforming the way we provide care to our customers through a suite of health and wellness services supported by an integrated digital platform and a relevant retail offering to the traveling public.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2022, our Treat brand opened new locations in Phoenix Sky Harbor International Airport (pre-security) and Salt Lake City International Airport. With respect to these locations in Phoenix and Salt Lake City, agreements had already been executed with the aiports and the decision was made to convert these locations to Treat.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the third quarter of 2022, it became clear that the Treat business was underperforming and as a result, we began to retool the offerings within the Treat locations by providing additional retail as part of our retail strategy expansion as well as lay the foundation to bring more spa-like services into the Treat location in an attempt to unify our core offering.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the fourth quarter of 2022, the decision was made to close the pre-security Treat location at Phoenix Sky Harbor Airport. As of March 31, 2023, the Treat brand operates 2 locations (JFK International Airport and Salt Lake City International Airport).  These remaining Treat locations offer a full retail product offering and a suite of wellness and spa services.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and a scheduler to arrange for direct care at one of our on-site locations.</w:t>
      </w:r>
    </w:p>
    <w:p>
      <w:pPr>
        <w:pStyle w:val="TextBody"/>
        <w:bidi w:val="0"/>
        <w:spacing w:before="240" w:after="240"/>
        <w:ind w:left="0" w:right="0" w:hanging="0"/>
        <w:jc w:val="both"/>
        <w:rPr>
          <w:rFonts w:ascii="Times New Roman;Times;serif" w:hAnsi="Times New Roman;Times;serif"/>
          <w:sz w:val="20"/>
        </w:rPr>
      </w:pPr>
      <w:bookmarkStart w:id="1074" w:name="_Hlk99029779"/>
      <w:bookmarkEnd w:id="1074"/>
      <w:r>
        <w:rPr>
          <w:rFonts w:ascii="Times New Roman;Times;serif" w:hAnsi="Times New Roman;Times;serif"/>
          <w:sz w:val="20"/>
        </w:rPr>
        <w:t>XWELL’s subsidiary, gcg Connect, LLC, operating as the HyperPointe segment, which was acquired in January 2022, provides direct to business marketing support across a number of health and health-related channels.  From the creation of marketing campaigns for the pharmaceutical industry, to learning management systems to website and health related content creation, HyperPointe is a complementary service provider to XWELL’s health-focused brands as well as providing the majority of services to the external community, providing a broad range of service and support options for our customers, including technical support services and advanced services.</w:t>
      </w:r>
    </w:p>
    <w:p>
      <w:pPr>
        <w:pStyle w:val="TextBody"/>
        <w:bidi w:val="0"/>
        <w:spacing w:before="0" w:after="0"/>
        <w:ind w:left="0" w:right="0" w:hanging="0"/>
        <w:jc w:val="both"/>
        <w:rPr>
          <w:rFonts w:ascii="Times New Roman;Times;serif" w:hAnsi="Times New Roman;Times;serif"/>
          <w:sz w:val="20"/>
        </w:rPr>
      </w:pPr>
      <w:bookmarkStart w:id="1075" w:name="_Hlk99096921"/>
      <w:bookmarkEnd w:id="1075"/>
      <w:r>
        <w:rPr>
          <w:rFonts w:ascii="Times New Roman;Times;serif" w:hAnsi="Times New Roman;Times;serif"/>
          <w:sz w:val="20"/>
        </w:rPr>
        <w:t xml:space="preserve">Although we recognize four segments of business, our strategy for the future, is to create and leverage a fully integrated set of products and services that are both profitable and scalable across our portfolio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plan to build our capability for delivering health and wellness services outside the airport. We believe operating outside of the airport complements our offering and represents the fastest way to scale the XWELL family of brands.We will be looking to further expand internationally. With international travel slowly returning to pre-pandemic levels, we continue to be opportunistic in our approach, by taking advantage of the current market to growth. We believe a strategy for international expansion further advances our ability to expand our other brands including biosurveillance outside of the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strategic imperatives will be accomplished through development of an infrastructure specifically focused on enabling scalable and efficient growth.</w:t>
      </w:r>
    </w:p>
    <w:p>
      <w:pPr>
        <w:pStyle w:val="TextBody"/>
        <w:bidi w:val="0"/>
        <w:spacing w:before="24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recognize revenue from the sale of XpresSpa, XpresTest and Treat services when they are rendered at our stores and from the sale of products at the time goods are purchased at our stores or online (usually by credit card), net of discounts and applicable sales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entered into managed services agreements with professional medical services companies that provide healthcare services to patients in our XpresCheck Wellness Centers and Treat locaations. The medical services companies pay XpresTest a monthly management fee to operate in the XpresCheck Wellness Centers.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sales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sales for our XpresSpa and Treat segments consists of store-level costs. Store-level costs include all costs that are directly attributable to the store operations, primarily payroll and related benefit costs for store personnel, occupancy costs and cost of products sold. Cost of sales of our XpresTest segment include costs related to the XpresCheck business, and consists of expenses directly attributable to the clinic operations under the terms of the MSAs, primarily payroll and related benefit costs for personnel, occupancy costs and cost of supplies used to administer the diagnostic COVID-19 tests.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include management and administrative personnel, overhead and occupancy costs, insurance and various professional fees, as well as stock-based compensation for directors, management and administrative personnel.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Three-month period ended March 31, 2023 compared to the three-month period ended March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4945" w:type="dxa"/>
        <w:jc w:val="left"/>
        <w:tblInd w:w="0" w:type="dxa"/>
        <w:tblLayout w:type="fixed"/>
        <w:tblCellMar>
          <w:top w:w="0" w:type="dxa"/>
          <w:left w:w="0" w:type="dxa"/>
          <w:bottom w:w="0" w:type="dxa"/>
          <w:right w:w="0" w:type="dxa"/>
        </w:tblCellMar>
      </w:tblPr>
      <w:tblGrid>
        <w:gridCol w:w="1246"/>
        <w:gridCol w:w="326"/>
        <w:gridCol w:w="211"/>
        <w:gridCol w:w="571"/>
        <w:gridCol w:w="326"/>
        <w:gridCol w:w="211"/>
        <w:gridCol w:w="676"/>
        <w:gridCol w:w="326"/>
        <w:gridCol w:w="211"/>
        <w:gridCol w:w="84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91210" cy="175260"/>
                      <wp:effectExtent l="0" t="0" r="0" b="0"/>
                      <wp:wrapNone/>
                      <wp:docPr id="125" name="Frame12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8" name="Frame1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9260" cy="175260"/>
                      <wp:effectExtent l="0" t="0" r="0" b="0"/>
                      <wp:wrapNone/>
                      <wp:docPr id="131" name="Frame1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34035" cy="175260"/>
                      <wp:effectExtent l="0" t="0" r="0" b="0"/>
                      <wp:wrapNone/>
                      <wp:docPr id="134" name="Frame1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3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(16,985)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in revenue of $16,985, or 71%, </w:t>
      </w:r>
      <w:r>
        <w:rPr>
          <w:rFonts w:ascii="Times New Roman;Times;serif" w:hAnsi="Times New Roman;Times;serif"/>
          <w:sz w:val="20"/>
          <w:shd w:fill="FFFFFF" w:val="clear"/>
        </w:rPr>
        <w:t>was primarily due to the reduction in patient service revenue triggered by the rapid decline of the XpresTest segment as countries continued to relax their testing requirements and we experienced decreased testing volumes at our now closed XpresCheck locations.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Cost of sales</w:t>
      </w:r>
    </w:p>
    <w:tbl>
      <w:tblPr>
        <w:tblW w:w="4735" w:type="dxa"/>
        <w:jc w:val="left"/>
        <w:tblInd w:w="0" w:type="dxa"/>
        <w:tblLayout w:type="fixed"/>
        <w:tblCellMar>
          <w:top w:w="0" w:type="dxa"/>
          <w:left w:w="0" w:type="dxa"/>
          <w:bottom w:w="0" w:type="dxa"/>
          <w:right w:w="0" w:type="dxa"/>
        </w:tblCellMar>
      </w:tblPr>
      <w:tblGrid>
        <w:gridCol w:w="1141"/>
        <w:gridCol w:w="326"/>
        <w:gridCol w:w="211"/>
        <w:gridCol w:w="571"/>
        <w:gridCol w:w="326"/>
        <w:gridCol w:w="211"/>
        <w:gridCol w:w="676"/>
        <w:gridCol w:w="326"/>
        <w:gridCol w:w="211"/>
        <w:gridCol w:w="73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24535" cy="175260"/>
                      <wp:effectExtent l="0" t="0" r="0" b="0"/>
                      <wp:wrapNone/>
                      <wp:docPr id="135" name="Frame13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1" name="Frame1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67360" cy="175260"/>
                      <wp:effectExtent l="0" t="0" r="0" b="0"/>
                      <wp:wrapNone/>
                      <wp:docPr id="144" name="Frame14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1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decrease in cost of sales of $8,506 or 57%, is commensurate  with the decrease in revenues offset by the reopening of certain XpresSpa locations that were temporarily closed during Q1 2022. We had 35 open spa locations as of March 31, 2023, and 22 open Spa locations as of March 31, 2022. The largest component in the cost of sales are costs of testing kits and labor costs at the location-level. Cost of sales also includes rent and related occupancy costs, which can primarily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 rent based on percentage of sales, as well as other product costs directly associated with the procurement of retail inventory, and other operating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bl>
      <w:tblPr>
        <w:tblW w:w="5903" w:type="dxa"/>
        <w:jc w:val="left"/>
        <w:tblInd w:w="0" w:type="dxa"/>
        <w:tblLayout w:type="fixed"/>
        <w:tblCellMar>
          <w:top w:w="0" w:type="dxa"/>
          <w:left w:w="0" w:type="dxa"/>
          <w:bottom w:w="0" w:type="dxa"/>
          <w:right w:w="0" w:type="dxa"/>
        </w:tblCellMar>
      </w:tblPr>
      <w:tblGrid>
        <w:gridCol w:w="2596"/>
        <w:gridCol w:w="326"/>
        <w:gridCol w:w="211"/>
        <w:gridCol w:w="421"/>
        <w:gridCol w:w="326"/>
        <w:gridCol w:w="211"/>
        <w:gridCol w:w="571"/>
        <w:gridCol w:w="326"/>
        <w:gridCol w:w="242"/>
        <w:gridCol w:w="673"/>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48460" cy="175260"/>
                      <wp:effectExtent l="0" t="0" r="0" b="0"/>
                      <wp:wrapNone/>
                      <wp:docPr id="145" name="Frame14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67335" cy="175260"/>
                      <wp:effectExtent l="0" t="0" r="0" b="0"/>
                      <wp:wrapNone/>
                      <wp:docPr id="148" name="Frame14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2585" cy="175260"/>
                      <wp:effectExtent l="0" t="0" r="0" b="0"/>
                      <wp:wrapNone/>
                      <wp:docPr id="151" name="Frame1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53670" cy="175260"/>
                      <wp:effectExtent l="0" t="0" r="0" b="0"/>
                      <wp:wrapNone/>
                      <wp:docPr id="153" name="Frame15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7355" cy="175260"/>
                      <wp:effectExtent l="0" t="0" r="0" b="0"/>
                      <wp:wrapNone/>
                      <wp:docPr id="154" name="Frame154"/>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81"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of approximately 54% was primarily due to the write-off of the stores that were permanently closed since March 31, 2022. Fewer locations resulted in lower amortization of leasehold improvements. Depreciation and amortization expense also decreased as a result of the impairments and disposals of fixed assets during the year ended December 31,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Loss on disposal of assets</w:t>
      </w:r>
    </w:p>
    <w:tbl>
      <w:tblPr>
        <w:tblW w:w="5442" w:type="dxa"/>
        <w:jc w:val="left"/>
        <w:tblInd w:w="0" w:type="dxa"/>
        <w:tblLayout w:type="fixed"/>
        <w:tblCellMar>
          <w:top w:w="0" w:type="dxa"/>
          <w:left w:w="0" w:type="dxa"/>
          <w:bottom w:w="0" w:type="dxa"/>
          <w:right w:w="0" w:type="dxa"/>
        </w:tblCellMar>
      </w:tblPr>
      <w:tblGrid>
        <w:gridCol w:w="2191"/>
        <w:gridCol w:w="326"/>
        <w:gridCol w:w="230"/>
        <w:gridCol w:w="460"/>
        <w:gridCol w:w="356"/>
        <w:gridCol w:w="230"/>
        <w:gridCol w:w="378"/>
        <w:gridCol w:w="356"/>
        <w:gridCol w:w="261"/>
        <w:gridCol w:w="654"/>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91285" cy="175260"/>
                      <wp:effectExtent l="0" t="0" r="0" b="0"/>
                      <wp:wrapNone/>
                      <wp:docPr id="155" name="Frame155"/>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6050" cy="175260"/>
                      <wp:effectExtent l="0" t="0" r="0" b="0"/>
                      <wp:wrapNone/>
                      <wp:docPr id="157" name="Frame15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92100" cy="175260"/>
                      <wp:effectExtent l="0" t="0" r="0" b="0"/>
                      <wp:wrapNone/>
                      <wp:docPr id="158" name="Frame158"/>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6060" cy="175260"/>
                      <wp:effectExtent l="0" t="0" r="0" b="0"/>
                      <wp:wrapNone/>
                      <wp:docPr id="159" name="Frame159"/>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6050" cy="175260"/>
                      <wp:effectExtent l="0" t="0" r="0" b="0"/>
                      <wp:wrapNone/>
                      <wp:docPr id="160" name="Frame16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40030" cy="175260"/>
                      <wp:effectExtent l="0" t="0" r="0" b="0"/>
                      <wp:wrapNone/>
                      <wp:docPr id="161" name="Frame161"/>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6060" cy="175260"/>
                      <wp:effectExtent l="0" t="0" r="0" b="0"/>
                      <wp:wrapNone/>
                      <wp:docPr id="162" name="Frame16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5735" cy="175260"/>
                      <wp:effectExtent l="0" t="0" r="0" b="0"/>
                      <wp:wrapNone/>
                      <wp:docPr id="163" name="Frame16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15290" cy="175260"/>
                      <wp:effectExtent l="0" t="0" r="0" b="0"/>
                      <wp:wrapNone/>
                      <wp:docPr id="164" name="Frame164"/>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2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56" w:type="dxa"/>
            <w:tcBorders/>
            <w:vAlign w:val="center"/>
          </w:tcPr>
          <w:p>
            <w:pPr>
              <w:pStyle w:val="TableContents"/>
              <w:bidi w:val="0"/>
              <w:spacing w:before="0" w:after="1"/>
              <w:ind w:left="0" w:right="0" w:hanging="0"/>
              <w:jc w:val="left"/>
              <w:rPr/>
            </w:pPr>
            <w:r>
              <w:rPr/>
              <w:t>    </w:t>
            </w:r>
          </w:p>
        </w:tc>
        <w:tc>
          <w:tcPr>
            <w:tcW w:w="6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56"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5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132</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val="false"/>
          <w:sz w:val="20"/>
          <w:shd w:fill="FFFFFF" w:val="clear"/>
        </w:rPr>
      </w:pPr>
      <w:r>
        <w:rPr>
          <w:rFonts w:ascii="Times New Roman;Times;serif" w:hAnsi="Times New Roman;Times;serif"/>
          <w:b w:val="false"/>
          <w:sz w:val="20"/>
          <w:shd w:fill="FFFFFF" w:val="clear"/>
        </w:rPr>
        <w:t>Loss on disposal of assets pertains to demolition costs of closed XpresCheck locations.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and administrative</w:t>
      </w:r>
    </w:p>
    <w:tbl>
      <w:tblPr>
        <w:tblW w:w="5905"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676"/>
        <w:gridCol w:w="326"/>
        <w:gridCol w:w="211"/>
        <w:gridCol w:w="73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67485" cy="175260"/>
                      <wp:effectExtent l="0" t="0" r="0" b="0"/>
                      <wp:wrapNone/>
                      <wp:docPr id="165" name="Frame16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62585" cy="175260"/>
                      <wp:effectExtent l="0" t="0" r="0" b="0"/>
                      <wp:wrapNone/>
                      <wp:docPr id="168" name="Frame1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67360" cy="175260"/>
                      <wp:effectExtent l="0" t="0" r="0" b="0"/>
                      <wp:wrapNone/>
                      <wp:docPr id="174" name="Frame17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decrease of approximately 40% was primarily due to right-sizing our existing business and optimizing our cost structure as well as reduction of functional costs associated with the operations of  now closed XpresCheck Wellness Centers. We have significantly reduced operating and overhead expenses since the second half of 2022, while we continue to focus on returning to overall profitability.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non-operating income (expense), net</w:t>
      </w:r>
    </w:p>
    <w:tbl>
      <w:tblPr>
        <w:tblW w:w="6867" w:type="dxa"/>
        <w:jc w:val="left"/>
        <w:tblInd w:w="0" w:type="dxa"/>
        <w:tblLayout w:type="fixed"/>
        <w:tblCellMar>
          <w:top w:w="0" w:type="dxa"/>
          <w:left w:w="0" w:type="dxa"/>
          <w:bottom w:w="0" w:type="dxa"/>
          <w:right w:w="0" w:type="dxa"/>
        </w:tblCellMar>
      </w:tblPr>
      <w:tblGrid>
        <w:gridCol w:w="3586"/>
        <w:gridCol w:w="326"/>
        <w:gridCol w:w="223"/>
        <w:gridCol w:w="334"/>
        <w:gridCol w:w="344"/>
        <w:gridCol w:w="223"/>
        <w:gridCol w:w="572"/>
        <w:gridCol w:w="344"/>
        <w:gridCol w:w="262"/>
        <w:gridCol w:w="653"/>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77110" cy="175260"/>
                      <wp:effectExtent l="0" t="0" r="0" b="0"/>
                      <wp:wrapNone/>
                      <wp:docPr id="175" name="Frame175"/>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1605" cy="175260"/>
                      <wp:effectExtent l="0" t="0" r="0" b="0"/>
                      <wp:wrapNone/>
                      <wp:docPr id="177" name="Frame177"/>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2090" cy="175260"/>
                      <wp:effectExtent l="0" t="0" r="0" b="0"/>
                      <wp:wrapNone/>
                      <wp:docPr id="178" name="Frame17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8440" cy="175260"/>
                      <wp:effectExtent l="0" t="0" r="0" b="0"/>
                      <wp:wrapNone/>
                      <wp:docPr id="179" name="Frame179"/>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1605" cy="175260"/>
                      <wp:effectExtent l="0" t="0" r="0" b="0"/>
                      <wp:wrapNone/>
                      <wp:docPr id="180" name="Frame180"/>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63220" cy="175260"/>
                      <wp:effectExtent l="0" t="0" r="0" b="0"/>
                      <wp:wrapNone/>
                      <wp:docPr id="181" name="Frame181"/>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8440" cy="175260"/>
                      <wp:effectExtent l="0" t="0" r="0" b="0"/>
                      <wp:wrapNone/>
                      <wp:docPr id="182" name="Frame182"/>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6370" cy="175260"/>
                      <wp:effectExtent l="0" t="0" r="0" b="0"/>
                      <wp:wrapNone/>
                      <wp:docPr id="183" name="Frame18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14655" cy="175260"/>
                      <wp:effectExtent l="0" t="0" r="0" b="0"/>
                      <wp:wrapNone/>
                      <wp:docPr id="184" name="Frame184"/>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4" w:type="dxa"/>
            <w:tcBorders/>
            <w:vAlign w:val="center"/>
          </w:tcPr>
          <w:p>
            <w:pPr>
              <w:pStyle w:val="TableContents"/>
              <w:bidi w:val="0"/>
              <w:spacing w:before="0" w:after="0"/>
              <w:ind w:left="0" w:right="0" w:hanging="0"/>
              <w:jc w:val="left"/>
              <w:rPr/>
            </w:pPr>
            <w:r>
              <w:rPr/>
              <w:t>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44"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4"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44"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is a summary of the transactions included in other non-operating income (expense), net for the three months ended March 31, 2023 and 2022:</w:t>
      </w:r>
    </w:p>
    <w:tbl>
      <w:tblPr>
        <w:tblW w:w="5980" w:type="dxa"/>
        <w:jc w:val="left"/>
        <w:tblInd w:w="0" w:type="dxa"/>
        <w:tblLayout w:type="fixed"/>
        <w:tblCellMar>
          <w:top w:w="0" w:type="dxa"/>
          <w:left w:w="0" w:type="dxa"/>
          <w:bottom w:w="0" w:type="dxa"/>
          <w:right w:w="0" w:type="dxa"/>
        </w:tblCellMar>
      </w:tblPr>
      <w:tblGrid>
        <w:gridCol w:w="2836"/>
        <w:gridCol w:w="326"/>
        <w:gridCol w:w="336"/>
        <w:gridCol w:w="694"/>
        <w:gridCol w:w="519"/>
        <w:gridCol w:w="336"/>
        <w:gridCol w:w="933"/>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800860" cy="175260"/>
                      <wp:effectExtent l="0" t="0" r="0" b="0"/>
                      <wp:wrapNone/>
                      <wp:docPr id="185" name="Frame185"/>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3360" cy="175260"/>
                      <wp:effectExtent l="0" t="0" r="0" b="0"/>
                      <wp:wrapNone/>
                      <wp:docPr id="187" name="Frame18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40690" cy="175260"/>
                      <wp:effectExtent l="0" t="0" r="0" b="0"/>
                      <wp:wrapNone/>
                      <wp:docPr id="188" name="Frame188"/>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29565" cy="175260"/>
                      <wp:effectExtent l="0" t="0" r="0" b="0"/>
                      <wp:wrapNone/>
                      <wp:docPr id="189" name="Frame189"/>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3360" cy="175260"/>
                      <wp:effectExtent l="0" t="0" r="0" b="0"/>
                      <wp:wrapNone/>
                      <wp:docPr id="190" name="Frame190"/>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92455" cy="175260"/>
                      <wp:effectExtent l="0" t="0" r="0" b="0"/>
                      <wp:wrapNone/>
                      <wp:docPr id="191" name="Frame191"/>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2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519" w:type="dxa"/>
            <w:tcBorders/>
            <w:vAlign w:val="center"/>
          </w:tcPr>
          <w:p>
            <w:pPr>
              <w:pStyle w:val="TableContents"/>
              <w:bidi w:val="0"/>
              <w:spacing w:before="0" w:after="1"/>
              <w:ind w:left="0" w:right="0" w:hanging="0"/>
              <w:jc w:val="left"/>
              <w:rPr/>
            </w:pPr>
            <w:r>
              <w:rPr/>
              <w:t>    </w:t>
            </w:r>
          </w:p>
        </w:tc>
        <w:tc>
          <w:tcPr>
            <w:tcW w:w="12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(loss) on equity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51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gain (loss)</w:t>
            </w:r>
          </w:p>
        </w:tc>
        <w:tc>
          <w:tcPr>
            <w:tcW w:w="326"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6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519" w:type="dxa"/>
            <w:tcBorders/>
            <w:vAlign w:val="center"/>
          </w:tcPr>
          <w:p>
            <w:pPr>
              <w:pStyle w:val="TableContents"/>
              <w:bidi w:val="0"/>
              <w:spacing w:before="0" w:after="1"/>
              <w:ind w:left="0" w:right="0" w:hanging="0"/>
              <w:jc w:val="left"/>
              <w:rPr/>
            </w:pPr>
            <w:r>
              <w:rPr/>
              <w:t>​</w:t>
            </w:r>
          </w:p>
        </w:tc>
        <w:tc>
          <w:tcPr>
            <w:tcW w:w="336"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Bank fees and financing charges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519"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519" w:type="dxa"/>
            <w:tcBorders/>
            <w:vAlign w:val="center"/>
          </w:tcPr>
          <w:p>
            <w:pPr>
              <w:pStyle w:val="TableContents"/>
              <w:bidi w:val="0"/>
              <w:spacing w:before="0" w:after="1"/>
              <w:ind w:left="0" w:right="0" w:hanging="0"/>
              <w:jc w:val="lef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Interest income, net</w:t>
      </w:r>
    </w:p>
    <w:tbl>
      <w:tblPr>
        <w:tblW w:w="4959" w:type="dxa"/>
        <w:jc w:val="left"/>
        <w:tblInd w:w="0" w:type="dxa"/>
        <w:tblLayout w:type="fixed"/>
        <w:tblCellMar>
          <w:top w:w="0" w:type="dxa"/>
          <w:left w:w="0" w:type="dxa"/>
          <w:bottom w:w="0" w:type="dxa"/>
          <w:right w:w="0" w:type="dxa"/>
        </w:tblCellMar>
      </w:tblPr>
      <w:tblGrid>
        <w:gridCol w:w="1711"/>
        <w:gridCol w:w="326"/>
        <w:gridCol w:w="243"/>
        <w:gridCol w:w="486"/>
        <w:gridCol w:w="376"/>
        <w:gridCol w:w="263"/>
        <w:gridCol w:w="263"/>
        <w:gridCol w:w="376"/>
        <w:gridCol w:w="261"/>
        <w:gridCol w:w="654"/>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086485" cy="175260"/>
                      <wp:effectExtent l="0" t="0" r="0" b="0"/>
                      <wp:wrapNone/>
                      <wp:docPr id="192" name="Frame192"/>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54305" cy="175260"/>
                      <wp:effectExtent l="0" t="0" r="0" b="0"/>
                      <wp:wrapNone/>
                      <wp:docPr id="194" name="Frame19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08610" cy="175260"/>
                      <wp:effectExtent l="0" t="0" r="0" b="0"/>
                      <wp:wrapNone/>
                      <wp:docPr id="195" name="Frame195"/>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38760" cy="175260"/>
                      <wp:effectExtent l="0" t="0" r="0" b="0"/>
                      <wp:wrapNone/>
                      <wp:docPr id="196" name="Frame19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67005" cy="175260"/>
                      <wp:effectExtent l="0" t="0" r="0" b="0"/>
                      <wp:wrapNone/>
                      <wp:docPr id="197" name="Frame19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7005" cy="175260"/>
                      <wp:effectExtent l="0" t="0" r="0" b="0"/>
                      <wp:wrapNone/>
                      <wp:docPr id="198" name="Frame19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38760" cy="175260"/>
                      <wp:effectExtent l="0" t="0" r="0" b="0"/>
                      <wp:wrapNone/>
                      <wp:docPr id="199" name="Frame19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5735" cy="175260"/>
                      <wp:effectExtent l="0" t="0" r="0" b="0"/>
                      <wp:wrapNone/>
                      <wp:docPr id="200" name="Frame20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15290" cy="175260"/>
                      <wp:effectExtent l="0" t="0" r="0" b="0"/>
                      <wp:wrapNone/>
                      <wp:docPr id="201" name="Frame201"/>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76" w:type="dxa"/>
            <w:tcBorders/>
            <w:vAlign w:val="center"/>
          </w:tcPr>
          <w:p>
            <w:pPr>
              <w:pStyle w:val="TableContents"/>
              <w:bidi w:val="0"/>
              <w:spacing w:before="0" w:after="0"/>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Inc/(Dec)</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7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7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increased by $386</w:t>
      </w:r>
      <w:r>
        <w:rPr>
          <w:rFonts w:ascii="Times New Roman;Times;serif" w:hAnsi="Times New Roman;Times;serif"/>
          <w:sz w:val="20"/>
          <w:shd w:fill="FFFFFF" w:val="clear"/>
        </w:rPr>
        <w:t xml:space="preserve"> as a result of increased interest rates and elimination of interest expense since the beginning of May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2023, we had approximately $9,869 of cash and cash equivalents (excluding restricted cash), $25,241 in marketable securities, and total current assets of $39,893. Our total current liabilities balance, which includes accounts payable, deferred revenue, accrued expenses, and operating lease liabilities was approximately $9,053 as of March 31, 2023 and $10,956 as of December 31, 2022. The working capital surplus was $30,840 as of March 31, 2023, compared to a working capital surplus of  $36,376 as of December 31,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primary liquidity and capital requirements are for the maintenance of our current XpresSpa  and Treat locations and brand, as well as the expansion outside the airports. During the three months ended March 31, 2023 and March 31, 2022, we used $5,865 and $1,774 in operations,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On August 31, 2021, the Company’s board of directors initially authorized a stock repurchase program that permitted the purchase and repurchase of up to 15 million shares of our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w:t>
      </w:r>
      <w:r>
        <w:rPr>
          <w:rFonts w:ascii="Times New Roman;Times;serif" w:hAnsi="Times New Roman;Times;serif"/>
          <w:sz w:val="20"/>
        </w:rPr>
        <w:t xml:space="preserve"> </w:t>
      </w:r>
      <w:r>
        <w:rPr>
          <w:rFonts w:ascii="Times New Roman;Times;serif" w:hAnsi="Times New Roman;Times;serif"/>
          <w:sz w:val="20"/>
          <w:shd w:fill="FFFFFF" w:val="clear"/>
        </w:rPr>
        <w:t>The program does not require us to repurchase any specific number of shares, and may be modified, suspended or terminated at any time without prior notice.</w:t>
      </w:r>
      <w:r>
        <w:rPr>
          <w:rFonts w:ascii="Times New Roman;Times;serif" w:hAnsi="Times New Roman;Times;serif"/>
          <w:sz w:val="20"/>
        </w:rPr>
        <w:t xml:space="preserve"> </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val="false"/>
          <w:sz w:val="20"/>
        </w:rPr>
        <w:t xml:space="preserve">During 2022, the Company continued to execute on its share repurchase program, repurchasing and retiring 19,526,706 shares at an average cost of $1.22 per share, for a total of $23,789. The Company did not repurchase any shares during the three months ended March 31, 2023.  As of March 31, 2023, the Company was permitted to repurchase approximately 0.8 million additional shares </w:t>
      </w:r>
      <w:r>
        <w:rPr>
          <w:rFonts w:ascii="Times New Roman;Times;serif" w:hAnsi="Times New Roman;Times;serif"/>
          <w:b w:val="false"/>
          <w:sz w:val="20"/>
          <w:shd w:fill="FFFFFF" w:val="clear"/>
        </w:rPr>
        <w:t>under this program.</w:t>
      </w:r>
    </w:p>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condensed consolidated financial statements should be read in conjunction with the audited consolidated financial statements included in our Annual Report on Form 10-K for the year ended December 31, 2022,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pStyle w:val="TextBody"/>
        <w:bidi w:val="0"/>
        <w:spacing w:before="0" w:after="240"/>
        <w:ind w:left="0" w:right="0" w:hanging="0"/>
        <w:jc w:val="left"/>
        <w:rPr>
          <w:rFonts w:ascii="Times New Roman;Times;serif" w:hAnsi="Times New Roman;Times;serif"/>
          <w:b/>
          <w:sz w:val="20"/>
        </w:rPr>
      </w:pPr>
      <w:bookmarkStart w:id="1076" w:name="Item3QuantitativeandQualitativeDisclosur"/>
      <w:bookmarkStart w:id="1077" w:name="_b7f0a76f_ea2f_4ac4_8b62_5a768329a422"/>
      <w:bookmarkEnd w:id="1076"/>
      <w:bookmarkEnd w:id="1077"/>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required as we are a smaller reporting company.</w:t>
      </w:r>
    </w:p>
    <w:p>
      <w:pPr>
        <w:pStyle w:val="TextBody"/>
        <w:bidi w:val="0"/>
        <w:spacing w:before="0" w:after="200"/>
        <w:ind w:left="0" w:right="0" w:hanging="0"/>
        <w:jc w:val="left"/>
        <w:rPr>
          <w:rFonts w:ascii="Times New Roman;Times;serif" w:hAnsi="Times New Roman;Times;serif"/>
          <w:b/>
          <w:sz w:val="20"/>
        </w:rPr>
      </w:pPr>
      <w:bookmarkStart w:id="1078" w:name="Item4ControlsandProcedures_603492"/>
      <w:bookmarkStart w:id="1079" w:name="_6feddae4_2113_4252_a330_cceea12366ab"/>
      <w:bookmarkEnd w:id="1078"/>
      <w:bookmarkEnd w:id="1079"/>
      <w:r>
        <w:rPr>
          <w:rFonts w:ascii="Times New Roman;Times;serif" w:hAnsi="Times New Roman;Times;serif"/>
          <w:b/>
          <w:sz w:val="20"/>
        </w:rPr>
        <w:t>Item 4.         Controls and Procedures.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Evaluation of Disclosure Controls and Procedures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2023, we carried out an evaluation, under the supervision and with the participation of our management, including our Chief Executive Officer and Interim Chief Financial Officer, of the effectiveness of the design and operation of our disclosure controls and procedures.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This type of evaluation is performed on a quarterly basis so that conclusions of management, including our Chief Executive Officer and the Interim Chief Financial Officer, concerning the effectiveness of the disclosure controls can be reported in 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Interim Chief Financial Officer concluded that our disclosure controls and procedures were not effective as of March 31, 2023.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Remediation Plan for Material Weakness in Internal Control over Financial Reporting</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 </w:t>
      </w:r>
    </w:p>
    <w:tbl>
      <w:tblPr>
        <w:tblW w:w="8811" w:type="dxa"/>
        <w:jc w:val="left"/>
        <w:tblInd w:w="0" w:type="dxa"/>
        <w:tblLayout w:type="fixed"/>
        <w:tblCellMar>
          <w:top w:w="28" w:type="dxa"/>
          <w:left w:w="28" w:type="dxa"/>
          <w:bottom w:w="28" w:type="dxa"/>
          <w:right w:w="28" w:type="dxa"/>
        </w:tblCellMar>
      </w:tblPr>
      <w:tblGrid>
        <w:gridCol w:w="124"/>
        <w:gridCol w:w="271"/>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has turned on the multi-currency features related to its cloud based accounting systems.</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outside service providers to assist with the valuation, accounting, and recording of key reporting areas such as leases, revenue recognition and stock compensation expense.</w:t>
            </w:r>
          </w:p>
        </w:tc>
      </w:tr>
    </w:tbl>
    <w:tbl>
      <w:tblPr>
        <w:tblW w:w="10205" w:type="dxa"/>
        <w:jc w:val="left"/>
        <w:tblInd w:w="0" w:type="dxa"/>
        <w:tblLayout w:type="fixed"/>
        <w:tblCellMar>
          <w:top w:w="28" w:type="dxa"/>
          <w:left w:w="28" w:type="dxa"/>
          <w:bottom w:w="28" w:type="dxa"/>
          <w:right w:w="28" w:type="dxa"/>
        </w:tblCellMar>
      </w:tblPr>
      <w:tblGrid>
        <w:gridCol w:w="124"/>
        <w:gridCol w:w="255"/>
        <w:gridCol w:w="9826"/>
      </w:tblGrid>
      <w:tr>
        <w:trPr/>
        <w:tc>
          <w:tcPr>
            <w:tcW w:w="124" w:type="dxa"/>
            <w:tcBorders/>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contracted an independent consulting firm to assist with the preparation of the Financial Statements and U.S. GAAP accounting research.</w:t>
            </w:r>
          </w:p>
        </w:tc>
      </w:tr>
    </w:tbl>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has engaged outside service providers</w:t>
            </w:r>
            <w:r>
              <w:rPr>
                <w:caps w:val="false"/>
                <w:smallCaps w:val="false"/>
                <w:shd w:fill="FFFFFF" w:val="clear"/>
              </w:rPr>
              <w:t xml:space="preserve"> </w:t>
            </w:r>
            <w:r>
              <w:rPr>
                <w:rFonts w:ascii="Times New Roman;Times;serif" w:hAnsi="Times New Roman;Times;serif"/>
                <w:b w:val="false"/>
                <w:i w:val="false"/>
                <w:caps w:val="false"/>
                <w:smallCaps w:val="false"/>
                <w:sz w:val="20"/>
              </w:rPr>
              <w:t>to review the applicable complementary user entity controls described in the service organizations’ reports for their potential impact on the Company’s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7"/>
        <w:gridCol w:w="9824"/>
      </w:tblGrid>
      <w:tr>
        <w:trPr/>
        <w:tc>
          <w:tcPr>
            <w:tcW w:w="124" w:type="dxa"/>
            <w:tcBorders/>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2023, the Company announced that it has hired a new permanent Chief Financial Officer, who will have a start date effective June 12, 2023.</w:t>
            </w:r>
          </w:p>
        </w:tc>
      </w:tr>
    </w:tbl>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Other than as set forth in the foregoing paragraph, there have been no changes in our internal control over financial reporting that occurred during the quarter ended March 31, 2023 that has materially affected, or is reasonably likely to materially affect, our internal control over financial reporting.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80" w:name="PARTIIOTHERINFORMATION_90261"/>
      <w:bookmarkStart w:id="1081" w:name="_074965a8_9bc2_46d6_8c42_79124e76c7f9"/>
      <w:bookmarkEnd w:id="1080"/>
      <w:bookmarkEnd w:id="1081"/>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82" w:name="Item1LegalProceedings_288324"/>
      <w:bookmarkEnd w:id="1082"/>
      <w:r>
        <w:rPr>
          <w:rFonts w:ascii="Times New Roman;Times;serif" w:hAnsi="Times New Roman;Times;serif"/>
          <w:b/>
          <w:sz w:val="20"/>
        </w:rPr>
        <w:t>Item 1.         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information regarding legal proceedings, see Note 11. “</w:t>
      </w:r>
      <w:r>
        <w:rPr>
          <w:rFonts w:ascii="Times New Roman;Times;serif" w:hAnsi="Times New Roman;Times;serif"/>
          <w:i/>
          <w:sz w:val="20"/>
        </w:rPr>
        <w:t>Commitments and Contingencies”</w:t>
      </w:r>
      <w:r>
        <w:rPr>
          <w:rFonts w:ascii="Times New Roman;Times;serif" w:hAnsi="Times New Roman;Times;serif"/>
          <w:sz w:val="20"/>
        </w:rPr>
        <w:t xml:space="preserve"> in our notes to the condensed consolidated financial statements included in “Item 1. Condensed Consolidated Financial Statements (Unaudited).”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1083" w:name="Item1ARiskFactors_714642"/>
      <w:bookmarkStart w:id="1084" w:name="_257a0d85_8a1f_4490_be95_02840c191b00"/>
      <w:bookmarkEnd w:id="1083"/>
      <w:bookmarkEnd w:id="1084"/>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the risk factors discussed in Item 1A. Risk Factors in our Annual Report on Form 10-K for the year ended December 31, 2022.</w:t>
      </w:r>
    </w:p>
    <w:p>
      <w:pPr>
        <w:pStyle w:val="TextBody"/>
        <w:bidi w:val="0"/>
        <w:spacing w:before="0" w:after="240"/>
        <w:ind w:left="0" w:right="0" w:hanging="0"/>
        <w:jc w:val="left"/>
        <w:rPr>
          <w:rFonts w:ascii="Times New Roman;Times;serif" w:hAnsi="Times New Roman;Times;serif"/>
          <w:b/>
          <w:sz w:val="20"/>
        </w:rPr>
      </w:pPr>
      <w:bookmarkStart w:id="1085" w:name="Item_2_Unreg_Sales"/>
      <w:bookmarkStart w:id="1086" w:name="_ec53a79b_3c7e_4db5_be07_837e2121c802"/>
      <w:bookmarkEnd w:id="1085"/>
      <w:bookmarkEnd w:id="1086"/>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87" w:name="Item3DefaultsUponSeniorSecurities_163017"/>
      <w:bookmarkStart w:id="1088" w:name="_78cf8699_1f31_4234_bd67_0764d935c784"/>
      <w:bookmarkEnd w:id="1087"/>
      <w:bookmarkEnd w:id="1088"/>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89" w:name="Item4MineSafetyDisclosures_955432"/>
      <w:bookmarkStart w:id="1090" w:name="_0547d3c1_2737_47a7_82ac_ff50cc9e88d9"/>
      <w:bookmarkEnd w:id="1089"/>
      <w:bookmarkEnd w:id="1090"/>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91" w:name="Item5OtherInformation_663071"/>
      <w:bookmarkStart w:id="1092" w:name="_f84ed219_c1f7_480e_8ebe_cd7db12f86ec"/>
      <w:bookmarkEnd w:id="1091"/>
      <w:bookmarkEnd w:id="1092"/>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93" w:name="Item6Exhibits_900445"/>
      <w:bookmarkStart w:id="1094" w:name="_f0ef6945_ee95_4be8_a0e6_43a87661a09d"/>
      <w:bookmarkEnd w:id="1093"/>
      <w:bookmarkEnd w:id="1094"/>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97"/>
        <w:gridCol w:w="266"/>
        <w:gridCol w:w="9042"/>
      </w:tblGrid>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w:t>
              <w:br/>
            </w:r>
            <w:r>
              <w:rPr>
                <w:rFonts w:ascii="Times New Roman;Times;serif" w:hAnsi="Times New Roman;Times;serif"/>
                <w:b/>
                <w:sz w:val="20"/>
              </w:rPr>
              <w:t>No.</w:t>
            </w:r>
          </w:p>
        </w:tc>
        <w:tc>
          <w:tcPr>
            <w:tcW w:w="266" w:type="dxa"/>
            <w:tcBorders/>
            <w:vAlign w:val="center"/>
          </w:tcPr>
          <w:p>
            <w:pPr>
              <w:pStyle w:val="TableContents"/>
              <w:bidi w:val="0"/>
              <w:spacing w:before="0" w:after="0"/>
              <w:ind w:left="0" w:right="0" w:hanging="0"/>
              <w:jc w:val="left"/>
              <w:rPr/>
            </w:pPr>
            <w:r>
              <w:rPr/>
              <w:t>   </w:t>
            </w:r>
          </w:p>
        </w:tc>
        <w:tc>
          <w:tcPr>
            <w:tcW w:w="90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hyperlink w:anchor="xwel-20230331xex10d1.htm">
              <w:r>
                <w:rPr>
                  <w:rStyle w:val="InternetLink"/>
                  <w:rFonts w:ascii="Times New Roman;Times;serif" w:hAnsi="Times New Roman;Times;serif"/>
                  <w:b w:val="false"/>
                  <w:i w:val="false"/>
                  <w:caps w:val="false"/>
                  <w:smallCaps w:val="false"/>
                  <w:sz w:val="20"/>
                </w:rPr>
                <w:t>Executive Employment Agreement dated May 3, 2023, between the Company and Valerie Lightfoot.</w:t>
              </w:r>
            </w:hyperlink>
            <w:r>
              <w:rPr>
                <w:rFonts w:ascii="Times New Roman;Times;serif" w:hAnsi="Times New Roman;Times;serif"/>
                <w:sz w:val="20"/>
              </w:rPr>
              <w:t xml:space="preserve"> </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hyperlink w:anchor="xwel-20230331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hyperlink w:anchor="xwel-20230331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hyperlink w:anchor="xwel-20230331xex32.htm">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w:t>
              </w:r>
            </w:hyperlink>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9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042"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731" w:type="dxa"/>
        <w:jc w:val="left"/>
        <w:tblInd w:w="0" w:type="dxa"/>
        <w:tblLayout w:type="fixed"/>
        <w:tblCellMar>
          <w:top w:w="0" w:type="dxa"/>
          <w:left w:w="0" w:type="dxa"/>
          <w:bottom w:w="0" w:type="dxa"/>
          <w:right w:w="0" w:type="dxa"/>
        </w:tblCellMar>
      </w:tblPr>
      <w:tblGrid>
        <w:gridCol w:w="946"/>
        <w:gridCol w:w="109"/>
        <w:gridCol w:w="6676"/>
      </w:tblGrid>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76" w:type="dxa"/>
            <w:tcBorders/>
            <w:vAlign w:val="center"/>
          </w:tcPr>
          <w:p>
            <w:pPr>
              <w:pStyle w:val="TableContents"/>
              <w:bidi w:val="0"/>
              <w:spacing w:before="0" w:after="0"/>
              <w:ind w:left="0" w:right="0" w:hanging="0"/>
              <w:jc w:val="left"/>
              <w:rPr/>
            </w:pPr>
            <w:r>
              <w:rPr/>
              <w:t>​</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6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documents)</w:t>
            </w:r>
          </w:p>
        </w:tc>
      </w:tr>
    </w:tbl>
    <w:p>
      <w:pPr>
        <w:pStyle w:val="TextBody"/>
        <w:bidi w:val="0"/>
        <w:spacing w:before="0" w:after="0"/>
        <w:ind w:left="0" w:right="0" w:hanging="0"/>
        <w:jc w:val="left"/>
        <w:rPr/>
      </w:pPr>
      <w:r>
        <w:rPr/>
        <w:t>​</w:t>
      </w:r>
    </w:p>
    <w:tbl>
      <w:tblPr>
        <w:tblW w:w="5796" w:type="dxa"/>
        <w:jc w:val="left"/>
        <w:tblInd w:w="0" w:type="dxa"/>
        <w:tblLayout w:type="fixed"/>
        <w:tblCellMar>
          <w:top w:w="0" w:type="dxa"/>
          <w:left w:w="0" w:type="dxa"/>
          <w:bottom w:w="0" w:type="dxa"/>
          <w:right w:w="0" w:type="dxa"/>
        </w:tblCellMar>
      </w:tblPr>
      <w:tblGrid>
        <w:gridCol w:w="331"/>
        <w:gridCol w:w="109"/>
        <w:gridCol w:w="535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35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Filed herewith.</w:t>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Furnished herein.</w:t>
            </w:r>
          </w:p>
        </w:tc>
      </w:tr>
      <w:tr>
        <w:trPr/>
        <w:tc>
          <w:tcPr>
            <w:tcW w:w="3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3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 contract or compensatory plan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95" w:name="_Hlk71030000"/>
      <w:bookmarkStart w:id="1096" w:name="_114cbc42_0cc6_4f86_affa_603d77677e9f"/>
      <w:bookmarkEnd w:id="1095"/>
      <w:bookmarkEnd w:id="1096"/>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465" w:type="dxa"/>
        <w:jc w:val="left"/>
        <w:tblInd w:w="0" w:type="dxa"/>
        <w:tblLayout w:type="fixed"/>
        <w:tblCellMar>
          <w:top w:w="0" w:type="dxa"/>
          <w:left w:w="0" w:type="dxa"/>
          <w:bottom w:w="0" w:type="dxa"/>
          <w:right w:w="0" w:type="dxa"/>
        </w:tblCellMar>
      </w:tblPr>
      <w:tblGrid>
        <w:gridCol w:w="556"/>
        <w:gridCol w:w="1246"/>
        <w:gridCol w:w="326"/>
        <w:gridCol w:w="406"/>
        <w:gridCol w:w="393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43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XWELL, Inc.</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7" w:type="dxa"/>
            <w:gridSpan w:val="2"/>
            <w:tcBorders/>
            <w:vAlign w:val="center"/>
          </w:tcPr>
          <w:p>
            <w:pPr>
              <w:pStyle w:val="TableContents"/>
              <w:bidi w:val="0"/>
              <w:spacing w:before="0" w:after="0"/>
              <w:ind w:left="0" w:right="0" w:hanging="0"/>
              <w:jc w:val="left"/>
              <w:rPr/>
            </w:pPr>
            <w:r>
              <w:rPr/>
              <w:t>​</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283"/>
              <w:ind w:left="0" w:right="0" w:hanging="0"/>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Scott R Milford</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Scott R. Milford</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pPr>
            <w:r>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15, 2023</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Omar A Haynes</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Omar A. Haynes</w:t>
            </w:r>
          </w:p>
        </w:tc>
      </w:tr>
      <w:tr>
        <w:trPr/>
        <w:tc>
          <w:tcPr>
            <w:tcW w:w="55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Interim Chief Financial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9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Calibri;Helvetica;sans-serif" w:hAnsi="Calibri;Helvetica;sans-serif"/>
          <w:b/>
          <w:sz w:val="22"/>
        </w:rPr>
      </w:pPr>
      <w:bookmarkStart w:id="1097" w:name="xwel-20230331xex10d1.htm"/>
      <w:bookmarkStart w:id="1098" w:name="ksxwel20230331xex10d1"/>
      <w:bookmarkEnd w:id="1097"/>
      <w:bookmarkEnd w:id="1098"/>
      <w:r>
        <w:rPr>
          <w:rFonts w:ascii="Calibri;Helvetica;sans-serif" w:hAnsi="Calibri;Helvetica;sans-serif"/>
          <w:b/>
          <w:sz w:val="22"/>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Calibri;Helvetica;sans-serif" w:hAnsi="Calibri;Helvetica;sans-serif"/>
          <w:b/>
          <w:sz w:val="22"/>
        </w:rPr>
      </w:pPr>
      <w:r>
        <w:rPr>
          <w:rFonts w:ascii="Calibri;Helvetica;sans-serif" w:hAnsi="Calibri;Helvetica;sans-serif"/>
          <w:b/>
          <w:sz w:val="22"/>
        </w:rPr>
        <w:t>Certain personally identifiable information contained in this document, marked by brackets as [***], has been omitted from this exhibit pursuant to Item 601(a)(6) under Regulation S-K.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2866390" cy="676275"/>
            <wp:effectExtent l="0" t="0" r="0" b="0"/>
            <wp:docPr id="20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 descr=""/>
                    <pic:cNvPicPr>
                      <a:picLocks noChangeAspect="1" noChangeArrowheads="1"/>
                    </pic:cNvPicPr>
                  </pic:nvPicPr>
                  <pic:blipFill>
                    <a:blip r:embed="rId2"/>
                    <a:stretch>
                      <a:fillRect/>
                    </a:stretch>
                  </pic:blipFill>
                  <pic:spPr bwMode="auto">
                    <a:xfrm>
                      <a:off x="0" y="0"/>
                      <a:ext cx="2866390" cy="67627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right"/>
        <w:rPr>
          <w:rFonts w:ascii="Calibri;Helvetica;sans-serif" w:hAnsi="Calibri;Helvetica;sans-serif"/>
          <w:sz w:val="18"/>
        </w:rPr>
      </w:pPr>
      <w:r>
        <w:rPr>
          <w:rFonts w:ascii="Calibri;Helvetica;sans-serif" w:hAnsi="Calibri;Helvetica;sans-serif"/>
          <w:color w:val="808080"/>
          <w:sz w:val="18"/>
        </w:rPr>
        <w:t>254 West 31</w:t>
      </w:r>
      <w:r>
        <w:rPr>
          <w:rFonts w:ascii="Calibri;Helvetica;sans-serif" w:hAnsi="Calibri;Helvetica;sans-serif"/>
          <w:color w:val="808080"/>
          <w:sz w:val="14"/>
        </w:rPr>
        <w:t>st</w:t>
      </w:r>
      <w:r>
        <w:rPr>
          <w:rFonts w:ascii="Calibri;Helvetica;sans-serif" w:hAnsi="Calibri;Helvetica;sans-serif"/>
          <w:color w:val="808080"/>
          <w:sz w:val="18"/>
        </w:rPr>
        <w:t xml:space="preserve"> Street, 11</w:t>
      </w:r>
      <w:r>
        <w:rPr>
          <w:rFonts w:ascii="Calibri;Helvetica;sans-serif" w:hAnsi="Calibri;Helvetica;sans-serif"/>
          <w:color w:val="808080"/>
          <w:sz w:val="14"/>
        </w:rPr>
        <w:t>th</w:t>
      </w:r>
      <w:r>
        <w:rPr>
          <w:rFonts w:ascii="Calibri;Helvetica;sans-serif" w:hAnsi="Calibri;Helvetica;sans-serif"/>
          <w:color w:val="808080"/>
          <w:sz w:val="18"/>
        </w:rPr>
        <w:t xml:space="preserve"> FL</w:t>
      </w:r>
    </w:p>
    <w:p>
      <w:pPr>
        <w:pStyle w:val="TextBody"/>
        <w:bidi w:val="0"/>
        <w:spacing w:before="0" w:after="0"/>
        <w:ind w:left="0" w:right="0" w:hanging="0"/>
        <w:jc w:val="right"/>
        <w:rPr>
          <w:rFonts w:ascii="Calibri;Helvetica;sans-serif" w:hAnsi="Calibri;Helvetica;sans-serif"/>
          <w:color w:val="808080"/>
          <w:sz w:val="18"/>
        </w:rPr>
      </w:pPr>
      <w:r>
        <w:rPr>
          <w:rFonts w:ascii="Calibri;Helvetica;sans-serif" w:hAnsi="Calibri;Helvetica;sans-serif"/>
          <w:color w:val="808080"/>
          <w:sz w:val="18"/>
        </w:rPr>
        <w:t>New York, NY 10001</w:t>
      </w:r>
    </w:p>
    <w:p>
      <w:pPr>
        <w:pStyle w:val="TextBody"/>
        <w:bidi w:val="0"/>
        <w:spacing w:before="0" w:after="0"/>
        <w:ind w:left="2880" w:right="0" w:hanging="0"/>
        <w:jc w:val="right"/>
        <w:rPr/>
      </w:pPr>
      <w:r>
        <w:rPr/>
        <w:t>​</w:t>
      </w:r>
    </w:p>
    <w:p>
      <w:pPr>
        <w:pStyle w:val="TextBody"/>
        <w:bidi w:val="0"/>
        <w:spacing w:before="0" w:after="0"/>
        <w:ind w:left="0" w:right="0" w:hanging="0"/>
        <w:jc w:val="right"/>
        <w:rPr>
          <w:rFonts w:ascii="Calibri;Helvetica;sans-serif" w:hAnsi="Calibri;Helvetica;sans-serif"/>
          <w:color w:val="808080"/>
          <w:sz w:val="18"/>
        </w:rPr>
      </w:pPr>
      <w:r>
        <w:rPr>
          <w:rFonts w:ascii="Calibri;Helvetica;sans-serif" w:hAnsi="Calibri;Helvetica;sans-serif"/>
          <w:color w:val="808080"/>
          <w:sz w:val="18"/>
        </w:rPr>
        <w:t>p. 212.750.9595</w:t>
      </w:r>
    </w:p>
    <w:p>
      <w:pPr>
        <w:pStyle w:val="TextBody"/>
        <w:bidi w:val="0"/>
        <w:spacing w:before="0" w:after="0"/>
        <w:ind w:left="0" w:right="0" w:hanging="0"/>
        <w:jc w:val="right"/>
        <w:rPr>
          <w:rFonts w:ascii="Calibri;Helvetica;sans-serif" w:hAnsi="Calibri;Helvetica;sans-serif"/>
          <w:color w:val="808080"/>
          <w:sz w:val="18"/>
        </w:rPr>
      </w:pPr>
      <w:r>
        <w:rPr>
          <w:rFonts w:ascii="Calibri;Helvetica;sans-serif" w:hAnsi="Calibri;Helvetica;sans-serif"/>
          <w:color w:val="808080"/>
          <w:sz w:val="18"/>
        </w:rPr>
        <w:t>f. 212.750.8607</w:t>
      </w:r>
    </w:p>
    <w:p>
      <w:pPr>
        <w:pStyle w:val="TextBody"/>
        <w:bidi w:val="0"/>
        <w:spacing w:before="0" w:after="0"/>
        <w:ind w:left="0" w:right="0" w:hanging="0"/>
        <w:jc w:val="right"/>
        <w:rPr>
          <w:rFonts w:ascii="Calibri;Helvetica;sans-serif" w:hAnsi="Calibri;Helvetica;sans-serif"/>
          <w:color w:val="808080"/>
          <w:sz w:val="18"/>
        </w:rPr>
      </w:pPr>
      <w:r>
        <w:rPr>
          <w:rFonts w:ascii="Calibri;Helvetica;sans-serif" w:hAnsi="Calibri;Helvetica;sans-serif"/>
          <w:color w:val="808080"/>
          <w:sz w:val="18"/>
        </w:rPr>
        <w:t>xwell.com</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May 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Valerie Lightfoot</w:t>
      </w:r>
    </w:p>
    <w:p>
      <w:pPr>
        <w:pStyle w:val="TextBody"/>
        <w:bidi w:val="0"/>
        <w:spacing w:before="0" w:after="0"/>
        <w:ind w:left="0" w:right="0" w:hanging="0"/>
        <w:jc w:val="left"/>
        <w:rPr>
          <w:rFonts w:ascii="Calibri;Helvetica;sans-serif" w:hAnsi="Calibri;Helvetica;sans-serif"/>
          <w:b/>
          <w:sz w:val="20"/>
        </w:rPr>
      </w:pPr>
      <w:r>
        <w:rPr>
          <w:rFonts w:ascii="Calibri;Helvetica;sans-serif" w:hAnsi="Calibri;Helvetica;sans-serif"/>
          <w:b/>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Dear Valerie</w:t>
      </w:r>
    </w:p>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On behalf of the entire leadership team, we are very pleased to present you with our offer for the position of Chief Financial Officer, XWELL, Inc. (the “Company”). Please review the terms of our offer below:</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150"/>
        <w:gridCol w:w="9055"/>
      </w:tblGrid>
      <w:tr>
        <w:trPr/>
        <w:tc>
          <w:tcPr>
            <w:tcW w:w="1150" w:type="dxa"/>
            <w:tcBorders/>
            <w:vAlign w:val="center"/>
          </w:tcPr>
          <w:p>
            <w:pPr>
              <w:pStyle w:val="TableContents"/>
              <w:bidi w:val="0"/>
              <w:spacing w:before="0" w:after="0"/>
              <w:ind w:left="0" w:right="0" w:hanging="0"/>
              <w:jc w:val="left"/>
              <w:rPr/>
            </w:pPr>
            <w:r>
              <w:rPr/>
              <w:t>​</w:t>
            </w:r>
          </w:p>
        </w:tc>
        <w:tc>
          <w:tcPr>
            <w:tcW w:w="9055" w:type="dxa"/>
            <w:tcBorders/>
            <w:vAlign w:val="center"/>
          </w:tcPr>
          <w:p>
            <w:pPr>
              <w:pStyle w:val="TableContents"/>
              <w:bidi w:val="0"/>
              <w:spacing w:before="0" w:after="0"/>
              <w:ind w:left="0" w:right="0" w:hanging="0"/>
              <w:jc w:val="left"/>
              <w:rPr/>
            </w:pPr>
            <w:r>
              <w:rPr/>
              <w:t>​</w:t>
            </w:r>
          </w:p>
        </w:tc>
      </w:tr>
      <w:tr>
        <w:trPr/>
        <w:tc>
          <w:tcPr>
            <w:tcW w:w="1150"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Position:</w:t>
            </w:r>
          </w:p>
        </w:tc>
        <w:tc>
          <w:tcPr>
            <w:tcW w:w="9055"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Chief Financial Officer (“CFO”)</w:t>
            </w:r>
          </w:p>
        </w:tc>
      </w:tr>
      <w:tr>
        <w:trPr/>
        <w:tc>
          <w:tcPr>
            <w:tcW w:w="1150" w:type="dxa"/>
            <w:tcBorders/>
            <w:vAlign w:val="center"/>
          </w:tcPr>
          <w:p>
            <w:pPr>
              <w:pStyle w:val="TableContents"/>
              <w:bidi w:val="0"/>
              <w:spacing w:before="0" w:after="0"/>
              <w:ind w:left="0" w:right="0" w:hanging="0"/>
              <w:jc w:val="left"/>
              <w:rPr/>
            </w:pPr>
            <w:r>
              <w:rPr/>
              <w:t>​</w:t>
            </w:r>
          </w:p>
        </w:tc>
        <w:tc>
          <w:tcPr>
            <w:tcW w:w="9055" w:type="dxa"/>
            <w:tcBorders/>
            <w:vAlign w:val="center"/>
          </w:tcPr>
          <w:p>
            <w:pPr>
              <w:pStyle w:val="TableContents"/>
              <w:bidi w:val="0"/>
              <w:spacing w:before="0" w:after="0"/>
              <w:ind w:left="0" w:right="0" w:hanging="0"/>
              <w:jc w:val="left"/>
              <w:rPr/>
            </w:pPr>
            <w:r>
              <w:rPr/>
              <w:t>​</w:t>
            </w:r>
          </w:p>
        </w:tc>
      </w:tr>
      <w:tr>
        <w:trPr/>
        <w:tc>
          <w:tcPr>
            <w:tcW w:w="1150"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Reporting to:</w:t>
            </w:r>
          </w:p>
        </w:tc>
        <w:tc>
          <w:tcPr>
            <w:tcW w:w="9055"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Chief Executive Officer</w:t>
            </w:r>
          </w:p>
        </w:tc>
      </w:tr>
      <w:tr>
        <w:trPr/>
        <w:tc>
          <w:tcPr>
            <w:tcW w:w="1150" w:type="dxa"/>
            <w:tcBorders/>
            <w:vAlign w:val="center"/>
          </w:tcPr>
          <w:p>
            <w:pPr>
              <w:pStyle w:val="TableContents"/>
              <w:bidi w:val="0"/>
              <w:spacing w:before="0" w:after="0"/>
              <w:ind w:left="0" w:right="0" w:hanging="0"/>
              <w:jc w:val="left"/>
              <w:rPr/>
            </w:pPr>
            <w:r>
              <w:rPr/>
              <w:t>​</w:t>
            </w:r>
          </w:p>
        </w:tc>
        <w:tc>
          <w:tcPr>
            <w:tcW w:w="9055" w:type="dxa"/>
            <w:tcBorders/>
            <w:vAlign w:val="center"/>
          </w:tcPr>
          <w:p>
            <w:pPr>
              <w:pStyle w:val="TableContents"/>
              <w:bidi w:val="0"/>
              <w:spacing w:before="0" w:after="0"/>
              <w:ind w:left="0" w:right="0" w:hanging="0"/>
              <w:jc w:val="left"/>
              <w:rPr/>
            </w:pPr>
            <w:r>
              <w:rPr/>
              <w:t>​</w:t>
            </w:r>
          </w:p>
        </w:tc>
      </w:tr>
      <w:tr>
        <w:trPr/>
        <w:tc>
          <w:tcPr>
            <w:tcW w:w="1150"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Start date:</w:t>
            </w:r>
          </w:p>
        </w:tc>
        <w:tc>
          <w:tcPr>
            <w:tcW w:w="9055"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Ideally, we would like you to start your new role as quickly as practical and will work with you to ensure an effective transition. Once you have had an opportunity to review the offer, please get back to me with your available start date.</w:t>
            </w:r>
          </w:p>
        </w:tc>
      </w:tr>
      <w:tr>
        <w:trPr/>
        <w:tc>
          <w:tcPr>
            <w:tcW w:w="1150" w:type="dxa"/>
            <w:tcBorders/>
            <w:vAlign w:val="center"/>
          </w:tcPr>
          <w:p>
            <w:pPr>
              <w:pStyle w:val="TableContents"/>
              <w:bidi w:val="0"/>
              <w:spacing w:before="0" w:after="0"/>
              <w:ind w:left="0" w:right="0" w:hanging="0"/>
              <w:jc w:val="left"/>
              <w:rPr/>
            </w:pPr>
            <w:r>
              <w:rPr/>
              <w:t>​</w:t>
            </w:r>
          </w:p>
        </w:tc>
        <w:tc>
          <w:tcPr>
            <w:tcW w:w="9055" w:type="dxa"/>
            <w:tcBorders/>
            <w:vAlign w:val="center"/>
          </w:tcPr>
          <w:p>
            <w:pPr>
              <w:pStyle w:val="TableContents"/>
              <w:bidi w:val="0"/>
              <w:spacing w:before="0" w:after="0"/>
              <w:ind w:left="0" w:right="0" w:hanging="0"/>
              <w:jc w:val="left"/>
              <w:rPr/>
            </w:pPr>
            <w:r>
              <w:rPr/>
              <w:t>​</w:t>
            </w:r>
          </w:p>
        </w:tc>
      </w:tr>
      <w:tr>
        <w:trPr/>
        <w:tc>
          <w:tcPr>
            <w:tcW w:w="1150"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Base Salary:</w:t>
            </w:r>
          </w:p>
        </w:tc>
        <w:tc>
          <w:tcPr>
            <w:tcW w:w="9055"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$300,000 per year payable bi-weekly at $ 11,538.46 (less applicable taxes and deductions for employee paid benefits) (“Base Salary”).</w:t>
            </w:r>
          </w:p>
        </w:tc>
      </w:tr>
      <w:tr>
        <w:trPr/>
        <w:tc>
          <w:tcPr>
            <w:tcW w:w="1150" w:type="dxa"/>
            <w:tcBorders/>
            <w:vAlign w:val="center"/>
          </w:tcPr>
          <w:p>
            <w:pPr>
              <w:pStyle w:val="TableContents"/>
              <w:bidi w:val="0"/>
              <w:spacing w:before="0" w:after="0"/>
              <w:ind w:left="0" w:right="0" w:hanging="0"/>
              <w:jc w:val="left"/>
              <w:rPr/>
            </w:pPr>
            <w:r>
              <w:rPr/>
              <w:t>​</w:t>
            </w:r>
          </w:p>
        </w:tc>
        <w:tc>
          <w:tcPr>
            <w:tcW w:w="9055" w:type="dxa"/>
            <w:tcBorders/>
            <w:vAlign w:val="center"/>
          </w:tcPr>
          <w:p>
            <w:pPr>
              <w:pStyle w:val="TableContents"/>
              <w:bidi w:val="0"/>
              <w:spacing w:before="0" w:after="0"/>
              <w:ind w:left="0" w:right="0" w:hanging="0"/>
              <w:jc w:val="left"/>
              <w:rPr/>
            </w:pPr>
            <w:r>
              <w:rPr/>
              <w:t>​</w:t>
            </w:r>
          </w:p>
        </w:tc>
      </w:tr>
      <w:tr>
        <w:trPr/>
        <w:tc>
          <w:tcPr>
            <w:tcW w:w="1150"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Benefits:</w:t>
            </w:r>
          </w:p>
        </w:tc>
        <w:tc>
          <w:tcPr>
            <w:tcW w:w="9055"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As a full-time employee, you will be eligible to participate in the Company’s health, welfare, and retirement plans. Participation in these plans is voluntary and your effective date for health benefits enrollment will be the first of the month following hire date.</w:t>
            </w:r>
          </w:p>
        </w:tc>
      </w:tr>
      <w:tr>
        <w:trPr/>
        <w:tc>
          <w:tcPr>
            <w:tcW w:w="1150" w:type="dxa"/>
            <w:tcBorders/>
            <w:vAlign w:val="center"/>
          </w:tcPr>
          <w:p>
            <w:pPr>
              <w:pStyle w:val="TableContents"/>
              <w:bidi w:val="0"/>
              <w:spacing w:before="0" w:after="0"/>
              <w:ind w:left="0" w:right="0" w:hanging="0"/>
              <w:jc w:val="left"/>
              <w:rPr/>
            </w:pPr>
            <w:r>
              <w:rPr/>
              <w:t>​</w:t>
            </w:r>
          </w:p>
        </w:tc>
        <w:tc>
          <w:tcPr>
            <w:tcW w:w="9055" w:type="dxa"/>
            <w:tcBorders/>
            <w:vAlign w:val="center"/>
          </w:tcPr>
          <w:p>
            <w:pPr>
              <w:pStyle w:val="TableContents"/>
              <w:bidi w:val="0"/>
              <w:spacing w:before="0" w:after="0"/>
              <w:ind w:left="0" w:right="0" w:hanging="0"/>
              <w:jc w:val="left"/>
              <w:rPr/>
            </w:pPr>
            <w:r>
              <w:rPr/>
              <w:t>​</w:t>
            </w:r>
          </w:p>
        </w:tc>
      </w:tr>
      <w:tr>
        <w:trPr/>
        <w:tc>
          <w:tcPr>
            <w:tcW w:w="1150"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Time Off:</w:t>
            </w:r>
          </w:p>
        </w:tc>
        <w:tc>
          <w:tcPr>
            <w:tcW w:w="9055"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Technology has created a variety of tools to allow our teams to provide support in ways that empower corporate individuals to exceed performance expectations while effectively balancing their work and life. To that end, we happily provide unlimited time off to our support center teams.</w:t>
            </w:r>
          </w:p>
        </w:tc>
      </w:tr>
      <w:tr>
        <w:trPr/>
        <w:tc>
          <w:tcPr>
            <w:tcW w:w="1150" w:type="dxa"/>
            <w:tcBorders/>
            <w:vAlign w:val="center"/>
          </w:tcPr>
          <w:p>
            <w:pPr>
              <w:pStyle w:val="TableContents"/>
              <w:bidi w:val="0"/>
              <w:spacing w:before="0" w:after="0"/>
              <w:ind w:left="0" w:right="0" w:hanging="0"/>
              <w:jc w:val="left"/>
              <w:rPr/>
            </w:pPr>
            <w:r>
              <w:rPr/>
              <w:t>​</w:t>
            </w:r>
          </w:p>
        </w:tc>
        <w:tc>
          <w:tcPr>
            <w:tcW w:w="9055" w:type="dxa"/>
            <w:tcBorders/>
            <w:vAlign w:val="center"/>
          </w:tcPr>
          <w:p>
            <w:pPr>
              <w:pStyle w:val="TableContents"/>
              <w:bidi w:val="0"/>
              <w:spacing w:before="0" w:after="0"/>
              <w:ind w:left="0" w:right="0" w:hanging="0"/>
              <w:jc w:val="left"/>
              <w:rPr/>
            </w:pPr>
            <w:r>
              <w:rPr/>
              <w:t>​</w:t>
            </w:r>
          </w:p>
        </w:tc>
      </w:tr>
      <w:tr>
        <w:trPr/>
        <w:tc>
          <w:tcPr>
            <w:tcW w:w="1150"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Total Pay Review:</w:t>
            </w:r>
          </w:p>
        </w:tc>
        <w:tc>
          <w:tcPr>
            <w:tcW w:w="9055"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2"/>
              </w:rPr>
              <w:t>As a member of the executive leadership team, your total pay (base salary, bonus, and equity) will be reviewed annually (usually during the 4</w:t>
            </w:r>
            <w:r>
              <w:rPr>
                <w:rFonts w:ascii="Calibri;Helvetica;sans-serif" w:hAnsi="Calibri;Helvetica;sans-serif"/>
                <w:sz w:val="17"/>
              </w:rPr>
              <w:t>th</w:t>
            </w:r>
            <w:r>
              <w:rPr>
                <w:rFonts w:ascii="Calibri;Helvetica;sans-serif" w:hAnsi="Calibri;Helvetica;sans-serif"/>
                <w:sz w:val="20"/>
              </w:rPr>
              <w:t xml:space="preserve"> </w:t>
            </w:r>
            <w:r>
              <w:rPr>
                <w:rFonts w:ascii="Calibri;Helvetica;sans-serif" w:hAnsi="Calibri;Helvetica;sans-serif"/>
                <w:sz w:val="22"/>
              </w:rPr>
              <w:t>quarter of the fiscal year) by the Compensation Committee of the Board of Directors. This review will determine any increase or modification to the structure of your total compensation based on your performance and executive compensation survey data gathered periodically by the Compensation Committee. The next formal review of your total pay will be Q4 2023 (with an effective date in Q1 2024).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28"/>
        <w:gridCol w:w="8977"/>
      </w:tblGrid>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left"/>
              <w:rPr/>
            </w:pPr>
            <w:r>
              <w:rPr/>
              <w:t>​</w:t>
            </w:r>
          </w:p>
        </w:tc>
      </w:tr>
      <w:tr>
        <w:trPr/>
        <w:tc>
          <w:tcPr>
            <w:tcW w:w="1228"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Initial Equity Award:</w:t>
            </w:r>
          </w:p>
        </w:tc>
        <w:tc>
          <w:tcPr>
            <w:tcW w:w="8977"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Subject to Board or Compensation Committee approval, you will receive the following initial equity awards after the first ninety (90) days of your employment:</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left"/>
              <w:rPr/>
            </w:pPr>
            <w:r>
              <w:rPr/>
              <w:t>​</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2"/>
              </w:rPr>
              <w:t>125,000 Non-Qualified Stock Options to purchase shares of the Company’s common stock (the “Option”) at an exercise price per share equal to the closing price of the Common Stock on The Nasdaq Capital Market on the date granted by the Compensation Committee (“Grant Date”). Such Options shall vest in four quarterly installments of 25.0%, such that the 25.0% of such Options will vest on the first, second, third and fourth quarters after the Grant Date, subject to Ms. Lightfoot’s</w:t>
            </w:r>
            <w:r>
              <w:rPr>
                <w:rFonts w:ascii="Calibri;Helvetica;sans-serif" w:hAnsi="Calibri;Helvetica;sans-serif"/>
                <w:sz w:val="20"/>
              </w:rPr>
              <w:t xml:space="preserve"> </w:t>
            </w:r>
            <w:r>
              <w:rPr>
                <w:rFonts w:ascii="Calibri;Helvetica;sans-serif" w:hAnsi="Calibri;Helvetica;sans-serif"/>
                <w:sz w:val="22"/>
              </w:rPr>
              <w:t>continuous service with the Company through such dates, and with the Options having a term ending on the date that is ten years after the Grant Date.</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left"/>
              <w:rPr/>
            </w:pPr>
            <w:r>
              <w:rPr/>
              <w:t>​</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jc w:val="left"/>
              <w:rPr>
                <w:rFonts w:ascii="Symbol" w:hAnsi="Symbol"/>
                <w:sz w:val="20"/>
              </w:rPr>
            </w:pPr>
            <w:r>
              <w:rPr>
                <w:rFonts w:ascii="Symbol" w:hAnsi="Symbol"/>
                <w:sz w:val="20"/>
              </w:rPr>
              <w:t>·</w:t>
            </w:r>
          </w:p>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125,000 Restricted Stock Units (“RSUs”) to vest in four quarterly installments of 25.0%, such that the 25.0% of such RSUs will vest on the first, second, third and fourth quarters after the Grant Date, subject to Ms. Lightfoot’s continuous service with the Company through such dates.</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left"/>
              <w:rPr/>
            </w:pPr>
            <w:r>
              <w:rPr/>
              <w:t>​</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These initial equity grants will be made as of your start date so long as such start date is within the Company’s open trading window and the Company is not otherwise restricted from granting the shares. In the event the Company is unable to make the initial equity grants as of your start date, these initial equity grants will be made as of the first day the Company is able to make such grants. All equity grants contemplated herein will be made in accordance with the Company’s 2020 Equity Incentive Plan, and subject to standard vesting and other conditions for similar equity awards thereunder. All vesting events are contingent upon your continued employment with the Company through such dates. The terms will be outlined in greater detail in your definitive binding grant agreements and will be distributed, subject to the conditions set forth herein, within the first 45 days of your employment following the creation of your equity account.</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left"/>
              <w:rPr/>
            </w:pPr>
            <w:r>
              <w:rPr/>
              <w:t>​</w:t>
            </w:r>
          </w:p>
        </w:tc>
      </w:tr>
      <w:tr>
        <w:trPr/>
        <w:tc>
          <w:tcPr>
            <w:tcW w:w="1228"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Short-term Incentive:</w:t>
            </w:r>
          </w:p>
        </w:tc>
        <w:tc>
          <w:tcPr>
            <w:tcW w:w="8977"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As a member of the senior leadership team, you will participate in or annual short-term incentive plan with a target incentive payout of 50% of your annual base, subject your continuous service as an employee with the Company through the date of such award. The structure of the incentive plan is based on achievement of strategic goals and value creation goals. Details of the plan will be shared with you. For the avoidance of doubt, the short-term target incentive payout will not be prorated for 2023 based on hire date.</w:t>
            </w:r>
          </w:p>
        </w:tc>
      </w:tr>
      <w:tr>
        <w:trPr/>
        <w:tc>
          <w:tcPr>
            <w:tcW w:w="1228" w:type="dxa"/>
            <w:tcBorders/>
            <w:vAlign w:val="center"/>
          </w:tcPr>
          <w:p>
            <w:pPr>
              <w:pStyle w:val="TableContents"/>
              <w:bidi w:val="0"/>
              <w:spacing w:before="0" w:after="0"/>
              <w:ind w:left="0" w:right="0" w:hanging="0"/>
              <w:jc w:val="left"/>
              <w:rPr/>
            </w:pPr>
            <w:r>
              <w:rPr/>
              <w:t>​</w:t>
            </w:r>
          </w:p>
        </w:tc>
        <w:tc>
          <w:tcPr>
            <w:tcW w:w="8977" w:type="dxa"/>
            <w:tcBorders/>
            <w:vAlign w:val="center"/>
          </w:tcPr>
          <w:p>
            <w:pPr>
              <w:pStyle w:val="TableContents"/>
              <w:bidi w:val="0"/>
              <w:spacing w:before="0" w:after="0"/>
              <w:ind w:left="0" w:right="0" w:hanging="0"/>
              <w:jc w:val="left"/>
              <w:rPr/>
            </w:pPr>
            <w:r>
              <w:rPr/>
              <w:t>​</w:t>
            </w:r>
          </w:p>
        </w:tc>
      </w:tr>
      <w:tr>
        <w:trPr/>
        <w:tc>
          <w:tcPr>
            <w:tcW w:w="1228"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 xml:space="preserve">Long-term Incentive: </w:t>
            </w:r>
          </w:p>
        </w:tc>
        <w:tc>
          <w:tcPr>
            <w:tcW w:w="8977"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As a key member of our team, you are eligible to participate in our Long-term Incentive Plan providing you an opportunity to benefit from the future success of the company through stock acquisition.</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Generally, the Company’s LTIP provides executives with stock option awards as appropriate. Options would be issued to purchase shares of common stock at current market price with a 4-year vesting period and a 10-year term. In your position, you are eligible for up to 1.75 times your base wage rate in stock options (pro-rated for 2023 based on hire date), subject to (i) Board or Compensation Committee approval and (ii) your continuous service as an employee with the Company through the date of such approvals and all applicable vesting dates of such awards. Executive equity is reviewed annually during the Annual Compensation review as well as periodically when used as recognition for delivering key performance goals for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1337"/>
        <w:gridCol w:w="8868"/>
      </w:tblGrid>
      <w:tr>
        <w:trPr/>
        <w:tc>
          <w:tcPr>
            <w:tcW w:w="1337"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r>
      <w:tr>
        <w:trPr/>
        <w:tc>
          <w:tcPr>
            <w:tcW w:w="1337" w:type="dxa"/>
            <w:tcBorders/>
            <w:vAlign w:val="center"/>
          </w:tcPr>
          <w:p>
            <w:pPr>
              <w:pStyle w:val="TableContents"/>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Severance</w:t>
            </w:r>
          </w:p>
        </w:tc>
        <w:tc>
          <w:tcPr>
            <w:tcW w:w="8868" w:type="dxa"/>
            <w:tcBorders/>
            <w:vAlign w:val="center"/>
          </w:tcPr>
          <w:p>
            <w:pPr>
              <w:pStyle w:val="TableContents"/>
              <w:bidi w:val="0"/>
              <w:spacing w:before="0" w:after="0"/>
              <w:ind w:left="0" w:right="0" w:hanging="0"/>
              <w:jc w:val="left"/>
              <w:rPr>
                <w:rFonts w:ascii="Calibri;Helvetica;sans-serif" w:hAnsi="Calibri;Helvetica;sans-serif"/>
                <w:sz w:val="20"/>
              </w:rPr>
            </w:pPr>
            <w:r>
              <w:rPr>
                <w:rFonts w:ascii="Calibri;Helvetica;sans-serif" w:hAnsi="Calibri;Helvetica;sans-serif"/>
                <w:sz w:val="22"/>
              </w:rPr>
              <w:t xml:space="preserve">6 months, subject to the terms set forth in </w:t>
            </w:r>
            <w:r>
              <w:rPr>
                <w:rFonts w:ascii="Calibri;Helvetica;sans-serif" w:hAnsi="Calibri;Helvetica;sans-serif"/>
                <w:sz w:val="22"/>
                <w:u w:val="single"/>
              </w:rPr>
              <w:t>Exhibit A</w:t>
            </w:r>
            <w:r>
              <w:rPr>
                <w:rFonts w:ascii="Calibri;Helvetica;sans-serif" w:hAnsi="Calibri;Helvetica;sans-serif"/>
                <w:sz w:val="20"/>
              </w:rPr>
              <w:t xml:space="preserve"> </w:t>
            </w:r>
            <w:r>
              <w:rPr>
                <w:rFonts w:ascii="Calibri;Helvetica;sans-serif" w:hAnsi="Calibri;Helvetica;sans-serif"/>
                <w:sz w:val="22"/>
              </w:rPr>
              <w:t>attached hereto.</w:t>
            </w:r>
          </w:p>
        </w:tc>
      </w:tr>
      <w:tr>
        <w:trPr/>
        <w:tc>
          <w:tcPr>
            <w:tcW w:w="1337" w:type="dxa"/>
            <w:tcBorders/>
            <w:vAlign w:val="center"/>
          </w:tcPr>
          <w:p>
            <w:pPr>
              <w:pStyle w:val="TableContents"/>
              <w:pBdr/>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r>
      <w:tr>
        <w:trPr/>
        <w:tc>
          <w:tcPr>
            <w:tcW w:w="1337"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References:</w:t>
            </w:r>
          </w:p>
        </w:tc>
        <w:tc>
          <w:tcPr>
            <w:tcW w:w="8868"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This offer of employment is contingent on the successful results of a reference check and background check (to be administered upon conditional acceptance of this offer). Your conditional acceptance of this offer represents your agreement to complete a background check including credit, verification of employment, federal, state, and local law enforcement background review.</w:t>
            </w:r>
          </w:p>
        </w:tc>
      </w:tr>
      <w:tr>
        <w:trPr/>
        <w:tc>
          <w:tcPr>
            <w:tcW w:w="1337" w:type="dxa"/>
            <w:tcBorders/>
            <w:vAlign w:val="center"/>
          </w:tcPr>
          <w:p>
            <w:pPr>
              <w:pStyle w:val="TableContents"/>
              <w:pBdr/>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r>
      <w:tr>
        <w:trPr/>
        <w:tc>
          <w:tcPr>
            <w:tcW w:w="1337"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Remote Work:</w:t>
            </w:r>
          </w:p>
        </w:tc>
        <w:tc>
          <w:tcPr>
            <w:tcW w:w="8868"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We are committed to supporting a geographically dispersed workforce and will maintain that arrangement indefinitely or until such time as we agree (as an executive team) that such an arrangement no longer supports our long-term objectives. To help support your remote working arrangement, you will be issued electronic equipment including laptop and other peripheral devices to ensure you are able to maintain a successful remote work structure. Additionally, you will be expected from time to time to travel “in market” for team meetings where face-to-face connection is essential to advancing the business’ agenda and continued cultural evolution in the organization.</w:t>
            </w:r>
          </w:p>
        </w:tc>
      </w:tr>
      <w:tr>
        <w:trPr/>
        <w:tc>
          <w:tcPr>
            <w:tcW w:w="1337" w:type="dxa"/>
            <w:tcBorders/>
            <w:vAlign w:val="center"/>
          </w:tcPr>
          <w:p>
            <w:pPr>
              <w:pStyle w:val="TableContents"/>
              <w:pBdr/>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r>
      <w:tr>
        <w:trPr/>
        <w:tc>
          <w:tcPr>
            <w:tcW w:w="1337"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Onboarding:</w:t>
            </w:r>
          </w:p>
        </w:tc>
        <w:tc>
          <w:tcPr>
            <w:tcW w:w="8868"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As a new team member, we will prepare a comprehensive immersion plan to effectively onboard and enculturate you to our Company. This immersion plan will include time spent in our XpresCheck, Treat, and XpresSpa locations, interaction with our field-based teams and one-on-one with your new team as well as key members of the Company. Once we agree on an appropriate start date, I will be back in touch with you to schedule your first weeks of immersion.</w:t>
            </w:r>
          </w:p>
        </w:tc>
      </w:tr>
      <w:tr>
        <w:trPr/>
        <w:tc>
          <w:tcPr>
            <w:tcW w:w="1337" w:type="dxa"/>
            <w:tcBorders/>
            <w:vAlign w:val="center"/>
          </w:tcPr>
          <w:p>
            <w:pPr>
              <w:pStyle w:val="TableContents"/>
              <w:pBdr/>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r>
      <w:tr>
        <w:trPr/>
        <w:tc>
          <w:tcPr>
            <w:tcW w:w="1337" w:type="dxa"/>
            <w:tcBorders/>
            <w:vAlign w:val="center"/>
          </w:tcPr>
          <w:p>
            <w:pPr>
              <w:pStyle w:val="TableContents"/>
              <w:pBdr/>
              <w:bidi w:val="0"/>
              <w:spacing w:before="0" w:after="0"/>
              <w:ind w:left="0" w:right="0" w:hanging="0"/>
              <w:jc w:val="left"/>
              <w:rPr>
                <w:rFonts w:ascii="Calibri;Helvetica;sans-serif" w:hAnsi="Calibri;Helvetica;sans-serif"/>
                <w:b/>
                <w:sz w:val="22"/>
              </w:rPr>
            </w:pPr>
            <w:r>
              <w:rPr>
                <w:rFonts w:ascii="Calibri;Helvetica;sans-serif" w:hAnsi="Calibri;Helvetica;sans-serif"/>
                <w:b/>
                <w:sz w:val="22"/>
              </w:rPr>
              <w:t>General Information:</w:t>
            </w:r>
          </w:p>
        </w:tc>
        <w:tc>
          <w:tcPr>
            <w:tcW w:w="8868"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XWELL, Inc. is an “at will” employer which means your employment is voluntary and either you or the Company may choose to terminate your employment at any time. Once you begin working for the Company, you agree to abide by the Company’s policies and procedures and are subject to the Company’s performance expectations.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Calibri;Helvetica;sans-serif" w:hAnsi="Calibri;Helvetica;sans-serif"/>
          <w:sz w:val="22"/>
        </w:rPr>
      </w:pPr>
      <w:r>
        <w:rPr>
          <w:rFonts w:ascii="Calibri;Helvetica;sans-serif" w:hAnsi="Calibri;Helvetica;sans-serif"/>
          <w:sz w:val="22"/>
        </w:rPr>
        <w:t>We are very excited to have you join our team and we look forward to the many contributions you will make to our success. We are looking forward to seeing you soon.</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Calibri;Helvetica;sans-serif" w:hAnsi="Calibri;Helvetica;sans-serif"/>
          <w:sz w:val="22"/>
        </w:rPr>
      </w:pPr>
      <w:r>
        <w:rPr>
          <w:rFonts w:ascii="Calibri;Helvetica;sans-serif" w:hAnsi="Calibri;Helvetica;sans-serif"/>
          <w:sz w:val="22"/>
        </w:rPr>
        <w:t>Please sign and return this letter by email to smilford@xwell.com within five (5) days of the date on this letter.</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Calibri;Helvetica;sans-serif" w:hAnsi="Calibri;Helvetica;sans-serif"/>
          <w:sz w:val="22"/>
        </w:rPr>
      </w:pPr>
      <w:r>
        <w:rPr>
          <w:rFonts w:ascii="Calibri;Helvetica;sans-serif" w:hAnsi="Calibri;Helvetica;sans-serif"/>
          <w:sz w:val="22"/>
        </w:rPr>
        <w:t>Sincerely,</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Calibri;Helvetica;sans-serif" w:hAnsi="Calibri;Helvetica;sans-serif"/>
          <w:sz w:val="22"/>
        </w:rPr>
      </w:pPr>
      <w:r>
        <w:rPr>
          <w:rFonts w:ascii="Calibri;Helvetica;sans-serif" w:hAnsi="Calibri;Helvetica;sans-serif"/>
          <w:sz w:val="22"/>
        </w:rPr>
        <w:t>Scott Milford</w:t>
      </w:r>
    </w:p>
    <w:p>
      <w:pPr>
        <w:pStyle w:val="TextBody"/>
        <w:pBdr/>
        <w:bidi w:val="0"/>
        <w:spacing w:before="0" w:after="0"/>
        <w:ind w:left="0" w:right="0" w:hanging="1440"/>
        <w:jc w:val="left"/>
        <w:rPr>
          <w:rFonts w:ascii="Calibri;Helvetica;sans-serif" w:hAnsi="Calibri;Helvetica;sans-serif"/>
          <w:sz w:val="22"/>
        </w:rPr>
      </w:pPr>
      <w:r>
        <w:rPr>
          <w:rFonts w:ascii="Calibri;Helvetica;sans-serif" w:hAnsi="Calibri;Helvetica;sans-serif"/>
          <w:sz w:val="22"/>
        </w:rPr>
        <w:t>Chief Executive Officer</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Calibri;Helvetica;sans-serif" w:hAnsi="Calibri;Helvetica;sans-serif"/>
          <w:sz w:val="22"/>
        </w:rPr>
      </w:pPr>
      <w:r>
        <w:rPr>
          <w:rFonts w:ascii="Calibri;Helvetica;sans-serif" w:hAnsi="Calibri;Helvetica;sans-serif"/>
          <w:sz w:val="22"/>
        </w:rPr>
        <w:t>Acceptance:</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tbl>
      <w:tblPr>
        <w:tblW w:w="3523" w:type="dxa"/>
        <w:jc w:val="center"/>
        <w:tblInd w:w="0" w:type="dxa"/>
        <w:tblLayout w:type="fixed"/>
        <w:tblCellMar>
          <w:top w:w="0" w:type="dxa"/>
          <w:left w:w="0" w:type="dxa"/>
          <w:bottom w:w="28" w:type="dxa"/>
          <w:right w:w="0" w:type="dxa"/>
        </w:tblCellMar>
      </w:tblPr>
      <w:tblGrid>
        <w:gridCol w:w="2626"/>
        <w:gridCol w:w="326"/>
        <w:gridCol w:w="571"/>
      </w:tblGrid>
      <w:tr>
        <w:trPr/>
        <w:tc>
          <w:tcPr>
            <w:tcW w:w="2626" w:type="dxa"/>
            <w:tcBorders>
              <w:bottom w:val="single" w:sz="2" w:space="0" w:color="000000"/>
            </w:tcBorders>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62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Valerie Lightfoot (signature)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Calibri;Helvetica;sans-serif" w:hAnsi="Calibri;Helvetica;sans-serif"/>
                <w:sz w:val="22"/>
              </w:rPr>
            </w:pPr>
            <w:r>
              <w:rPr>
                <w:rFonts w:ascii="Calibri;Helvetica;sans-serif" w:hAnsi="Calibri;Helvetica;sans-serif"/>
                <w:sz w:val="22"/>
              </w:rPr>
              <w:t>Date</w:t>
            </w:r>
          </w:p>
        </w:tc>
      </w:tr>
    </w:tbl>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Calibri;Helvetica;sans-serif" w:hAnsi="Calibri;Helvetica;sans-serif"/>
          <w:b/>
          <w:sz w:val="22"/>
        </w:rPr>
      </w:pPr>
      <w:r>
        <w:rPr>
          <w:rFonts w:ascii="Calibri;Helvetica;sans-serif" w:hAnsi="Calibri;Helvetica;sans-serif"/>
          <w:b/>
          <w:sz w:val="22"/>
        </w:rPr>
        <w:t>Exhibit A</w:t>
      </w:r>
    </w:p>
    <w:p>
      <w:pPr>
        <w:pStyle w:val="TextBody"/>
        <w:bidi w:val="0"/>
        <w:spacing w:before="0" w:after="0"/>
        <w:ind w:left="0" w:right="0" w:hanging="0"/>
        <w:jc w:val="center"/>
        <w:rPr>
          <w:rFonts w:ascii="Calibri;Helvetica;sans-serif" w:hAnsi="Calibri;Helvetica;sans-serif"/>
          <w:b/>
          <w:sz w:val="22"/>
        </w:rPr>
      </w:pPr>
      <w:r>
        <w:rPr>
          <w:rFonts w:ascii="Calibri;Helvetica;sans-serif" w:hAnsi="Calibri;Helvetica;sans-serif"/>
          <w:b/>
          <w:sz w:val="22"/>
        </w:rPr>
        <w:t>Severance</w:t>
      </w:r>
    </w:p>
    <w:p>
      <w:pPr>
        <w:pStyle w:val="TextBody"/>
        <w:bidi w:val="0"/>
        <w:spacing w:before="0" w:after="0"/>
        <w:ind w:left="0" w:right="0" w:hanging="0"/>
        <w:jc w:val="center"/>
        <w:rPr/>
      </w:pPr>
      <w:r>
        <w:rPr/>
        <w:t>​</w:t>
      </w:r>
    </w:p>
    <w:p>
      <w:pPr>
        <w:pStyle w:val="TextBody"/>
        <w:bidi w:val="0"/>
        <w:spacing w:before="0" w:after="0"/>
        <w:ind w:left="0" w:right="0" w:hanging="0"/>
        <w:jc w:val="both"/>
        <w:rPr>
          <w:rFonts w:ascii="Calibri;Helvetica;sans-serif" w:hAnsi="Calibri;Helvetica;sans-serif"/>
          <w:sz w:val="20"/>
        </w:rPr>
      </w:pPr>
      <w:r>
        <w:rPr>
          <w:rFonts w:ascii="Calibri;Helvetica;sans-serif" w:hAnsi="Calibri;Helvetica;sans-serif"/>
          <w:sz w:val="24"/>
        </w:rPr>
        <w:t>The Company hereby agrees to employ CFO and CFO hereby accepts employment with the Company (such period is the “</w:t>
      </w:r>
      <w:r>
        <w:rPr>
          <w:rFonts w:ascii="Calibri;Helvetica;sans-serif" w:hAnsi="Calibri;Helvetica;sans-serif"/>
          <w:sz w:val="24"/>
          <w:u w:val="single"/>
        </w:rPr>
        <w:t>Employment Period</w:t>
      </w:r>
      <w:r>
        <w:rPr>
          <w:rFonts w:ascii="Calibri;Helvetica;sans-serif" w:hAnsi="Calibri;Helvetica;sans-serif"/>
          <w:sz w:val="20"/>
        </w:rPr>
        <w:t>”</w:t>
      </w:r>
      <w:r>
        <w:rPr>
          <w:rFonts w:ascii="Calibri;Helvetica;sans-serif" w:hAnsi="Calibri;Helvetica;sans-serif"/>
          <w:sz w:val="24"/>
        </w:rPr>
        <w:t>) under the condition below.</w:t>
      </w:r>
    </w:p>
    <w:p>
      <w:pPr>
        <w:pStyle w:val="TextBody"/>
        <w:bidi w:val="0"/>
        <w:spacing w:before="0" w:after="0"/>
        <w:ind w:left="0" w:right="0" w:hanging="0"/>
        <w:jc w:val="both"/>
        <w:rPr/>
      </w:pPr>
      <w:r>
        <w:rPr/>
        <w:t>​</w:t>
      </w:r>
    </w:p>
    <w:tbl>
      <w:tblPr>
        <w:tblW w:w="3025" w:type="dxa"/>
        <w:jc w:val="left"/>
        <w:tblInd w:w="0" w:type="dxa"/>
        <w:tblLayout w:type="fixed"/>
        <w:tblCellMar>
          <w:top w:w="0" w:type="dxa"/>
          <w:left w:w="0" w:type="dxa"/>
          <w:bottom w:w="0" w:type="dxa"/>
          <w:right w:w="0" w:type="dxa"/>
        </w:tblCellMar>
      </w:tblPr>
      <w:tblGrid>
        <w:gridCol w:w="200"/>
        <w:gridCol w:w="2825"/>
      </w:tblGrid>
      <w:tr>
        <w:trPr/>
        <w:tc>
          <w:tcPr>
            <w:tcW w:w="200" w:type="dxa"/>
            <w:tcBorders/>
            <w:vAlign w:val="center"/>
          </w:tcPr>
          <w:p>
            <w:pPr>
              <w:pStyle w:val="TableContents"/>
              <w:bidi w:val="0"/>
              <w:spacing w:before="0" w:after="0"/>
              <w:jc w:val="left"/>
              <w:rPr>
                <w:rFonts w:ascii="Calibri;Helvetica;sans-serif" w:hAnsi="Calibri;Helvetica;sans-serif"/>
                <w:sz w:val="24"/>
              </w:rPr>
            </w:pPr>
            <w:r>
              <w:rPr>
                <w:rFonts w:ascii="Calibri;Helvetica;sans-serif" w:hAnsi="Calibri;Helvetica;sans-serif"/>
                <w:sz w:val="24"/>
              </w:rPr>
              <w:t>1.</w:t>
            </w:r>
          </w:p>
        </w:tc>
        <w:tc>
          <w:tcPr>
            <w:tcW w:w="2825" w:type="dxa"/>
            <w:tcBorders/>
            <w:vAlign w:val="center"/>
          </w:tcPr>
          <w:p>
            <w:pPr>
              <w:pStyle w:val="TableContents"/>
              <w:bidi w:val="0"/>
              <w:spacing w:before="0" w:after="0"/>
              <w:jc w:val="left"/>
              <w:rPr>
                <w:rFonts w:ascii="Calibri;Helvetica;sans-serif" w:hAnsi="Calibri;Helvetica;sans-serif"/>
                <w:sz w:val="20"/>
              </w:rPr>
            </w:pPr>
            <w:r>
              <w:rPr>
                <w:rFonts w:ascii="Calibri;Helvetica;sans-serif" w:hAnsi="Calibri;Helvetica;sans-serif"/>
                <w:sz w:val="24"/>
                <w:u w:val="single"/>
              </w:rPr>
              <w:t>Termination of Employment</w:t>
            </w:r>
            <w:r>
              <w:rPr>
                <w:rFonts w:ascii="Calibri;Helvetica;sans-serif" w:hAnsi="Calibri;Helvetica;sans-serif"/>
                <w:sz w:val="24"/>
              </w:rPr>
              <w:t>.</w:t>
            </w:r>
          </w:p>
        </w:tc>
      </w:tr>
    </w:tbl>
    <w:p>
      <w:pPr>
        <w:pStyle w:val="TextBody"/>
        <w:pBdr/>
        <w:bidi w:val="0"/>
        <w:spacing w:before="0" w:after="0"/>
        <w:ind w:left="0" w:right="0" w:hanging="720"/>
        <w:jc w:val="left"/>
        <w:rPr/>
      </w:pPr>
      <w:r>
        <w:rPr/>
        <w:t>​</w:t>
      </w:r>
    </w:p>
    <w:p>
      <w:pPr>
        <w:pStyle w:val="TextBody"/>
        <w:bidi w:val="0"/>
        <w:spacing w:before="0" w:after="0"/>
        <w:ind w:left="720" w:right="0" w:hanging="0"/>
        <w:jc w:val="left"/>
        <w:rPr>
          <w:rFonts w:ascii="Calibri;Helvetica;sans-serif" w:hAnsi="Calibri;Helvetica;sans-serif"/>
          <w:sz w:val="20"/>
        </w:rPr>
      </w:pPr>
      <w:r>
        <w:rPr>
          <w:rFonts w:ascii="Calibri;Helvetica;sans-serif" w:hAnsi="Calibri;Helvetica;sans-serif"/>
          <w:b w:val="false"/>
          <w:i w:val="false"/>
          <w:caps w:val="false"/>
          <w:smallCaps w:val="false"/>
          <w:sz w:val="24"/>
        </w:rPr>
        <w:t>(a)</w:t>
      </w:r>
      <w:r>
        <w:rPr>
          <w:rFonts w:ascii="Calibri;Helvetica;sans-serif" w:hAnsi="Calibri;Helvetica;sans-serif"/>
          <w:sz w:val="24"/>
          <w:u w:val="single"/>
        </w:rPr>
        <w:t>By the Company for Cause</w:t>
      </w:r>
      <w:r>
        <w:rPr>
          <w:rFonts w:ascii="Calibri;Helvetica;sans-serif" w:hAnsi="Calibri;Helvetica;sans-serif"/>
          <w:sz w:val="24"/>
        </w:rPr>
        <w:t>.</w:t>
      </w:r>
    </w:p>
    <w:p>
      <w:pPr>
        <w:pStyle w:val="TextBody"/>
        <w:bidi w:val="0"/>
        <w:spacing w:before="0" w:after="0"/>
        <w:ind w:left="720" w:right="0" w:firstLine="720"/>
        <w:jc w:val="left"/>
        <w:rPr/>
      </w:pPr>
      <w:r>
        <w:rPr/>
        <w:t>​</w:t>
      </w:r>
    </w:p>
    <w:p>
      <w:pPr>
        <w:pStyle w:val="TextBody"/>
        <w:bidi w:val="0"/>
        <w:spacing w:before="0" w:after="0"/>
        <w:ind w:left="1440" w:right="0" w:firstLine="1440"/>
        <w:jc w:val="left"/>
        <w:rPr>
          <w:rFonts w:ascii="Calibri;Helvetica;sans-serif" w:hAnsi="Calibri;Helvetica;sans-serif"/>
          <w:sz w:val="20"/>
        </w:rPr>
      </w:pPr>
      <w:r>
        <w:rPr>
          <w:rFonts w:ascii="Calibri;Helvetica;sans-serif" w:hAnsi="Calibri;Helvetica;sans-serif"/>
          <w:sz w:val="24"/>
        </w:rPr>
        <w:t>(i)At any time during the Employment Period, the Company may terminate CFO’s employment hereunder for Cause. Upon termination of CFO for Cause, the Company shall have no further obligations or liability to CFO or his heirs, administrators or executors with respect to compensation and benefits thereafter, except for the obligation to pay CFO any accrued obligations. “</w:t>
      </w:r>
      <w:r>
        <w:rPr>
          <w:rFonts w:ascii="Calibri;Helvetica;sans-serif" w:hAnsi="Calibri;Helvetica;sans-serif"/>
          <w:sz w:val="24"/>
          <w:u w:val="single"/>
        </w:rPr>
        <w:t>Cause</w:t>
      </w:r>
      <w:r>
        <w:rPr>
          <w:rFonts w:ascii="Calibri;Helvetica;sans-serif" w:hAnsi="Calibri;Helvetica;sans-serif"/>
          <w:sz w:val="20"/>
        </w:rPr>
        <w:t xml:space="preserve">” </w:t>
      </w:r>
      <w:r>
        <w:rPr>
          <w:rFonts w:ascii="Calibri;Helvetica;sans-serif" w:hAnsi="Calibri;Helvetica;sans-serif"/>
          <w:sz w:val="24"/>
        </w:rPr>
        <w:t xml:space="preserve">shall mean: (a) the willful and continued failure of CFO to perform his duties and responsibilities for the Company (other than any such failure resulting from CFO’s death or disability) or lawful directives of the Board related to CFO’s duties, after a written demand by the Board for performance is delivered to CFO by the Company, which identifies with reasonable specificity the manner in which the Board believes that CFO has not performed his duties and responsibilities, which willful and continued failure is not cured by CFO within thirty (30) days of his receipt of such written demand; (b) the conviction of, or plea of guilty or </w:t>
      </w:r>
      <w:r>
        <w:rPr>
          <w:rFonts w:ascii="Calibri;Helvetica;sans-serif" w:hAnsi="Calibri;Helvetica;sans-serif"/>
          <w:i/>
          <w:sz w:val="24"/>
        </w:rPr>
        <w:t xml:space="preserve">nolo contendere </w:t>
      </w:r>
      <w:r>
        <w:rPr>
          <w:rFonts w:ascii="Calibri;Helvetica;sans-serif" w:hAnsi="Calibri;Helvetica;sans-serif"/>
          <w:sz w:val="24"/>
        </w:rPr>
        <w:t>to a felony; (c) faithless conduct or the breach of fiduciary duty; (d) gross negligence or willful misconduct in the performance of CFO’s material duties; (e) an intentional or grossly negligent breach of the Non-Disclosure and Non-Solicitation Agreement signed prior to employment, which results or could reasonably be expected to result in material harm to the Company or (f) a material violation of Company’s policies, which policies and procedures have previously been disclosed to CFO in writing; or (g) a good faith finding by the Board that CFO has engaged in (A) (1) fraud, (2) dishonesty or faithless conduct, or (3) gross negligence, in each case related to the Company, or (B) criminal misconduct which (1) constitutes a felony or a crime of moral turpitude or (2) results or could reasonably be expected to result in harm to the Company. It is expressly acknowledged and agreed that the decision as to whether “Cause” exists for termination of CFO by the Company is delegated to the Board for determination. However, the termination of CFO’s employment shall not be deemed to be for “Cause” unless and until (A) there shall have been delivered to CFO a written notice specifying with reasonable detail the basis for the proposed termination for “Cause,” and (B) if has so requested by CFO in writing within seven (7) days of such notice, CFO shall have been provided a reasonable opportunity to address a physical or telephonic meeting of the Board with a quorum of at least two thirds (2/3) of the Board’s members, and a majority of the Board at such meeting shall have determined that the matter forming the basis for “Cause” is not curable or, if curable, was not cured within the applicable cure period.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left"/>
        <w:rPr>
          <w:rFonts w:ascii="Calibri;Helvetica;sans-serif" w:hAnsi="Calibri;Helvetica;sans-serif"/>
          <w:sz w:val="20"/>
        </w:rPr>
      </w:pPr>
      <w:r>
        <w:rPr>
          <w:rFonts w:ascii="Calibri;Helvetica;sans-serif" w:hAnsi="Calibri;Helvetica;sans-serif"/>
          <w:b w:val="false"/>
          <w:i w:val="false"/>
          <w:caps w:val="false"/>
          <w:smallCaps w:val="false"/>
          <w:sz w:val="24"/>
        </w:rPr>
        <w:t>(b)</w:t>
      </w:r>
      <w:r>
        <w:rPr>
          <w:rFonts w:ascii="Calibri;Helvetica;sans-serif" w:hAnsi="Calibri;Helvetica;sans-serif"/>
          <w:sz w:val="24"/>
          <w:u w:val="single"/>
        </w:rPr>
        <w:t>By CFO for Good Reason</w:t>
      </w:r>
      <w:r>
        <w:rPr>
          <w:rFonts w:ascii="Calibri;Helvetica;sans-serif" w:hAnsi="Calibri;Helvetica;sans-serif"/>
          <w:sz w:val="24"/>
        </w:rPr>
        <w:t>.</w:t>
      </w:r>
    </w:p>
    <w:p>
      <w:pPr>
        <w:pStyle w:val="TextBody"/>
        <w:bidi w:val="0"/>
        <w:spacing w:before="0" w:after="0"/>
        <w:ind w:left="720" w:right="0" w:firstLine="720"/>
        <w:jc w:val="left"/>
        <w:rPr/>
      </w:pPr>
      <w:r>
        <w:rPr/>
        <w:t>​</w:t>
      </w:r>
    </w:p>
    <w:p>
      <w:pPr>
        <w:pStyle w:val="TextBody"/>
        <w:bidi w:val="0"/>
        <w:spacing w:before="0" w:after="0"/>
        <w:ind w:left="1440" w:right="0" w:firstLine="1440"/>
        <w:jc w:val="left"/>
        <w:rPr>
          <w:rFonts w:ascii="Calibri;Helvetica;sans-serif" w:hAnsi="Calibri;Helvetica;sans-serif"/>
          <w:sz w:val="24"/>
        </w:rPr>
      </w:pPr>
      <w:r>
        <w:rPr>
          <w:rFonts w:ascii="Calibri;Helvetica;sans-serif" w:hAnsi="Calibri;Helvetica;sans-serif"/>
          <w:sz w:val="24"/>
        </w:rPr>
        <w:t>(i)At any time during the Employment Period, CFO may terminate his or her employment with the Company for Good Reason. “Good Reason” shall mean the occurrence of any of the following events: (a) without CFO’s prior written consent, a material diminution of the duties, authorities or responsibilities of CFO (including as a member of the Board); (b) a material reduction in CFO’s Base Salary; or (c) the failure by the Company to pay all or any material portion of the Base Salary, any material bonus payable, or any material benefits payable to CFO. CFO shall not be entitled his or her employment for Good Reason unless and until he shall have delivered written notice to the Company of his intention to terminate this Agreement and his employment with the Company for Good Reason, which notice must be provided within sixty (60) days following the initial occurrence (or following CFO’s actual knowledge) of the grounds purporting to constitute Good Reason, and which specifies in reasonable detail the circumstances claimed to provide the basis for such termination for Good Reason, and the Company shall not have cured the circumstances constituting Good Reason within thirty (30) days of its receipt from CFO of such written notice. The Company shall retain the discretion to terminate the Employment Period at any time during the Good Reason notice period provided for in this Section 8(e)(ii). In the event that CFO terminates his employment with the Company for Good Reason, the Company shall pay or provide to CFO (or, following his death, to CFO’s heirs, administrators or executors):</w:t>
      </w:r>
    </w:p>
    <w:p>
      <w:pPr>
        <w:pStyle w:val="TextBody"/>
        <w:bidi w:val="0"/>
        <w:spacing w:before="0" w:after="0"/>
        <w:ind w:left="0" w:right="0" w:hanging="0"/>
        <w:jc w:val="left"/>
        <w:rPr/>
      </w:pPr>
      <w:r>
        <w:rPr/>
        <w:t>​</w:t>
      </w:r>
    </w:p>
    <w:p>
      <w:pPr>
        <w:pStyle w:val="TextBody"/>
        <w:bidi w:val="0"/>
        <w:spacing w:before="0" w:after="0"/>
        <w:ind w:left="792" w:right="0" w:hanging="0"/>
        <w:jc w:val="left"/>
        <w:rPr>
          <w:rFonts w:ascii="Calibri;Helvetica;sans-serif" w:hAnsi="Calibri;Helvetica;sans-serif"/>
          <w:sz w:val="20"/>
        </w:rPr>
      </w:pPr>
      <w:r>
        <w:rPr>
          <w:rFonts w:ascii="Calibri;Helvetica;sans-serif" w:hAnsi="Calibri;Helvetica;sans-serif"/>
          <w:b w:val="false"/>
          <w:i w:val="false"/>
          <w:caps w:val="false"/>
          <w:smallCaps w:val="false"/>
          <w:sz w:val="24"/>
        </w:rPr>
        <w:t>(A)</w:t>
      </w:r>
      <w:r>
        <w:rPr>
          <w:rFonts w:ascii="Calibri;Helvetica;sans-serif" w:hAnsi="Calibri;Helvetica;sans-serif"/>
          <w:sz w:val="24"/>
        </w:rPr>
        <w:t>The accrued obligations through the date the Employment Period is terminated; and</w:t>
      </w:r>
    </w:p>
    <w:p>
      <w:pPr>
        <w:pStyle w:val="TextBody"/>
        <w:bidi w:val="0"/>
        <w:spacing w:before="0" w:after="0"/>
        <w:ind w:left="792" w:right="0" w:firstLine="648"/>
        <w:jc w:val="left"/>
        <w:rPr/>
      </w:pPr>
      <w:r>
        <w:rPr/>
        <w:t>​</w:t>
      </w:r>
    </w:p>
    <w:p>
      <w:pPr>
        <w:pStyle w:val="TextBody"/>
        <w:bidi w:val="0"/>
        <w:spacing w:before="0" w:after="0"/>
        <w:ind w:left="792" w:right="0" w:hanging="0"/>
        <w:jc w:val="left"/>
        <w:rPr>
          <w:rFonts w:ascii="Calibri;Helvetica;sans-serif" w:hAnsi="Calibri;Helvetica;sans-serif"/>
          <w:sz w:val="20"/>
        </w:rPr>
      </w:pPr>
      <w:r>
        <w:rPr>
          <w:rFonts w:ascii="Calibri;Helvetica;sans-serif" w:hAnsi="Calibri;Helvetica;sans-serif"/>
          <w:b w:val="false"/>
          <w:i w:val="false"/>
          <w:caps w:val="false"/>
          <w:smallCaps w:val="false"/>
          <w:sz w:val="24"/>
        </w:rPr>
        <w:t>(B)</w:t>
      </w:r>
      <w:r>
        <w:rPr>
          <w:rFonts w:ascii="Calibri;Helvetica;sans-serif" w:hAnsi="Calibri;Helvetica;sans-serif"/>
          <w:sz w:val="24"/>
        </w:rPr>
        <w:t>An amount of Base Salary (at the rate of Base Salary in effect immediately prior to CFO’s termination hereunder) equal to 50% of CFO’s Base Salary (the “</w:t>
      </w:r>
      <w:r>
        <w:rPr>
          <w:rFonts w:ascii="Calibri;Helvetica;sans-serif" w:hAnsi="Calibri;Helvetica;sans-serif"/>
          <w:sz w:val="24"/>
          <w:u w:val="single"/>
        </w:rPr>
        <w:t>Separation Payment</w:t>
      </w:r>
      <w:r>
        <w:rPr>
          <w:rFonts w:ascii="Calibri;Helvetica;sans-serif" w:hAnsi="Calibri;Helvetica;sans-serif"/>
          <w:sz w:val="20"/>
        </w:rPr>
        <w:t>”</w:t>
      </w:r>
      <w:r>
        <w:rPr>
          <w:rFonts w:ascii="Calibri;Helvetica;sans-serif" w:hAnsi="Calibri;Helvetica;sans-serif"/>
          <w:sz w:val="24"/>
        </w:rPr>
        <w:t>) as of the date CFO ends his or her employment with the Company for Good Reason. The Company shall pay to CFO the Separation Payment in substantially equal installments pursuant to the Company’s regular payroll practices over a period of six (6) months, commencing on the Company’s next regular payroll date following the date the Release (referenced below) becomes irrevocable and enforceable. The Company shall deduct, from all payments made hereunder, all applicable taxes, including income tax, FICA and FUTA, and other appropriate deductions.</w:t>
      </w:r>
    </w:p>
    <w:p>
      <w:pPr>
        <w:pStyle w:val="TextBody"/>
        <w:bidi w:val="0"/>
        <w:spacing w:before="0" w:after="0"/>
        <w:ind w:left="792" w:right="0" w:firstLine="648"/>
        <w:jc w:val="left"/>
        <w:rPr/>
      </w:pPr>
      <w:r>
        <w:rPr/>
        <w:t>​</w:t>
      </w:r>
    </w:p>
    <w:p>
      <w:pPr>
        <w:pStyle w:val="TextBody"/>
        <w:bidi w:val="0"/>
        <w:spacing w:before="0" w:after="0"/>
        <w:ind w:left="720" w:right="0" w:hanging="0"/>
        <w:jc w:val="left"/>
        <w:rPr>
          <w:rFonts w:ascii="Calibri;Helvetica;sans-serif" w:hAnsi="Calibri;Helvetica;sans-serif"/>
          <w:sz w:val="20"/>
        </w:rPr>
      </w:pPr>
      <w:r>
        <w:rPr>
          <w:rFonts w:ascii="Calibri;Helvetica;sans-serif" w:hAnsi="Calibri;Helvetica;sans-serif"/>
          <w:b w:val="false"/>
          <w:i w:val="false"/>
          <w:caps w:val="false"/>
          <w:smallCaps w:val="false"/>
          <w:sz w:val="24"/>
        </w:rPr>
        <w:t>(c)</w:t>
      </w:r>
      <w:r>
        <w:rPr>
          <w:rFonts w:ascii="Calibri;Helvetica;sans-serif" w:hAnsi="Calibri;Helvetica;sans-serif"/>
          <w:sz w:val="24"/>
          <w:u w:val="single"/>
        </w:rPr>
        <w:t>By CFO without Good Reason</w:t>
      </w:r>
      <w:r>
        <w:rPr>
          <w:rFonts w:ascii="Calibri;Helvetica;sans-serif" w:hAnsi="Calibri;Helvetica;sans-serif"/>
          <w:sz w:val="24"/>
        </w:rPr>
        <w:t>. At any time during the Employment Period, CFO shall be entitled to terminate this Agreement and CFO’s employment with the Company without Good Reason by providing prior written notice to the Company of at least sixty (60) calendar days. Upon termination by CFO of this Agreement and CFO’s employment with the Company without Good Reason, the Company shall have no further obligations or liability to CFO or his heirs, administrators or executors with respect to compensation and benefits thereafter, except for the obligation to pay CFO the accrued obligations. The Company shall deduct, from all payments made hereunder, all applicable taxes, including income tax, FICA and FUTA, and other appropriate deductions.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left"/>
        <w:rPr>
          <w:rFonts w:ascii="Calibri;Helvetica;sans-serif" w:hAnsi="Calibri;Helvetica;sans-serif"/>
          <w:sz w:val="20"/>
        </w:rPr>
      </w:pPr>
      <w:r>
        <w:rPr>
          <w:rFonts w:ascii="Calibri;Helvetica;sans-serif" w:hAnsi="Calibri;Helvetica;sans-serif"/>
          <w:b w:val="false"/>
          <w:i w:val="false"/>
          <w:caps w:val="false"/>
          <w:smallCaps w:val="false"/>
          <w:sz w:val="24"/>
        </w:rPr>
        <w:t>(d)</w:t>
      </w:r>
      <w:r>
        <w:rPr>
          <w:rFonts w:ascii="Calibri;Helvetica;sans-serif" w:hAnsi="Calibri;Helvetica;sans-serif"/>
          <w:sz w:val="24"/>
          <w:u w:val="single"/>
        </w:rPr>
        <w:t>By the Company without Cause</w:t>
      </w:r>
      <w:r>
        <w:rPr>
          <w:rFonts w:ascii="Calibri;Helvetica;sans-serif" w:hAnsi="Calibri;Helvetica;sans-serif"/>
          <w:sz w:val="24"/>
        </w:rPr>
        <w:t>. At any time during the Employment Period, the Company shall be entitled to terminate CFO’s employment with the Company without Cause upon written notice to CFO which shall set forth a date of termination. Upon termination by the Company of CFO’s employment with the Company without Cause, the Company shall pay or provide to CFO (or, following his death, to CFO’s heirs, administrators or executors) the Separation Payment. The Company shall deduct, from all payments made hereunder, all applicable taxes, including income tax, FICA and FUTA, and other appropriate deductions.</w:t>
      </w:r>
    </w:p>
    <w:p>
      <w:pPr>
        <w:pStyle w:val="TextBody"/>
        <w:bidi w:val="0"/>
        <w:spacing w:before="0" w:after="0"/>
        <w:ind w:left="1440" w:right="0" w:hanging="0"/>
        <w:jc w:val="left"/>
        <w:rPr/>
      </w:pPr>
      <w:r>
        <w:rPr/>
        <w:t>​</w:t>
      </w:r>
    </w:p>
    <w:p>
      <w:pPr>
        <w:pStyle w:val="TextBody"/>
        <w:bidi w:val="0"/>
        <w:spacing w:before="0" w:after="0"/>
        <w:ind w:left="720" w:right="0" w:hanging="0"/>
        <w:jc w:val="left"/>
        <w:rPr>
          <w:rFonts w:ascii="Calibri;Helvetica;sans-serif" w:hAnsi="Calibri;Helvetica;sans-serif"/>
          <w:sz w:val="20"/>
        </w:rPr>
      </w:pPr>
      <w:r>
        <w:rPr>
          <w:rFonts w:ascii="Calibri;Helvetica;sans-serif" w:hAnsi="Calibri;Helvetica;sans-serif"/>
          <w:b w:val="false"/>
          <w:i w:val="false"/>
          <w:caps w:val="false"/>
          <w:smallCaps w:val="false"/>
          <w:sz w:val="24"/>
        </w:rPr>
        <w:t>(e)</w:t>
      </w:r>
      <w:r>
        <w:rPr>
          <w:rFonts w:ascii="Calibri;Helvetica;sans-serif" w:hAnsi="Calibri;Helvetica;sans-serif"/>
          <w:sz w:val="24"/>
          <w:u w:val="single"/>
        </w:rPr>
        <w:t>Release of Claims</w:t>
      </w:r>
      <w:r>
        <w:rPr>
          <w:rFonts w:ascii="Calibri;Helvetica;sans-serif" w:hAnsi="Calibri;Helvetica;sans-serif"/>
          <w:sz w:val="24"/>
        </w:rPr>
        <w:t>. It is agreed that an express condition of the payment or provision by the Company of any Separation Payment shall be subject to the Company’s concurrent receipt of a general release of all claims, which release must be effective, unrevoked and irrevocable prior to the ninetieth (90th) day following the termination of CFO’s employment (the “</w:t>
      </w:r>
      <w:r>
        <w:rPr>
          <w:rFonts w:ascii="Calibri;Helvetica;sans-serif" w:hAnsi="Calibri;Helvetica;sans-serif"/>
          <w:sz w:val="24"/>
          <w:u w:val="single"/>
        </w:rPr>
        <w:t>Release</w:t>
      </w:r>
      <w:r>
        <w:rPr>
          <w:rFonts w:ascii="Calibri;Helvetica;sans-serif" w:hAnsi="Calibri;Helvetica;sans-serif"/>
          <w:sz w:val="20"/>
        </w:rPr>
        <w:t>”</w:t>
      </w:r>
      <w:r>
        <w:rPr>
          <w:rFonts w:ascii="Calibri;Helvetica;sans-serif" w:hAnsi="Calibri;Helvetica;sans-serif"/>
          <w:sz w:val="24"/>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99" w:name="xwel-20230331xex31d1.htm"/>
      <w:bookmarkStart w:id="1100" w:name="ksxwel20230331xex31d1"/>
      <w:bookmarkEnd w:id="1099"/>
      <w:bookmarkEnd w:id="1100"/>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EXECUTIVE OFFICER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Scott R Milford,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2023</w:t>
      </w:r>
    </w:p>
    <w:p>
      <w:pPr>
        <w:pStyle w:val="TextBody"/>
        <w:bidi w:val="0"/>
        <w:spacing w:before="0" w:after="0"/>
        <w:ind w:left="0" w:right="0" w:hanging="0"/>
        <w:jc w:val="left"/>
        <w:rPr/>
      </w:pPr>
      <w:r>
        <w:rPr/>
        <w:t>​</w:t>
      </w:r>
    </w:p>
    <w:tbl>
      <w:tblPr>
        <w:tblW w:w="2829" w:type="dxa"/>
        <w:jc w:val="center"/>
        <w:tblInd w:w="0" w:type="dxa"/>
        <w:tblLayout w:type="fixed"/>
        <w:tblCellMar>
          <w:top w:w="0" w:type="dxa"/>
          <w:left w:w="0" w:type="dxa"/>
          <w:bottom w:w="0" w:type="dxa"/>
          <w:right w:w="0" w:type="dxa"/>
        </w:tblCellMar>
      </w:tblPr>
      <w:tblGrid>
        <w:gridCol w:w="124"/>
        <w:gridCol w:w="255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SCOTT R MILFORD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01" w:name="xwel-20230331xex31d2.htm"/>
      <w:bookmarkStart w:id="1102" w:name="ksxwel20230331xex31d2"/>
      <w:bookmarkEnd w:id="1101"/>
      <w:bookmarkEnd w:id="1102"/>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Omar A. Haynes,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XWELL, Inc.;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15, 2023</w:t>
      </w:r>
    </w:p>
    <w:p>
      <w:pPr>
        <w:pStyle w:val="TextBody"/>
        <w:bidi w:val="0"/>
        <w:spacing w:before="0" w:after="0"/>
        <w:ind w:left="0" w:right="0" w:hanging="0"/>
        <w:jc w:val="left"/>
        <w:rPr/>
      </w:pPr>
      <w:r>
        <w:rPr/>
        <w:t>​</w:t>
      </w:r>
    </w:p>
    <w:tbl>
      <w:tblPr>
        <w:tblW w:w="4163" w:type="dxa"/>
        <w:jc w:val="center"/>
        <w:tblInd w:w="0" w:type="dxa"/>
        <w:tblLayout w:type="fixed"/>
        <w:tblCellMar>
          <w:top w:w="0" w:type="dxa"/>
          <w:left w:w="0" w:type="dxa"/>
          <w:bottom w:w="0" w:type="dxa"/>
          <w:right w:w="0" w:type="dxa"/>
        </w:tblCellMar>
      </w:tblPr>
      <w:tblGrid>
        <w:gridCol w:w="124"/>
        <w:gridCol w:w="1924"/>
        <w:gridCol w:w="1961"/>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OMAR A. HAYNES</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Interim Chief Financial Officer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388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048" w:type="dxa"/>
            <w:gridSpan w:val="2"/>
            <w:tcBorders/>
            <w:vAlign w:val="center"/>
          </w:tcPr>
          <w:p>
            <w:pPr>
              <w:pStyle w:val="TableContents"/>
              <w:bidi w:val="0"/>
              <w:spacing w:before="0" w:after="0"/>
              <w:ind w:left="0" w:right="0" w:hanging="0"/>
              <w:jc w:val="center"/>
              <w:rPr/>
            </w:pPr>
            <w:r>
              <w:rPr/>
              <w:t>​</w:t>
            </w:r>
          </w:p>
        </w:tc>
        <w:tc>
          <w:tcPr>
            <w:tcW w:w="2115"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48" w:type="dxa"/>
            <w:gridSpan w:val="2"/>
            <w:tcBorders/>
            <w:vAlign w:val="center"/>
          </w:tcPr>
          <w:p>
            <w:pPr>
              <w:pStyle w:val="TableContents"/>
              <w:bidi w:val="0"/>
              <w:spacing w:before="0" w:after="0"/>
              <w:ind w:left="0" w:right="0" w:hanging="0"/>
              <w:jc w:val="center"/>
              <w:rPr/>
            </w:pPr>
            <w:r>
              <w:rPr/>
              <w:t>​</w:t>
            </w:r>
          </w:p>
        </w:tc>
        <w:tc>
          <w:tcPr>
            <w:tcW w:w="2115"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48" w:type="dxa"/>
            <w:gridSpan w:val="2"/>
            <w:tcBorders/>
            <w:vAlign w:val="center"/>
          </w:tcPr>
          <w:p>
            <w:pPr>
              <w:pStyle w:val="TableContents"/>
              <w:bidi w:val="0"/>
              <w:spacing w:before="0" w:after="0"/>
              <w:ind w:left="0" w:right="0" w:hanging="0"/>
              <w:jc w:val="center"/>
              <w:rPr/>
            </w:pPr>
            <w:r>
              <w:rPr/>
              <w:t>​</w:t>
            </w:r>
          </w:p>
        </w:tc>
        <w:tc>
          <w:tcPr>
            <w:tcW w:w="2115"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048" w:type="dxa"/>
            <w:gridSpan w:val="2"/>
            <w:tcBorders/>
            <w:vAlign w:val="center"/>
          </w:tcPr>
          <w:p>
            <w:pPr>
              <w:pStyle w:val="TableContents"/>
              <w:bidi w:val="0"/>
              <w:spacing w:before="0" w:after="0"/>
              <w:ind w:left="0" w:right="0" w:hanging="0"/>
              <w:jc w:val="center"/>
              <w:rPr/>
            </w:pPr>
            <w:r>
              <w:rPr/>
              <w:t>​</w:t>
            </w:r>
          </w:p>
        </w:tc>
        <w:tc>
          <w:tcPr>
            <w:tcW w:w="2115" w:type="dxa"/>
            <w:gridSpan w:val="2"/>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387" w:type="dxa"/>
        <w:jc w:val="center"/>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03" w:name="xwel-20230331xex32.htm"/>
      <w:bookmarkStart w:id="1104" w:name="ksxwel20230331xex32"/>
      <w:bookmarkEnd w:id="1103"/>
      <w:bookmarkEnd w:id="1104"/>
      <w:r>
        <w:rPr>
          <w:rFonts w:ascii="Times New Roman;Times;serif" w:hAnsi="Times New Roman;Times;serif"/>
          <w:b/>
          <w:sz w:val="20"/>
        </w:rPr>
        <w:t>Exhibit 32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pPr>
      <w:r>
        <w:rPr/>
        <w:t> </w:t>
      </w:r>
      <w:r>
        <w:rPr>
          <w:rFonts w:ascii="Times New Roman;Times;serif" w:hAnsi="Times New Roman;Times;serif"/>
          <w:b/>
          <w:sz w:val="20"/>
        </w:rPr>
        <w:t>CERTIFICATIONS OF PRINCIPAL EXECUTIVE OFFICER AND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Quarterly Report for the quarter ended  March 31,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both"/>
        <w:rPr/>
      </w:pPr>
      <w:r>
        <w:rPr/>
        <w:t>​</w:t>
      </w:r>
    </w:p>
    <w:tbl>
      <w:tblPr>
        <w:tblW w:w="4446" w:type="dxa"/>
        <w:jc w:val="center"/>
        <w:tblInd w:w="0" w:type="dxa"/>
        <w:tblLayout w:type="fixed"/>
        <w:tblCellMar>
          <w:top w:w="0" w:type="dxa"/>
          <w:left w:w="0" w:type="dxa"/>
          <w:bottom w:w="0" w:type="dxa"/>
          <w:right w:w="0" w:type="dxa"/>
        </w:tblCellMar>
      </w:tblPr>
      <w:tblGrid>
        <w:gridCol w:w="1741"/>
        <w:gridCol w:w="2551"/>
        <w:gridCol w:w="15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15, 2023</w:t>
            </w:r>
          </w:p>
        </w:tc>
        <w:tc>
          <w:tcPr>
            <w:tcW w:w="255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SCOTT R. MILFORD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Scott R. Milford</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25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4164" w:type="dxa"/>
        <w:jc w:val="center"/>
        <w:tblInd w:w="0" w:type="dxa"/>
        <w:tblLayout w:type="fixed"/>
        <w:tblCellMar>
          <w:top w:w="0" w:type="dxa"/>
          <w:left w:w="0" w:type="dxa"/>
          <w:bottom w:w="0" w:type="dxa"/>
          <w:right w:w="0" w:type="dxa"/>
        </w:tblCellMar>
      </w:tblPr>
      <w:tblGrid>
        <w:gridCol w:w="124"/>
        <w:gridCol w:w="3886"/>
        <w:gridCol w:w="154"/>
      </w:tblGrid>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OMAR A. HAYNES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Omar A. Haynes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Interim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Roboto">
    <w:charset w:val="01"/>
    <w:family w:val="auto"/>
    <w:pitch w:val="default"/>
  </w:font>
  <w:font w:name="Arial Narrow">
    <w:charset w:val="01"/>
    <w:family w:val="auto"/>
    <w:pitch w:val="default"/>
  </w:font>
  <w:font w:name="Calibri">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15526</Words>
  <Characters>85684</Characters>
  <CharactersWithSpaces>102541</CharactersWithSpaces>
  <Paragraphs>4096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