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60"/>
        <w:spacing w:after="0"/>
        <w:rPr>
          <w:sz w:val="20"/>
          <w:szCs w:val="20"/>
          <w:color w:val="auto"/>
        </w:rPr>
      </w:pPr>
      <w:r>
        <w:rPr>
          <w:rFonts w:ascii="Arial" w:cs="Arial" w:eastAsia="Arial" w:hAnsi="Arial"/>
          <w:sz w:val="17"/>
          <w:szCs w:val="17"/>
          <w:b w:val="1"/>
          <w:bCs w:val="1"/>
          <w:color w:val="auto"/>
        </w:rPr>
        <w:t>As filed with the Securities and Exchange Commission on June 12, 2012</w:t>
      </w:r>
    </w:p>
    <w:p>
      <w:pPr>
        <w:spacing w:after="0" w:line="143" w:lineRule="exact"/>
        <w:rPr>
          <w:sz w:val="24"/>
          <w:szCs w:val="24"/>
          <w:color w:val="auto"/>
        </w:rPr>
      </w:pPr>
    </w:p>
    <w:p>
      <w:pPr>
        <w:jc w:val="right"/>
        <w:ind w:right="1239"/>
        <w:spacing w:after="0"/>
        <w:rPr>
          <w:sz w:val="20"/>
          <w:szCs w:val="20"/>
          <w:color w:val="auto"/>
        </w:rPr>
      </w:pPr>
      <w:r>
        <w:rPr>
          <w:rFonts w:ascii="Arial" w:cs="Arial" w:eastAsia="Arial" w:hAnsi="Arial"/>
          <w:sz w:val="17"/>
          <w:szCs w:val="17"/>
          <w:b w:val="1"/>
          <w:bCs w:val="1"/>
          <w:color w:val="auto"/>
        </w:rPr>
        <w:t>Registration No. 333-180609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2771140</wp:posOffset>
            </wp:positionH>
            <wp:positionV relativeFrom="paragraph">
              <wp:posOffset>5715</wp:posOffset>
            </wp:positionV>
            <wp:extent cx="3175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50" cy="1587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29845</wp:posOffset>
            </wp:positionV>
            <wp:extent cx="3175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50" cy="1587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27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279"/>
        <w:spacing w:after="0"/>
        <w:rPr>
          <w:sz w:val="20"/>
          <w:szCs w:val="20"/>
          <w:color w:val="auto"/>
        </w:rPr>
      </w:pPr>
      <w:r>
        <w:rPr>
          <w:rFonts w:ascii="Arial" w:cs="Arial" w:eastAsia="Arial" w:hAnsi="Arial"/>
          <w:sz w:val="17"/>
          <w:szCs w:val="17"/>
          <w:b w:val="1"/>
          <w:bCs w:val="1"/>
          <w:color w:val="auto"/>
        </w:rPr>
        <w:t>SECURITIES AND EXCHANGE COMMISSION</w:t>
      </w:r>
    </w:p>
    <w:p>
      <w:pPr>
        <w:spacing w:after="0" w:line="5" w:lineRule="exact"/>
        <w:rPr>
          <w:sz w:val="24"/>
          <w:szCs w:val="24"/>
          <w:color w:val="auto"/>
        </w:rPr>
      </w:pPr>
    </w:p>
    <w:p>
      <w:pPr>
        <w:jc w:val="center"/>
        <w:ind w:right="12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178435</wp:posOffset>
            </wp:positionV>
            <wp:extent cx="1431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279"/>
        <w:spacing w:after="0"/>
        <w:rPr>
          <w:sz w:val="20"/>
          <w:szCs w:val="20"/>
          <w:color w:val="auto"/>
        </w:rPr>
      </w:pPr>
      <w:r>
        <w:rPr>
          <w:rFonts w:ascii="Arial" w:cs="Arial" w:eastAsia="Arial" w:hAnsi="Arial"/>
          <w:sz w:val="17"/>
          <w:szCs w:val="17"/>
          <w:b w:val="1"/>
          <w:bCs w:val="1"/>
          <w:color w:val="auto"/>
        </w:rPr>
        <w:t>Amendment No. 3 to</w:t>
      </w:r>
    </w:p>
    <w:p>
      <w:pPr>
        <w:spacing w:after="0" w:line="21" w:lineRule="exact"/>
        <w:rPr>
          <w:sz w:val="24"/>
          <w:szCs w:val="24"/>
          <w:color w:val="auto"/>
        </w:rPr>
      </w:pPr>
    </w:p>
    <w:p>
      <w:pPr>
        <w:jc w:val="center"/>
        <w:ind w:right="1279"/>
        <w:spacing w:after="0"/>
        <w:rPr>
          <w:sz w:val="20"/>
          <w:szCs w:val="20"/>
          <w:color w:val="auto"/>
        </w:rPr>
      </w:pPr>
      <w:r>
        <w:rPr>
          <w:rFonts w:ascii="Arial" w:cs="Arial" w:eastAsia="Arial" w:hAnsi="Arial"/>
          <w:sz w:val="17"/>
          <w:szCs w:val="17"/>
          <w:b w:val="1"/>
          <w:bCs w:val="1"/>
          <w:color w:val="auto"/>
        </w:rPr>
        <w:t>FORM S-4</w:t>
      </w:r>
    </w:p>
    <w:p>
      <w:pPr>
        <w:spacing w:after="0" w:line="189" w:lineRule="exact"/>
        <w:rPr>
          <w:sz w:val="24"/>
          <w:szCs w:val="24"/>
          <w:color w:val="auto"/>
        </w:rPr>
      </w:pPr>
    </w:p>
    <w:p>
      <w:pPr>
        <w:jc w:val="center"/>
        <w:ind w:right="1279"/>
        <w:spacing w:after="0"/>
        <w:rPr>
          <w:sz w:val="20"/>
          <w:szCs w:val="20"/>
          <w:color w:val="auto"/>
        </w:rPr>
      </w:pPr>
      <w:r>
        <w:rPr>
          <w:rFonts w:ascii="Arial" w:cs="Arial" w:eastAsia="Arial" w:hAnsi="Arial"/>
          <w:sz w:val="17"/>
          <w:szCs w:val="17"/>
          <w:b w:val="1"/>
          <w:bCs w:val="1"/>
          <w:color w:val="auto"/>
        </w:rPr>
        <w:t>REGISTRATION STATEMENT</w:t>
      </w:r>
    </w:p>
    <w:p>
      <w:pPr>
        <w:spacing w:after="0" w:line="21" w:lineRule="exact"/>
        <w:rPr>
          <w:sz w:val="24"/>
          <w:szCs w:val="24"/>
          <w:color w:val="auto"/>
        </w:rPr>
      </w:pPr>
    </w:p>
    <w:p>
      <w:pPr>
        <w:jc w:val="center"/>
        <w:ind w:right="1279"/>
        <w:spacing w:after="0"/>
        <w:rPr>
          <w:sz w:val="20"/>
          <w:szCs w:val="20"/>
          <w:color w:val="auto"/>
        </w:rPr>
      </w:pPr>
      <w:r>
        <w:rPr>
          <w:rFonts w:ascii="Arial" w:cs="Arial" w:eastAsia="Arial" w:hAnsi="Arial"/>
          <w:sz w:val="17"/>
          <w:szCs w:val="17"/>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178435</wp:posOffset>
            </wp:positionV>
            <wp:extent cx="143192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380"/>
        <w:spacing w:after="0"/>
        <w:rPr>
          <w:sz w:val="20"/>
          <w:szCs w:val="20"/>
          <w:color w:val="auto"/>
        </w:rPr>
      </w:pPr>
      <w:r>
        <w:rPr>
          <w:rFonts w:ascii="Arial" w:cs="Arial" w:eastAsia="Arial" w:hAnsi="Arial"/>
          <w:sz w:val="30"/>
          <w:szCs w:val="30"/>
          <w:b w:val="1"/>
          <w:bCs w:val="1"/>
          <w:color w:val="auto"/>
        </w:rPr>
        <w:t>VRINGO, INC.</w:t>
      </w:r>
    </w:p>
    <w:p>
      <w:pPr>
        <w:spacing w:after="0" w:line="96" w:lineRule="exact"/>
        <w:rPr>
          <w:sz w:val="24"/>
          <w:szCs w:val="24"/>
          <w:color w:val="auto"/>
        </w:rPr>
      </w:pPr>
    </w:p>
    <w:tbl>
      <w:tblPr>
        <w:tblLayout w:type="fixed"/>
        <w:tblInd w:w="640" w:type="dxa"/>
        <w:tblCellMar>
          <w:top w:w="0" w:type="dxa"/>
          <w:left w:w="0" w:type="dxa"/>
          <w:bottom w:w="0" w:type="dxa"/>
          <w:right w:w="0" w:type="dxa"/>
        </w:tblCellMar>
      </w:tblPr>
      <w:tr>
        <w:trPr>
          <w:trHeight w:val="149"/>
        </w:trPr>
        <w:tc>
          <w:tcPr>
            <w:tcW w:w="1740" w:type="dxa"/>
            <w:vAlign w:val="bottom"/>
            <w:vMerge w:val="restart"/>
          </w:tcPr>
          <w:p>
            <w:pPr>
              <w:jc w:val="center"/>
              <w:ind w:right="68"/>
              <w:spacing w:after="0"/>
              <w:rPr>
                <w:sz w:val="20"/>
                <w:szCs w:val="20"/>
                <w:color w:val="auto"/>
              </w:rPr>
            </w:pPr>
            <w:r>
              <w:rPr>
                <w:rFonts w:ascii="Arial" w:cs="Arial" w:eastAsia="Arial" w:hAnsi="Arial"/>
                <w:sz w:val="17"/>
                <w:szCs w:val="17"/>
                <w:b w:val="1"/>
                <w:bCs w:val="1"/>
                <w:color w:val="auto"/>
                <w:w w:val="91"/>
              </w:rPr>
              <w:t>Delaware</w:t>
            </w:r>
          </w:p>
        </w:tc>
        <w:tc>
          <w:tcPr>
            <w:tcW w:w="4120" w:type="dxa"/>
            <w:vAlign w:val="bottom"/>
            <w:gridSpan w:val="3"/>
          </w:tcPr>
          <w:p>
            <w:pPr>
              <w:jc w:val="center"/>
              <w:ind w:right="40"/>
              <w:spacing w:after="0"/>
              <w:rPr>
                <w:sz w:val="20"/>
                <w:szCs w:val="20"/>
                <w:color w:val="auto"/>
              </w:rPr>
            </w:pPr>
            <w:r>
              <w:rPr>
                <w:rFonts w:ascii="Arial" w:cs="Arial" w:eastAsia="Arial" w:hAnsi="Arial"/>
                <w:sz w:val="13"/>
                <w:szCs w:val="13"/>
                <w:color w:val="auto"/>
                <w:w w:val="93"/>
              </w:rPr>
              <w:t>(Exact name of registrant as specified in its charter)</w:t>
            </w:r>
          </w:p>
        </w:tc>
        <w:tc>
          <w:tcPr>
            <w:tcW w:w="1480" w:type="dxa"/>
            <w:vAlign w:val="bottom"/>
            <w:vMerge w:val="restart"/>
          </w:tcPr>
          <w:p>
            <w:pPr>
              <w:jc w:val="center"/>
              <w:ind w:left="168"/>
              <w:spacing w:after="0"/>
              <w:rPr>
                <w:sz w:val="20"/>
                <w:szCs w:val="20"/>
                <w:color w:val="auto"/>
              </w:rPr>
            </w:pPr>
            <w:r>
              <w:rPr>
                <w:rFonts w:ascii="Arial" w:cs="Arial" w:eastAsia="Arial" w:hAnsi="Arial"/>
                <w:sz w:val="17"/>
                <w:szCs w:val="17"/>
                <w:b w:val="1"/>
                <w:bCs w:val="1"/>
                <w:color w:val="auto"/>
                <w:w w:val="88"/>
              </w:rPr>
              <w:t>20-4988129</w:t>
            </w:r>
          </w:p>
        </w:tc>
        <w:tc>
          <w:tcPr>
            <w:tcW w:w="0" w:type="dxa"/>
            <w:vAlign w:val="bottom"/>
          </w:tcPr>
          <w:p>
            <w:pPr>
              <w:spacing w:after="0"/>
              <w:rPr>
                <w:sz w:val="1"/>
                <w:szCs w:val="1"/>
                <w:color w:val="auto"/>
              </w:rPr>
            </w:pPr>
          </w:p>
        </w:tc>
      </w:tr>
      <w:tr>
        <w:trPr>
          <w:trHeight w:val="157"/>
        </w:trPr>
        <w:tc>
          <w:tcPr>
            <w:tcW w:w="1740" w:type="dxa"/>
            <w:vAlign w:val="bottom"/>
            <w:vMerge w:val="continue"/>
          </w:tcPr>
          <w:p>
            <w:pPr>
              <w:spacing w:after="0"/>
              <w:rPr>
                <w:sz w:val="13"/>
                <w:szCs w:val="13"/>
                <w:color w:val="auto"/>
              </w:rPr>
            </w:pPr>
          </w:p>
        </w:tc>
        <w:tc>
          <w:tcPr>
            <w:tcW w:w="3140" w:type="dxa"/>
            <w:vAlign w:val="bottom"/>
            <w:gridSpan w:val="2"/>
          </w:tcPr>
          <w:p>
            <w:pPr>
              <w:jc w:val="center"/>
              <w:ind w:left="823"/>
              <w:spacing w:after="0" w:line="157" w:lineRule="exact"/>
              <w:rPr>
                <w:sz w:val="20"/>
                <w:szCs w:val="20"/>
                <w:color w:val="auto"/>
              </w:rPr>
            </w:pPr>
            <w:r>
              <w:rPr>
                <w:rFonts w:ascii="Arial" w:cs="Arial" w:eastAsia="Arial" w:hAnsi="Arial"/>
                <w:sz w:val="17"/>
                <w:szCs w:val="17"/>
                <w:b w:val="1"/>
                <w:bCs w:val="1"/>
                <w:color w:val="auto"/>
                <w:w w:val="84"/>
              </w:rPr>
              <w:t>4899</w:t>
            </w:r>
          </w:p>
        </w:tc>
        <w:tc>
          <w:tcPr>
            <w:tcW w:w="98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40" w:type="dxa"/>
            <w:vAlign w:val="bottom"/>
          </w:tcPr>
          <w:p>
            <w:pPr>
              <w:jc w:val="center"/>
              <w:ind w:right="68"/>
              <w:spacing w:after="0" w:line="138" w:lineRule="exact"/>
              <w:rPr>
                <w:sz w:val="20"/>
                <w:szCs w:val="20"/>
                <w:color w:val="auto"/>
              </w:rPr>
            </w:pPr>
            <w:r>
              <w:rPr>
                <w:rFonts w:ascii="Arial" w:cs="Arial" w:eastAsia="Arial" w:hAnsi="Arial"/>
                <w:sz w:val="13"/>
                <w:szCs w:val="13"/>
                <w:color w:val="auto"/>
                <w:w w:val="95"/>
              </w:rPr>
              <w:t>(State or other jurisdiction of</w:t>
            </w:r>
          </w:p>
        </w:tc>
        <w:tc>
          <w:tcPr>
            <w:tcW w:w="880" w:type="dxa"/>
            <w:vAlign w:val="bottom"/>
          </w:tcPr>
          <w:p>
            <w:pPr>
              <w:spacing w:after="0"/>
              <w:rPr>
                <w:sz w:val="11"/>
                <w:szCs w:val="11"/>
                <w:color w:val="auto"/>
              </w:rPr>
            </w:pPr>
          </w:p>
        </w:tc>
        <w:tc>
          <w:tcPr>
            <w:tcW w:w="3240" w:type="dxa"/>
            <w:vAlign w:val="bottom"/>
            <w:gridSpan w:val="2"/>
          </w:tcPr>
          <w:p>
            <w:pPr>
              <w:jc w:val="center"/>
              <w:ind w:right="960"/>
              <w:spacing w:after="0" w:line="138" w:lineRule="exact"/>
              <w:rPr>
                <w:sz w:val="20"/>
                <w:szCs w:val="20"/>
                <w:color w:val="auto"/>
              </w:rPr>
            </w:pPr>
            <w:r>
              <w:rPr>
                <w:rFonts w:ascii="Arial" w:cs="Arial" w:eastAsia="Arial" w:hAnsi="Arial"/>
                <w:sz w:val="13"/>
                <w:szCs w:val="13"/>
                <w:color w:val="auto"/>
                <w:w w:val="93"/>
              </w:rPr>
              <w:t>(Primary Standard Industrial</w:t>
            </w:r>
          </w:p>
        </w:tc>
        <w:tc>
          <w:tcPr>
            <w:tcW w:w="1480" w:type="dxa"/>
            <w:vAlign w:val="bottom"/>
          </w:tcPr>
          <w:p>
            <w:pPr>
              <w:jc w:val="center"/>
              <w:ind w:left="168"/>
              <w:spacing w:after="0" w:line="138" w:lineRule="exact"/>
              <w:rPr>
                <w:sz w:val="20"/>
                <w:szCs w:val="20"/>
                <w:color w:val="auto"/>
              </w:rPr>
            </w:pPr>
            <w:r>
              <w:rPr>
                <w:rFonts w:ascii="Arial" w:cs="Arial" w:eastAsia="Arial" w:hAnsi="Arial"/>
                <w:sz w:val="13"/>
                <w:szCs w:val="13"/>
                <w:color w:val="auto"/>
                <w:w w:val="96"/>
              </w:rPr>
              <w:t>(I.R.S. Employer</w:t>
            </w:r>
          </w:p>
        </w:tc>
        <w:tc>
          <w:tcPr>
            <w:tcW w:w="0" w:type="dxa"/>
            <w:vAlign w:val="bottom"/>
          </w:tcPr>
          <w:p>
            <w:pPr>
              <w:spacing w:after="0"/>
              <w:rPr>
                <w:sz w:val="1"/>
                <w:szCs w:val="1"/>
                <w:color w:val="auto"/>
              </w:rPr>
            </w:pPr>
          </w:p>
        </w:tc>
      </w:tr>
      <w:tr>
        <w:trPr>
          <w:trHeight w:val="171"/>
        </w:trPr>
        <w:tc>
          <w:tcPr>
            <w:tcW w:w="1740" w:type="dxa"/>
            <w:vAlign w:val="bottom"/>
          </w:tcPr>
          <w:p>
            <w:pPr>
              <w:jc w:val="center"/>
              <w:ind w:right="68"/>
              <w:spacing w:after="0"/>
              <w:rPr>
                <w:sz w:val="20"/>
                <w:szCs w:val="20"/>
                <w:color w:val="auto"/>
              </w:rPr>
            </w:pPr>
            <w:r>
              <w:rPr>
                <w:rFonts w:ascii="Arial" w:cs="Arial" w:eastAsia="Arial" w:hAnsi="Arial"/>
                <w:sz w:val="13"/>
                <w:szCs w:val="13"/>
                <w:color w:val="auto"/>
                <w:w w:val="94"/>
              </w:rPr>
              <w:t>incorporation or organization)</w:t>
            </w:r>
          </w:p>
        </w:tc>
        <w:tc>
          <w:tcPr>
            <w:tcW w:w="880" w:type="dxa"/>
            <w:vAlign w:val="bottom"/>
          </w:tcPr>
          <w:p>
            <w:pPr>
              <w:spacing w:after="0"/>
              <w:rPr>
                <w:sz w:val="14"/>
                <w:szCs w:val="14"/>
                <w:color w:val="auto"/>
              </w:rPr>
            </w:pPr>
          </w:p>
        </w:tc>
        <w:tc>
          <w:tcPr>
            <w:tcW w:w="3240" w:type="dxa"/>
            <w:vAlign w:val="bottom"/>
            <w:gridSpan w:val="2"/>
          </w:tcPr>
          <w:p>
            <w:pPr>
              <w:jc w:val="center"/>
              <w:ind w:right="960"/>
              <w:spacing w:after="0"/>
              <w:rPr>
                <w:sz w:val="20"/>
                <w:szCs w:val="20"/>
                <w:color w:val="auto"/>
              </w:rPr>
            </w:pPr>
            <w:r>
              <w:rPr>
                <w:rFonts w:ascii="Arial" w:cs="Arial" w:eastAsia="Arial" w:hAnsi="Arial"/>
                <w:sz w:val="13"/>
                <w:szCs w:val="13"/>
                <w:color w:val="auto"/>
                <w:w w:val="94"/>
              </w:rPr>
              <w:t>Classification Code Number)</w:t>
            </w:r>
          </w:p>
        </w:tc>
        <w:tc>
          <w:tcPr>
            <w:tcW w:w="1480" w:type="dxa"/>
            <w:vAlign w:val="bottom"/>
          </w:tcPr>
          <w:p>
            <w:pPr>
              <w:jc w:val="center"/>
              <w:ind w:left="168"/>
              <w:spacing w:after="0"/>
              <w:rPr>
                <w:sz w:val="20"/>
                <w:szCs w:val="20"/>
                <w:color w:val="auto"/>
              </w:rPr>
            </w:pPr>
            <w:r>
              <w:rPr>
                <w:rFonts w:ascii="Arial" w:cs="Arial" w:eastAsia="Arial" w:hAnsi="Arial"/>
                <w:sz w:val="13"/>
                <w:szCs w:val="13"/>
                <w:color w:val="auto"/>
                <w:w w:val="97"/>
              </w:rPr>
              <w:t>Identification Number)</w:t>
            </w:r>
          </w:p>
        </w:tc>
        <w:tc>
          <w:tcPr>
            <w:tcW w:w="0" w:type="dxa"/>
            <w:vAlign w:val="bottom"/>
          </w:tcPr>
          <w:p>
            <w:pPr>
              <w:spacing w:after="0"/>
              <w:rPr>
                <w:sz w:val="1"/>
                <w:szCs w:val="1"/>
                <w:color w:val="auto"/>
              </w:rPr>
            </w:pPr>
          </w:p>
        </w:tc>
      </w:tr>
      <w:tr>
        <w:trPr>
          <w:trHeight w:val="370"/>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2"/>
          </w:tcPr>
          <w:p>
            <w:pPr>
              <w:jc w:val="center"/>
              <w:ind w:right="980"/>
              <w:spacing w:after="0"/>
              <w:rPr>
                <w:sz w:val="20"/>
                <w:szCs w:val="20"/>
                <w:color w:val="auto"/>
              </w:rPr>
            </w:pPr>
            <w:r>
              <w:rPr>
                <w:rFonts w:ascii="Arial" w:cs="Arial" w:eastAsia="Arial" w:hAnsi="Arial"/>
                <w:sz w:val="17"/>
                <w:szCs w:val="17"/>
                <w:b w:val="1"/>
                <w:bCs w:val="1"/>
                <w:color w:val="auto"/>
                <w:w w:val="89"/>
              </w:rPr>
              <w:t>44 W. 28th Street, Suite 1414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4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w w:val="90"/>
              </w:rPr>
              <w:t>New York, New York 10001</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3140" w:type="dxa"/>
            <w:vAlign w:val="bottom"/>
            <w:gridSpan w:val="2"/>
          </w:tcPr>
          <w:p>
            <w:pPr>
              <w:jc w:val="center"/>
              <w:ind w:left="823"/>
              <w:spacing w:after="0"/>
              <w:rPr>
                <w:sz w:val="20"/>
                <w:szCs w:val="20"/>
                <w:color w:val="auto"/>
              </w:rPr>
            </w:pPr>
            <w:r>
              <w:rPr>
                <w:rFonts w:ascii="Arial" w:cs="Arial" w:eastAsia="Arial" w:hAnsi="Arial"/>
                <w:sz w:val="17"/>
                <w:szCs w:val="17"/>
                <w:b w:val="1"/>
                <w:bCs w:val="1"/>
                <w:color w:val="auto"/>
                <w:w w:val="89"/>
              </w:rPr>
              <w:t>(646) 525-4319</w:t>
            </w:r>
          </w:p>
        </w:tc>
        <w:tc>
          <w:tcPr>
            <w:tcW w:w="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2"/>
                <w:szCs w:val="22"/>
                <w:color w:val="auto"/>
              </w:rPr>
            </w:pPr>
          </w:p>
        </w:tc>
        <w:tc>
          <w:tcPr>
            <w:tcW w:w="4120" w:type="dxa"/>
            <w:vAlign w:val="bottom"/>
            <w:gridSpan w:val="3"/>
          </w:tcPr>
          <w:p>
            <w:pPr>
              <w:jc w:val="center"/>
              <w:ind w:right="60"/>
              <w:spacing w:after="0"/>
              <w:rPr>
                <w:sz w:val="20"/>
                <w:szCs w:val="20"/>
                <w:color w:val="auto"/>
              </w:rPr>
            </w:pPr>
            <w:r>
              <w:rPr>
                <w:rFonts w:ascii="Arial" w:cs="Arial" w:eastAsia="Arial" w:hAnsi="Arial"/>
                <w:sz w:val="13"/>
                <w:szCs w:val="13"/>
                <w:color w:val="auto"/>
                <w:w w:val="92"/>
              </w:rPr>
              <w:t>(Address, including zip code, and telephone number,</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4120" w:type="dxa"/>
            <w:vAlign w:val="bottom"/>
            <w:gridSpan w:val="3"/>
          </w:tcPr>
          <w:p>
            <w:pPr>
              <w:jc w:val="center"/>
              <w:ind w:right="60"/>
              <w:spacing w:after="0"/>
              <w:rPr>
                <w:sz w:val="20"/>
                <w:szCs w:val="20"/>
                <w:color w:val="auto"/>
              </w:rPr>
            </w:pPr>
            <w:r>
              <w:rPr>
                <w:rFonts w:ascii="Arial" w:cs="Arial" w:eastAsia="Arial" w:hAnsi="Arial"/>
                <w:sz w:val="13"/>
                <w:szCs w:val="13"/>
                <w:color w:val="auto"/>
                <w:w w:val="94"/>
              </w:rPr>
              <w:t>including area code, of registrant’s principal executive offices)</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2"/>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2"/>
          </w:tcPr>
          <w:p>
            <w:pPr>
              <w:jc w:val="center"/>
              <w:ind w:right="980"/>
              <w:spacing w:after="0"/>
              <w:rPr>
                <w:sz w:val="20"/>
                <w:szCs w:val="20"/>
                <w:color w:val="auto"/>
              </w:rPr>
            </w:pPr>
            <w:r>
              <w:rPr>
                <w:rFonts w:ascii="Arial" w:cs="Arial" w:eastAsia="Arial" w:hAnsi="Arial"/>
                <w:sz w:val="17"/>
                <w:szCs w:val="17"/>
                <w:b w:val="1"/>
                <w:bCs w:val="1"/>
                <w:color w:val="auto"/>
                <w:w w:val="91"/>
              </w:rPr>
              <w:t>Andrew D. Perlman</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41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9"/>
              </w:rPr>
              <w:t>Chief Executive Officer and President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4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w w:val="90"/>
              </w:rPr>
              <w:t>Vringo, Inc.</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40" w:type="dxa"/>
            <w:vAlign w:val="bottom"/>
            <w:gridSpan w:val="2"/>
          </w:tcPr>
          <w:p>
            <w:pPr>
              <w:jc w:val="center"/>
              <w:ind w:right="980"/>
              <w:spacing w:after="0"/>
              <w:rPr>
                <w:sz w:val="20"/>
                <w:szCs w:val="20"/>
                <w:color w:val="auto"/>
              </w:rPr>
            </w:pPr>
            <w:r>
              <w:rPr>
                <w:rFonts w:ascii="Arial" w:cs="Arial" w:eastAsia="Arial" w:hAnsi="Arial"/>
                <w:sz w:val="17"/>
                <w:szCs w:val="17"/>
                <w:b w:val="1"/>
                <w:bCs w:val="1"/>
                <w:color w:val="auto"/>
                <w:w w:val="89"/>
              </w:rPr>
              <w:t>44 W. 28th Street, Suite 1414</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4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w w:val="90"/>
              </w:rPr>
              <w:t>New York, New York 10001</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3140" w:type="dxa"/>
            <w:vAlign w:val="bottom"/>
            <w:gridSpan w:val="2"/>
          </w:tcPr>
          <w:p>
            <w:pPr>
              <w:jc w:val="center"/>
              <w:ind w:left="823"/>
              <w:spacing w:after="0"/>
              <w:rPr>
                <w:sz w:val="20"/>
                <w:szCs w:val="20"/>
                <w:color w:val="auto"/>
              </w:rPr>
            </w:pPr>
            <w:r>
              <w:rPr>
                <w:rFonts w:ascii="Arial" w:cs="Arial" w:eastAsia="Arial" w:hAnsi="Arial"/>
                <w:sz w:val="17"/>
                <w:szCs w:val="17"/>
                <w:b w:val="1"/>
                <w:bCs w:val="1"/>
                <w:color w:val="auto"/>
                <w:w w:val="89"/>
              </w:rPr>
              <w:t>(646) 525-4319</w:t>
            </w:r>
          </w:p>
        </w:tc>
        <w:tc>
          <w:tcPr>
            <w:tcW w:w="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2"/>
                <w:szCs w:val="22"/>
                <w:color w:val="auto"/>
              </w:rPr>
            </w:pPr>
          </w:p>
        </w:tc>
        <w:tc>
          <w:tcPr>
            <w:tcW w:w="4120" w:type="dxa"/>
            <w:vAlign w:val="bottom"/>
            <w:gridSpan w:val="3"/>
          </w:tcPr>
          <w:p>
            <w:pPr>
              <w:jc w:val="center"/>
              <w:ind w:right="40"/>
              <w:spacing w:after="0"/>
              <w:rPr>
                <w:sz w:val="20"/>
                <w:szCs w:val="20"/>
                <w:color w:val="auto"/>
              </w:rPr>
            </w:pPr>
            <w:r>
              <w:rPr>
                <w:rFonts w:ascii="Arial" w:cs="Arial" w:eastAsia="Arial" w:hAnsi="Arial"/>
                <w:sz w:val="13"/>
                <w:szCs w:val="13"/>
                <w:color w:val="auto"/>
                <w:w w:val="91"/>
              </w:rPr>
              <w:t>(Name, address, including zip code, and telephone number,</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3"/>
                <w:szCs w:val="13"/>
                <w:color w:val="auto"/>
                <w:w w:val="93"/>
              </w:rPr>
              <w:t>including area code, of agent for service)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2"/>
          </w:tcPr>
          <w:p>
            <w:pPr>
              <w:jc w:val="center"/>
              <w:ind w:right="920"/>
              <w:spacing w:after="0"/>
              <w:rPr>
                <w:sz w:val="20"/>
                <w:szCs w:val="20"/>
                <w:color w:val="auto"/>
              </w:rPr>
            </w:pPr>
            <w:r>
              <w:rPr>
                <w:rFonts w:ascii="Arial" w:cs="Arial" w:eastAsia="Arial" w:hAnsi="Arial"/>
                <w:sz w:val="17"/>
                <w:szCs w:val="17"/>
                <w:i w:val="1"/>
                <w:iCs w:val="1"/>
                <w:color w:val="auto"/>
                <w:w w:val="88"/>
              </w:rPr>
              <w:t>Copies to: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w w:val="90"/>
              </w:rPr>
              <w:t>Kenneth R. Koch</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4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w w:val="87"/>
              </w:rPr>
              <w:t>Jeffrey P. Schultz</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41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9"/>
              </w:rPr>
              <w:t>Mintz, Levin, Cohn, Ferris, Glovsky and Popeo, P.C.</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4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w w:val="90"/>
              </w:rPr>
              <w:t>Chrysler Center</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4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w w:val="90"/>
              </w:rPr>
              <w:t>666 Third Avenue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40" w:type="dxa"/>
            <w:vAlign w:val="bottom"/>
            <w:gridSpan w:val="2"/>
          </w:tcPr>
          <w:p>
            <w:pPr>
              <w:jc w:val="center"/>
              <w:ind w:right="980"/>
              <w:spacing w:after="0"/>
              <w:rPr>
                <w:sz w:val="20"/>
                <w:szCs w:val="20"/>
                <w:color w:val="auto"/>
              </w:rPr>
            </w:pPr>
            <w:r>
              <w:rPr>
                <w:rFonts w:ascii="Arial" w:cs="Arial" w:eastAsia="Arial" w:hAnsi="Arial"/>
                <w:sz w:val="17"/>
                <w:szCs w:val="17"/>
                <w:b w:val="1"/>
                <w:bCs w:val="1"/>
                <w:color w:val="auto"/>
                <w:w w:val="91"/>
              </w:rPr>
              <w:t>New York, New York</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3140" w:type="dxa"/>
            <w:vAlign w:val="bottom"/>
            <w:gridSpan w:val="2"/>
          </w:tcPr>
          <w:p>
            <w:pPr>
              <w:jc w:val="center"/>
              <w:ind w:left="823"/>
              <w:spacing w:after="0"/>
              <w:rPr>
                <w:sz w:val="20"/>
                <w:szCs w:val="20"/>
                <w:color w:val="auto"/>
              </w:rPr>
            </w:pPr>
            <w:r>
              <w:rPr>
                <w:rFonts w:ascii="Arial" w:cs="Arial" w:eastAsia="Arial" w:hAnsi="Arial"/>
                <w:sz w:val="17"/>
                <w:szCs w:val="17"/>
                <w:b w:val="1"/>
                <w:bCs w:val="1"/>
                <w:color w:val="auto"/>
                <w:w w:val="89"/>
              </w:rPr>
              <w:t>(212) 935-3000</w:t>
            </w:r>
          </w:p>
        </w:tc>
        <w:tc>
          <w:tcPr>
            <w:tcW w:w="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-4088765</wp:posOffset>
            </wp:positionV>
            <wp:extent cx="5641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134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175260</wp:posOffset>
            </wp:positionV>
            <wp:extent cx="143192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587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both"/>
        <w:ind w:right="1239" w:firstLine="251"/>
        <w:spacing w:after="0" w:line="259" w:lineRule="auto"/>
        <w:rPr>
          <w:sz w:val="20"/>
          <w:szCs w:val="20"/>
          <w:color w:val="auto"/>
        </w:rPr>
      </w:pPr>
      <w:r>
        <w:rPr>
          <w:rFonts w:ascii="Arial" w:cs="Arial" w:eastAsia="Arial" w:hAnsi="Arial"/>
          <w:sz w:val="17"/>
          <w:szCs w:val="17"/>
          <w:b w:val="1"/>
          <w:bCs w:val="1"/>
          <w:color w:val="auto"/>
        </w:rPr>
        <w:t xml:space="preserve">Approximate date of commencement of proposed sale of the securities to the public: </w:t>
      </w:r>
      <w:r>
        <w:rPr>
          <w:rFonts w:ascii="Arial" w:cs="Arial" w:eastAsia="Arial" w:hAnsi="Arial"/>
          <w:sz w:val="17"/>
          <w:szCs w:val="17"/>
          <w:color w:val="auto"/>
        </w:rPr>
        <w:t>As soon as practicable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effectiveness of this registration statement and the satisfaction or waiver of all other conditions under the merger agreement described herein.</w:t>
      </w:r>
    </w:p>
    <w:p>
      <w:pPr>
        <w:spacing w:after="0" w:line="73" w:lineRule="exact"/>
        <w:rPr>
          <w:sz w:val="24"/>
          <w:szCs w:val="24"/>
          <w:color w:val="auto"/>
        </w:rPr>
      </w:pPr>
    </w:p>
    <w:p>
      <w:pPr>
        <w:jc w:val="both"/>
        <w:ind w:right="1239" w:firstLine="251"/>
        <w:spacing w:after="0" w:line="267" w:lineRule="auto"/>
        <w:rPr>
          <w:sz w:val="20"/>
          <w:szCs w:val="20"/>
          <w:color w:val="auto"/>
        </w:rPr>
      </w:pPr>
      <w:r>
        <w:rPr>
          <w:rFonts w:ascii="Arial" w:cs="Arial" w:eastAsia="Arial" w:hAnsi="Arial"/>
          <w:sz w:val="17"/>
          <w:szCs w:val="17"/>
          <w:color w:val="auto"/>
        </w:rPr>
        <w:t>If the securities being registered on this form are being offered in connection with the formation of a holding company and there is compliance with General Instruction G, check the following box. o</w:t>
      </w:r>
    </w:p>
    <w:p>
      <w:pPr>
        <w:spacing w:after="0" w:line="66" w:lineRule="exact"/>
        <w:rPr>
          <w:sz w:val="24"/>
          <w:szCs w:val="24"/>
          <w:color w:val="auto"/>
        </w:rPr>
      </w:pPr>
    </w:p>
    <w:p>
      <w:pPr>
        <w:jc w:val="both"/>
        <w:ind w:right="1239" w:firstLine="251"/>
        <w:spacing w:after="0" w:line="256"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number for the same offering. o</w:t>
      </w:r>
    </w:p>
    <w:p>
      <w:pPr>
        <w:spacing w:after="0" w:line="76" w:lineRule="exact"/>
        <w:rPr>
          <w:sz w:val="24"/>
          <w:szCs w:val="24"/>
          <w:color w:val="auto"/>
        </w:rPr>
      </w:pPr>
    </w:p>
    <w:p>
      <w:pPr>
        <w:jc w:val="both"/>
        <w:ind w:right="1239" w:firstLine="251"/>
        <w:spacing w:after="0" w:line="299"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43" w:lineRule="exact"/>
        <w:rPr>
          <w:sz w:val="24"/>
          <w:szCs w:val="24"/>
          <w:color w:val="auto"/>
        </w:rPr>
      </w:pPr>
    </w:p>
    <w:p>
      <w:pPr>
        <w:jc w:val="both"/>
        <w:ind w:right="1239" w:firstLine="251"/>
        <w:spacing w:after="0" w:line="28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w:t>
      </w:r>
    </w:p>
    <w:p>
      <w:pPr>
        <w:sectPr>
          <w:pgSz w:w="11900" w:h="16838" w:orient="portrait"/>
          <w:cols w:equalWidth="0" w:num="1">
            <w:col w:w="10059"/>
          </w:cols>
          <w:pgMar w:left="400" w:top="436" w:right="1440" w:bottom="150" w:gutter="0" w:footer="0" w:header="0"/>
        </w:sectPr>
      </w:pP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-67945</wp:posOffset>
            </wp:positionV>
            <wp:extent cx="2522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2220" cy="8255"/>
                    </a:xfrm>
                    <a:prstGeom prst="rect">
                      <a:avLst/>
                    </a:prstGeom>
                    <a:noFill/>
                  </pic:spPr>
                </pic:pic>
              </a:graphicData>
            </a:graphic>
          </wp:anchor>
        </w:drawing>
      </w:r>
    </w:p>
    <w:p>
      <w:pPr>
        <w:ind w:left="140"/>
        <w:spacing w:after="0"/>
        <w:tabs>
          <w:tab w:leader="none" w:pos="2380" w:val="left"/>
        </w:tabs>
        <w:rPr>
          <w:sz w:val="20"/>
          <w:szCs w:val="20"/>
          <w:color w:val="auto"/>
        </w:rPr>
      </w:pPr>
      <w:r>
        <w:rPr>
          <w:rFonts w:ascii="Arial" w:cs="Arial" w:eastAsia="Arial" w:hAnsi="Arial"/>
          <w:sz w:val="17"/>
          <w:szCs w:val="17"/>
          <w:color w:val="auto"/>
        </w:rPr>
        <w:t>Large accelerated filer o</w:t>
      </w:r>
      <w:r>
        <w:rPr>
          <w:sz w:val="20"/>
          <w:szCs w:val="20"/>
          <w:color w:val="auto"/>
        </w:rPr>
        <w:tab/>
      </w:r>
      <w:r>
        <w:rPr>
          <w:rFonts w:ascii="Arial" w:cs="Arial" w:eastAsia="Arial" w:hAnsi="Arial"/>
          <w:sz w:val="15"/>
          <w:szCs w:val="15"/>
          <w:color w:val="auto"/>
        </w:rPr>
        <w:t>Accelerated filer 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ind w:right="1759" w:firstLine="543"/>
        <w:spacing w:after="0" w:line="267" w:lineRule="auto"/>
        <w:rPr>
          <w:sz w:val="20"/>
          <w:szCs w:val="20"/>
          <w:color w:val="auto"/>
        </w:rPr>
      </w:pPr>
      <w:r>
        <w:rPr>
          <w:rFonts w:ascii="Arial" w:cs="Arial" w:eastAsia="Arial" w:hAnsi="Arial"/>
          <w:sz w:val="17"/>
          <w:szCs w:val="17"/>
          <w:color w:val="auto"/>
        </w:rPr>
        <w:t>Non-accelerated filer o Smaller reporting company x (Do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wp:posOffset>
            </wp:positionH>
            <wp:positionV relativeFrom="paragraph">
              <wp:posOffset>-339090</wp:posOffset>
            </wp:positionV>
            <wp:extent cx="2752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52725" cy="8255"/>
                    </a:xfrm>
                    <a:prstGeom prst="rect">
                      <a:avLst/>
                    </a:prstGeom>
                    <a:noFill/>
                  </pic:spPr>
                </pic:pic>
              </a:graphicData>
            </a:graphic>
          </wp:anchor>
        </w:drawing>
      </w:r>
    </w:p>
    <w:p>
      <w:pPr>
        <w:spacing w:after="0" w:line="66" w:lineRule="exact"/>
        <w:rPr>
          <w:sz w:val="24"/>
          <w:szCs w:val="24"/>
          <w:color w:val="auto"/>
        </w:rPr>
      </w:pPr>
    </w:p>
    <w:p>
      <w:pPr>
        <w:sectPr>
          <w:pgSz w:w="11900" w:h="16838" w:orient="portrait"/>
          <w:cols w:equalWidth="0" w:num="2">
            <w:col w:w="3640" w:space="100"/>
            <w:col w:w="6319"/>
          </w:cols>
          <w:pgMar w:left="400" w:top="436" w:right="1440" w:bottom="150" w:gutter="0" w:footer="0" w:header="0"/>
          <w:type w:val="continuous"/>
        </w:sectPr>
      </w:pPr>
    </w:p>
    <w:p>
      <w:pPr>
        <w:ind w:left="260"/>
        <w:spacing w:after="0"/>
        <w:rPr>
          <w:sz w:val="20"/>
          <w:szCs w:val="20"/>
          <w:color w:val="auto"/>
        </w:rPr>
      </w:pPr>
      <w:r>
        <w:rPr>
          <w:rFonts w:ascii="Arial" w:cs="Arial" w:eastAsia="Arial" w:hAnsi="Arial"/>
          <w:sz w:val="15"/>
          <w:szCs w:val="15"/>
          <w:color w:val="auto"/>
        </w:rPr>
        <w:t>If applicable, place an X in the box to designate the appropriate rule provision relied upon in conducting this transaction:</w:t>
      </w:r>
    </w:p>
    <w:p>
      <w:pPr>
        <w:spacing w:after="0" w:line="128" w:lineRule="exact"/>
        <w:rPr>
          <w:sz w:val="24"/>
          <w:szCs w:val="24"/>
          <w:color w:val="auto"/>
        </w:rPr>
      </w:pPr>
    </w:p>
    <w:p>
      <w:pPr>
        <w:ind w:left="260"/>
        <w:spacing w:after="0"/>
        <w:rPr>
          <w:sz w:val="20"/>
          <w:szCs w:val="20"/>
          <w:color w:val="auto"/>
        </w:rPr>
      </w:pPr>
      <w:r>
        <w:rPr>
          <w:rFonts w:ascii="Arial" w:cs="Arial" w:eastAsia="Arial" w:hAnsi="Arial"/>
          <w:sz w:val="17"/>
          <w:szCs w:val="17"/>
          <w:color w:val="auto"/>
        </w:rPr>
        <w:t>Exchange Act Rule 13e-4(i) (Cross-Border Issuer Tender Offer) o</w:t>
      </w:r>
    </w:p>
    <w:p>
      <w:pPr>
        <w:spacing w:after="0" w:line="105" w:lineRule="exact"/>
        <w:rPr>
          <w:sz w:val="24"/>
          <w:szCs w:val="24"/>
          <w:color w:val="auto"/>
        </w:rPr>
      </w:pPr>
    </w:p>
    <w:p>
      <w:pPr>
        <w:ind w:left="260"/>
        <w:spacing w:after="0"/>
        <w:rPr>
          <w:sz w:val="20"/>
          <w:szCs w:val="20"/>
          <w:color w:val="auto"/>
        </w:rPr>
      </w:pPr>
      <w:r>
        <w:rPr>
          <w:rFonts w:ascii="Arial" w:cs="Arial" w:eastAsia="Arial" w:hAnsi="Arial"/>
          <w:sz w:val="17"/>
          <w:szCs w:val="17"/>
          <w:color w:val="auto"/>
        </w:rPr>
        <w:t>Exchange Act Rule 14d-1(d) (Cross-Border Third-Party Tender Offer)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2771140</wp:posOffset>
            </wp:positionH>
            <wp:positionV relativeFrom="paragraph">
              <wp:posOffset>-4445</wp:posOffset>
            </wp:positionV>
            <wp:extent cx="3175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50" cy="1587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19050</wp:posOffset>
            </wp:positionV>
            <wp:extent cx="317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50" cy="15875"/>
                    </a:xfrm>
                    <a:prstGeom prst="rect">
                      <a:avLst/>
                    </a:prstGeom>
                    <a:noFill/>
                  </pic:spPr>
                </pic:pic>
              </a:graphicData>
            </a:graphic>
          </wp:anchor>
        </w:drawing>
      </w:r>
    </w:p>
    <w:p>
      <w:pPr>
        <w:sectPr>
          <w:pgSz w:w="11900" w:h="16838" w:orient="portrait"/>
          <w:cols w:equalWidth="0" w:num="1">
            <w:col w:w="10059"/>
          </w:cols>
          <w:pgMar w:left="400" w:top="436" w:right="1440" w:bottom="15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943610</wp:posOffset>
            </wp:positionH>
            <wp:positionV relativeFrom="page">
              <wp:posOffset>426085</wp:posOffset>
            </wp:positionV>
            <wp:extent cx="5674360" cy="57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236220</wp:posOffset>
            </wp:positionV>
            <wp:extent cx="14319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405765</wp:posOffset>
            </wp:positionV>
            <wp:extent cx="5674360" cy="57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 w:name="page4"/>
    <w:bookmarkEnd w:id="3"/>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90805</wp:posOffset>
            </wp:positionV>
            <wp:extent cx="5638165" cy="880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38165" cy="880110"/>
                    </a:xfrm>
                    <a:prstGeom prst="rect">
                      <a:avLst/>
                    </a:prstGeom>
                    <a:noFill/>
                  </pic:spPr>
                </pic:pic>
              </a:graphicData>
            </a:graphic>
          </wp:anchor>
        </w:drawing>
      </w:r>
    </w:p>
    <w:p>
      <w:pPr>
        <w:spacing w:after="0" w:line="202" w:lineRule="exact"/>
        <w:rPr>
          <w:sz w:val="20"/>
          <w:szCs w:val="20"/>
          <w:color w:val="auto"/>
        </w:rPr>
      </w:pPr>
    </w:p>
    <w:p>
      <w:pPr>
        <w:ind w:left="80" w:right="1319"/>
        <w:spacing w:after="0" w:line="250" w:lineRule="auto"/>
        <w:rPr>
          <w:sz w:val="20"/>
          <w:szCs w:val="20"/>
          <w:color w:val="auto"/>
        </w:rPr>
      </w:pPr>
      <w:r>
        <w:rPr>
          <w:rFonts w:ascii="Arial" w:cs="Arial" w:eastAsia="Arial" w:hAnsi="Arial"/>
          <w:sz w:val="17"/>
          <w:szCs w:val="17"/>
          <w:color w:val="FF0000"/>
        </w:rPr>
        <w:t>The information in this proxy statement/prospectus is not complete and may be changed. Vringo, Inc. may not sell these securities until the registration statement filed with the Securities and Exchange Commission, of which this proxy statement/prospectus is a part, is declared effective. This proxy statement/prospectus is not an offer to sell these securities and it is not the solicitation of an offer to buy these securities in any jurisdiction where the offer, solicitation or sale is not permitted or would be unlawful prior to registration or qualification under the securities laws of any such jurisdiction. Any representation to the contrary is a criminal offense.</w:t>
      </w:r>
    </w:p>
    <w:p>
      <w:pPr>
        <w:spacing w:after="0" w:line="215"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PRELIMINARY — SUBJECT TO COMPLETION — DATED JUNE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2112010</wp:posOffset>
            </wp:positionH>
            <wp:positionV relativeFrom="paragraph">
              <wp:posOffset>77470</wp:posOffset>
            </wp:positionV>
            <wp:extent cx="1440180" cy="748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PROPOSED MERGER — YOUR VOTE IS VERY IMPORTANT</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Vringo, Inc. (“</w:t>
      </w:r>
      <w:r>
        <w:rPr>
          <w:rFonts w:ascii="Arial" w:cs="Arial" w:eastAsia="Arial" w:hAnsi="Arial"/>
          <w:sz w:val="17"/>
          <w:szCs w:val="17"/>
          <w:b w:val="1"/>
          <w:bCs w:val="1"/>
          <w:color w:val="auto"/>
        </w:rPr>
        <w:t>Vringo</w:t>
      </w:r>
      <w:r>
        <w:rPr>
          <w:rFonts w:ascii="Arial" w:cs="Arial" w:eastAsia="Arial" w:hAnsi="Arial"/>
          <w:sz w:val="17"/>
          <w:szCs w:val="17"/>
          <w:color w:val="auto"/>
        </w:rPr>
        <w:t>”), VIP Merger Sub, Inc., a wholly-owned subsidiary of Vringo (“</w:t>
      </w:r>
      <w:r>
        <w:rPr>
          <w:rFonts w:ascii="Arial" w:cs="Arial" w:eastAsia="Arial" w:hAnsi="Arial"/>
          <w:sz w:val="17"/>
          <w:szCs w:val="17"/>
          <w:b w:val="1"/>
          <w:bCs w:val="1"/>
          <w:color w:val="auto"/>
        </w:rPr>
        <w:t>Merger Sub</w:t>
      </w:r>
      <w:r>
        <w:rPr>
          <w:rFonts w:ascii="Arial" w:cs="Arial" w:eastAsia="Arial" w:hAnsi="Arial"/>
          <w:sz w:val="17"/>
          <w:szCs w:val="17"/>
          <w:color w:val="auto"/>
        </w:rPr>
        <w:t>”), and Innovate/Protect, Inc. (“</w:t>
      </w:r>
      <w:r>
        <w:rPr>
          <w:rFonts w:ascii="Arial" w:cs="Arial" w:eastAsia="Arial" w:hAnsi="Arial"/>
          <w:sz w:val="17"/>
          <w:szCs w:val="17"/>
          <w:b w:val="1"/>
          <w:bCs w:val="1"/>
          <w:color w:val="auto"/>
        </w:rPr>
        <w:t>Innovate/Protect</w:t>
      </w:r>
      <w:r>
        <w:rPr>
          <w:rFonts w:ascii="Arial" w:cs="Arial" w:eastAsia="Arial" w:hAnsi="Arial"/>
          <w:sz w:val="17"/>
          <w:szCs w:val="17"/>
          <w:color w:val="auto"/>
        </w:rPr>
        <w:t>”) entered into a Merger Agreement on March 12, 2012 (as may be amended or modified, the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 Innovate/Protect will merge with and into Merger Sub, with Merger Sub surviving the merger as a</w:t>
      </w:r>
      <w:r>
        <w:rPr>
          <w:rFonts w:ascii="Arial" w:cs="Arial" w:eastAsia="Arial" w:hAnsi="Arial"/>
          <w:sz w:val="17"/>
          <w:szCs w:val="17"/>
          <w:b w:val="1"/>
          <w:bCs w:val="1"/>
          <w:color w:val="auto"/>
        </w:rPr>
        <w:t xml:space="preserve"> </w:t>
      </w:r>
      <w:r>
        <w:rPr>
          <w:rFonts w:ascii="Arial" w:cs="Arial" w:eastAsia="Arial" w:hAnsi="Arial"/>
          <w:sz w:val="17"/>
          <w:szCs w:val="17"/>
          <w:color w:val="auto"/>
        </w:rPr>
        <w:t>wholly-owned subsidiary of Vringo (the “</w:t>
      </w:r>
      <w:r>
        <w:rPr>
          <w:rFonts w:ascii="Arial" w:cs="Arial" w:eastAsia="Arial" w:hAnsi="Arial"/>
          <w:sz w:val="17"/>
          <w:szCs w:val="17"/>
          <w:b w:val="1"/>
          <w:bCs w:val="1"/>
          <w:color w:val="auto"/>
        </w:rPr>
        <w:t>Merger</w:t>
      </w:r>
      <w:r>
        <w:rPr>
          <w:rFonts w:ascii="Arial" w:cs="Arial" w:eastAsia="Arial" w:hAnsi="Arial"/>
          <w:sz w:val="17"/>
          <w:szCs w:val="17"/>
          <w:color w:val="auto"/>
        </w:rPr>
        <w:t>”). The board of directors of Vringo has unanimously approved the Merger Agreement and the Merger. In addition, the board of directors of Innovate/Protect has unanimously approved the Merger Agreement and the Merger.</w:t>
      </w:r>
    </w:p>
    <w:p>
      <w:pPr>
        <w:spacing w:after="0" w:line="81"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5"/>
          <w:szCs w:val="15"/>
          <w:color w:val="auto"/>
        </w:rPr>
        <w:t xml:space="preserve">Pursuant to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Innovate/Protect, or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Series A Convertible Preferred Stock, or Vringo preferred stock, which 6,673 shares, as of May 25, 2012, shall be initially convertible into an aggregate of 20,136,445 shares of Vringo common stock (or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pro </w:t>
      </w:r>
      <w:r>
        <w:rPr>
          <w:rFonts w:ascii="Arial" w:cs="Arial" w:eastAsia="Arial" w:hAnsi="Arial"/>
          <w:sz w:val="15"/>
          <w:szCs w:val="15"/>
          <w:i w:val="1"/>
          <w:iCs w:val="1"/>
          <w:color w:val="auto"/>
        </w:rPr>
        <w:t xml:space="preserve">rata </w:t>
      </w:r>
      <w:r>
        <w:rPr>
          <w:rFonts w:ascii="Arial" w:cs="Arial" w:eastAsia="Arial" w:hAnsi="Arial"/>
          <w:sz w:val="15"/>
          <w:szCs w:val="15"/>
          <w:color w:val="auto"/>
        </w:rPr>
        <w:t>as-converted basis) an aggregate of 15,959,838 warrants to purchase an aggregate of 15,959,838 shares of Vringo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 (without taking into account any shares of Vringo common stock held by Innovate/Protect stockholders prior to the completion of the Merger), the former stockholders of Innovate/Protect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Vringo common stock is listed on the NYSE Amex and trades under the symbol “VRNG.” On ________, 2012, the latest</w:t>
      </w:r>
    </w:p>
    <w:p>
      <w:pPr>
        <w:spacing w:after="0" w:line="29" w:lineRule="exact"/>
        <w:rPr>
          <w:sz w:val="20"/>
          <w:szCs w:val="20"/>
          <w:color w:val="auto"/>
        </w:rPr>
      </w:pPr>
    </w:p>
    <w:p>
      <w:pPr>
        <w:jc w:val="both"/>
        <w:ind w:left="40" w:right="1239"/>
        <w:spacing w:after="0" w:line="249" w:lineRule="auto"/>
        <w:rPr>
          <w:sz w:val="20"/>
          <w:szCs w:val="20"/>
          <w:color w:val="auto"/>
        </w:rPr>
      </w:pPr>
      <w:r>
        <w:rPr>
          <w:rFonts w:ascii="Arial" w:cs="Arial" w:eastAsia="Arial" w:hAnsi="Arial"/>
          <w:sz w:val="17"/>
          <w:szCs w:val="17"/>
          <w:color w:val="auto"/>
        </w:rPr>
        <w:t>practicable date before the printing of this proxy statement/prospectus, the closing sale price of Vringo common stock was $________ per share. Innovate/Protect is a privately held intellectual property company. Following the completion of the Merger, the combined company is expected to be publicly traded on the NYSE Amex.</w:t>
      </w:r>
    </w:p>
    <w:p>
      <w:pPr>
        <w:spacing w:after="0" w:line="81"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Vringo is soliciting proxies for use at an annual meeting of its stockholders to consider and vote upon (i) a proposal to approve the Merger, including, but not limited to the issuance of shares of Vringo common stock and Vringo preferred stock and warrants to purchase shares of Vringo common stock to the Innovate/Protect stockholders and warrantholder in connection with the Merger, (ii) a proposal to approve an amendment to Vringo’s certificate of incorporation to effect a reverse stock split of Vringo common stock within the range of one-for-two to one-for-four, (iii) a proposal to approve an amendment to Vringo’s certificate of incorporation to increase the number of authorized shares of Vringo common stock to up to a maximum of 150,000,000 shares, (iv) a proposal to elect seven (7) director nominees to the Vringo board of directors, (v) a proposal to approve the Vringo, Inc. 2012 Employee, Director and Consultant Equity Incentive Plan, (vi) a proposal to ratify the appointment of Vringo’s independent registered public accounting firm and (vii) an adjournment of the Vringo annual meeting, if necessary, to solicit additional proxies if there are not sufficient votes in favor of the proposals referred to in clauses (i) through (vi). </w:t>
      </w:r>
      <w:r>
        <w:rPr>
          <w:rFonts w:ascii="Arial" w:cs="Arial" w:eastAsia="Arial" w:hAnsi="Arial"/>
          <w:sz w:val="15"/>
          <w:szCs w:val="15"/>
          <w:b w:val="1"/>
          <w:bCs w:val="1"/>
          <w:color w:val="auto"/>
        </w:rPr>
        <w:t>The board of directors of Vringo recommends</w:t>
      </w:r>
      <w:r>
        <w:rPr>
          <w:rFonts w:ascii="Arial" w:cs="Arial" w:eastAsia="Arial" w:hAnsi="Arial"/>
          <w:sz w:val="15"/>
          <w:szCs w:val="15"/>
          <w:color w:val="auto"/>
        </w:rPr>
        <w:t xml:space="preserve"> </w:t>
      </w:r>
      <w:r>
        <w:rPr>
          <w:rFonts w:ascii="Arial" w:cs="Arial" w:eastAsia="Arial" w:hAnsi="Arial"/>
          <w:sz w:val="15"/>
          <w:szCs w:val="15"/>
          <w:b w:val="1"/>
          <w:bCs w:val="1"/>
          <w:color w:val="auto"/>
        </w:rPr>
        <w:t>that Vringo stockholders vote FOR each of the foregoing proposals. Approval of the foregoing proposals (i) through (iv) is necessary to complete the Merger</w:t>
      </w:r>
      <w:r>
        <w:rPr>
          <w:rFonts w:ascii="Arial" w:cs="Arial" w:eastAsia="Arial" w:hAnsi="Arial"/>
          <w:sz w:val="15"/>
          <w:szCs w:val="15"/>
          <w:color w:val="auto"/>
        </w:rPr>
        <w:t>.</w:t>
      </w:r>
    </w:p>
    <w:p>
      <w:pPr>
        <w:spacing w:after="0" w:line="53" w:lineRule="exact"/>
        <w:rPr>
          <w:sz w:val="20"/>
          <w:szCs w:val="20"/>
          <w:color w:val="auto"/>
        </w:rPr>
      </w:pPr>
    </w:p>
    <w:p>
      <w:pPr>
        <w:jc w:val="both"/>
        <w:ind w:left="40" w:right="1239" w:firstLine="251"/>
        <w:spacing w:after="0" w:line="254" w:lineRule="auto"/>
        <w:rPr>
          <w:sz w:val="20"/>
          <w:szCs w:val="20"/>
          <w:color w:val="auto"/>
        </w:rPr>
      </w:pPr>
      <w:r>
        <w:rPr>
          <w:rFonts w:ascii="Arial" w:cs="Arial" w:eastAsia="Arial" w:hAnsi="Arial"/>
          <w:sz w:val="17"/>
          <w:szCs w:val="17"/>
          <w:b w:val="1"/>
          <w:bCs w:val="1"/>
          <w:color w:val="auto"/>
        </w:rPr>
        <w:t>Your vote is very important</w:t>
      </w:r>
      <w:r>
        <w:rPr>
          <w:rFonts w:ascii="Arial" w:cs="Arial" w:eastAsia="Arial" w:hAnsi="Arial"/>
          <w:sz w:val="17"/>
          <w:szCs w:val="17"/>
          <w:color w:val="auto"/>
        </w:rPr>
        <w:t>. Whether or not you plan to attend the Vringo annual meeting of stockholders, please submit</w:t>
      </w:r>
      <w:r>
        <w:rPr>
          <w:rFonts w:ascii="Arial" w:cs="Arial" w:eastAsia="Arial" w:hAnsi="Arial"/>
          <w:sz w:val="17"/>
          <w:szCs w:val="17"/>
          <w:b w:val="1"/>
          <w:bCs w:val="1"/>
          <w:color w:val="auto"/>
        </w:rPr>
        <w:t xml:space="preserve"> </w:t>
      </w:r>
      <w:r>
        <w:rPr>
          <w:rFonts w:ascii="Arial" w:cs="Arial" w:eastAsia="Arial" w:hAnsi="Arial"/>
          <w:sz w:val="17"/>
          <w:szCs w:val="17"/>
          <w:color w:val="auto"/>
        </w:rPr>
        <w:t>your proxy as promptly as possible (i) through the Internet, (ii) by telephone or (iii) by marking, signing and dating the enclosed proxy card and returning it in the postage-paid envelope provided to make sure that your shares are represented at the annual meeting.</w:t>
      </w:r>
    </w:p>
    <w:p>
      <w:pPr>
        <w:spacing w:after="0" w:line="79"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This proxy statement/prospectus provides you with detailed information about the Vringo annual meeting, the Merger and the other business to be considered by Vringo stockholders at the annual meeting. In addition to being a proxy statement, this document</w:t>
      </w:r>
    </w:p>
    <w:p>
      <w:pPr>
        <w:sectPr>
          <w:pgSz w:w="11900" w:h="16948" w:orient="portrait"/>
          <w:cols w:equalWidth="0" w:num="1">
            <w:col w:w="10099"/>
          </w:cols>
          <w:pgMar w:left="360" w:top="746" w:right="1440" w:bottom="0" w:gutter="0" w:footer="0" w:header="0"/>
        </w:sectPr>
      </w:pPr>
    </w:p>
    <w:bookmarkStart w:id="4" w:name="page5"/>
    <w:bookmarkEnd w:id="4"/>
    <w:p>
      <w:pPr>
        <w:jc w:val="both"/>
        <w:ind w:right="1239"/>
        <w:spacing w:after="0" w:line="297" w:lineRule="auto"/>
        <w:rPr>
          <w:sz w:val="20"/>
          <w:szCs w:val="20"/>
          <w:color w:val="auto"/>
        </w:rPr>
      </w:pPr>
      <w:r>
        <w:rPr>
          <w:rFonts w:ascii="Arial" w:cs="Arial" w:eastAsia="Arial" w:hAnsi="Arial"/>
          <w:sz w:val="15"/>
          <w:szCs w:val="15"/>
          <w:color w:val="auto"/>
        </w:rPr>
        <w:t xml:space="preserve">is also a prospectus to be used by Vringo when issuing Vringo common stock and preferred stock, the warrants to purchase common stock and the shares of common stock underlying such preferred stock and warrants to be issued to the Innovate/Protect stockholders and warrantholder in connection with the Merger. </w:t>
      </w:r>
      <w:r>
        <w:rPr>
          <w:rFonts w:ascii="Arial" w:cs="Arial" w:eastAsia="Arial" w:hAnsi="Arial"/>
          <w:sz w:val="15"/>
          <w:szCs w:val="15"/>
          <w:b w:val="1"/>
          <w:bCs w:val="1"/>
          <w:color w:val="auto"/>
        </w:rPr>
        <w:t>Vringo encourages you to read the entire document carefully.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Please pay particular attention to the section entitled “Risk Factors” beginning on page </w:t>
      </w:r>
      <w:r>
        <w:rPr>
          <w:rFonts w:ascii="Arial" w:cs="Arial" w:eastAsia="Arial" w:hAnsi="Arial"/>
          <w:sz w:val="15"/>
          <w:szCs w:val="15"/>
          <w:b w:val="1"/>
          <w:bCs w:val="1"/>
          <w:u w:val="single" w:color="auto"/>
          <w:color w:val="0000EE"/>
        </w:rPr>
        <w:t>41</w:t>
      </w:r>
      <w:r>
        <w:rPr>
          <w:rFonts w:ascii="Arial" w:cs="Arial" w:eastAsia="Arial" w:hAnsi="Arial"/>
          <w:sz w:val="15"/>
          <w:szCs w:val="15"/>
          <w:b w:val="1"/>
          <w:bCs w:val="1"/>
          <w:color w:val="auto"/>
        </w:rPr>
        <w:t xml:space="preserve"> for a discussion of the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384175</wp:posOffset>
            </wp:positionV>
            <wp:extent cx="5674360" cy="57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59"/>
          </w:cols>
          <w:pgMar w:left="400" w:top="127" w:right="1440"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7"/>
          <w:szCs w:val="17"/>
          <w:b w:val="1"/>
          <w:bCs w:val="1"/>
          <w:color w:val="auto"/>
        </w:rPr>
        <w:t>related to the Merger, the combined company following the completion of the Merger, and the business and operations of each of Vringo and Innovate/Protect.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Andrew D. Perlman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Chief Executive Officer and President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color w:val="auto"/>
        </w:rPr>
        <w:t>Vringo, Inc.</w:t>
      </w:r>
    </w:p>
    <w:p>
      <w:pPr>
        <w:spacing w:after="0" w:line="8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to be issued in connection with the Merger or determined if this proxy statement/prospectus is accurate or complete. Any representation to the contrary is a criminal offense.</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43"/>
        </w:trPr>
        <w:tc>
          <w:tcPr>
            <w:tcW w:w="3120" w:type="dxa"/>
            <w:vAlign w:val="bottom"/>
            <w:gridSpan w:val="3"/>
            <w:vMerge w:val="restart"/>
          </w:tcPr>
          <w:p>
            <w:pPr>
              <w:ind w:left="260"/>
              <w:spacing w:after="0"/>
              <w:rPr>
                <w:sz w:val="20"/>
                <w:szCs w:val="20"/>
                <w:color w:val="auto"/>
              </w:rPr>
            </w:pPr>
            <w:r>
              <w:rPr>
                <w:rFonts w:ascii="Arial" w:cs="Arial" w:eastAsia="Arial" w:hAnsi="Arial"/>
                <w:sz w:val="17"/>
                <w:szCs w:val="17"/>
                <w:color w:val="auto"/>
                <w:w w:val="91"/>
              </w:rPr>
              <w:t>This proxy statement/prospectus is dated</w:t>
            </w:r>
          </w:p>
        </w:tc>
        <w:tc>
          <w:tcPr>
            <w:tcW w:w="600" w:type="dxa"/>
            <w:vAlign w:val="bottom"/>
            <w:tcBorders>
              <w:bottom w:val="single" w:sz="8" w:color="auto"/>
            </w:tcBorders>
          </w:tcPr>
          <w:p>
            <w:pPr>
              <w:spacing w:after="0"/>
              <w:rPr>
                <w:sz w:val="12"/>
                <w:szCs w:val="12"/>
                <w:color w:val="auto"/>
              </w:rPr>
            </w:pPr>
          </w:p>
        </w:tc>
        <w:tc>
          <w:tcPr>
            <w:tcW w:w="6280" w:type="dxa"/>
            <w:vAlign w:val="bottom"/>
            <w:vMerge w:val="restart"/>
          </w:tcPr>
          <w:p>
            <w:pPr>
              <w:spacing w:after="0"/>
              <w:rPr>
                <w:sz w:val="20"/>
                <w:szCs w:val="20"/>
                <w:color w:val="auto"/>
              </w:rPr>
            </w:pPr>
            <w:r>
              <w:rPr>
                <w:rFonts w:ascii="Arial" w:cs="Arial" w:eastAsia="Arial" w:hAnsi="Arial"/>
                <w:sz w:val="17"/>
                <w:szCs w:val="17"/>
                <w:color w:val="auto"/>
              </w:rPr>
              <w:t>, 2012 and is first being mailed to the stockholders of Vringo on or about</w:t>
            </w:r>
          </w:p>
        </w:tc>
        <w:tc>
          <w:tcPr>
            <w:tcW w:w="0" w:type="dxa"/>
            <w:vAlign w:val="bottom"/>
          </w:tcPr>
          <w:p>
            <w:pPr>
              <w:spacing w:after="0"/>
              <w:rPr>
                <w:sz w:val="1"/>
                <w:szCs w:val="1"/>
                <w:color w:val="auto"/>
              </w:rPr>
            </w:pPr>
          </w:p>
        </w:tc>
      </w:tr>
      <w:tr>
        <w:trPr>
          <w:trHeight w:val="38"/>
        </w:trPr>
        <w:tc>
          <w:tcPr>
            <w:tcW w:w="312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6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600" w:type="dxa"/>
            <w:vAlign w:val="bottom"/>
            <w:tcBorders>
              <w:bottom w:val="single" w:sz="8" w:color="auto"/>
            </w:tcBorders>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6"/>
                <w:szCs w:val="16"/>
                <w:color w:val="auto"/>
                <w:w w:val="89"/>
              </w:rPr>
              <w:t>, 2012.</w:t>
            </w:r>
          </w:p>
        </w:tc>
        <w:tc>
          <w:tcPr>
            <w:tcW w:w="2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4"/>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62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REFERENCES TO ADDITIONAL INFORMATION</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This proxy statement/prospectus references important business and financial information about Vringo that is not included in or delivered with this proxy statement/prospectus. Vringo and its proxy solicitor, Morrow &amp; Co., LLC (Morrow), will provide you with copies of this information (excluding all exhibits) relating to Vringo, without charge, upon written or oral request. You can obtain these documents, which are referred to in this proxy statement/prospectus, by requesting them in writing or by telephone from Vringo or Morrow, Vringo’s proxy solicitor, at the following address and telephone number,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3755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55390" cy="8255"/>
                    </a:xfrm>
                    <a:prstGeom prst="rect">
                      <a:avLst/>
                    </a:prstGeom>
                    <a:noFill/>
                  </pic:spPr>
                </pic:pic>
              </a:graphicData>
            </a:graphic>
          </wp:anchor>
        </w:drawing>
      </w:r>
    </w:p>
    <w:p>
      <w:pPr>
        <w:spacing w:after="0"/>
        <w:tabs>
          <w:tab w:leader="none" w:pos="3660" w:val="left"/>
        </w:tabs>
        <w:rPr>
          <w:sz w:val="20"/>
          <w:szCs w:val="20"/>
          <w:color w:val="auto"/>
        </w:rPr>
      </w:pPr>
      <w:r>
        <w:rPr>
          <w:rFonts w:ascii="Arial" w:cs="Arial" w:eastAsia="Arial" w:hAnsi="Arial"/>
          <w:sz w:val="17"/>
          <w:szCs w:val="17"/>
          <w:color w:val="auto"/>
        </w:rPr>
        <w:t>Vringo, Inc.</w:t>
      </w:r>
      <w:r>
        <w:rPr>
          <w:sz w:val="20"/>
          <w:szCs w:val="20"/>
          <w:color w:val="auto"/>
        </w:rPr>
        <w:tab/>
      </w:r>
      <w:r>
        <w:rPr>
          <w:rFonts w:ascii="Arial" w:cs="Arial" w:eastAsia="Arial" w:hAnsi="Arial"/>
          <w:sz w:val="16"/>
          <w:szCs w:val="16"/>
          <w:color w:val="auto"/>
        </w:rPr>
        <w:t>Morrow &amp; Co., LLC</w:t>
      </w:r>
    </w:p>
    <w:p>
      <w:pPr>
        <w:spacing w:after="0" w:line="5"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44 W. 28th Street, Suite 1414</w:t>
      </w:r>
      <w:r>
        <w:rPr>
          <w:sz w:val="20"/>
          <w:szCs w:val="20"/>
          <w:color w:val="auto"/>
        </w:rPr>
        <w:tab/>
      </w:r>
      <w:r>
        <w:rPr>
          <w:rFonts w:ascii="Arial" w:cs="Arial" w:eastAsia="Arial" w:hAnsi="Arial"/>
          <w:sz w:val="14"/>
          <w:szCs w:val="14"/>
          <w:color w:val="auto"/>
        </w:rPr>
        <w:t>470 West Avenue</w:t>
      </w:r>
    </w:p>
    <w:p>
      <w:pPr>
        <w:spacing w:after="0" w:line="5"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New York, New York 10001</w:t>
      </w:r>
      <w:r>
        <w:rPr>
          <w:sz w:val="20"/>
          <w:szCs w:val="20"/>
          <w:color w:val="auto"/>
        </w:rPr>
        <w:tab/>
      </w:r>
      <w:r>
        <w:rPr>
          <w:rFonts w:ascii="Arial" w:cs="Arial" w:eastAsia="Arial" w:hAnsi="Arial"/>
          <w:sz w:val="15"/>
          <w:szCs w:val="15"/>
          <w:color w:val="auto"/>
        </w:rPr>
        <w:t>Stamford, Connecticut 06902</w:t>
      </w:r>
    </w:p>
    <w:p>
      <w:pPr>
        <w:spacing w:after="0" w:line="5"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Attn: Corporate Secretary</w:t>
      </w:r>
      <w:r>
        <w:rPr>
          <w:sz w:val="20"/>
          <w:szCs w:val="20"/>
          <w:color w:val="auto"/>
        </w:rPr>
        <w:tab/>
      </w:r>
      <w:r>
        <w:rPr>
          <w:rFonts w:ascii="Arial" w:cs="Arial" w:eastAsia="Arial" w:hAnsi="Arial"/>
          <w:sz w:val="15"/>
          <w:szCs w:val="15"/>
          <w:color w:val="auto"/>
        </w:rPr>
        <w:t>(203) 658-9400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(646) 525-4319</w:t>
      </w:r>
    </w:p>
    <w:p>
      <w:pPr>
        <w:spacing w:after="0" w:line="9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order for you to receive timely delivery of the documents in advance of the Vringo annual meeting you must request the information no later than __________, 2012.</w:t>
      </w:r>
    </w:p>
    <w:p>
      <w:pPr>
        <w:spacing w:after="0" w:line="6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2012 Annual Meeting of Stockholders of Vringo to be held on [July 12, 2012]. This proxy statement/prospectus, a form of proxy card and Vringo’s Annual Report to Stockholders for 2011 are available on the Internet at </w:t>
      </w:r>
      <w:r>
        <w:rPr>
          <w:rFonts w:ascii="Arial" w:cs="Arial" w:eastAsia="Arial" w:hAnsi="Arial"/>
          <w:sz w:val="16"/>
          <w:szCs w:val="16"/>
          <w:b w:val="1"/>
          <w:bCs w:val="1"/>
          <w:i w:val="1"/>
          <w:iCs w:val="1"/>
          <w:color w:val="auto"/>
        </w:rPr>
        <w:t>https://materials.proxyvote.com/92911N.</w:t>
      </w:r>
    </w:p>
    <w:p>
      <w:pPr>
        <w:spacing w:after="0" w:line="153"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ABOUT THIS PROXY STATEMENT/PROSPECTUS</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This proxy statement/prospectus, which forms a part of a Registration Statement on Form S-4 filed with the Securities and Exchange Commission by Vringo (File No. 333-180609), constitutes a prospectus of Vringo under Section 5 of the Securities Act of 1933, as amended, with respect to the shares of Vringo common stock and preferred stock and the warrants (and the shares of common stock issuable upon conversion of the preferred stock and the exercise of the warrants) to be issued to the Innovate/Protect stockholders and warrantholder in connection with the Merger.</w:t>
      </w:r>
    </w:p>
    <w:p>
      <w:pPr>
        <w:spacing w:after="0" w:line="68"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This proxy statement/prospectus also constitutes a notice of meeting and a proxy statement under Section 14(a) of the Securities Exchange Act of 1934, as amended, with respect to a Vringo annual meeting, at which Vringo stockholders will be asked to consider and vote upon certain proposals, including (i) a proposal to approve the Merger, including, but not limited to, the issuance of shares of Vringo common stock and preferred stock and warrants (and the shares of common stock issuable upon conversion of the preferred stock and exercise of the warrants) to the Innovate/Protect stockholders and warrantholder in connection with the Merger, (ii) a proposal to amend Vringo’s certificate of incorporation to effect a reverse stock split of Vringo’s issued and outstanding common stock, (iii) a proposal to amend Vringo’s certificate of incorporation to increase the number of authorized shares of Vringo common stock, (iv) a proposal to elect seven (7) director nominees to the Vringo board of directors, (v) a proposal to approve the Vringo, Inc. 2012 Employee, Director and Consultant Equity Incentive Plan, (vi) a proposal to ratify the appointment of Somekh Chaikin, a member firm of KPMG International, as Vringo’s independent registered public accounting firm for the fiscal year ending December 31, 2012 and (vii) a proposal to approve the adjournment of the Vringo annual meeting, if necessary, to solicit additional proxies if there are not sufficient votes in favor of proposals (i) –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389255</wp:posOffset>
            </wp:positionV>
            <wp:extent cx="5674360" cy="57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2112010</wp:posOffset>
            </wp:positionH>
            <wp:positionV relativeFrom="paragraph">
              <wp:posOffset>125095</wp:posOffset>
            </wp:positionV>
            <wp:extent cx="1440180" cy="748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180"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44 W. 28th Street, Suite 1414</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New York, New York 10001</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(646) 525-4319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178435</wp:posOffset>
            </wp:positionV>
            <wp:extent cx="14319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TO BE HELD ON [July 12, 2012]</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 the Stockholders of Vringo, Inc.:</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annual meeting of stockholders of Vringo, Inc., a Delaware corporation, will be held on [July 12, 2012], at 10:00 a.m., local time, at the offices of Mintz, Levin, Cohn, Ferris, Glovsky and Popeo, P.C., the Chrysler Center, 666 Third Avenue, 32nd floor, New York, New York 10017, for the following purposes:</w:t>
      </w:r>
    </w:p>
    <w:p>
      <w:pPr>
        <w:spacing w:after="0" w:line="76" w:lineRule="exact"/>
        <w:rPr>
          <w:sz w:val="20"/>
          <w:szCs w:val="20"/>
          <w:color w:val="auto"/>
        </w:rPr>
      </w:pPr>
    </w:p>
    <w:p>
      <w:pPr>
        <w:jc w:val="both"/>
        <w:ind w:left="520" w:right="1239" w:hanging="260"/>
        <w:spacing w:after="0" w:line="251"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a merger, including, but not limited to the issuance of shares of Vringo common stock and preferred stock and warrants (and the shares of common stock issuable upon conversion of the preferred stock and exercise of the warrants) to the Innovate/Protect stockholders and warrantholder in connection with the merger contemplated by the Agreement and Plan of Merger, dated as of March 12, 2012, by and among Vringo, Innovate/Protect and VIP Merger Sub, Inc., a wholly-owned subsidiary of Vringo;</w:t>
      </w:r>
    </w:p>
    <w:p>
      <w:pPr>
        <w:spacing w:after="0" w:line="80"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amend Vringo’s amended and restated certificate of incorporation to effect a reverse stock split of Vringo’s issued and outstanding common stock within the range of one-for-two to one-for-four (with the exact amount, if any, to be determined prior to the completion of the merger based on the requirements of the NYSE Amex);</w:t>
      </w:r>
    </w:p>
    <w:p>
      <w:pPr>
        <w:spacing w:after="0" w:line="76"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amend Vringo’s amended and restated certificate of incorporation to increase the number of authorized shares of Vringo common stock from 28,000,000 to up to a maximum of 150,000,000 shares (with the exact amount to be determined prior to the completion of the merger);</w:t>
      </w:r>
    </w:p>
    <w:p>
      <w:pPr>
        <w:spacing w:after="0" w:line="76" w:lineRule="exact"/>
        <w:rPr>
          <w:rFonts w:ascii="Arial" w:cs="Arial" w:eastAsia="Arial" w:hAnsi="Arial"/>
          <w:sz w:val="17"/>
          <w:szCs w:val="17"/>
          <w:color w:val="auto"/>
        </w:rPr>
      </w:pPr>
    </w:p>
    <w:p>
      <w:pPr>
        <w:jc w:val="both"/>
        <w:ind w:left="520" w:right="1239" w:hanging="260"/>
        <w:spacing w:after="0" w:line="307" w:lineRule="auto"/>
        <w:tabs>
          <w:tab w:leader="none" w:pos="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elect seven (7) director nominees to the Vringo board of directors as specified in “Vringo Proposal No. 4: Election of Directors” to serve until the next annual meeting of the Vringo stockholders or until their successors are duly elected and qualify or until their earlier death, resignation or removal, which election shall be subject to the closing of the merger;</w:t>
      </w:r>
    </w:p>
    <w:p>
      <w:pPr>
        <w:spacing w:after="0" w:line="39" w:lineRule="exact"/>
        <w:rPr>
          <w:rFonts w:ascii="Arial" w:cs="Arial" w:eastAsia="Arial" w:hAnsi="Arial"/>
          <w:sz w:val="15"/>
          <w:szCs w:val="15"/>
          <w:color w:val="auto"/>
        </w:rPr>
      </w:pPr>
    </w:p>
    <w:p>
      <w:pPr>
        <w:ind w:left="520" w:right="1239" w:hanging="260"/>
        <w:spacing w:after="0" w:line="267"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Vringo, Inc. 2012 Employee, Director and Consultant Equity Incentive Plan, as approved by the Vringo board of directors on _____________, 2012;</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ratify the appointment of Somekh Chaikin, a member firm of KPMG International, as Vringo’s independent registered public accounting firm for the fiscal year ending December 31, 2012;</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adjournment of the Vringo annual meeting, if necessary, to solicit additional proxies if there are not sufficient votes in favor of Vringo Proposal Nos. 1, 2, 3, 4, 5 or 6; and</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the Vringo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395605</wp:posOffset>
            </wp:positionV>
            <wp:extent cx="5674360" cy="57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The Vringo board of directors has determined that the merger, upon the terms and conditions set forth in the merger agreement, and the other transactions contemplated by the merger agreement are advisable and fair to, and in the best interests of, Vringo and its stockholders. The board of directors makes its recommendation to the Vringo stockholders after consideration of the factors described in this proxy statement/prospectus. </w:t>
      </w:r>
      <w:r>
        <w:rPr>
          <w:rFonts w:ascii="Arial" w:cs="Arial" w:eastAsia="Arial" w:hAnsi="Arial"/>
          <w:sz w:val="17"/>
          <w:szCs w:val="17"/>
          <w:b w:val="1"/>
          <w:bCs w:val="1"/>
          <w:color w:val="auto"/>
        </w:rPr>
        <w:t>The Vringo board of directors unanimously recommends that Vringo</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stockholders vote FOR each of the foregoing proposals.</w:t>
      </w:r>
    </w:p>
    <w:p>
      <w:pPr>
        <w:spacing w:after="0" w:line="80"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Vringo board of directors has fixed [June 8], 2012 as the record date for the determination of stockholders entitled to notice of, and to vote at, the Vringo annual meeting and any adjournment or postponement thereof. Only holders of record of shares of Vringo common stock at the close of business on the record date are entitled to notice of, and to vote at, the Vringo annual meeting. At the close of business on the record date, Vringo had __________shares of common stock outstanding and entitled to vote.</w:t>
      </w:r>
    </w:p>
    <w:p>
      <w:pPr>
        <w:spacing w:after="0" w:line="44"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b w:val="1"/>
          <w:bCs w:val="1"/>
          <w:color w:val="auto"/>
        </w:rPr>
        <w:t>Your vote is important</w:t>
      </w:r>
      <w:r>
        <w:rPr>
          <w:rFonts w:ascii="Arial" w:cs="Arial" w:eastAsia="Arial" w:hAnsi="Arial"/>
          <w:sz w:val="15"/>
          <w:szCs w:val="15"/>
          <w:color w:val="auto"/>
        </w:rPr>
        <w:t>. The affirmative vote of the holders of a majority of the shares of Vringo common stock present and</w:t>
      </w:r>
      <w:r>
        <w:rPr>
          <w:rFonts w:ascii="Arial" w:cs="Arial" w:eastAsia="Arial" w:hAnsi="Arial"/>
          <w:sz w:val="15"/>
          <w:szCs w:val="15"/>
          <w:b w:val="1"/>
          <w:bCs w:val="1"/>
          <w:color w:val="auto"/>
        </w:rPr>
        <w:t xml:space="preserve"> </w:t>
      </w:r>
      <w:r>
        <w:rPr>
          <w:rFonts w:ascii="Arial" w:cs="Arial" w:eastAsia="Arial" w:hAnsi="Arial"/>
          <w:sz w:val="15"/>
          <w:szCs w:val="15"/>
          <w:color w:val="auto"/>
        </w:rPr>
        <w:t>entitled to vote on the matter either in person or by proxy at the Vringo annual meeting is required for approval of Vringo Proposal Nos. 1, 5, 6 and 7. The affirmative vote of the holders of a majority of the outstanding shares of Vringo common stock entitled to vote on the matter either in person or by proxy at the Vringo annual meeting is required for approval of Vringo Proposal Nos. 2 and</w:t>
      </w:r>
    </w:p>
    <w:p>
      <w:pPr>
        <w:spacing w:after="0" w:line="2" w:lineRule="exact"/>
        <w:rPr>
          <w:sz w:val="20"/>
          <w:szCs w:val="20"/>
          <w:color w:val="auto"/>
        </w:rPr>
      </w:pPr>
    </w:p>
    <w:p>
      <w:pPr>
        <w:ind w:left="40" w:right="1239" w:firstLine="7"/>
        <w:spacing w:after="0" w:line="252" w:lineRule="auto"/>
        <w:tabs>
          <w:tab w:leader="none" w:pos="21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affirmative vote of a plurality of the voting power of the shares present or represented by proxy at the meeting and entitled to vote is required for the election of the directors set forth in Vringo Proposal No. 4.</w:t>
      </w:r>
    </w:p>
    <w:p>
      <w:pPr>
        <w:spacing w:after="0" w:line="74"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All Vringo stockholders of record are cordially invited to attend the Vringo annual meeting in person. </w:t>
      </w:r>
      <w:r>
        <w:rPr>
          <w:rFonts w:ascii="Arial" w:cs="Arial" w:eastAsia="Arial" w:hAnsi="Arial"/>
          <w:sz w:val="15"/>
          <w:szCs w:val="15"/>
          <w:b w:val="1"/>
          <w:bCs w:val="1"/>
          <w:color w:val="auto"/>
        </w:rPr>
        <w:t>However, even if you</w:t>
      </w:r>
      <w:r>
        <w:rPr>
          <w:rFonts w:ascii="Arial" w:cs="Arial" w:eastAsia="Arial" w:hAnsi="Arial"/>
          <w:sz w:val="15"/>
          <w:szCs w:val="15"/>
          <w:color w:val="auto"/>
        </w:rPr>
        <w:t xml:space="preserve"> </w:t>
      </w:r>
      <w:r>
        <w:rPr>
          <w:rFonts w:ascii="Arial" w:cs="Arial" w:eastAsia="Arial" w:hAnsi="Arial"/>
          <w:sz w:val="15"/>
          <w:szCs w:val="15"/>
          <w:b w:val="1"/>
          <w:bCs w:val="1"/>
          <w:color w:val="auto"/>
        </w:rPr>
        <w:t>plan to attend the Vringo annual meeting in person, Vringo urges you to submit your proxy as promptly as possible (i) through the Internet, (ii) by telephone or (iii) by marking, signing and dating the enclosed proxy card and returning it in the postage-paid envelope as instructed on the enclosed proxy card to ensure that your shares of Vringo common stock will be represented at the Vringo annual meeting if you are unable to attend. If you sign, date and mail your proxy card without indicating how you wish to vote, all of your shares will be voted FOR Vringo Proposal Nos. 1, 2, 3, 4, 5, 6 and 7. If you fail to submit your proxy as instructed on the enclosed proxy card, the effect will be that your shares will not be counted for purposes of determining whether a quorum is present at the Vringo annual meeting and will have the same effect as a vote against Vringo Proposal Nos. 2 and 3 but such failure will have no effect with respect to Vringo Proposal Nos. 1, 4, 5, 6 and 7. If you do attend the Vringo annual meeting and wish to vote in person, you may withdraw your proxy and vote in person.</w:t>
      </w:r>
    </w:p>
    <w:p>
      <w:pPr>
        <w:spacing w:after="0" w:line="61"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 xml:space="preserve">Pursuant to rules adopted by the Securities and Exchange Commission, Vringo has elected to provide access to the proxy materials of Vringo both by sending you this full set of proxy materials, including a proxy card, and by making a copy of the proxy materials available to you on the Internet. This proxy statement/prospectus, a form of proxy card and Vringo’s Annual Report to Stockholders for the year ended December 31, 2011 are available on the Internet at </w:t>
      </w:r>
      <w:r>
        <w:rPr>
          <w:rFonts w:ascii="Arial" w:cs="Arial" w:eastAsia="Arial" w:hAnsi="Arial"/>
          <w:sz w:val="15"/>
          <w:szCs w:val="15"/>
          <w:i w:val="1"/>
          <w:iCs w:val="1"/>
          <w:color w:val="auto"/>
        </w:rPr>
        <w:t>https://materials.proxyvote.com/92911N</w:t>
      </w:r>
      <w:r>
        <w:rPr>
          <w:rFonts w:ascii="Arial" w:cs="Arial" w:eastAsia="Arial" w:hAnsi="Arial"/>
          <w:sz w:val="15"/>
          <w:szCs w:val="15"/>
          <w:color w:val="auto"/>
        </w:rPr>
        <w:t>.</w:t>
      </w:r>
    </w:p>
    <w:p>
      <w:pPr>
        <w:spacing w:after="0" w:line="4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This proxy statement/prospectus provides you with detailed information about the merger and the other business to be considered by Vringo stockholders at the annual meeting. </w:t>
      </w:r>
      <w:r>
        <w:rPr>
          <w:rFonts w:ascii="Arial" w:cs="Arial" w:eastAsia="Arial" w:hAnsi="Arial"/>
          <w:sz w:val="17"/>
          <w:szCs w:val="17"/>
          <w:b w:val="1"/>
          <w:bCs w:val="1"/>
          <w:color w:val="auto"/>
        </w:rPr>
        <w:t>Vringo encourages you to read the entire document carefully. Please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pay particular attention to the section entitled “Risk Factors” beginning on page </w:t>
      </w:r>
      <w:r>
        <w:rPr>
          <w:rFonts w:ascii="Arial" w:cs="Arial" w:eastAsia="Arial" w:hAnsi="Arial"/>
          <w:sz w:val="17"/>
          <w:szCs w:val="17"/>
          <w:b w:val="1"/>
          <w:bCs w:val="1"/>
          <w:u w:val="single" w:color="auto"/>
          <w:color w:val="0000EE"/>
        </w:rPr>
        <w:t>41</w:t>
      </w:r>
      <w:r>
        <w:rPr>
          <w:rFonts w:ascii="Arial" w:cs="Arial" w:eastAsia="Arial" w:hAnsi="Arial"/>
          <w:sz w:val="17"/>
          <w:szCs w:val="17"/>
          <w:b w:val="1"/>
          <w:bCs w:val="1"/>
          <w:color w:val="auto"/>
        </w:rPr>
        <w:t xml:space="preserve"> for a discussion of the risks related to the merger, the combined company following the completion of the merger, and the business and operations of each of Vringo and Innovate/Protect.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 Order of the Board of Directors,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Andrew D. Perlman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Chief Executive Officer and President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412115</wp:posOffset>
            </wp:positionV>
            <wp:extent cx="5674360" cy="57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5622290" cy="130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2290" cy="1309370"/>
                    </a:xfrm>
                    <a:prstGeom prst="rect">
                      <a:avLst/>
                    </a:prstGeom>
                    <a:noFill/>
                  </pic:spPr>
                </pic:pic>
              </a:graphicData>
            </a:graphic>
          </wp:anchor>
        </w:drawing>
      </w:r>
    </w:p>
    <w:p>
      <w:pPr>
        <w:spacing w:after="0" w:line="298"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IMPORTANT</w:t>
      </w:r>
    </w:p>
    <w:p>
      <w:pPr>
        <w:spacing w:after="0" w:line="256" w:lineRule="exact"/>
        <w:rPr>
          <w:sz w:val="20"/>
          <w:szCs w:val="20"/>
          <w:color w:val="auto"/>
        </w:rPr>
      </w:pPr>
    </w:p>
    <w:p>
      <w:pPr>
        <w:jc w:val="both"/>
        <w:ind w:left="340" w:right="1279"/>
        <w:spacing w:after="0" w:line="289" w:lineRule="auto"/>
        <w:rPr>
          <w:sz w:val="20"/>
          <w:szCs w:val="20"/>
          <w:color w:val="auto"/>
        </w:rPr>
      </w:pPr>
      <w:r>
        <w:rPr>
          <w:rFonts w:ascii="Arial" w:cs="Arial" w:eastAsia="Arial" w:hAnsi="Arial"/>
          <w:sz w:val="15"/>
          <w:szCs w:val="15"/>
          <w:b w:val="1"/>
          <w:bCs w:val="1"/>
          <w:color w:val="auto"/>
        </w:rPr>
        <w:t>Your vote is important. Whether or not you expect to attend the Vringo annual meeting, please submit your proxy (i) through the Internet, (ii) by telephone or (iii) by marking, signing and dating the enclosed proxy card and returning it in the postage-paid envelope provided, as instructed in these materials as promptly as possible in order to ensure that your shares of Vringo common stock will be represented at the Vringo annual meeting. Even if you have voted by proxy, you may still vote in person if you attend the Vringo annual meeting and revoke your proxy. Please note, however, that if your shares are held in “street name” by a broker or other nominee and you wish to vote at the Vringo annual meeting, you must obtain a proxy issued in your name from such record holder prior to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570230</wp:posOffset>
            </wp:positionV>
            <wp:extent cx="5674360" cy="57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gridSpan w:val="17"/>
          </w:tcPr>
          <w:p>
            <w:pPr>
              <w:ind w:left="100"/>
              <w:spacing w:after="0"/>
              <w:rPr>
                <w:sz w:val="20"/>
                <w:szCs w:val="20"/>
                <w:color w:val="auto"/>
              </w:rPr>
            </w:pPr>
            <w:r>
              <w:rPr>
                <w:rFonts w:ascii="Arial" w:cs="Arial" w:eastAsia="Arial" w:hAnsi="Arial"/>
                <w:sz w:val="17"/>
                <w:szCs w:val="17"/>
                <w:b w:val="1"/>
                <w:bCs w:val="1"/>
                <w:color w:val="auto"/>
              </w:rPr>
              <w:t>TABLE OF CONTENTS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5360" w:type="dxa"/>
            <w:vAlign w:val="bottom"/>
            <w:gridSpan w:val="28"/>
          </w:tcPr>
          <w:p>
            <w:pPr>
              <w:spacing w:after="0" w:line="176" w:lineRule="exact"/>
              <w:rPr>
                <w:sz w:val="20"/>
                <w:szCs w:val="20"/>
                <w:color w:val="auto"/>
              </w:rPr>
            </w:pPr>
            <w:r>
              <w:rPr>
                <w:rFonts w:ascii="Arial" w:cs="Arial" w:eastAsia="Arial" w:hAnsi="Arial"/>
                <w:sz w:val="17"/>
                <w:szCs w:val="17"/>
                <w:color w:val="0000EE"/>
                <w:w w:val="94"/>
              </w:rPr>
              <w:t>QUESTIONS AND ANSWERS ABOUT THE MERGER AND THE VRINGO</w:t>
            </w:r>
          </w:p>
        </w:tc>
        <w:tc>
          <w:tcPr>
            <w:tcW w:w="1800" w:type="dxa"/>
            <w:vAlign w:val="bottom"/>
            <w:gridSpan w:val="6"/>
          </w:tcPr>
          <w:p>
            <w:pPr>
              <w:spacing w:after="0"/>
              <w:rPr>
                <w:sz w:val="15"/>
                <w:szCs w:val="15"/>
                <w:color w:val="auto"/>
              </w:rPr>
            </w:pPr>
          </w:p>
        </w:tc>
        <w:tc>
          <w:tcPr>
            <w:tcW w:w="460" w:type="dxa"/>
            <w:vAlign w:val="bottom"/>
            <w:gridSpan w:val="4"/>
          </w:tcPr>
          <w:p>
            <w:pPr>
              <w:jc w:val="right"/>
              <w:ind w:right="100"/>
              <w:spacing w:after="0" w:line="176" w:lineRule="exact"/>
              <w:rPr>
                <w:sz w:val="20"/>
                <w:szCs w:val="20"/>
                <w:color w:val="auto"/>
              </w:rPr>
            </w:pPr>
            <w:r>
              <w:rPr>
                <w:rFonts w:ascii="Arial" w:cs="Arial" w:eastAsia="Arial" w:hAnsi="Arial"/>
                <w:sz w:val="17"/>
                <w:szCs w:val="17"/>
                <w:color w:val="0000EE"/>
              </w:rPr>
              <w:t>1</w:t>
            </w:r>
          </w:p>
        </w:tc>
      </w:tr>
      <w:tr>
        <w:trPr>
          <w:trHeight w:val="180"/>
        </w:trPr>
        <w:tc>
          <w:tcPr>
            <w:tcW w:w="160" w:type="dxa"/>
            <w:vAlign w:val="bottom"/>
            <w:tcBorders>
              <w:top w:val="single" w:sz="8" w:color="0000EE"/>
            </w:tcBorders>
          </w:tcPr>
          <w:p>
            <w:pPr>
              <w:spacing w:after="0"/>
              <w:rPr>
                <w:sz w:val="15"/>
                <w:szCs w:val="15"/>
                <w:color w:val="auto"/>
              </w:rPr>
            </w:pPr>
          </w:p>
        </w:tc>
        <w:tc>
          <w:tcPr>
            <w:tcW w:w="5200" w:type="dxa"/>
            <w:vAlign w:val="bottom"/>
            <w:tcBorders>
              <w:top w:val="single" w:sz="8" w:color="0000EE"/>
            </w:tcBorders>
            <w:gridSpan w:val="27"/>
          </w:tcPr>
          <w:p>
            <w:pPr>
              <w:spacing w:after="0" w:line="180" w:lineRule="exact"/>
              <w:rPr>
                <w:sz w:val="20"/>
                <w:szCs w:val="20"/>
                <w:color w:val="auto"/>
              </w:rPr>
            </w:pPr>
            <w:r>
              <w:rPr>
                <w:rFonts w:ascii="Arial" w:cs="Arial" w:eastAsia="Arial" w:hAnsi="Arial"/>
                <w:sz w:val="17"/>
                <w:szCs w:val="17"/>
                <w:color w:val="0000EE"/>
              </w:rPr>
              <w:t>ANNUAL MEETING</w:t>
            </w:r>
          </w:p>
        </w:tc>
        <w:tc>
          <w:tcPr>
            <w:tcW w:w="1800" w:type="dxa"/>
            <w:vAlign w:val="bottom"/>
            <w:gridSpan w:val="6"/>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60" w:type="dxa"/>
            <w:vAlign w:val="bottom"/>
            <w:tcBorders>
              <w:bottom w:val="single" w:sz="8" w:color="0000EE"/>
            </w:tcBorders>
            <w:gridSpan w:val="3"/>
            <w:shd w:val="clear" w:color="auto" w:fill="CCFFCC"/>
          </w:tcPr>
          <w:p>
            <w:pPr>
              <w:spacing w:after="0" w:line="172" w:lineRule="exact"/>
              <w:rPr>
                <w:sz w:val="20"/>
                <w:szCs w:val="20"/>
                <w:color w:val="auto"/>
              </w:rPr>
            </w:pPr>
            <w:r>
              <w:rPr>
                <w:rFonts w:ascii="Arial" w:cs="Arial" w:eastAsia="Arial" w:hAnsi="Arial"/>
                <w:sz w:val="17"/>
                <w:szCs w:val="17"/>
                <w:color w:val="0000EE"/>
                <w:w w:val="96"/>
              </w:rPr>
              <w:t>SUMMARY</w:t>
            </w:r>
          </w:p>
        </w:tc>
        <w:tc>
          <w:tcPr>
            <w:tcW w:w="6300" w:type="dxa"/>
            <w:vAlign w:val="bottom"/>
            <w:tcBorders>
              <w:bottom w:val="single" w:sz="8" w:color="CCFFCC"/>
            </w:tcBorders>
            <w:gridSpan w:val="31"/>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13</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2"/>
        </w:trPr>
        <w:tc>
          <w:tcPr>
            <w:tcW w:w="160" w:type="dxa"/>
            <w:vAlign w:val="bottom"/>
          </w:tcPr>
          <w:p>
            <w:pPr>
              <w:spacing w:after="0"/>
              <w:rPr>
                <w:sz w:val="14"/>
                <w:szCs w:val="14"/>
                <w:color w:val="auto"/>
              </w:rPr>
            </w:pPr>
          </w:p>
        </w:tc>
        <w:tc>
          <w:tcPr>
            <w:tcW w:w="1080" w:type="dxa"/>
            <w:vAlign w:val="bottom"/>
            <w:tcBorders>
              <w:bottom w:val="single" w:sz="8" w:color="0000EE"/>
            </w:tcBorders>
            <w:gridSpan w:val="6"/>
          </w:tcPr>
          <w:p>
            <w:pPr>
              <w:spacing w:after="0" w:line="163" w:lineRule="exact"/>
              <w:rPr>
                <w:sz w:val="20"/>
                <w:szCs w:val="20"/>
                <w:color w:val="auto"/>
              </w:rPr>
            </w:pPr>
            <w:r>
              <w:rPr>
                <w:rFonts w:ascii="Arial" w:cs="Arial" w:eastAsia="Arial" w:hAnsi="Arial"/>
                <w:sz w:val="17"/>
                <w:szCs w:val="17"/>
                <w:color w:val="0000EE"/>
                <w:w w:val="86"/>
              </w:rPr>
              <w:t>The Companies</w:t>
            </w:r>
          </w:p>
        </w:tc>
        <w:tc>
          <w:tcPr>
            <w:tcW w:w="5920" w:type="dxa"/>
            <w:vAlign w:val="bottom"/>
            <w:gridSpan w:val="27"/>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13</w:t>
            </w:r>
          </w:p>
        </w:tc>
        <w:tc>
          <w:tcPr>
            <w:tcW w:w="100" w:type="dxa"/>
            <w:vAlign w:val="bottom"/>
          </w:tcPr>
          <w:p>
            <w:pPr>
              <w:spacing w:after="0"/>
              <w:rPr>
                <w:sz w:val="14"/>
                <w:szCs w:val="14"/>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900" w:type="dxa"/>
            <w:vAlign w:val="bottom"/>
            <w:tcBorders>
              <w:bottom w:val="single" w:sz="8" w:color="0000EE"/>
              <w:right w:val="single" w:sz="8" w:color="CCFFCC"/>
            </w:tcBorders>
            <w:gridSpan w:val="3"/>
            <w:shd w:val="clear" w:color="auto" w:fill="CCFFCC"/>
          </w:tcPr>
          <w:p>
            <w:pPr>
              <w:spacing w:after="0" w:line="172" w:lineRule="exact"/>
              <w:rPr>
                <w:sz w:val="20"/>
                <w:szCs w:val="20"/>
                <w:color w:val="auto"/>
              </w:rPr>
            </w:pPr>
            <w:r>
              <w:rPr>
                <w:rFonts w:ascii="Arial" w:cs="Arial" w:eastAsia="Arial" w:hAnsi="Arial"/>
                <w:sz w:val="17"/>
                <w:szCs w:val="17"/>
                <w:color w:val="0000EE"/>
                <w:w w:val="97"/>
              </w:rPr>
              <w:t>The Merger</w:t>
            </w:r>
          </w:p>
        </w:tc>
        <w:tc>
          <w:tcPr>
            <w:tcW w:w="6100" w:type="dxa"/>
            <w:vAlign w:val="bottom"/>
            <w:tcBorders>
              <w:bottom w:val="single" w:sz="8" w:color="CCFFCC"/>
            </w:tcBorders>
            <w:gridSpan w:val="30"/>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14</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What Innovate/Protect Stockholders Will Receive in the Merger</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14</w:t>
            </w:r>
          </w:p>
        </w:tc>
        <w:tc>
          <w:tcPr>
            <w:tcW w:w="10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5020" w:type="dxa"/>
            <w:vAlign w:val="bottom"/>
            <w:tcBorders>
              <w:bottom w:val="single" w:sz="8" w:color="0000EE"/>
            </w:tcBorders>
            <w:gridSpan w:val="25"/>
            <w:shd w:val="clear" w:color="auto" w:fill="CCFFCC"/>
          </w:tcPr>
          <w:p>
            <w:pPr>
              <w:spacing w:after="0" w:line="172" w:lineRule="exact"/>
              <w:rPr>
                <w:sz w:val="20"/>
                <w:szCs w:val="20"/>
                <w:color w:val="auto"/>
              </w:rPr>
            </w:pPr>
            <w:r>
              <w:rPr>
                <w:rFonts w:ascii="Arial" w:cs="Arial" w:eastAsia="Arial" w:hAnsi="Arial"/>
                <w:sz w:val="17"/>
                <w:szCs w:val="17"/>
                <w:color w:val="0000EE"/>
                <w:w w:val="90"/>
              </w:rPr>
              <w:t>Ownership of the Combined Company After the Completion of the Merger</w:t>
            </w:r>
          </w:p>
        </w:tc>
        <w:tc>
          <w:tcPr>
            <w:tcW w:w="1980" w:type="dxa"/>
            <w:vAlign w:val="bottom"/>
            <w:tcBorders>
              <w:bottom w:val="single" w:sz="8" w:color="CCFFCC"/>
            </w:tcBorders>
            <w:gridSpan w:val="8"/>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15</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Treatment of Innovate/Protect Stock Options and Warrants</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15</w:t>
            </w:r>
          </w:p>
        </w:tc>
        <w:tc>
          <w:tcPr>
            <w:tcW w:w="10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Treatment of Vringo Stock Options; Change of Control Payments</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16</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CCFFCC"/>
            </w:tcBorders>
            <w:shd w:val="clear" w:color="auto" w:fill="0000EE"/>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160" w:type="dxa"/>
            <w:vAlign w:val="bottom"/>
            <w:tcBorders>
              <w:bottom w:val="single" w:sz="8" w:color="0000EE"/>
            </w:tcBorders>
            <w:gridSpan w:val="31"/>
          </w:tcPr>
          <w:p>
            <w:pPr>
              <w:spacing w:after="0" w:line="163" w:lineRule="exact"/>
              <w:rPr>
                <w:sz w:val="20"/>
                <w:szCs w:val="20"/>
                <w:color w:val="auto"/>
              </w:rPr>
            </w:pPr>
            <w:r>
              <w:rPr>
                <w:rFonts w:ascii="Arial" w:cs="Arial" w:eastAsia="Arial" w:hAnsi="Arial"/>
                <w:sz w:val="17"/>
                <w:szCs w:val="17"/>
                <w:color w:val="0000EE"/>
                <w:w w:val="90"/>
              </w:rPr>
              <w:t>Board of Directors and Executive Officers of the Combined Company After the Completion</w:t>
            </w:r>
          </w:p>
        </w:tc>
        <w:tc>
          <w:tcPr>
            <w:tcW w:w="8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16</w:t>
            </w:r>
          </w:p>
        </w:tc>
        <w:tc>
          <w:tcPr>
            <w:tcW w:w="100" w:type="dxa"/>
            <w:vAlign w:val="bottom"/>
          </w:tcPr>
          <w:p>
            <w:pPr>
              <w:spacing w:after="0"/>
              <w:rPr>
                <w:sz w:val="14"/>
                <w:szCs w:val="14"/>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20" w:type="dxa"/>
            <w:vAlign w:val="bottom"/>
            <w:gridSpan w:val="32"/>
          </w:tcPr>
          <w:p>
            <w:pPr>
              <w:spacing w:after="0" w:line="180" w:lineRule="exact"/>
              <w:rPr>
                <w:sz w:val="20"/>
                <w:szCs w:val="20"/>
                <w:color w:val="auto"/>
              </w:rPr>
            </w:pPr>
            <w:r>
              <w:rPr>
                <w:rFonts w:ascii="Arial" w:cs="Arial" w:eastAsia="Arial" w:hAnsi="Arial"/>
                <w:sz w:val="17"/>
                <w:szCs w:val="17"/>
                <w:color w:val="0000EE"/>
              </w:rPr>
              <w:t>of the Merger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60" w:type="dxa"/>
            <w:vAlign w:val="bottom"/>
            <w:shd w:val="clear" w:color="auto" w:fill="CCFFCC"/>
          </w:tcPr>
          <w:p>
            <w:pPr>
              <w:spacing w:after="0"/>
              <w:rPr>
                <w:sz w:val="16"/>
                <w:szCs w:val="16"/>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Recommendations of the Vringo Board of Directors and its Reasons for the Merger</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16</w:t>
            </w:r>
          </w:p>
        </w:tc>
        <w:tc>
          <w:tcPr>
            <w:tcW w:w="100" w:type="dxa"/>
            <w:vAlign w:val="bottom"/>
            <w:shd w:val="clear" w:color="auto" w:fill="CCFFCC"/>
          </w:tcPr>
          <w:p>
            <w:pPr>
              <w:spacing w:after="0"/>
              <w:rPr>
                <w:sz w:val="16"/>
                <w:szCs w:val="16"/>
                <w:color w:val="auto"/>
              </w:rPr>
            </w:pPr>
          </w:p>
        </w:tc>
      </w:tr>
      <w:tr>
        <w:trPr>
          <w:trHeight w:val="163"/>
        </w:trPr>
        <w:tc>
          <w:tcPr>
            <w:tcW w:w="160" w:type="dxa"/>
            <w:vAlign w:val="bottom"/>
            <w:tcBorders>
              <w:top w:val="single" w:sz="8" w:color="CCFFCC"/>
            </w:tcBorders>
          </w:tcPr>
          <w:p>
            <w:pPr>
              <w:spacing w:after="0"/>
              <w:rPr>
                <w:sz w:val="14"/>
                <w:szCs w:val="14"/>
                <w:color w:val="auto"/>
              </w:rPr>
            </w:pPr>
          </w:p>
        </w:tc>
        <w:tc>
          <w:tcPr>
            <w:tcW w:w="5560" w:type="dxa"/>
            <w:vAlign w:val="bottom"/>
            <w:tcBorders>
              <w:top w:val="single" w:sz="8" w:color="0000EE"/>
            </w:tcBorders>
            <w:gridSpan w:val="29"/>
          </w:tcPr>
          <w:p>
            <w:pPr>
              <w:spacing w:after="0" w:line="163" w:lineRule="exact"/>
              <w:rPr>
                <w:sz w:val="20"/>
                <w:szCs w:val="20"/>
                <w:color w:val="auto"/>
              </w:rPr>
            </w:pPr>
            <w:r>
              <w:rPr>
                <w:rFonts w:ascii="Arial" w:cs="Arial" w:eastAsia="Arial" w:hAnsi="Arial"/>
                <w:sz w:val="17"/>
                <w:szCs w:val="17"/>
                <w:color w:val="0000EE"/>
              </w:rPr>
              <w:t>Opinion of Etico Capital to the Vringo Board of Directors</w:t>
            </w:r>
          </w:p>
        </w:tc>
        <w:tc>
          <w:tcPr>
            <w:tcW w:w="1440" w:type="dxa"/>
            <w:vAlign w:val="bottom"/>
            <w:tcBorders>
              <w:top w:val="single" w:sz="8" w:color="CCFFCC"/>
            </w:tcBorders>
            <w:gridSpan w:val="4"/>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17</w:t>
            </w:r>
          </w:p>
        </w:tc>
        <w:tc>
          <w:tcPr>
            <w:tcW w:w="100" w:type="dxa"/>
            <w:vAlign w:val="bottom"/>
            <w:tcBorders>
              <w:top w:val="single" w:sz="8" w:color="CCFFCC"/>
            </w:tcBorders>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60" w:type="dxa"/>
            <w:vAlign w:val="bottom"/>
            <w:shd w:val="clear" w:color="auto" w:fill="CCFFCC"/>
          </w:tcPr>
          <w:p>
            <w:pPr>
              <w:spacing w:after="0"/>
              <w:rPr>
                <w:sz w:val="16"/>
                <w:szCs w:val="16"/>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Interests of Vringo Directors and Executive Officers in the Merger</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17</w:t>
            </w:r>
          </w:p>
        </w:tc>
        <w:tc>
          <w:tcPr>
            <w:tcW w:w="100" w:type="dxa"/>
            <w:vAlign w:val="bottom"/>
            <w:shd w:val="clear" w:color="auto" w:fill="CCFFCC"/>
          </w:tcPr>
          <w:p>
            <w:pPr>
              <w:spacing w:after="0"/>
              <w:rPr>
                <w:sz w:val="16"/>
                <w:szCs w:val="16"/>
                <w:color w:val="auto"/>
              </w:rPr>
            </w:pPr>
          </w:p>
        </w:tc>
      </w:tr>
      <w:tr>
        <w:trPr>
          <w:trHeight w:val="163"/>
        </w:trPr>
        <w:tc>
          <w:tcPr>
            <w:tcW w:w="160" w:type="dxa"/>
            <w:vAlign w:val="bottom"/>
            <w:tcBorders>
              <w:top w:val="single" w:sz="8" w:color="CCFFCC"/>
            </w:tcBorders>
          </w:tcPr>
          <w:p>
            <w:pPr>
              <w:spacing w:after="0"/>
              <w:rPr>
                <w:sz w:val="14"/>
                <w:szCs w:val="14"/>
                <w:color w:val="auto"/>
              </w:rPr>
            </w:pPr>
          </w:p>
        </w:tc>
        <w:tc>
          <w:tcPr>
            <w:tcW w:w="4440" w:type="dxa"/>
            <w:vAlign w:val="bottom"/>
            <w:tcBorders>
              <w:top w:val="single" w:sz="8" w:color="0000EE"/>
            </w:tcBorders>
            <w:gridSpan w:val="23"/>
          </w:tcPr>
          <w:p>
            <w:pPr>
              <w:spacing w:after="0" w:line="163" w:lineRule="exact"/>
              <w:rPr>
                <w:sz w:val="20"/>
                <w:szCs w:val="20"/>
                <w:color w:val="auto"/>
              </w:rPr>
            </w:pPr>
            <w:r>
              <w:rPr>
                <w:rFonts w:ascii="Arial" w:cs="Arial" w:eastAsia="Arial" w:hAnsi="Arial"/>
                <w:sz w:val="17"/>
                <w:szCs w:val="17"/>
                <w:color w:val="0000EE"/>
              </w:rPr>
              <w:t>Anticipated Accounting Treatment of the Merger</w:t>
            </w:r>
          </w:p>
        </w:tc>
        <w:tc>
          <w:tcPr>
            <w:tcW w:w="2560" w:type="dxa"/>
            <w:vAlign w:val="bottom"/>
            <w:tcBorders>
              <w:top w:val="single" w:sz="8" w:color="CCFFCC"/>
            </w:tcBorders>
            <w:gridSpan w:val="10"/>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19</w:t>
            </w:r>
          </w:p>
        </w:tc>
        <w:tc>
          <w:tcPr>
            <w:tcW w:w="100" w:type="dxa"/>
            <w:vAlign w:val="bottom"/>
            <w:tcBorders>
              <w:top w:val="single" w:sz="8" w:color="CCFFCC"/>
            </w:tcBorders>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4280" w:type="dxa"/>
            <w:vAlign w:val="bottom"/>
            <w:tcBorders>
              <w:bottom w:val="single" w:sz="8" w:color="0000EE"/>
              <w:right w:val="single" w:sz="8" w:color="CCFFCC"/>
            </w:tcBorders>
            <w:gridSpan w:val="22"/>
            <w:shd w:val="clear" w:color="auto" w:fill="CCFFCC"/>
          </w:tcPr>
          <w:p>
            <w:pPr>
              <w:spacing w:after="0" w:line="172" w:lineRule="exact"/>
              <w:rPr>
                <w:sz w:val="20"/>
                <w:szCs w:val="20"/>
                <w:color w:val="auto"/>
              </w:rPr>
            </w:pPr>
            <w:r>
              <w:rPr>
                <w:rFonts w:ascii="Arial" w:cs="Arial" w:eastAsia="Arial" w:hAnsi="Arial"/>
                <w:sz w:val="17"/>
                <w:szCs w:val="17"/>
                <w:color w:val="0000EE"/>
                <w:w w:val="88"/>
              </w:rPr>
              <w:t>Material U.S. Federal Income Tax Consequences of the Merger</w:t>
            </w:r>
          </w:p>
        </w:tc>
        <w:tc>
          <w:tcPr>
            <w:tcW w:w="2720" w:type="dxa"/>
            <w:vAlign w:val="bottom"/>
            <w:tcBorders>
              <w:bottom w:val="single" w:sz="8" w:color="CCFFCC"/>
            </w:tcBorders>
            <w:gridSpan w:val="11"/>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19</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w w:val="91"/>
              </w:rPr>
              <w:t>Restrictions on Sales of Shares of Vringo Common Stock Received By Innovate/Protect Stockholders</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19</w:t>
            </w:r>
          </w:p>
        </w:tc>
        <w:tc>
          <w:tcPr>
            <w:tcW w:w="100" w:type="dxa"/>
            <w:vAlign w:val="bottom"/>
          </w:tcPr>
          <w:p>
            <w:pPr>
              <w:spacing w:after="0"/>
              <w:rPr>
                <w:sz w:val="14"/>
                <w:szCs w:val="14"/>
                <w:color w:val="auto"/>
              </w:rPr>
            </w:pPr>
          </w:p>
        </w:tc>
      </w:tr>
      <w:tr>
        <w:trPr>
          <w:trHeight w:val="189"/>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900" w:type="dxa"/>
            <w:vAlign w:val="bottom"/>
            <w:tcBorders>
              <w:top w:val="single" w:sz="8" w:color="0000EE"/>
              <w:bottom w:val="single" w:sz="8" w:color="0000EE"/>
            </w:tcBorders>
            <w:gridSpan w:val="5"/>
          </w:tcPr>
          <w:p>
            <w:pPr>
              <w:spacing w:after="0" w:line="180" w:lineRule="exact"/>
              <w:rPr>
                <w:sz w:val="20"/>
                <w:szCs w:val="20"/>
                <w:color w:val="auto"/>
              </w:rPr>
            </w:pPr>
            <w:r>
              <w:rPr>
                <w:rFonts w:ascii="Arial" w:cs="Arial" w:eastAsia="Arial" w:hAnsi="Arial"/>
                <w:sz w:val="17"/>
                <w:szCs w:val="17"/>
                <w:color w:val="0000EE"/>
                <w:w w:val="85"/>
              </w:rPr>
              <w:t>in the Merger</w:t>
            </w:r>
          </w:p>
        </w:tc>
        <w:tc>
          <w:tcPr>
            <w:tcW w:w="5720" w:type="dxa"/>
            <w:vAlign w:val="bottom"/>
            <w:tcBorders>
              <w:top w:val="single" w:sz="8" w:color="0000EE"/>
            </w:tcBorders>
            <w:gridSpan w:val="26"/>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1140" w:type="dxa"/>
            <w:vAlign w:val="bottom"/>
            <w:tcBorders>
              <w:bottom w:val="single" w:sz="8" w:color="0000EE"/>
            </w:tcBorders>
            <w:gridSpan w:val="7"/>
            <w:shd w:val="clear" w:color="auto" w:fill="CCFFCC"/>
          </w:tcPr>
          <w:p>
            <w:pPr>
              <w:spacing w:after="0" w:line="172" w:lineRule="exact"/>
              <w:rPr>
                <w:sz w:val="20"/>
                <w:szCs w:val="20"/>
                <w:color w:val="auto"/>
              </w:rPr>
            </w:pPr>
            <w:r>
              <w:rPr>
                <w:rFonts w:ascii="Arial" w:cs="Arial" w:eastAsia="Arial" w:hAnsi="Arial"/>
                <w:sz w:val="17"/>
                <w:szCs w:val="17"/>
                <w:color w:val="0000EE"/>
                <w:w w:val="90"/>
              </w:rPr>
              <w:t>Appraisal Rights</w:t>
            </w:r>
          </w:p>
        </w:tc>
        <w:tc>
          <w:tcPr>
            <w:tcW w:w="5860" w:type="dxa"/>
            <w:vAlign w:val="bottom"/>
            <w:tcBorders>
              <w:bottom w:val="single" w:sz="8" w:color="CCFFCC"/>
            </w:tcBorders>
            <w:gridSpan w:val="26"/>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20</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Regulatory Approvals</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20</w:t>
            </w:r>
          </w:p>
        </w:tc>
        <w:tc>
          <w:tcPr>
            <w:tcW w:w="10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60" w:type="dxa"/>
            <w:vAlign w:val="bottom"/>
            <w:shd w:val="clear" w:color="auto" w:fill="CCFFCC"/>
          </w:tcPr>
          <w:p>
            <w:pPr>
              <w:spacing w:after="0"/>
              <w:rPr>
                <w:sz w:val="16"/>
                <w:szCs w:val="16"/>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Conditions to the Completion of the Merger</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20</w:t>
            </w:r>
          </w:p>
        </w:tc>
        <w:tc>
          <w:tcPr>
            <w:tcW w:w="100" w:type="dxa"/>
            <w:vAlign w:val="bottom"/>
            <w:shd w:val="clear" w:color="auto" w:fill="CCFFCC"/>
          </w:tcPr>
          <w:p>
            <w:pPr>
              <w:spacing w:after="0"/>
              <w:rPr>
                <w:sz w:val="16"/>
                <w:szCs w:val="16"/>
                <w:color w:val="auto"/>
              </w:rPr>
            </w:pPr>
          </w:p>
        </w:tc>
      </w:tr>
      <w:tr>
        <w:trPr>
          <w:trHeight w:val="172"/>
        </w:trPr>
        <w:tc>
          <w:tcPr>
            <w:tcW w:w="160" w:type="dxa"/>
            <w:vAlign w:val="bottom"/>
            <w:tcBorders>
              <w:top w:val="single" w:sz="8" w:color="CCFFCC"/>
            </w:tcBorders>
          </w:tcPr>
          <w:p>
            <w:pPr>
              <w:spacing w:after="0"/>
              <w:rPr>
                <w:sz w:val="14"/>
                <w:szCs w:val="14"/>
                <w:color w:val="auto"/>
              </w:rPr>
            </w:pPr>
          </w:p>
        </w:tc>
        <w:tc>
          <w:tcPr>
            <w:tcW w:w="1020" w:type="dxa"/>
            <w:vAlign w:val="bottom"/>
            <w:tcBorders>
              <w:top w:val="single" w:sz="8" w:color="0000EE"/>
              <w:bottom w:val="single" w:sz="8" w:color="0000EE"/>
            </w:tcBorders>
            <w:gridSpan w:val="5"/>
          </w:tcPr>
          <w:p>
            <w:pPr>
              <w:spacing w:after="0" w:line="163" w:lineRule="exact"/>
              <w:rPr>
                <w:sz w:val="20"/>
                <w:szCs w:val="20"/>
                <w:color w:val="auto"/>
              </w:rPr>
            </w:pPr>
            <w:r>
              <w:rPr>
                <w:rFonts w:ascii="Arial" w:cs="Arial" w:eastAsia="Arial" w:hAnsi="Arial"/>
                <w:sz w:val="17"/>
                <w:szCs w:val="17"/>
                <w:color w:val="0000EE"/>
                <w:w w:val="91"/>
              </w:rPr>
              <w:t>No Solicitation</w:t>
            </w:r>
          </w:p>
        </w:tc>
        <w:tc>
          <w:tcPr>
            <w:tcW w:w="1920" w:type="dxa"/>
            <w:vAlign w:val="bottom"/>
            <w:tcBorders>
              <w:top w:val="single" w:sz="8" w:color="0000EE"/>
            </w:tcBorders>
            <w:gridSpan w:val="9"/>
          </w:tcPr>
          <w:p>
            <w:pPr>
              <w:spacing w:after="0"/>
              <w:rPr>
                <w:sz w:val="14"/>
                <w:szCs w:val="14"/>
                <w:color w:val="auto"/>
              </w:rPr>
            </w:pPr>
          </w:p>
        </w:tc>
        <w:tc>
          <w:tcPr>
            <w:tcW w:w="4060" w:type="dxa"/>
            <w:vAlign w:val="bottom"/>
            <w:tcBorders>
              <w:top w:val="single" w:sz="8" w:color="CCFFCC"/>
            </w:tcBorders>
            <w:gridSpan w:val="19"/>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21</w:t>
            </w:r>
          </w:p>
        </w:tc>
        <w:tc>
          <w:tcPr>
            <w:tcW w:w="100" w:type="dxa"/>
            <w:vAlign w:val="bottom"/>
            <w:tcBorders>
              <w:top w:val="single" w:sz="8" w:color="CCFFCC"/>
            </w:tcBorders>
          </w:tcPr>
          <w:p>
            <w:pPr>
              <w:spacing w:after="0"/>
              <w:rPr>
                <w:sz w:val="14"/>
                <w:szCs w:val="14"/>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2560" w:type="dxa"/>
            <w:vAlign w:val="bottom"/>
            <w:tcBorders>
              <w:bottom w:val="single" w:sz="8" w:color="0000EE"/>
            </w:tcBorders>
            <w:gridSpan w:val="13"/>
            <w:shd w:val="clear" w:color="auto" w:fill="CCFFCC"/>
          </w:tcPr>
          <w:p>
            <w:pPr>
              <w:spacing w:after="0" w:line="172" w:lineRule="exact"/>
              <w:rPr>
                <w:sz w:val="20"/>
                <w:szCs w:val="20"/>
                <w:color w:val="auto"/>
              </w:rPr>
            </w:pPr>
            <w:r>
              <w:rPr>
                <w:rFonts w:ascii="Arial" w:cs="Arial" w:eastAsia="Arial" w:hAnsi="Arial"/>
                <w:sz w:val="17"/>
                <w:szCs w:val="17"/>
                <w:color w:val="0000EE"/>
                <w:w w:val="89"/>
              </w:rPr>
              <w:t>Termination of the Merger Agreement</w:t>
            </w:r>
          </w:p>
        </w:tc>
        <w:tc>
          <w:tcPr>
            <w:tcW w:w="4440" w:type="dxa"/>
            <w:vAlign w:val="bottom"/>
            <w:tcBorders>
              <w:bottom w:val="single" w:sz="8" w:color="CCFFCC"/>
            </w:tcBorders>
            <w:gridSpan w:val="20"/>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22</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Termination Fees and Expenses</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23</w:t>
            </w:r>
          </w:p>
        </w:tc>
        <w:tc>
          <w:tcPr>
            <w:tcW w:w="10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Voting by Vringo Directors and Executive Officers</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23</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2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r>
        <w:trPr>
          <w:trHeight w:val="172"/>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Rights of Innovate/Protect Stockholders Will Change as a Result of the Merger</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23</w:t>
            </w:r>
          </w:p>
        </w:tc>
        <w:tc>
          <w:tcPr>
            <w:tcW w:w="100" w:type="dxa"/>
            <w:vAlign w:val="bottom"/>
          </w:tcPr>
          <w:p>
            <w:pPr>
              <w:spacing w:after="0"/>
              <w:rPr>
                <w:sz w:val="14"/>
                <w:szCs w:val="14"/>
                <w:color w:val="auto"/>
              </w:rPr>
            </w:pPr>
          </w:p>
        </w:tc>
      </w:tr>
      <w:tr>
        <w:trPr>
          <w:trHeight w:val="172"/>
        </w:trPr>
        <w:tc>
          <w:tcPr>
            <w:tcW w:w="160" w:type="dxa"/>
            <w:vAlign w:val="bottom"/>
            <w:shd w:val="clear" w:color="auto" w:fill="CCFFCC"/>
          </w:tcPr>
          <w:p>
            <w:pPr>
              <w:spacing w:after="0"/>
              <w:rPr>
                <w:sz w:val="14"/>
                <w:szCs w:val="14"/>
                <w:color w:val="auto"/>
              </w:rPr>
            </w:pPr>
          </w:p>
        </w:tc>
        <w:tc>
          <w:tcPr>
            <w:tcW w:w="5280" w:type="dxa"/>
            <w:vAlign w:val="bottom"/>
            <w:tcBorders>
              <w:top w:val="single" w:sz="8" w:color="0000EE"/>
            </w:tcBorders>
            <w:gridSpan w:val="28"/>
            <w:shd w:val="clear" w:color="auto" w:fill="CCFFCC"/>
          </w:tcPr>
          <w:p>
            <w:pPr>
              <w:spacing w:after="0" w:line="172" w:lineRule="exact"/>
              <w:rPr>
                <w:sz w:val="20"/>
                <w:szCs w:val="20"/>
                <w:color w:val="auto"/>
              </w:rPr>
            </w:pPr>
            <w:r>
              <w:rPr>
                <w:rFonts w:ascii="Arial" w:cs="Arial" w:eastAsia="Arial" w:hAnsi="Arial"/>
                <w:sz w:val="17"/>
                <w:szCs w:val="17"/>
                <w:color w:val="0000EE"/>
              </w:rPr>
              <w:t>Risk Factors</w:t>
            </w:r>
          </w:p>
        </w:tc>
        <w:tc>
          <w:tcPr>
            <w:tcW w:w="1720" w:type="dxa"/>
            <w:vAlign w:val="bottom"/>
            <w:gridSpan w:val="5"/>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80" w:type="dxa"/>
            <w:vAlign w:val="bottom"/>
            <w:tcBorders>
              <w:top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23</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tcBorders>
              <w:right w:val="single" w:sz="8" w:color="CCFFCC"/>
            </w:tcBorders>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340" w:type="dxa"/>
            <w:vAlign w:val="bottom"/>
            <w:shd w:val="clear" w:color="auto" w:fill="CCFFCC"/>
          </w:tcPr>
          <w:p>
            <w:pPr>
              <w:spacing w:after="0"/>
              <w:rPr>
                <w:sz w:val="3"/>
                <w:szCs w:val="3"/>
                <w:color w:val="auto"/>
              </w:rPr>
            </w:pPr>
          </w:p>
        </w:tc>
        <w:tc>
          <w:tcPr>
            <w:tcW w:w="100" w:type="dxa"/>
            <w:vAlign w:val="bottom"/>
            <w:tcBorders>
              <w:left w:val="single" w:sz="8" w:color="CCFFCC"/>
            </w:tcBorders>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2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Matters to Be Considered at the Vringo Annual Meeting</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24</w:t>
            </w:r>
          </w:p>
        </w:tc>
        <w:tc>
          <w:tcPr>
            <w:tcW w:w="10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72"/>
        </w:trPr>
        <w:tc>
          <w:tcPr>
            <w:tcW w:w="7160" w:type="dxa"/>
            <w:vAlign w:val="bottom"/>
            <w:gridSpan w:val="34"/>
            <w:shd w:val="clear" w:color="auto" w:fill="CCFFCC"/>
          </w:tcPr>
          <w:p>
            <w:pPr>
              <w:spacing w:after="0" w:line="172" w:lineRule="exact"/>
              <w:rPr>
                <w:sz w:val="20"/>
                <w:szCs w:val="20"/>
                <w:color w:val="auto"/>
              </w:rPr>
            </w:pPr>
            <w:r>
              <w:rPr>
                <w:rFonts w:ascii="Arial" w:cs="Arial" w:eastAsia="Arial" w:hAnsi="Arial"/>
                <w:sz w:val="17"/>
                <w:szCs w:val="17"/>
                <w:color w:val="0000EE"/>
              </w:rPr>
              <w:t>SELECTED HISTORICAL FINANCIAL DATA OF VRINGO</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25</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r>
        <w:trPr>
          <w:trHeight w:val="163"/>
        </w:trPr>
        <w:tc>
          <w:tcPr>
            <w:tcW w:w="7160" w:type="dxa"/>
            <w:vAlign w:val="bottom"/>
            <w:gridSpan w:val="34"/>
          </w:tcPr>
          <w:p>
            <w:pPr>
              <w:spacing w:after="0" w:line="163" w:lineRule="exact"/>
              <w:rPr>
                <w:sz w:val="20"/>
                <w:szCs w:val="20"/>
                <w:color w:val="auto"/>
              </w:rPr>
            </w:pPr>
            <w:r>
              <w:rPr>
                <w:rFonts w:ascii="Arial" w:cs="Arial" w:eastAsia="Arial" w:hAnsi="Arial"/>
                <w:sz w:val="17"/>
                <w:szCs w:val="17"/>
                <w:color w:val="0000EE"/>
              </w:rPr>
              <w:t>SELECTED HISTORICAL FINANCIAL DATA OF INNOVATE/PROTECT</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26</w:t>
            </w:r>
          </w:p>
        </w:tc>
        <w:tc>
          <w:tcPr>
            <w:tcW w:w="100" w:type="dxa"/>
            <w:vAlign w:val="bottom"/>
          </w:tcPr>
          <w:p>
            <w:pPr>
              <w:spacing w:after="0"/>
              <w:rPr>
                <w:sz w:val="14"/>
                <w:szCs w:val="14"/>
                <w:color w:val="auto"/>
              </w:rPr>
            </w:pP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160" w:type="dxa"/>
            <w:vAlign w:val="bottom"/>
            <w:gridSpan w:val="34"/>
            <w:shd w:val="clear" w:color="auto" w:fill="CCFFCC"/>
          </w:tcPr>
          <w:p>
            <w:pPr>
              <w:spacing w:after="0" w:line="172" w:lineRule="exact"/>
              <w:rPr>
                <w:sz w:val="20"/>
                <w:szCs w:val="20"/>
                <w:color w:val="auto"/>
              </w:rPr>
            </w:pPr>
            <w:r>
              <w:rPr>
                <w:rFonts w:ascii="Arial" w:cs="Arial" w:eastAsia="Arial" w:hAnsi="Arial"/>
                <w:sz w:val="17"/>
                <w:szCs w:val="17"/>
                <w:color w:val="0000EE"/>
              </w:rPr>
              <w:t>SUMMARY UNAUDITED PRO FORMA COMBINED FINANCIAL DATA</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27</w:t>
            </w:r>
          </w:p>
        </w:tc>
        <w:tc>
          <w:tcPr>
            <w:tcW w:w="100" w:type="dxa"/>
            <w:vAlign w:val="bottom"/>
            <w:shd w:val="clear" w:color="auto" w:fill="CCFFCC"/>
          </w:tcPr>
          <w:p>
            <w:pPr>
              <w:spacing w:after="0"/>
              <w:rPr>
                <w:sz w:val="16"/>
                <w:szCs w:val="16"/>
                <w:color w:val="auto"/>
              </w:rPr>
            </w:pPr>
          </w:p>
        </w:tc>
      </w:tr>
      <w:tr>
        <w:trPr>
          <w:trHeight w:val="163"/>
        </w:trPr>
        <w:tc>
          <w:tcPr>
            <w:tcW w:w="5220" w:type="dxa"/>
            <w:vAlign w:val="bottom"/>
            <w:tcBorders>
              <w:top w:val="single" w:sz="8" w:color="0000EE"/>
            </w:tcBorders>
            <w:gridSpan w:val="27"/>
          </w:tcPr>
          <w:p>
            <w:pPr>
              <w:spacing w:after="0" w:line="163" w:lineRule="exact"/>
              <w:rPr>
                <w:sz w:val="20"/>
                <w:szCs w:val="20"/>
                <w:color w:val="auto"/>
              </w:rPr>
            </w:pPr>
            <w:r>
              <w:rPr>
                <w:rFonts w:ascii="Arial" w:cs="Arial" w:eastAsia="Arial" w:hAnsi="Arial"/>
                <w:sz w:val="17"/>
                <w:szCs w:val="17"/>
                <w:color w:val="0000EE"/>
              </w:rPr>
              <w:t>MARKET PRICE DATA AND DIVIDEND INFORMATION</w:t>
            </w:r>
          </w:p>
        </w:tc>
        <w:tc>
          <w:tcPr>
            <w:tcW w:w="1940" w:type="dxa"/>
            <w:vAlign w:val="bottom"/>
            <w:tcBorders>
              <w:top w:val="single" w:sz="8" w:color="CCFFCC"/>
            </w:tcBorders>
            <w:gridSpan w:val="7"/>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35</w:t>
            </w:r>
          </w:p>
        </w:tc>
        <w:tc>
          <w:tcPr>
            <w:tcW w:w="100" w:type="dxa"/>
            <w:vAlign w:val="bottom"/>
            <w:tcBorders>
              <w:top w:val="single" w:sz="8" w:color="CCFFCC"/>
            </w:tcBorders>
          </w:tcPr>
          <w:p>
            <w:pPr>
              <w:spacing w:after="0"/>
              <w:rPr>
                <w:sz w:val="14"/>
                <w:szCs w:val="14"/>
                <w:color w:val="auto"/>
              </w:rPr>
            </w:pP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160" w:type="dxa"/>
            <w:vAlign w:val="bottom"/>
            <w:gridSpan w:val="34"/>
            <w:shd w:val="clear" w:color="auto" w:fill="CCFFCC"/>
          </w:tcPr>
          <w:p>
            <w:pPr>
              <w:spacing w:after="0" w:line="172" w:lineRule="exact"/>
              <w:rPr>
                <w:sz w:val="20"/>
                <w:szCs w:val="20"/>
                <w:color w:val="auto"/>
              </w:rPr>
            </w:pPr>
            <w:r>
              <w:rPr>
                <w:rFonts w:ascii="Arial" w:cs="Arial" w:eastAsia="Arial" w:hAnsi="Arial"/>
                <w:sz w:val="17"/>
                <w:szCs w:val="17"/>
                <w:color w:val="0000EE"/>
              </w:rPr>
              <w:t>CAUTIONARY STATEMENT REGARDING FORWARD-LOOKING STATEMENTS</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39</w:t>
            </w:r>
          </w:p>
        </w:tc>
        <w:tc>
          <w:tcPr>
            <w:tcW w:w="100" w:type="dxa"/>
            <w:vAlign w:val="bottom"/>
            <w:shd w:val="clear" w:color="auto" w:fill="CCFFCC"/>
          </w:tcPr>
          <w:p>
            <w:pPr>
              <w:spacing w:after="0"/>
              <w:rPr>
                <w:sz w:val="16"/>
                <w:szCs w:val="16"/>
                <w:color w:val="auto"/>
              </w:rPr>
            </w:pPr>
          </w:p>
        </w:tc>
      </w:tr>
      <w:tr>
        <w:trPr>
          <w:trHeight w:val="172"/>
        </w:trPr>
        <w:tc>
          <w:tcPr>
            <w:tcW w:w="1160" w:type="dxa"/>
            <w:vAlign w:val="bottom"/>
            <w:tcBorders>
              <w:top w:val="single" w:sz="8" w:color="0000EE"/>
              <w:bottom w:val="single" w:sz="8" w:color="0000EE"/>
            </w:tcBorders>
            <w:gridSpan w:val="5"/>
          </w:tcPr>
          <w:p>
            <w:pPr>
              <w:spacing w:after="0" w:line="163" w:lineRule="exact"/>
              <w:rPr>
                <w:sz w:val="20"/>
                <w:szCs w:val="20"/>
                <w:color w:val="auto"/>
              </w:rPr>
            </w:pPr>
            <w:r>
              <w:rPr>
                <w:rFonts w:ascii="Arial" w:cs="Arial" w:eastAsia="Arial" w:hAnsi="Arial"/>
                <w:sz w:val="17"/>
                <w:szCs w:val="17"/>
                <w:color w:val="0000EE"/>
                <w:w w:val="90"/>
              </w:rPr>
              <w:t>RISK FACTORS</w:t>
            </w:r>
          </w:p>
        </w:tc>
        <w:tc>
          <w:tcPr>
            <w:tcW w:w="4720" w:type="dxa"/>
            <w:vAlign w:val="bottom"/>
            <w:tcBorders>
              <w:top w:val="single" w:sz="8" w:color="0000EE"/>
            </w:tcBorders>
            <w:gridSpan w:val="26"/>
          </w:tcPr>
          <w:p>
            <w:pPr>
              <w:spacing w:after="0"/>
              <w:rPr>
                <w:sz w:val="14"/>
                <w:szCs w:val="14"/>
                <w:color w:val="auto"/>
              </w:rPr>
            </w:pPr>
          </w:p>
        </w:tc>
        <w:tc>
          <w:tcPr>
            <w:tcW w:w="1280" w:type="dxa"/>
            <w:vAlign w:val="bottom"/>
            <w:tcBorders>
              <w:top w:val="single" w:sz="8" w:color="CCFFCC"/>
            </w:tcBorders>
            <w:gridSpan w:val="3"/>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41</w:t>
            </w:r>
          </w:p>
        </w:tc>
        <w:tc>
          <w:tcPr>
            <w:tcW w:w="100" w:type="dxa"/>
            <w:vAlign w:val="bottom"/>
            <w:tcBorders>
              <w:top w:val="single" w:sz="8" w:color="CCFFCC"/>
            </w:tcBorders>
          </w:tcPr>
          <w:p>
            <w:pPr>
              <w:spacing w:after="0"/>
              <w:rPr>
                <w:sz w:val="14"/>
                <w:szCs w:val="14"/>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1880" w:type="dxa"/>
            <w:vAlign w:val="bottom"/>
            <w:tcBorders>
              <w:bottom w:val="single" w:sz="8" w:color="0000EE"/>
            </w:tcBorders>
            <w:gridSpan w:val="10"/>
            <w:shd w:val="clear" w:color="auto" w:fill="CCFFCC"/>
          </w:tcPr>
          <w:p>
            <w:pPr>
              <w:spacing w:after="0" w:line="172" w:lineRule="exact"/>
              <w:rPr>
                <w:sz w:val="20"/>
                <w:szCs w:val="20"/>
                <w:color w:val="auto"/>
              </w:rPr>
            </w:pPr>
            <w:r>
              <w:rPr>
                <w:rFonts w:ascii="Arial" w:cs="Arial" w:eastAsia="Arial" w:hAnsi="Arial"/>
                <w:sz w:val="17"/>
                <w:szCs w:val="17"/>
                <w:color w:val="0000EE"/>
                <w:w w:val="88"/>
              </w:rPr>
              <w:t>Risks Related to the Merger</w:t>
            </w:r>
          </w:p>
        </w:tc>
        <w:tc>
          <w:tcPr>
            <w:tcW w:w="5120" w:type="dxa"/>
            <w:vAlign w:val="bottom"/>
            <w:tcBorders>
              <w:bottom w:val="single" w:sz="8" w:color="CCFFCC"/>
            </w:tcBorders>
            <w:gridSpan w:val="23"/>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41</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2"/>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Risks Related to the Combined Company if the Merger Is Completed</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44</w:t>
            </w:r>
          </w:p>
        </w:tc>
        <w:tc>
          <w:tcPr>
            <w:tcW w:w="100" w:type="dxa"/>
            <w:vAlign w:val="bottom"/>
          </w:tcPr>
          <w:p>
            <w:pPr>
              <w:spacing w:after="0"/>
              <w:rPr>
                <w:sz w:val="14"/>
                <w:szCs w:val="14"/>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2360" w:type="dxa"/>
            <w:vAlign w:val="bottom"/>
            <w:tcBorders>
              <w:top w:val="single" w:sz="8" w:color="0000EE"/>
              <w:bottom w:val="single" w:sz="8" w:color="0000EE"/>
            </w:tcBorders>
            <w:gridSpan w:val="12"/>
            <w:shd w:val="clear" w:color="auto" w:fill="CCFFCC"/>
          </w:tcPr>
          <w:p>
            <w:pPr>
              <w:spacing w:after="0" w:line="172" w:lineRule="exact"/>
              <w:rPr>
                <w:sz w:val="20"/>
                <w:szCs w:val="20"/>
                <w:color w:val="auto"/>
              </w:rPr>
            </w:pPr>
            <w:r>
              <w:rPr>
                <w:rFonts w:ascii="Arial" w:cs="Arial" w:eastAsia="Arial" w:hAnsi="Arial"/>
                <w:sz w:val="17"/>
                <w:szCs w:val="17"/>
                <w:color w:val="0000EE"/>
                <w:w w:val="88"/>
              </w:rPr>
              <w:t>Risks Related to Vringo’s Business</w:t>
            </w:r>
          </w:p>
        </w:tc>
        <w:tc>
          <w:tcPr>
            <w:tcW w:w="2260" w:type="dxa"/>
            <w:vAlign w:val="bottom"/>
            <w:tcBorders>
              <w:top w:val="single" w:sz="8" w:color="0000EE"/>
              <w:bottom w:val="single" w:sz="8" w:color="CCFFCC"/>
            </w:tcBorders>
            <w:gridSpan w:val="12"/>
            <w:shd w:val="clear" w:color="auto" w:fill="CCFFCC"/>
          </w:tcPr>
          <w:p>
            <w:pPr>
              <w:spacing w:after="0"/>
              <w:rPr>
                <w:sz w:val="16"/>
                <w:szCs w:val="16"/>
                <w:color w:val="auto"/>
              </w:rPr>
            </w:pPr>
          </w:p>
        </w:tc>
        <w:tc>
          <w:tcPr>
            <w:tcW w:w="2380" w:type="dxa"/>
            <w:vAlign w:val="bottom"/>
            <w:tcBorders>
              <w:bottom w:val="single" w:sz="8" w:color="CCFFCC"/>
            </w:tcBorders>
            <w:gridSpan w:val="9"/>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top w:val="single" w:sz="8" w:color="0000EE"/>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50</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2"/>
        </w:trPr>
        <w:tc>
          <w:tcPr>
            <w:tcW w:w="160" w:type="dxa"/>
            <w:vAlign w:val="bottom"/>
          </w:tcPr>
          <w:p>
            <w:pPr>
              <w:spacing w:after="0"/>
              <w:rPr>
                <w:sz w:val="14"/>
                <w:szCs w:val="14"/>
                <w:color w:val="auto"/>
              </w:rPr>
            </w:pPr>
          </w:p>
        </w:tc>
        <w:tc>
          <w:tcPr>
            <w:tcW w:w="3000" w:type="dxa"/>
            <w:vAlign w:val="bottom"/>
            <w:tcBorders>
              <w:bottom w:val="single" w:sz="8" w:color="0000EE"/>
            </w:tcBorders>
            <w:gridSpan w:val="15"/>
          </w:tcPr>
          <w:p>
            <w:pPr>
              <w:spacing w:after="0" w:line="163" w:lineRule="exact"/>
              <w:rPr>
                <w:sz w:val="20"/>
                <w:szCs w:val="20"/>
                <w:color w:val="auto"/>
              </w:rPr>
            </w:pPr>
            <w:r>
              <w:rPr>
                <w:rFonts w:ascii="Arial" w:cs="Arial" w:eastAsia="Arial" w:hAnsi="Arial"/>
                <w:sz w:val="17"/>
                <w:szCs w:val="17"/>
                <w:color w:val="0000EE"/>
                <w:w w:val="88"/>
              </w:rPr>
              <w:t>Risks Related to Innovate/Protect’s Business</w:t>
            </w:r>
          </w:p>
        </w:tc>
        <w:tc>
          <w:tcPr>
            <w:tcW w:w="4000" w:type="dxa"/>
            <w:vAlign w:val="bottom"/>
            <w:gridSpan w:val="18"/>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58</w:t>
            </w:r>
          </w:p>
        </w:tc>
        <w:tc>
          <w:tcPr>
            <w:tcW w:w="100" w:type="dxa"/>
            <w:vAlign w:val="bottom"/>
          </w:tcPr>
          <w:p>
            <w:pPr>
              <w:spacing w:after="0"/>
              <w:rPr>
                <w:sz w:val="14"/>
                <w:szCs w:val="14"/>
                <w:color w:val="auto"/>
              </w:rPr>
            </w:pPr>
          </w:p>
        </w:tc>
      </w:tr>
      <w:tr>
        <w:trPr>
          <w:trHeight w:val="189"/>
        </w:trPr>
        <w:tc>
          <w:tcPr>
            <w:tcW w:w="1060" w:type="dxa"/>
            <w:vAlign w:val="bottom"/>
            <w:tcBorders>
              <w:bottom w:val="single" w:sz="8" w:color="0000EE"/>
              <w:right w:val="single" w:sz="8" w:color="CCFFCC"/>
            </w:tcBorders>
            <w:gridSpan w:val="4"/>
            <w:shd w:val="clear" w:color="auto" w:fill="CCFFCC"/>
          </w:tcPr>
          <w:p>
            <w:pPr>
              <w:spacing w:after="0" w:line="172" w:lineRule="exact"/>
              <w:rPr>
                <w:sz w:val="20"/>
                <w:szCs w:val="20"/>
                <w:color w:val="auto"/>
              </w:rPr>
            </w:pPr>
            <w:r>
              <w:rPr>
                <w:rFonts w:ascii="Arial" w:cs="Arial" w:eastAsia="Arial" w:hAnsi="Arial"/>
                <w:sz w:val="17"/>
                <w:szCs w:val="17"/>
                <w:color w:val="0000EE"/>
                <w:w w:val="89"/>
              </w:rPr>
              <w:t>THE MERGER</w:t>
            </w:r>
          </w:p>
        </w:tc>
        <w:tc>
          <w:tcPr>
            <w:tcW w:w="6100" w:type="dxa"/>
            <w:vAlign w:val="bottom"/>
            <w:tcBorders>
              <w:bottom w:val="single" w:sz="8" w:color="CCFFCC"/>
            </w:tcBorders>
            <w:gridSpan w:val="30"/>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64</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2"/>
        </w:trPr>
        <w:tc>
          <w:tcPr>
            <w:tcW w:w="160" w:type="dxa"/>
            <w:vAlign w:val="bottom"/>
          </w:tcPr>
          <w:p>
            <w:pPr>
              <w:spacing w:after="0"/>
              <w:rPr>
                <w:sz w:val="14"/>
                <w:szCs w:val="14"/>
                <w:color w:val="auto"/>
              </w:rPr>
            </w:pPr>
          </w:p>
        </w:tc>
        <w:tc>
          <w:tcPr>
            <w:tcW w:w="1580" w:type="dxa"/>
            <w:vAlign w:val="bottom"/>
            <w:tcBorders>
              <w:bottom w:val="single" w:sz="8" w:color="0000EE"/>
            </w:tcBorders>
            <w:gridSpan w:val="9"/>
          </w:tcPr>
          <w:p>
            <w:pPr>
              <w:spacing w:after="0" w:line="163" w:lineRule="exact"/>
              <w:rPr>
                <w:sz w:val="20"/>
                <w:szCs w:val="20"/>
                <w:color w:val="auto"/>
              </w:rPr>
            </w:pPr>
            <w:r>
              <w:rPr>
                <w:rFonts w:ascii="Arial" w:cs="Arial" w:eastAsia="Arial" w:hAnsi="Arial"/>
                <w:sz w:val="17"/>
                <w:szCs w:val="17"/>
                <w:color w:val="0000EE"/>
                <w:w w:val="89"/>
              </w:rPr>
              <w:t>Structure of the Merger</w:t>
            </w:r>
          </w:p>
        </w:tc>
        <w:tc>
          <w:tcPr>
            <w:tcW w:w="5420" w:type="dxa"/>
            <w:vAlign w:val="bottom"/>
            <w:gridSpan w:val="24"/>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64</w:t>
            </w:r>
          </w:p>
        </w:tc>
        <w:tc>
          <w:tcPr>
            <w:tcW w:w="100" w:type="dxa"/>
            <w:vAlign w:val="bottom"/>
          </w:tcPr>
          <w:p>
            <w:pPr>
              <w:spacing w:after="0"/>
              <w:rPr>
                <w:sz w:val="14"/>
                <w:szCs w:val="14"/>
                <w:color w:val="auto"/>
              </w:rPr>
            </w:pPr>
          </w:p>
        </w:tc>
      </w:tr>
      <w:tr>
        <w:trPr>
          <w:trHeight w:val="172"/>
        </w:trPr>
        <w:tc>
          <w:tcPr>
            <w:tcW w:w="160" w:type="dxa"/>
            <w:vAlign w:val="bottom"/>
            <w:shd w:val="clear" w:color="auto" w:fill="CCFFCC"/>
          </w:tcPr>
          <w:p>
            <w:pPr>
              <w:spacing w:after="0"/>
              <w:rPr>
                <w:sz w:val="14"/>
                <w:szCs w:val="14"/>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What Innovate/Protect Stockholders Will Receive in the Merger</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64</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r>
        <w:trPr>
          <w:trHeight w:val="172"/>
        </w:trPr>
        <w:tc>
          <w:tcPr>
            <w:tcW w:w="160" w:type="dxa"/>
            <w:vAlign w:val="bottom"/>
          </w:tcPr>
          <w:p>
            <w:pPr>
              <w:spacing w:after="0"/>
              <w:rPr>
                <w:sz w:val="14"/>
                <w:szCs w:val="14"/>
                <w:color w:val="auto"/>
              </w:rPr>
            </w:pPr>
          </w:p>
        </w:tc>
        <w:tc>
          <w:tcPr>
            <w:tcW w:w="5020" w:type="dxa"/>
            <w:vAlign w:val="bottom"/>
            <w:tcBorders>
              <w:bottom w:val="single" w:sz="8" w:color="0000EE"/>
            </w:tcBorders>
            <w:gridSpan w:val="25"/>
          </w:tcPr>
          <w:p>
            <w:pPr>
              <w:spacing w:after="0" w:line="163" w:lineRule="exact"/>
              <w:rPr>
                <w:sz w:val="20"/>
                <w:szCs w:val="20"/>
                <w:color w:val="auto"/>
              </w:rPr>
            </w:pPr>
            <w:r>
              <w:rPr>
                <w:rFonts w:ascii="Arial" w:cs="Arial" w:eastAsia="Arial" w:hAnsi="Arial"/>
                <w:sz w:val="17"/>
                <w:szCs w:val="17"/>
                <w:color w:val="0000EE"/>
                <w:w w:val="90"/>
              </w:rPr>
              <w:t>Ownership of the Combined Company After the Completion of the Merger</w:t>
            </w:r>
          </w:p>
        </w:tc>
        <w:tc>
          <w:tcPr>
            <w:tcW w:w="1980" w:type="dxa"/>
            <w:vAlign w:val="bottom"/>
            <w:gridSpan w:val="8"/>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65</w:t>
            </w:r>
          </w:p>
        </w:tc>
        <w:tc>
          <w:tcPr>
            <w:tcW w:w="100" w:type="dxa"/>
            <w:vAlign w:val="bottom"/>
          </w:tcPr>
          <w:p>
            <w:pPr>
              <w:spacing w:after="0"/>
              <w:rPr>
                <w:sz w:val="14"/>
                <w:szCs w:val="14"/>
                <w:color w:val="auto"/>
              </w:rPr>
            </w:pPr>
          </w:p>
        </w:tc>
      </w:tr>
      <w:tr>
        <w:trPr>
          <w:trHeight w:val="172"/>
        </w:trPr>
        <w:tc>
          <w:tcPr>
            <w:tcW w:w="160" w:type="dxa"/>
            <w:vAlign w:val="bottom"/>
            <w:shd w:val="clear" w:color="auto" w:fill="CCFFCC"/>
          </w:tcPr>
          <w:p>
            <w:pPr>
              <w:spacing w:after="0"/>
              <w:rPr>
                <w:sz w:val="14"/>
                <w:szCs w:val="14"/>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Treatment of Innovate/Protect Stock Options and Warrants</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65</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-5545455</wp:posOffset>
            </wp:positionV>
            <wp:extent cx="4837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7120" w:type="dxa"/>
            <w:vAlign w:val="bottom"/>
            <w:gridSpan w:val="28"/>
          </w:tcPr>
          <w:p>
            <w:pPr>
              <w:spacing w:after="0"/>
              <w:rPr>
                <w:sz w:val="20"/>
                <w:szCs w:val="20"/>
                <w:color w:val="auto"/>
              </w:rPr>
            </w:pPr>
            <w:r>
              <w:rPr>
                <w:rFonts w:ascii="Arial" w:cs="Arial" w:eastAsia="Arial" w:hAnsi="Arial"/>
                <w:sz w:val="13"/>
                <w:szCs w:val="13"/>
                <w:b w:val="1"/>
                <w:bCs w:val="1"/>
                <w:color w:val="0000EE"/>
              </w:rPr>
              <w:t>TABLE OF CONTENTS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3"/>
        </w:trPr>
        <w:tc>
          <w:tcPr>
            <w:tcW w:w="16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gridSpan w:val="6"/>
          </w:tcPr>
          <w:p>
            <w:pPr>
              <w:spacing w:after="0" w:line="143" w:lineRule="exact"/>
              <w:rPr>
                <w:sz w:val="20"/>
                <w:szCs w:val="20"/>
                <w:color w:val="auto"/>
              </w:rPr>
            </w:pPr>
            <w:r>
              <w:rPr>
                <w:rFonts w:ascii="Arial" w:cs="Arial" w:eastAsia="Arial" w:hAnsi="Arial"/>
                <w:sz w:val="16"/>
                <w:szCs w:val="16"/>
                <w:color w:val="0000EE"/>
                <w:w w:val="95"/>
              </w:rPr>
              <w:t>Background of the</w:t>
            </w:r>
          </w:p>
        </w:tc>
        <w:tc>
          <w:tcPr>
            <w:tcW w:w="520" w:type="dxa"/>
            <w:vAlign w:val="bottom"/>
            <w:gridSpan w:val="4"/>
          </w:tcPr>
          <w:p>
            <w:pPr>
              <w:ind w:left="20"/>
              <w:spacing w:after="0" w:line="143" w:lineRule="exact"/>
              <w:rPr>
                <w:sz w:val="20"/>
                <w:szCs w:val="20"/>
                <w:color w:val="auto"/>
              </w:rPr>
            </w:pPr>
            <w:r>
              <w:rPr>
                <w:rFonts w:ascii="Arial" w:cs="Arial" w:eastAsia="Arial" w:hAnsi="Arial"/>
                <w:sz w:val="16"/>
                <w:szCs w:val="16"/>
                <w:color w:val="0000EE"/>
                <w:w w:val="94"/>
              </w:rPr>
              <w:t>Merger</w:t>
            </w:r>
          </w:p>
        </w:tc>
        <w:tc>
          <w:tcPr>
            <w:tcW w:w="5180" w:type="dxa"/>
            <w:vAlign w:val="bottom"/>
            <w:gridSpan w:val="17"/>
          </w:tcPr>
          <w:p>
            <w:pPr>
              <w:spacing w:after="0"/>
              <w:rPr>
                <w:sz w:val="12"/>
                <w:szCs w:val="12"/>
                <w:color w:val="auto"/>
              </w:rPr>
            </w:pPr>
          </w:p>
        </w:tc>
        <w:tc>
          <w:tcPr>
            <w:tcW w:w="420" w:type="dxa"/>
            <w:vAlign w:val="bottom"/>
            <w:gridSpan w:val="3"/>
          </w:tcPr>
          <w:p>
            <w:pPr>
              <w:jc w:val="right"/>
              <w:spacing w:after="0" w:line="143" w:lineRule="exact"/>
              <w:rPr>
                <w:sz w:val="20"/>
                <w:szCs w:val="20"/>
                <w:color w:val="auto"/>
              </w:rPr>
            </w:pPr>
            <w:r>
              <w:rPr>
                <w:rFonts w:ascii="Arial" w:cs="Arial" w:eastAsia="Arial" w:hAnsi="Arial"/>
                <w:sz w:val="16"/>
                <w:szCs w:val="16"/>
                <w:color w:val="0000EE"/>
              </w:rPr>
              <w:t>66</w:t>
            </w:r>
          </w:p>
        </w:tc>
        <w:tc>
          <w:tcPr>
            <w:tcW w:w="80" w:type="dxa"/>
            <w:vAlign w:val="bottom"/>
          </w:tcPr>
          <w:p>
            <w:pPr>
              <w:spacing w:after="0"/>
              <w:rPr>
                <w:sz w:val="12"/>
                <w:szCs w:val="12"/>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7"/>
            <w:shd w:val="clear" w:color="auto" w:fill="CCFFCC"/>
          </w:tcPr>
          <w:p>
            <w:pPr>
              <w:spacing w:after="0" w:line="172" w:lineRule="exact"/>
              <w:rPr>
                <w:sz w:val="20"/>
                <w:szCs w:val="20"/>
                <w:color w:val="auto"/>
              </w:rPr>
            </w:pPr>
            <w:r>
              <w:rPr>
                <w:rFonts w:ascii="Arial" w:cs="Arial" w:eastAsia="Arial" w:hAnsi="Arial"/>
                <w:sz w:val="17"/>
                <w:szCs w:val="17"/>
                <w:color w:val="0000EE"/>
              </w:rPr>
              <w:t>Recommendations of the Vringo Board of Directors and its Reasons for the Merger</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73</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20" w:type="dxa"/>
            <w:vAlign w:val="bottom"/>
            <w:tcBorders>
              <w:left w:val="single" w:sz="8" w:color="0000EE"/>
              <w:right w:val="single" w:sz="8" w:color="CCFFCC"/>
            </w:tcBorders>
            <w:shd w:val="clear" w:color="auto" w:fill="0000EE"/>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5600" w:type="dxa"/>
            <w:vAlign w:val="bottom"/>
            <w:gridSpan w:val="24"/>
          </w:tcPr>
          <w:p>
            <w:pPr>
              <w:spacing w:after="0" w:line="163" w:lineRule="exact"/>
              <w:rPr>
                <w:sz w:val="20"/>
                <w:szCs w:val="20"/>
                <w:color w:val="auto"/>
              </w:rPr>
            </w:pPr>
            <w:r>
              <w:rPr>
                <w:rFonts w:ascii="Arial" w:cs="Arial" w:eastAsia="Arial" w:hAnsi="Arial"/>
                <w:sz w:val="17"/>
                <w:szCs w:val="17"/>
                <w:color w:val="0000EE"/>
              </w:rPr>
              <w:t>Opinion of Etico Capital to the Vringo Board of Directors</w:t>
            </w:r>
          </w:p>
        </w:tc>
        <w:tc>
          <w:tcPr>
            <w:tcW w:w="1360" w:type="dxa"/>
            <w:vAlign w:val="bottom"/>
            <w:gridSpan w:val="3"/>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75</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480" w:type="dxa"/>
            <w:vAlign w:val="bottom"/>
            <w:gridSpan w:val="25"/>
            <w:shd w:val="clear" w:color="auto" w:fill="CCFFCC"/>
          </w:tcPr>
          <w:p>
            <w:pPr>
              <w:spacing w:after="0" w:line="172" w:lineRule="exact"/>
              <w:rPr>
                <w:sz w:val="20"/>
                <w:szCs w:val="20"/>
                <w:color w:val="auto"/>
              </w:rPr>
            </w:pPr>
            <w:r>
              <w:rPr>
                <w:rFonts w:ascii="Arial" w:cs="Arial" w:eastAsia="Arial" w:hAnsi="Arial"/>
                <w:sz w:val="17"/>
                <w:szCs w:val="17"/>
                <w:color w:val="0000EE"/>
                <w:w w:val="90"/>
              </w:rPr>
              <w:t>Board of Directors, Executive Officers and Key Employees of the Combined Company After the</w:t>
            </w:r>
          </w:p>
        </w:tc>
        <w:tc>
          <w:tcPr>
            <w:tcW w:w="480" w:type="dxa"/>
            <w:vAlign w:val="bottom"/>
            <w:gridSpan w:val="2"/>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81</w:t>
            </w:r>
          </w:p>
        </w:tc>
        <w:tc>
          <w:tcPr>
            <w:tcW w:w="80" w:type="dxa"/>
            <w:vAlign w:val="bottom"/>
            <w:shd w:val="clear" w:color="auto" w:fill="CCFFCC"/>
          </w:tcPr>
          <w:p>
            <w:pPr>
              <w:spacing w:after="0"/>
              <w:rPr>
                <w:sz w:val="14"/>
                <w:szCs w:val="14"/>
                <w:color w:val="auto"/>
              </w:rPr>
            </w:pPr>
          </w:p>
        </w:tc>
      </w:tr>
      <w:tr>
        <w:trPr>
          <w:trHeight w:val="198"/>
        </w:trPr>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0000EE"/>
              <w:bottom w:val="single" w:sz="8" w:color="CCFFCC"/>
            </w:tcBorders>
            <w:shd w:val="clear" w:color="auto" w:fill="CCFFCC"/>
          </w:tcPr>
          <w:p>
            <w:pPr>
              <w:spacing w:after="0"/>
              <w:rPr>
                <w:sz w:val="17"/>
                <w:szCs w:val="17"/>
                <w:color w:val="auto"/>
              </w:rPr>
            </w:pPr>
          </w:p>
        </w:tc>
        <w:tc>
          <w:tcPr>
            <w:tcW w:w="1760" w:type="dxa"/>
            <w:vAlign w:val="bottom"/>
            <w:tcBorders>
              <w:top w:val="single" w:sz="8" w:color="0000EE"/>
              <w:bottom w:val="single" w:sz="8" w:color="0000EE"/>
              <w:right w:val="single" w:sz="8" w:color="CCFFCC"/>
            </w:tcBorders>
            <w:gridSpan w:val="10"/>
            <w:shd w:val="clear" w:color="auto" w:fill="CCFFCC"/>
          </w:tcPr>
          <w:p>
            <w:pPr>
              <w:spacing w:after="0" w:line="180" w:lineRule="exact"/>
              <w:rPr>
                <w:sz w:val="20"/>
                <w:szCs w:val="20"/>
                <w:color w:val="auto"/>
              </w:rPr>
            </w:pPr>
            <w:r>
              <w:rPr>
                <w:rFonts w:ascii="Arial" w:cs="Arial" w:eastAsia="Arial" w:hAnsi="Arial"/>
                <w:sz w:val="17"/>
                <w:szCs w:val="17"/>
                <w:color w:val="0000EE"/>
                <w:w w:val="89"/>
              </w:rPr>
              <w:t>Completion of the Merger</w:t>
            </w:r>
          </w:p>
        </w:tc>
        <w:tc>
          <w:tcPr>
            <w:tcW w:w="4540" w:type="dxa"/>
            <w:vAlign w:val="bottom"/>
            <w:tcBorders>
              <w:top w:val="single" w:sz="8" w:color="0000EE"/>
              <w:left w:val="single" w:sz="8" w:color="CCFFCC"/>
              <w:bottom w:val="single" w:sz="8" w:color="CCFFCC"/>
            </w:tcBorders>
            <w:gridSpan w:val="14"/>
            <w:shd w:val="clear" w:color="auto" w:fill="CCFFCC"/>
          </w:tcPr>
          <w:p>
            <w:pPr>
              <w:spacing w:after="0"/>
              <w:rPr>
                <w:sz w:val="17"/>
                <w:szCs w:val="17"/>
                <w:color w:val="auto"/>
              </w:rPr>
            </w:pPr>
          </w:p>
        </w:tc>
        <w:tc>
          <w:tcPr>
            <w:tcW w:w="480" w:type="dxa"/>
            <w:vAlign w:val="bottom"/>
            <w:tcBorders>
              <w:top w:val="single" w:sz="8" w:color="CCFFCC"/>
              <w:bottom w:val="single" w:sz="8" w:color="CCFFCC"/>
            </w:tcBorders>
            <w:gridSpan w:val="2"/>
            <w:shd w:val="clear" w:color="auto" w:fill="CCFFCC"/>
          </w:tcPr>
          <w:p>
            <w:pPr>
              <w:spacing w:after="0"/>
              <w:rPr>
                <w:sz w:val="17"/>
                <w:szCs w:val="17"/>
                <w:color w:val="auto"/>
              </w:rPr>
            </w:pP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0000EE"/>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163"/>
        </w:trPr>
        <w:tc>
          <w:tcPr>
            <w:tcW w:w="160" w:type="dxa"/>
            <w:vAlign w:val="bottom"/>
          </w:tcPr>
          <w:p>
            <w:pPr>
              <w:spacing w:after="0"/>
              <w:rPr>
                <w:sz w:val="14"/>
                <w:szCs w:val="14"/>
                <w:color w:val="auto"/>
              </w:rPr>
            </w:pPr>
          </w:p>
        </w:tc>
        <w:tc>
          <w:tcPr>
            <w:tcW w:w="6960" w:type="dxa"/>
            <w:vAlign w:val="bottom"/>
            <w:gridSpan w:val="27"/>
          </w:tcPr>
          <w:p>
            <w:pPr>
              <w:spacing w:after="0" w:line="163" w:lineRule="exact"/>
              <w:rPr>
                <w:sz w:val="20"/>
                <w:szCs w:val="20"/>
                <w:color w:val="auto"/>
              </w:rPr>
            </w:pPr>
            <w:r>
              <w:rPr>
                <w:rFonts w:ascii="Arial" w:cs="Arial" w:eastAsia="Arial" w:hAnsi="Arial"/>
                <w:sz w:val="17"/>
                <w:szCs w:val="17"/>
                <w:color w:val="0000EE"/>
              </w:rPr>
              <w:t>Interests of Vringo Directors and Executive Officers in the Merger</w:t>
            </w: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82</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4440" w:type="dxa"/>
            <w:vAlign w:val="bottom"/>
            <w:gridSpan w:val="22"/>
            <w:shd w:val="clear" w:color="auto" w:fill="CCFFCC"/>
          </w:tcPr>
          <w:p>
            <w:pPr>
              <w:spacing w:after="0" w:line="172" w:lineRule="exact"/>
              <w:rPr>
                <w:sz w:val="20"/>
                <w:szCs w:val="20"/>
                <w:color w:val="auto"/>
              </w:rPr>
            </w:pPr>
            <w:r>
              <w:rPr>
                <w:rFonts w:ascii="Arial" w:cs="Arial" w:eastAsia="Arial" w:hAnsi="Arial"/>
                <w:sz w:val="17"/>
                <w:szCs w:val="17"/>
                <w:color w:val="0000EE"/>
              </w:rPr>
              <w:t>Anticipated Accounting Treatment</w:t>
            </w:r>
          </w:p>
        </w:tc>
        <w:tc>
          <w:tcPr>
            <w:tcW w:w="2520" w:type="dxa"/>
            <w:vAlign w:val="bottom"/>
            <w:gridSpan w:val="5"/>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84</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1940" w:type="dxa"/>
            <w:vAlign w:val="bottom"/>
            <w:gridSpan w:val="11"/>
          </w:tcPr>
          <w:p>
            <w:pPr>
              <w:spacing w:after="0" w:line="163" w:lineRule="exact"/>
              <w:rPr>
                <w:sz w:val="20"/>
                <w:szCs w:val="20"/>
                <w:color w:val="auto"/>
              </w:rPr>
            </w:pPr>
            <w:r>
              <w:rPr>
                <w:rFonts w:ascii="Arial" w:cs="Arial" w:eastAsia="Arial" w:hAnsi="Arial"/>
                <w:sz w:val="17"/>
                <w:szCs w:val="17"/>
                <w:color w:val="0000EE"/>
                <w:w w:val="87"/>
              </w:rPr>
              <w:t>Tax Treatment of the Merger</w:t>
            </w:r>
          </w:p>
        </w:tc>
        <w:tc>
          <w:tcPr>
            <w:tcW w:w="380" w:type="dxa"/>
            <w:vAlign w:val="bottom"/>
            <w:gridSpan w:val="2"/>
          </w:tcPr>
          <w:p>
            <w:pPr>
              <w:spacing w:after="0"/>
              <w:rPr>
                <w:sz w:val="14"/>
                <w:szCs w:val="14"/>
                <w:color w:val="auto"/>
              </w:rPr>
            </w:pPr>
          </w:p>
        </w:tc>
        <w:tc>
          <w:tcPr>
            <w:tcW w:w="4640" w:type="dxa"/>
            <w:vAlign w:val="bottom"/>
            <w:gridSpan w:val="14"/>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84</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7"/>
            <w:shd w:val="clear" w:color="auto" w:fill="CCFFCC"/>
          </w:tcPr>
          <w:p>
            <w:pPr>
              <w:spacing w:after="0" w:line="172" w:lineRule="exact"/>
              <w:rPr>
                <w:sz w:val="20"/>
                <w:szCs w:val="20"/>
                <w:color w:val="auto"/>
              </w:rPr>
            </w:pPr>
            <w:r>
              <w:rPr>
                <w:rFonts w:ascii="Arial" w:cs="Arial" w:eastAsia="Arial" w:hAnsi="Arial"/>
                <w:sz w:val="17"/>
                <w:szCs w:val="17"/>
                <w:color w:val="0000EE"/>
              </w:rPr>
              <w:t>Regulatory Approvals Required for the Merger</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84</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20" w:type="dxa"/>
            <w:vAlign w:val="bottom"/>
            <w:tcBorders>
              <w:right w:val="single" w:sz="8" w:color="CCFFCC"/>
            </w:tcBorders>
            <w:shd w:val="clear" w:color="auto" w:fill="0000EE"/>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780" w:type="dxa"/>
            <w:vAlign w:val="bottom"/>
            <w:gridSpan w:val="26"/>
          </w:tcPr>
          <w:p>
            <w:pPr>
              <w:spacing w:after="0" w:line="163" w:lineRule="exact"/>
              <w:rPr>
                <w:sz w:val="20"/>
                <w:szCs w:val="20"/>
                <w:color w:val="auto"/>
              </w:rPr>
            </w:pPr>
            <w:r>
              <w:rPr>
                <w:rFonts w:ascii="Arial" w:cs="Arial" w:eastAsia="Arial" w:hAnsi="Arial"/>
                <w:sz w:val="17"/>
                <w:szCs w:val="17"/>
                <w:color w:val="0000EE"/>
                <w:w w:val="88"/>
              </w:rPr>
              <w:t>Restrictions on Sales of Shares of Vringo Common Stock Received by Innovate/Protect Stockholders</w:t>
            </w:r>
          </w:p>
        </w:tc>
        <w:tc>
          <w:tcPr>
            <w:tcW w:w="180" w:type="dxa"/>
            <w:vAlign w:val="bottom"/>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84</w:t>
            </w:r>
          </w:p>
        </w:tc>
        <w:tc>
          <w:tcPr>
            <w:tcW w:w="80" w:type="dxa"/>
            <w:vAlign w:val="bottom"/>
          </w:tcPr>
          <w:p>
            <w:pPr>
              <w:spacing w:after="0"/>
              <w:rPr>
                <w:sz w:val="14"/>
                <w:szCs w:val="14"/>
                <w:color w:val="auto"/>
              </w:rPr>
            </w:pPr>
          </w:p>
        </w:tc>
      </w:tr>
      <w:tr>
        <w:trPr>
          <w:trHeight w:val="189"/>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960" w:type="dxa"/>
            <w:vAlign w:val="bottom"/>
            <w:tcBorders>
              <w:top w:val="single" w:sz="8" w:color="0000EE"/>
              <w:bottom w:val="single" w:sz="8" w:color="0000EE"/>
            </w:tcBorders>
            <w:gridSpan w:val="4"/>
          </w:tcPr>
          <w:p>
            <w:pPr>
              <w:spacing w:after="0" w:line="180" w:lineRule="exact"/>
              <w:rPr>
                <w:sz w:val="20"/>
                <w:szCs w:val="20"/>
                <w:color w:val="auto"/>
              </w:rPr>
            </w:pPr>
            <w:r>
              <w:rPr>
                <w:rFonts w:ascii="Arial" w:cs="Arial" w:eastAsia="Arial" w:hAnsi="Arial"/>
                <w:sz w:val="17"/>
                <w:szCs w:val="17"/>
                <w:color w:val="0000EE"/>
                <w:w w:val="91"/>
              </w:rPr>
              <w:t>in the Merger</w:t>
            </w:r>
          </w:p>
        </w:tc>
        <w:tc>
          <w:tcPr>
            <w:tcW w:w="5640" w:type="dxa"/>
            <w:vAlign w:val="bottom"/>
            <w:tcBorders>
              <w:top w:val="single" w:sz="8" w:color="0000EE"/>
            </w:tcBorders>
            <w:gridSpan w:val="21"/>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160" w:type="dxa"/>
            <w:vAlign w:val="bottom"/>
            <w:shd w:val="clear" w:color="auto" w:fill="CCFFCC"/>
          </w:tcPr>
          <w:p>
            <w:pPr>
              <w:spacing w:after="0"/>
              <w:rPr>
                <w:sz w:val="14"/>
                <w:szCs w:val="14"/>
                <w:color w:val="auto"/>
              </w:rPr>
            </w:pPr>
          </w:p>
        </w:tc>
        <w:tc>
          <w:tcPr>
            <w:tcW w:w="1140" w:type="dxa"/>
            <w:vAlign w:val="bottom"/>
            <w:tcBorders>
              <w:right w:val="single" w:sz="8" w:color="CCFFCC"/>
            </w:tcBorders>
            <w:gridSpan w:val="5"/>
            <w:shd w:val="clear" w:color="auto" w:fill="CCFFCC"/>
          </w:tcPr>
          <w:p>
            <w:pPr>
              <w:spacing w:after="0" w:line="172" w:lineRule="exact"/>
              <w:rPr>
                <w:sz w:val="20"/>
                <w:szCs w:val="20"/>
                <w:color w:val="auto"/>
              </w:rPr>
            </w:pPr>
            <w:r>
              <w:rPr>
                <w:rFonts w:ascii="Arial" w:cs="Arial" w:eastAsia="Arial" w:hAnsi="Arial"/>
                <w:sz w:val="17"/>
                <w:szCs w:val="17"/>
                <w:color w:val="0000EE"/>
                <w:w w:val="88"/>
              </w:rPr>
              <w:t>Appraisal Rights</w:t>
            </w:r>
          </w:p>
        </w:tc>
        <w:tc>
          <w:tcPr>
            <w:tcW w:w="5820" w:type="dxa"/>
            <w:vAlign w:val="bottom"/>
            <w:gridSpan w:val="22"/>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85</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3180" w:type="dxa"/>
            <w:vAlign w:val="bottom"/>
            <w:gridSpan w:val="18"/>
          </w:tcPr>
          <w:p>
            <w:pPr>
              <w:spacing w:after="0" w:line="163" w:lineRule="exact"/>
              <w:rPr>
                <w:sz w:val="20"/>
                <w:szCs w:val="20"/>
                <w:color w:val="auto"/>
              </w:rPr>
            </w:pPr>
            <w:r>
              <w:rPr>
                <w:rFonts w:ascii="Arial" w:cs="Arial" w:eastAsia="Arial" w:hAnsi="Arial"/>
                <w:sz w:val="17"/>
                <w:szCs w:val="17"/>
                <w:color w:val="0000EE"/>
                <w:w w:val="91"/>
              </w:rPr>
              <w:t>NYSE Amex Listing of Vringo Common Stock</w:t>
            </w:r>
          </w:p>
        </w:tc>
        <w:tc>
          <w:tcPr>
            <w:tcW w:w="3780" w:type="dxa"/>
            <w:vAlign w:val="bottom"/>
            <w:gridSpan w:val="9"/>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85</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712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rPr>
              <w:t>MATERIAL U.S. FEDERAL INCOME TAX CONSEQUENCES OF THE MERGER</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86</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20" w:type="dxa"/>
            <w:vAlign w:val="bottom"/>
            <w:tcBorders>
              <w:left w:val="single" w:sz="8" w:color="0000EE"/>
              <w:right w:val="single" w:sz="8" w:color="0000EE"/>
            </w:tcBorders>
            <w:shd w:val="clear" w:color="auto" w:fill="0000EE"/>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2100" w:type="dxa"/>
            <w:vAlign w:val="bottom"/>
            <w:gridSpan w:val="12"/>
          </w:tcPr>
          <w:p>
            <w:pPr>
              <w:spacing w:after="0" w:line="163" w:lineRule="exact"/>
              <w:rPr>
                <w:sz w:val="20"/>
                <w:szCs w:val="20"/>
                <w:color w:val="auto"/>
              </w:rPr>
            </w:pPr>
            <w:r>
              <w:rPr>
                <w:rFonts w:ascii="Arial" w:cs="Arial" w:eastAsia="Arial" w:hAnsi="Arial"/>
                <w:sz w:val="17"/>
                <w:szCs w:val="17"/>
                <w:color w:val="0000EE"/>
                <w:w w:val="91"/>
              </w:rPr>
              <w:t>THE MERGER AGREEMENT</w:t>
            </w:r>
          </w:p>
        </w:tc>
        <w:tc>
          <w:tcPr>
            <w:tcW w:w="3660" w:type="dxa"/>
            <w:vAlign w:val="bottom"/>
            <w:gridSpan w:val="13"/>
          </w:tcPr>
          <w:p>
            <w:pPr>
              <w:spacing w:after="0"/>
              <w:rPr>
                <w:sz w:val="14"/>
                <w:szCs w:val="14"/>
                <w:color w:val="auto"/>
              </w:rPr>
            </w:pPr>
          </w:p>
        </w:tc>
        <w:tc>
          <w:tcPr>
            <w:tcW w:w="1360" w:type="dxa"/>
            <w:vAlign w:val="bottom"/>
            <w:gridSpan w:val="3"/>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89</w:t>
            </w:r>
          </w:p>
        </w:tc>
        <w:tc>
          <w:tcPr>
            <w:tcW w:w="80" w:type="dxa"/>
            <w:vAlign w:val="bottom"/>
          </w:tcPr>
          <w:p>
            <w:pPr>
              <w:spacing w:after="0"/>
              <w:rPr>
                <w:sz w:val="14"/>
                <w:szCs w:val="14"/>
                <w:color w:val="auto"/>
              </w:rPr>
            </w:pP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440" w:type="dxa"/>
            <w:vAlign w:val="bottom"/>
            <w:tcBorders>
              <w:right w:val="single" w:sz="8" w:color="CCFFCC"/>
            </w:tcBorders>
            <w:gridSpan w:val="7"/>
            <w:shd w:val="clear" w:color="auto" w:fill="CCFFCC"/>
          </w:tcPr>
          <w:p>
            <w:pPr>
              <w:spacing w:after="0" w:line="172" w:lineRule="exact"/>
              <w:rPr>
                <w:sz w:val="20"/>
                <w:szCs w:val="20"/>
                <w:color w:val="auto"/>
              </w:rPr>
            </w:pPr>
            <w:r>
              <w:rPr>
                <w:rFonts w:ascii="Arial" w:cs="Arial" w:eastAsia="Arial" w:hAnsi="Arial"/>
                <w:sz w:val="17"/>
                <w:szCs w:val="17"/>
                <w:color w:val="0000EE"/>
                <w:w w:val="90"/>
              </w:rPr>
              <w:t>Terms of the Merger</w:t>
            </w:r>
          </w:p>
        </w:tc>
        <w:tc>
          <w:tcPr>
            <w:tcW w:w="500" w:type="dxa"/>
            <w:vAlign w:val="bottom"/>
            <w:tcBorders>
              <w:left w:val="single" w:sz="8" w:color="CCFFCC"/>
              <w:right w:val="single" w:sz="8" w:color="CCFFCC"/>
            </w:tcBorders>
            <w:gridSpan w:val="4"/>
            <w:shd w:val="clear" w:color="auto" w:fill="CCFFCC"/>
          </w:tcPr>
          <w:p>
            <w:pPr>
              <w:spacing w:after="0"/>
              <w:rPr>
                <w:sz w:val="14"/>
                <w:szCs w:val="14"/>
                <w:color w:val="auto"/>
              </w:rPr>
            </w:pPr>
          </w:p>
        </w:tc>
        <w:tc>
          <w:tcPr>
            <w:tcW w:w="5020" w:type="dxa"/>
            <w:vAlign w:val="bottom"/>
            <w:tcBorders>
              <w:left w:val="single" w:sz="8" w:color="CCFFCC"/>
            </w:tcBorders>
            <w:gridSpan w:val="16"/>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89</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CCFFCC"/>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7"/>
          </w:tcPr>
          <w:p>
            <w:pPr>
              <w:spacing w:after="0" w:line="163" w:lineRule="exact"/>
              <w:rPr>
                <w:sz w:val="20"/>
                <w:szCs w:val="20"/>
                <w:color w:val="auto"/>
              </w:rPr>
            </w:pPr>
            <w:r>
              <w:rPr>
                <w:rFonts w:ascii="Arial" w:cs="Arial" w:eastAsia="Arial" w:hAnsi="Arial"/>
                <w:sz w:val="17"/>
                <w:szCs w:val="17"/>
                <w:color w:val="0000EE"/>
              </w:rPr>
              <w:t>Completion of the Merger</w:t>
            </w: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89</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7"/>
            <w:shd w:val="clear" w:color="auto" w:fill="CCFFCC"/>
          </w:tcPr>
          <w:p>
            <w:pPr>
              <w:spacing w:after="0" w:line="172" w:lineRule="exact"/>
              <w:rPr>
                <w:sz w:val="20"/>
                <w:szCs w:val="20"/>
                <w:color w:val="auto"/>
              </w:rPr>
            </w:pPr>
            <w:r>
              <w:rPr>
                <w:rFonts w:ascii="Arial" w:cs="Arial" w:eastAsia="Arial" w:hAnsi="Arial"/>
                <w:sz w:val="17"/>
                <w:szCs w:val="17"/>
                <w:color w:val="0000EE"/>
              </w:rPr>
              <w:t>Certificate of Incorporation; Bylaws; Directors and Officers</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90</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1440" w:type="dxa"/>
            <w:vAlign w:val="bottom"/>
            <w:gridSpan w:val="7"/>
          </w:tcPr>
          <w:p>
            <w:pPr>
              <w:spacing w:after="0" w:line="163" w:lineRule="exact"/>
              <w:rPr>
                <w:sz w:val="20"/>
                <w:szCs w:val="20"/>
                <w:color w:val="auto"/>
              </w:rPr>
            </w:pPr>
            <w:r>
              <w:rPr>
                <w:rFonts w:ascii="Arial" w:cs="Arial" w:eastAsia="Arial" w:hAnsi="Arial"/>
                <w:sz w:val="17"/>
                <w:szCs w:val="17"/>
                <w:color w:val="0000EE"/>
                <w:w w:val="85"/>
              </w:rPr>
              <w:t>Merger Consideration</w:t>
            </w:r>
          </w:p>
        </w:tc>
        <w:tc>
          <w:tcPr>
            <w:tcW w:w="2560" w:type="dxa"/>
            <w:vAlign w:val="bottom"/>
            <w:gridSpan w:val="14"/>
          </w:tcPr>
          <w:p>
            <w:pPr>
              <w:spacing w:after="0"/>
              <w:rPr>
                <w:sz w:val="14"/>
                <w:szCs w:val="14"/>
                <w:color w:val="auto"/>
              </w:rPr>
            </w:pPr>
          </w:p>
        </w:tc>
        <w:tc>
          <w:tcPr>
            <w:tcW w:w="2960" w:type="dxa"/>
            <w:vAlign w:val="bottom"/>
            <w:gridSpan w:val="6"/>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90</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7"/>
            <w:shd w:val="clear" w:color="auto" w:fill="CCFFCC"/>
          </w:tcPr>
          <w:p>
            <w:pPr>
              <w:spacing w:after="0" w:line="172" w:lineRule="exact"/>
              <w:rPr>
                <w:sz w:val="20"/>
                <w:szCs w:val="20"/>
                <w:color w:val="auto"/>
              </w:rPr>
            </w:pPr>
            <w:r>
              <w:rPr>
                <w:rFonts w:ascii="Arial" w:cs="Arial" w:eastAsia="Arial" w:hAnsi="Arial"/>
                <w:sz w:val="17"/>
                <w:szCs w:val="17"/>
                <w:color w:val="0000EE"/>
              </w:rPr>
              <w:t>Exchange of Innovate/Protect Stock Certificates</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91</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2120" w:type="dxa"/>
            <w:vAlign w:val="bottom"/>
            <w:gridSpan w:val="12"/>
          </w:tcPr>
          <w:p>
            <w:pPr>
              <w:spacing w:after="0" w:line="163" w:lineRule="exact"/>
              <w:rPr>
                <w:sz w:val="20"/>
                <w:szCs w:val="20"/>
                <w:color w:val="auto"/>
              </w:rPr>
            </w:pPr>
            <w:r>
              <w:rPr>
                <w:rFonts w:ascii="Arial" w:cs="Arial" w:eastAsia="Arial" w:hAnsi="Arial"/>
                <w:sz w:val="17"/>
                <w:szCs w:val="17"/>
                <w:color w:val="0000EE"/>
                <w:w w:val="85"/>
              </w:rPr>
              <w:t>Representations and Warranties</w:t>
            </w:r>
          </w:p>
        </w:tc>
        <w:tc>
          <w:tcPr>
            <w:tcW w:w="1060" w:type="dxa"/>
            <w:vAlign w:val="bottom"/>
            <w:gridSpan w:val="6"/>
          </w:tcPr>
          <w:p>
            <w:pPr>
              <w:spacing w:after="0"/>
              <w:rPr>
                <w:sz w:val="14"/>
                <w:szCs w:val="14"/>
                <w:color w:val="auto"/>
              </w:rPr>
            </w:pPr>
          </w:p>
        </w:tc>
        <w:tc>
          <w:tcPr>
            <w:tcW w:w="3780" w:type="dxa"/>
            <w:vAlign w:val="bottom"/>
            <w:gridSpan w:val="9"/>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91</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620" w:type="dxa"/>
            <w:vAlign w:val="bottom"/>
            <w:gridSpan w:val="8"/>
            <w:shd w:val="clear" w:color="auto" w:fill="CCFFCC"/>
          </w:tcPr>
          <w:p>
            <w:pPr>
              <w:spacing w:after="0" w:line="172" w:lineRule="exact"/>
              <w:rPr>
                <w:sz w:val="20"/>
                <w:szCs w:val="20"/>
                <w:color w:val="auto"/>
              </w:rPr>
            </w:pPr>
            <w:r>
              <w:rPr>
                <w:rFonts w:ascii="Arial" w:cs="Arial" w:eastAsia="Arial" w:hAnsi="Arial"/>
                <w:sz w:val="17"/>
                <w:szCs w:val="17"/>
                <w:color w:val="0000EE"/>
                <w:w w:val="91"/>
              </w:rPr>
              <w:t>Material Adverse Effect</w:t>
            </w:r>
          </w:p>
        </w:tc>
        <w:tc>
          <w:tcPr>
            <w:tcW w:w="500" w:type="dxa"/>
            <w:vAlign w:val="bottom"/>
            <w:gridSpan w:val="4"/>
            <w:shd w:val="clear" w:color="auto" w:fill="CCFFCC"/>
          </w:tcPr>
          <w:p>
            <w:pPr>
              <w:spacing w:after="0"/>
              <w:rPr>
                <w:sz w:val="14"/>
                <w:szCs w:val="14"/>
                <w:color w:val="auto"/>
              </w:rPr>
            </w:pPr>
          </w:p>
        </w:tc>
        <w:tc>
          <w:tcPr>
            <w:tcW w:w="4840" w:type="dxa"/>
            <w:vAlign w:val="bottom"/>
            <w:tcBorders>
              <w:left w:val="single" w:sz="8" w:color="CCFFCC"/>
            </w:tcBorders>
            <w:gridSpan w:val="15"/>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92</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7"/>
          </w:tcPr>
          <w:p>
            <w:pPr>
              <w:spacing w:after="0" w:line="163" w:lineRule="exact"/>
              <w:rPr>
                <w:sz w:val="20"/>
                <w:szCs w:val="20"/>
                <w:color w:val="auto"/>
              </w:rPr>
            </w:pPr>
            <w:r>
              <w:rPr>
                <w:rFonts w:ascii="Arial" w:cs="Arial" w:eastAsia="Arial" w:hAnsi="Arial"/>
                <w:sz w:val="17"/>
                <w:szCs w:val="17"/>
                <w:color w:val="0000EE"/>
              </w:rPr>
              <w:t>Certain Covenants of the Parties</w:t>
            </w: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94</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140" w:type="dxa"/>
            <w:vAlign w:val="bottom"/>
            <w:tcBorders>
              <w:right w:val="single" w:sz="8" w:color="CCFFCC"/>
            </w:tcBorders>
            <w:gridSpan w:val="5"/>
            <w:shd w:val="clear" w:color="auto" w:fill="CCFFCC"/>
          </w:tcPr>
          <w:p>
            <w:pPr>
              <w:spacing w:after="0" w:line="172" w:lineRule="exact"/>
              <w:rPr>
                <w:sz w:val="20"/>
                <w:szCs w:val="20"/>
                <w:color w:val="auto"/>
              </w:rPr>
            </w:pPr>
            <w:r>
              <w:rPr>
                <w:rFonts w:ascii="Arial" w:cs="Arial" w:eastAsia="Arial" w:hAnsi="Arial"/>
                <w:sz w:val="17"/>
                <w:szCs w:val="17"/>
                <w:color w:val="0000EE"/>
              </w:rPr>
              <w:t>No Solicitation</w:t>
            </w:r>
          </w:p>
        </w:tc>
        <w:tc>
          <w:tcPr>
            <w:tcW w:w="980" w:type="dxa"/>
            <w:vAlign w:val="bottom"/>
            <w:gridSpan w:val="7"/>
            <w:shd w:val="clear" w:color="auto" w:fill="CCFFCC"/>
          </w:tcPr>
          <w:p>
            <w:pPr>
              <w:spacing w:after="0"/>
              <w:rPr>
                <w:sz w:val="14"/>
                <w:szCs w:val="14"/>
                <w:color w:val="auto"/>
              </w:rPr>
            </w:pPr>
          </w:p>
        </w:tc>
        <w:tc>
          <w:tcPr>
            <w:tcW w:w="4840" w:type="dxa"/>
            <w:vAlign w:val="bottom"/>
            <w:tcBorders>
              <w:left w:val="single" w:sz="8" w:color="CCFFCC"/>
            </w:tcBorders>
            <w:gridSpan w:val="15"/>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95</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CCFFCC"/>
            </w:tcBorders>
            <w:shd w:val="clear" w:color="auto" w:fill="0000EE"/>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1700" w:type="dxa"/>
            <w:vAlign w:val="bottom"/>
            <w:gridSpan w:val="9"/>
          </w:tcPr>
          <w:p>
            <w:pPr>
              <w:spacing w:after="0" w:line="163" w:lineRule="exact"/>
              <w:rPr>
                <w:sz w:val="20"/>
                <w:szCs w:val="20"/>
                <w:color w:val="auto"/>
              </w:rPr>
            </w:pPr>
            <w:r>
              <w:rPr>
                <w:rFonts w:ascii="Arial" w:cs="Arial" w:eastAsia="Arial" w:hAnsi="Arial"/>
                <w:sz w:val="17"/>
                <w:szCs w:val="17"/>
                <w:color w:val="0000EE"/>
                <w:w w:val="86"/>
              </w:rPr>
              <w:t>Board Recommendations</w:t>
            </w:r>
          </w:p>
        </w:tc>
        <w:tc>
          <w:tcPr>
            <w:tcW w:w="5260" w:type="dxa"/>
            <w:vAlign w:val="bottom"/>
            <w:gridSpan w:val="18"/>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96</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7"/>
            <w:shd w:val="clear" w:color="auto" w:fill="CCFFCC"/>
          </w:tcPr>
          <w:p>
            <w:pPr>
              <w:spacing w:after="0" w:line="172" w:lineRule="exact"/>
              <w:rPr>
                <w:sz w:val="20"/>
                <w:szCs w:val="20"/>
                <w:color w:val="auto"/>
              </w:rPr>
            </w:pPr>
            <w:r>
              <w:rPr>
                <w:rFonts w:ascii="Arial" w:cs="Arial" w:eastAsia="Arial" w:hAnsi="Arial"/>
                <w:sz w:val="17"/>
                <w:szCs w:val="17"/>
                <w:color w:val="0000EE"/>
              </w:rPr>
              <w:t>Approval of Stockholders</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97</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7"/>
          </w:tcPr>
          <w:p>
            <w:pPr>
              <w:spacing w:after="0" w:line="163" w:lineRule="exact"/>
              <w:rPr>
                <w:sz w:val="20"/>
                <w:szCs w:val="20"/>
                <w:color w:val="auto"/>
              </w:rPr>
            </w:pPr>
            <w:r>
              <w:rPr>
                <w:rFonts w:ascii="Arial" w:cs="Arial" w:eastAsia="Arial" w:hAnsi="Arial"/>
                <w:sz w:val="17"/>
                <w:szCs w:val="17"/>
                <w:color w:val="0000EE"/>
              </w:rPr>
              <w:t>Indemnification of Directors and Officers</w:t>
            </w: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97</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7"/>
            <w:shd w:val="clear" w:color="auto" w:fill="CCFFCC"/>
          </w:tcPr>
          <w:p>
            <w:pPr>
              <w:spacing w:after="0" w:line="172" w:lineRule="exact"/>
              <w:rPr>
                <w:sz w:val="20"/>
                <w:szCs w:val="20"/>
                <w:color w:val="auto"/>
              </w:rPr>
            </w:pPr>
            <w:r>
              <w:rPr>
                <w:rFonts w:ascii="Arial" w:cs="Arial" w:eastAsia="Arial" w:hAnsi="Arial"/>
                <w:sz w:val="17"/>
                <w:szCs w:val="17"/>
                <w:color w:val="0000EE"/>
              </w:rPr>
              <w:t>Conditions to the Completion of the Merger</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97</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CCFFCC"/>
            </w:tcBorders>
            <w:shd w:val="clear" w:color="auto" w:fill="0000EE"/>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2560" w:type="dxa"/>
            <w:vAlign w:val="bottom"/>
            <w:gridSpan w:val="14"/>
          </w:tcPr>
          <w:p>
            <w:pPr>
              <w:spacing w:after="0" w:line="163" w:lineRule="exact"/>
              <w:rPr>
                <w:sz w:val="20"/>
                <w:szCs w:val="20"/>
                <w:color w:val="auto"/>
              </w:rPr>
            </w:pPr>
            <w:r>
              <w:rPr>
                <w:rFonts w:ascii="Arial" w:cs="Arial" w:eastAsia="Arial" w:hAnsi="Arial"/>
                <w:sz w:val="17"/>
                <w:szCs w:val="17"/>
                <w:color w:val="0000EE"/>
                <w:w w:val="88"/>
              </w:rPr>
              <w:t>Termination of the Merger Agreement</w:t>
            </w:r>
          </w:p>
        </w:tc>
        <w:tc>
          <w:tcPr>
            <w:tcW w:w="400" w:type="dxa"/>
            <w:vAlign w:val="bottom"/>
            <w:gridSpan w:val="3"/>
          </w:tcPr>
          <w:p>
            <w:pPr>
              <w:spacing w:after="0"/>
              <w:rPr>
                <w:sz w:val="14"/>
                <w:szCs w:val="14"/>
                <w:color w:val="auto"/>
              </w:rPr>
            </w:pPr>
          </w:p>
        </w:tc>
        <w:tc>
          <w:tcPr>
            <w:tcW w:w="4000" w:type="dxa"/>
            <w:vAlign w:val="bottom"/>
            <w:gridSpan w:val="10"/>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98</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2560" w:type="dxa"/>
            <w:vAlign w:val="bottom"/>
            <w:gridSpan w:val="14"/>
            <w:shd w:val="clear" w:color="auto" w:fill="CCFFCC"/>
          </w:tcPr>
          <w:p>
            <w:pPr>
              <w:spacing w:after="0" w:line="172" w:lineRule="exact"/>
              <w:rPr>
                <w:sz w:val="20"/>
                <w:szCs w:val="20"/>
                <w:color w:val="auto"/>
              </w:rPr>
            </w:pPr>
            <w:r>
              <w:rPr>
                <w:rFonts w:ascii="Arial" w:cs="Arial" w:eastAsia="Arial" w:hAnsi="Arial"/>
                <w:sz w:val="17"/>
                <w:szCs w:val="17"/>
                <w:color w:val="0000EE"/>
              </w:rPr>
              <w:t>Termination Fees and Expenses</w:t>
            </w:r>
          </w:p>
        </w:tc>
        <w:tc>
          <w:tcPr>
            <w:tcW w:w="4400" w:type="dxa"/>
            <w:vAlign w:val="bottom"/>
            <w:tcBorders>
              <w:left w:val="single" w:sz="8" w:color="CCFFCC"/>
            </w:tcBorders>
            <w:gridSpan w:val="13"/>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98</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900" w:type="dxa"/>
            <w:vAlign w:val="bottom"/>
            <w:gridSpan w:val="4"/>
          </w:tcPr>
          <w:p>
            <w:pPr>
              <w:spacing w:after="0" w:line="163" w:lineRule="exact"/>
              <w:rPr>
                <w:sz w:val="20"/>
                <w:szCs w:val="20"/>
                <w:color w:val="auto"/>
              </w:rPr>
            </w:pPr>
            <w:r>
              <w:rPr>
                <w:rFonts w:ascii="Arial" w:cs="Arial" w:eastAsia="Arial" w:hAnsi="Arial"/>
                <w:sz w:val="17"/>
                <w:szCs w:val="17"/>
                <w:color w:val="0000EE"/>
                <w:w w:val="85"/>
              </w:rPr>
              <w:t>Amendments</w:t>
            </w:r>
          </w:p>
        </w:tc>
        <w:tc>
          <w:tcPr>
            <w:tcW w:w="1220" w:type="dxa"/>
            <w:vAlign w:val="bottom"/>
            <w:gridSpan w:val="8"/>
          </w:tcPr>
          <w:p>
            <w:pPr>
              <w:spacing w:after="0"/>
              <w:rPr>
                <w:sz w:val="14"/>
                <w:szCs w:val="14"/>
                <w:color w:val="auto"/>
              </w:rPr>
            </w:pPr>
          </w:p>
        </w:tc>
        <w:tc>
          <w:tcPr>
            <w:tcW w:w="4840" w:type="dxa"/>
            <w:vAlign w:val="bottom"/>
            <w:gridSpan w:val="15"/>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99</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140" w:type="dxa"/>
            <w:vAlign w:val="bottom"/>
            <w:tcBorders>
              <w:right w:val="single" w:sz="8" w:color="CCFFCC"/>
            </w:tcBorders>
            <w:gridSpan w:val="5"/>
            <w:shd w:val="clear" w:color="auto" w:fill="CCFFCC"/>
          </w:tcPr>
          <w:p>
            <w:pPr>
              <w:spacing w:after="0" w:line="172" w:lineRule="exact"/>
              <w:rPr>
                <w:sz w:val="20"/>
                <w:szCs w:val="20"/>
                <w:color w:val="auto"/>
              </w:rPr>
            </w:pPr>
            <w:r>
              <w:rPr>
                <w:rFonts w:ascii="Arial" w:cs="Arial" w:eastAsia="Arial" w:hAnsi="Arial"/>
                <w:sz w:val="17"/>
                <w:szCs w:val="17"/>
                <w:color w:val="0000EE"/>
                <w:w w:val="96"/>
              </w:rPr>
              <w:t>Governing Law</w:t>
            </w:r>
          </w:p>
        </w:tc>
        <w:tc>
          <w:tcPr>
            <w:tcW w:w="5820" w:type="dxa"/>
            <w:vAlign w:val="bottom"/>
            <w:gridSpan w:val="22"/>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99</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7120" w:type="dxa"/>
            <w:vAlign w:val="bottom"/>
            <w:gridSpan w:val="28"/>
          </w:tcPr>
          <w:p>
            <w:pPr>
              <w:spacing w:after="0" w:line="163" w:lineRule="exact"/>
              <w:rPr>
                <w:sz w:val="20"/>
                <w:szCs w:val="20"/>
                <w:color w:val="auto"/>
              </w:rPr>
            </w:pPr>
            <w:r>
              <w:rPr>
                <w:rFonts w:ascii="Arial" w:cs="Arial" w:eastAsia="Arial" w:hAnsi="Arial"/>
                <w:sz w:val="17"/>
                <w:szCs w:val="17"/>
                <w:color w:val="0000EE"/>
              </w:rPr>
              <w:t>INFORMATION ABOUT THE COMPANIES</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100</w:t>
            </w: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2960" w:type="dxa"/>
            <w:vAlign w:val="bottom"/>
            <w:tcBorders>
              <w:right w:val="single" w:sz="8" w:color="CCFFCC"/>
            </w:tcBorders>
            <w:gridSpan w:val="17"/>
            <w:shd w:val="clear" w:color="auto" w:fill="CCFFCC"/>
          </w:tcPr>
          <w:p>
            <w:pPr>
              <w:spacing w:after="0" w:line="172" w:lineRule="exact"/>
              <w:rPr>
                <w:sz w:val="20"/>
                <w:szCs w:val="20"/>
                <w:color w:val="auto"/>
              </w:rPr>
            </w:pPr>
            <w:r>
              <w:rPr>
                <w:rFonts w:ascii="Arial" w:cs="Arial" w:eastAsia="Arial" w:hAnsi="Arial"/>
                <w:sz w:val="17"/>
                <w:szCs w:val="17"/>
                <w:color w:val="0000EE"/>
              </w:rPr>
              <w:t>Vringo, Inc</w:t>
            </w:r>
          </w:p>
        </w:tc>
        <w:tc>
          <w:tcPr>
            <w:tcW w:w="4000" w:type="dxa"/>
            <w:vAlign w:val="bottom"/>
            <w:gridSpan w:val="10"/>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34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84"/>
              </w:rPr>
              <w:t>100</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40" w:type="dxa"/>
            <w:vAlign w:val="bottom"/>
            <w:tcBorders>
              <w:left w:val="single" w:sz="8" w:color="CCFFCC"/>
              <w:right w:val="single" w:sz="8" w:color="CCFFCC"/>
            </w:tcBorders>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7"/>
          </w:tcPr>
          <w:p>
            <w:pPr>
              <w:spacing w:after="0" w:line="163" w:lineRule="exact"/>
              <w:rPr>
                <w:sz w:val="20"/>
                <w:szCs w:val="20"/>
                <w:color w:val="auto"/>
              </w:rPr>
            </w:pPr>
            <w:r>
              <w:rPr>
                <w:rFonts w:ascii="Arial" w:cs="Arial" w:eastAsia="Arial" w:hAnsi="Arial"/>
                <w:sz w:val="17"/>
                <w:szCs w:val="17"/>
                <w:color w:val="0000EE"/>
              </w:rPr>
              <w:t>Innovate/Protect, Inc.</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101</w:t>
            </w: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7"/>
            <w:shd w:val="clear" w:color="auto" w:fill="CCFFCC"/>
          </w:tcPr>
          <w:p>
            <w:pPr>
              <w:spacing w:after="0" w:line="172" w:lineRule="exact"/>
              <w:rPr>
                <w:sz w:val="20"/>
                <w:szCs w:val="20"/>
                <w:color w:val="auto"/>
              </w:rPr>
            </w:pPr>
            <w:r>
              <w:rPr>
                <w:rFonts w:ascii="Arial" w:cs="Arial" w:eastAsia="Arial" w:hAnsi="Arial"/>
                <w:sz w:val="17"/>
                <w:szCs w:val="17"/>
                <w:color w:val="0000EE"/>
              </w:rPr>
              <w:t>VIP Merger Sub, Inc.</w:t>
            </w:r>
          </w:p>
        </w:tc>
        <w:tc>
          <w:tcPr>
            <w:tcW w:w="500" w:type="dxa"/>
            <w:vAlign w:val="bottom"/>
            <w:gridSpan w:val="4"/>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101</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7120" w:type="dxa"/>
            <w:vAlign w:val="bottom"/>
            <w:gridSpan w:val="28"/>
          </w:tcPr>
          <w:p>
            <w:pPr>
              <w:spacing w:after="0" w:line="163" w:lineRule="exact"/>
              <w:rPr>
                <w:sz w:val="20"/>
                <w:szCs w:val="20"/>
                <w:color w:val="auto"/>
              </w:rPr>
            </w:pPr>
            <w:r>
              <w:rPr>
                <w:rFonts w:ascii="Arial" w:cs="Arial" w:eastAsia="Arial" w:hAnsi="Arial"/>
                <w:sz w:val="17"/>
                <w:szCs w:val="17"/>
                <w:color w:val="0000EE"/>
              </w:rPr>
              <w:t>THE ANNUAL MEETING OF VRINGO STOCKHOLDERS</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102</w:t>
            </w: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440" w:type="dxa"/>
            <w:vAlign w:val="bottom"/>
            <w:tcBorders>
              <w:right w:val="single" w:sz="8" w:color="CCFFCC"/>
            </w:tcBorders>
            <w:gridSpan w:val="7"/>
            <w:shd w:val="clear" w:color="auto" w:fill="CCFFCC"/>
          </w:tcPr>
          <w:p>
            <w:pPr>
              <w:spacing w:after="0" w:line="172" w:lineRule="exact"/>
              <w:rPr>
                <w:sz w:val="20"/>
                <w:szCs w:val="20"/>
                <w:color w:val="auto"/>
              </w:rPr>
            </w:pPr>
            <w:r>
              <w:rPr>
                <w:rFonts w:ascii="Arial" w:cs="Arial" w:eastAsia="Arial" w:hAnsi="Arial"/>
                <w:sz w:val="17"/>
                <w:szCs w:val="17"/>
                <w:color w:val="0000EE"/>
                <w:w w:val="85"/>
              </w:rPr>
              <w:t>Date, Time and Place</w:t>
            </w:r>
          </w:p>
        </w:tc>
        <w:tc>
          <w:tcPr>
            <w:tcW w:w="2560" w:type="dxa"/>
            <w:vAlign w:val="bottom"/>
            <w:tcBorders>
              <w:left w:val="single" w:sz="8" w:color="CCFFCC"/>
            </w:tcBorders>
            <w:gridSpan w:val="14"/>
            <w:shd w:val="clear" w:color="auto" w:fill="CCFFCC"/>
          </w:tcPr>
          <w:p>
            <w:pPr>
              <w:spacing w:after="0"/>
              <w:rPr>
                <w:sz w:val="14"/>
                <w:szCs w:val="14"/>
                <w:color w:val="auto"/>
              </w:rPr>
            </w:pPr>
          </w:p>
        </w:tc>
        <w:tc>
          <w:tcPr>
            <w:tcW w:w="2960" w:type="dxa"/>
            <w:vAlign w:val="bottom"/>
            <w:gridSpan w:val="6"/>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34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84"/>
              </w:rPr>
              <w:t>102</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7"/>
          </w:tcPr>
          <w:p>
            <w:pPr>
              <w:spacing w:after="0" w:line="163" w:lineRule="exact"/>
              <w:rPr>
                <w:sz w:val="20"/>
                <w:szCs w:val="20"/>
                <w:color w:val="auto"/>
              </w:rPr>
            </w:pPr>
            <w:r>
              <w:rPr>
                <w:rFonts w:ascii="Arial" w:cs="Arial" w:eastAsia="Arial" w:hAnsi="Arial"/>
                <w:sz w:val="17"/>
                <w:szCs w:val="17"/>
                <w:color w:val="0000EE"/>
              </w:rPr>
              <w:t>Purpose of the Vringo Annual Meeting</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102</w:t>
            </w: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7"/>
            <w:shd w:val="clear" w:color="auto" w:fill="CCFFCC"/>
          </w:tcPr>
          <w:p>
            <w:pPr>
              <w:spacing w:after="0" w:line="172" w:lineRule="exact"/>
              <w:rPr>
                <w:sz w:val="20"/>
                <w:szCs w:val="20"/>
                <w:color w:val="auto"/>
              </w:rPr>
            </w:pPr>
            <w:r>
              <w:rPr>
                <w:rFonts w:ascii="Arial" w:cs="Arial" w:eastAsia="Arial" w:hAnsi="Arial"/>
                <w:sz w:val="17"/>
                <w:szCs w:val="17"/>
                <w:color w:val="0000EE"/>
              </w:rPr>
              <w:t>Vringo Record Date; Shares Entitled to Vote</w:t>
            </w:r>
          </w:p>
        </w:tc>
        <w:tc>
          <w:tcPr>
            <w:tcW w:w="500" w:type="dxa"/>
            <w:vAlign w:val="bottom"/>
            <w:gridSpan w:val="4"/>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102</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2960" w:type="dxa"/>
            <w:vAlign w:val="bottom"/>
            <w:gridSpan w:val="17"/>
          </w:tcPr>
          <w:p>
            <w:pPr>
              <w:spacing w:after="0" w:line="163" w:lineRule="exact"/>
              <w:rPr>
                <w:sz w:val="20"/>
                <w:szCs w:val="20"/>
                <w:color w:val="auto"/>
              </w:rPr>
            </w:pPr>
            <w:r>
              <w:rPr>
                <w:rFonts w:ascii="Arial" w:cs="Arial" w:eastAsia="Arial" w:hAnsi="Arial"/>
                <w:sz w:val="17"/>
                <w:szCs w:val="17"/>
                <w:color w:val="0000EE"/>
              </w:rPr>
              <w:t>Quorum</w:t>
            </w:r>
          </w:p>
        </w:tc>
        <w:tc>
          <w:tcPr>
            <w:tcW w:w="4000" w:type="dxa"/>
            <w:vAlign w:val="bottom"/>
            <w:gridSpan w:val="10"/>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w w:val="84"/>
              </w:rPr>
              <w:t>102</w:t>
            </w: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7"/>
            <w:shd w:val="clear" w:color="auto" w:fill="CCFFCC"/>
          </w:tcPr>
          <w:p>
            <w:pPr>
              <w:spacing w:after="0" w:line="172" w:lineRule="exact"/>
              <w:rPr>
                <w:sz w:val="20"/>
                <w:szCs w:val="20"/>
                <w:color w:val="auto"/>
              </w:rPr>
            </w:pPr>
            <w:r>
              <w:rPr>
                <w:rFonts w:ascii="Arial" w:cs="Arial" w:eastAsia="Arial" w:hAnsi="Arial"/>
                <w:sz w:val="17"/>
                <w:szCs w:val="17"/>
                <w:color w:val="0000EE"/>
              </w:rPr>
              <w:t>Required Vote</w:t>
            </w:r>
          </w:p>
        </w:tc>
        <w:tc>
          <w:tcPr>
            <w:tcW w:w="500" w:type="dxa"/>
            <w:vAlign w:val="bottom"/>
            <w:gridSpan w:val="4"/>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102</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CCFFCC"/>
            </w:tcBorders>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7"/>
          </w:tcPr>
          <w:p>
            <w:pPr>
              <w:spacing w:after="0" w:line="163" w:lineRule="exact"/>
              <w:rPr>
                <w:sz w:val="20"/>
                <w:szCs w:val="20"/>
                <w:color w:val="auto"/>
              </w:rPr>
            </w:pPr>
            <w:r>
              <w:rPr>
                <w:rFonts w:ascii="Arial" w:cs="Arial" w:eastAsia="Arial" w:hAnsi="Arial"/>
                <w:sz w:val="17"/>
                <w:szCs w:val="17"/>
                <w:color w:val="0000EE"/>
              </w:rPr>
              <w:t>Counting of Votes; Treatment of Abstentions and Incomplete Proxies</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103</w:t>
            </w: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2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4580" w:type="dxa"/>
            <w:vAlign w:val="bottom"/>
            <w:gridSpan w:val="23"/>
            <w:shd w:val="clear" w:color="auto" w:fill="CCFFCC"/>
          </w:tcPr>
          <w:p>
            <w:pPr>
              <w:spacing w:after="0" w:line="172" w:lineRule="exact"/>
              <w:rPr>
                <w:sz w:val="20"/>
                <w:szCs w:val="20"/>
                <w:color w:val="auto"/>
              </w:rPr>
            </w:pPr>
            <w:r>
              <w:rPr>
                <w:rFonts w:ascii="Arial" w:cs="Arial" w:eastAsia="Arial" w:hAnsi="Arial"/>
                <w:sz w:val="17"/>
                <w:szCs w:val="17"/>
                <w:color w:val="0000EE"/>
              </w:rPr>
              <w:t>Voting by Vringo Directors and Executive Officers</w:t>
            </w:r>
          </w:p>
        </w:tc>
        <w:tc>
          <w:tcPr>
            <w:tcW w:w="2380" w:type="dxa"/>
            <w:vAlign w:val="bottom"/>
            <w:tcBorders>
              <w:left w:val="single" w:sz="8" w:color="CCFFCC"/>
            </w:tcBorders>
            <w:gridSpan w:val="4"/>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34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84"/>
              </w:rPr>
              <w:t>103</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3400" w:type="dxa"/>
            <w:vAlign w:val="bottom"/>
            <w:gridSpan w:val="19"/>
          </w:tcPr>
          <w:p>
            <w:pPr>
              <w:spacing w:after="0" w:line="163" w:lineRule="exact"/>
              <w:rPr>
                <w:sz w:val="20"/>
                <w:szCs w:val="20"/>
                <w:color w:val="auto"/>
              </w:rPr>
            </w:pPr>
            <w:r>
              <w:rPr>
                <w:rFonts w:ascii="Arial" w:cs="Arial" w:eastAsia="Arial" w:hAnsi="Arial"/>
                <w:sz w:val="17"/>
                <w:szCs w:val="17"/>
                <w:color w:val="0000EE"/>
              </w:rPr>
              <w:t>Voting of Proxies by Registered Holders</w:t>
            </w:r>
          </w:p>
        </w:tc>
        <w:tc>
          <w:tcPr>
            <w:tcW w:w="3560" w:type="dxa"/>
            <w:vAlign w:val="bottom"/>
            <w:gridSpan w:val="8"/>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w w:val="84"/>
              </w:rPr>
              <w:t>104</w:t>
            </w: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940" w:type="dxa"/>
            <w:vAlign w:val="bottom"/>
            <w:tcBorders>
              <w:right w:val="single" w:sz="8" w:color="CCFFCC"/>
            </w:tcBorders>
            <w:gridSpan w:val="11"/>
            <w:shd w:val="clear" w:color="auto" w:fill="CCFFCC"/>
          </w:tcPr>
          <w:p>
            <w:pPr>
              <w:spacing w:after="0" w:line="172" w:lineRule="exact"/>
              <w:rPr>
                <w:sz w:val="20"/>
                <w:szCs w:val="20"/>
                <w:color w:val="auto"/>
              </w:rPr>
            </w:pPr>
            <w:r>
              <w:rPr>
                <w:rFonts w:ascii="Arial" w:cs="Arial" w:eastAsia="Arial" w:hAnsi="Arial"/>
                <w:sz w:val="17"/>
                <w:szCs w:val="17"/>
                <w:color w:val="0000EE"/>
                <w:w w:val="89"/>
              </w:rPr>
              <w:t>Shares Held in Street Name</w:t>
            </w:r>
          </w:p>
        </w:tc>
        <w:tc>
          <w:tcPr>
            <w:tcW w:w="760" w:type="dxa"/>
            <w:vAlign w:val="bottom"/>
            <w:tcBorders>
              <w:left w:val="single" w:sz="8" w:color="CCFFCC"/>
            </w:tcBorders>
            <w:gridSpan w:val="4"/>
            <w:shd w:val="clear" w:color="auto" w:fill="CCFFCC"/>
          </w:tcPr>
          <w:p>
            <w:pPr>
              <w:spacing w:after="0"/>
              <w:rPr>
                <w:sz w:val="14"/>
                <w:szCs w:val="14"/>
                <w:color w:val="auto"/>
              </w:rPr>
            </w:pPr>
          </w:p>
        </w:tc>
        <w:tc>
          <w:tcPr>
            <w:tcW w:w="4260" w:type="dxa"/>
            <w:vAlign w:val="bottom"/>
            <w:gridSpan w:val="12"/>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34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84"/>
              </w:rPr>
              <w:t>104</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CCFFCC"/>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220" w:type="dxa"/>
            <w:vAlign w:val="bottom"/>
            <w:tcBorders>
              <w:left w:val="single" w:sz="8" w:color="CCFFCC"/>
            </w:tcBorders>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7"/>
          </w:tcPr>
          <w:p>
            <w:pPr>
              <w:spacing w:after="0" w:line="163" w:lineRule="exact"/>
              <w:rPr>
                <w:sz w:val="20"/>
                <w:szCs w:val="20"/>
                <w:color w:val="auto"/>
              </w:rPr>
            </w:pPr>
            <w:r>
              <w:rPr>
                <w:rFonts w:ascii="Arial" w:cs="Arial" w:eastAsia="Arial" w:hAnsi="Arial"/>
                <w:sz w:val="17"/>
                <w:szCs w:val="17"/>
                <w:color w:val="0000EE"/>
              </w:rPr>
              <w:t>Revocability of Proxies and Changes to a Vringo Stockholder’s Vote</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104</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-6038215</wp:posOffset>
            </wp:positionV>
            <wp:extent cx="4837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7120" w:type="dxa"/>
            <w:vAlign w:val="bottom"/>
            <w:gridSpan w:val="30"/>
          </w:tcPr>
          <w:p>
            <w:pPr>
              <w:spacing w:after="0"/>
              <w:rPr>
                <w:sz w:val="20"/>
                <w:szCs w:val="20"/>
                <w:color w:val="auto"/>
              </w:rPr>
            </w:pPr>
            <w:r>
              <w:rPr>
                <w:rFonts w:ascii="Arial" w:cs="Arial" w:eastAsia="Arial" w:hAnsi="Arial"/>
                <w:sz w:val="13"/>
                <w:szCs w:val="13"/>
                <w:b w:val="1"/>
                <w:bCs w:val="1"/>
                <w:color w:val="0000EE"/>
              </w:rPr>
              <w:t>TABLE OF CONTENTS</w:t>
            </w:r>
          </w:p>
        </w:tc>
        <w:tc>
          <w:tcPr>
            <w:tcW w:w="180" w:type="dxa"/>
            <w:vAlign w:val="bottom"/>
            <w:vMerge w:val="restart"/>
          </w:tcPr>
          <w:p>
            <w:pPr>
              <w:spacing w:after="0"/>
              <w:rPr>
                <w:sz w:val="13"/>
                <w:szCs w:val="13"/>
                <w:color w:val="auto"/>
              </w:rPr>
            </w:pP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EE"/>
                <w:w w:val="77"/>
              </w:rPr>
              <w:t>105</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0" w:type="dxa"/>
            <w:vAlign w:val="bottom"/>
          </w:tcPr>
          <w:p>
            <w:pPr>
              <w:spacing w:after="0"/>
              <w:rPr>
                <w:sz w:val="12"/>
                <w:szCs w:val="12"/>
                <w:color w:val="auto"/>
              </w:rPr>
            </w:pPr>
          </w:p>
        </w:tc>
        <w:tc>
          <w:tcPr>
            <w:tcW w:w="1500" w:type="dxa"/>
            <w:vAlign w:val="bottom"/>
            <w:gridSpan w:val="7"/>
          </w:tcPr>
          <w:p>
            <w:pPr>
              <w:spacing w:after="0" w:line="143" w:lineRule="exact"/>
              <w:rPr>
                <w:sz w:val="20"/>
                <w:szCs w:val="20"/>
                <w:color w:val="auto"/>
              </w:rPr>
            </w:pPr>
            <w:r>
              <w:rPr>
                <w:rFonts w:ascii="Arial" w:cs="Arial" w:eastAsia="Arial" w:hAnsi="Arial"/>
                <w:sz w:val="16"/>
                <w:szCs w:val="16"/>
                <w:color w:val="0000EE"/>
                <w:w w:val="95"/>
              </w:rPr>
              <w:t>Solicitation of Proxies</w:t>
            </w:r>
          </w:p>
        </w:tc>
        <w:tc>
          <w:tcPr>
            <w:tcW w:w="5460" w:type="dxa"/>
            <w:vAlign w:val="bottom"/>
            <w:gridSpan w:val="22"/>
          </w:tcPr>
          <w:p>
            <w:pPr>
              <w:spacing w:after="0"/>
              <w:rPr>
                <w:sz w:val="12"/>
                <w:szCs w:val="12"/>
                <w:color w:val="auto"/>
              </w:rPr>
            </w:pPr>
          </w:p>
        </w:tc>
        <w:tc>
          <w:tcPr>
            <w:tcW w:w="18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9"/>
            <w:shd w:val="clear" w:color="auto" w:fill="CCFFCC"/>
          </w:tcPr>
          <w:p>
            <w:pPr>
              <w:spacing w:after="0" w:line="172" w:lineRule="exact"/>
              <w:rPr>
                <w:sz w:val="20"/>
                <w:szCs w:val="20"/>
                <w:color w:val="auto"/>
              </w:rPr>
            </w:pPr>
            <w:r>
              <w:rPr>
                <w:rFonts w:ascii="Arial" w:cs="Arial" w:eastAsia="Arial" w:hAnsi="Arial"/>
                <w:sz w:val="17"/>
                <w:szCs w:val="17"/>
                <w:color w:val="0000EE"/>
              </w:rPr>
              <w:t>Delivery of Proxy Materials to Households Where Two or More Vringo Stockholders Reside</w:t>
            </w:r>
          </w:p>
        </w:tc>
        <w:tc>
          <w:tcPr>
            <w:tcW w:w="50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105</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40" w:type="dxa"/>
            <w:vAlign w:val="bottom"/>
            <w:tcBorders>
              <w:right w:val="single" w:sz="8" w:color="CCFFCC"/>
            </w:tcBorders>
            <w:shd w:val="clear" w:color="auto" w:fill="0000EE"/>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2540" w:type="dxa"/>
            <w:vAlign w:val="bottom"/>
            <w:gridSpan w:val="12"/>
          </w:tcPr>
          <w:p>
            <w:pPr>
              <w:spacing w:after="0" w:line="163" w:lineRule="exact"/>
              <w:rPr>
                <w:sz w:val="20"/>
                <w:szCs w:val="20"/>
                <w:color w:val="auto"/>
              </w:rPr>
            </w:pPr>
            <w:r>
              <w:rPr>
                <w:rFonts w:ascii="Arial" w:cs="Arial" w:eastAsia="Arial" w:hAnsi="Arial"/>
                <w:sz w:val="17"/>
                <w:szCs w:val="17"/>
                <w:color w:val="0000EE"/>
                <w:w w:val="90"/>
              </w:rPr>
              <w:t>Attending the Vringo Annual Meeting</w:t>
            </w:r>
          </w:p>
        </w:tc>
        <w:tc>
          <w:tcPr>
            <w:tcW w:w="3700" w:type="dxa"/>
            <w:vAlign w:val="bottom"/>
            <w:gridSpan w:val="9"/>
          </w:tcPr>
          <w:p>
            <w:pPr>
              <w:spacing w:after="0"/>
              <w:rPr>
                <w:sz w:val="14"/>
                <w:szCs w:val="14"/>
                <w:color w:val="auto"/>
              </w:rPr>
            </w:pPr>
          </w:p>
        </w:tc>
        <w:tc>
          <w:tcPr>
            <w:tcW w:w="720" w:type="dxa"/>
            <w:vAlign w:val="bottom"/>
            <w:gridSpan w:val="8"/>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105</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60" w:type="dxa"/>
            <w:vAlign w:val="bottom"/>
            <w:tcBorders>
              <w:right w:val="single" w:sz="8" w:color="CCFFCC"/>
            </w:tcBorders>
            <w:gridSpan w:val="8"/>
            <w:shd w:val="clear" w:color="auto" w:fill="CCFFCC"/>
          </w:tcPr>
          <w:p>
            <w:pPr>
              <w:spacing w:after="0" w:line="172" w:lineRule="exact"/>
              <w:rPr>
                <w:sz w:val="20"/>
                <w:szCs w:val="20"/>
                <w:color w:val="auto"/>
              </w:rPr>
            </w:pPr>
            <w:r>
              <w:rPr>
                <w:rFonts w:ascii="Arial" w:cs="Arial" w:eastAsia="Arial" w:hAnsi="Arial"/>
                <w:sz w:val="17"/>
                <w:szCs w:val="17"/>
                <w:color w:val="0000EE"/>
                <w:w w:val="91"/>
              </w:rPr>
              <w:t>VRINGO PROPOSALS</w:t>
            </w:r>
          </w:p>
        </w:tc>
        <w:tc>
          <w:tcPr>
            <w:tcW w:w="5460" w:type="dxa"/>
            <w:vAlign w:val="bottom"/>
            <w:tcBorders>
              <w:left w:val="single" w:sz="8" w:color="CCFFCC"/>
            </w:tcBorders>
            <w:gridSpan w:val="22"/>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106</w:t>
            </w:r>
          </w:p>
        </w:tc>
        <w:tc>
          <w:tcPr>
            <w:tcW w:w="0" w:type="dxa"/>
            <w:vAlign w:val="bottom"/>
          </w:tcPr>
          <w:p>
            <w:pPr>
              <w:spacing w:after="0"/>
              <w:rPr>
                <w:sz w:val="1"/>
                <w:szCs w:val="1"/>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6700" w:type="dxa"/>
            <w:vAlign w:val="bottom"/>
            <w:gridSpan w:val="26"/>
          </w:tcPr>
          <w:p>
            <w:pPr>
              <w:spacing w:after="0" w:line="163" w:lineRule="exact"/>
              <w:rPr>
                <w:sz w:val="20"/>
                <w:szCs w:val="20"/>
                <w:color w:val="auto"/>
              </w:rPr>
            </w:pPr>
            <w:r>
              <w:rPr>
                <w:rFonts w:ascii="Arial" w:cs="Arial" w:eastAsia="Arial" w:hAnsi="Arial"/>
                <w:sz w:val="17"/>
                <w:szCs w:val="17"/>
                <w:color w:val="0000EE"/>
                <w:w w:val="89"/>
              </w:rPr>
              <w:t>Vringo Proposal No. 1: Approval of the Issuance of Vringo Common Stock and Preferred Stock and</w:t>
            </w:r>
          </w:p>
        </w:tc>
        <w:tc>
          <w:tcPr>
            <w:tcW w:w="26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106</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520" w:type="dxa"/>
            <w:vAlign w:val="bottom"/>
            <w:tcBorders>
              <w:top w:val="single" w:sz="8" w:color="0000EE"/>
            </w:tcBorders>
            <w:gridSpan w:val="25"/>
          </w:tcPr>
          <w:p>
            <w:pPr>
              <w:spacing w:after="0" w:line="180" w:lineRule="exact"/>
              <w:rPr>
                <w:sz w:val="20"/>
                <w:szCs w:val="20"/>
                <w:color w:val="auto"/>
              </w:rPr>
            </w:pPr>
            <w:r>
              <w:rPr>
                <w:rFonts w:ascii="Arial" w:cs="Arial" w:eastAsia="Arial" w:hAnsi="Arial"/>
                <w:sz w:val="17"/>
                <w:szCs w:val="17"/>
                <w:color w:val="0000EE"/>
              </w:rPr>
              <w:t>Warrants in Connection with the Merger</w:t>
            </w:r>
          </w:p>
        </w:tc>
        <w:tc>
          <w:tcPr>
            <w:tcW w:w="26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680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w w:val="90"/>
              </w:rPr>
              <w:t>Vringo Proposal No. 2: Approval of an Amendment to Vringo’s Amended and Restated Certificate of</w:t>
            </w:r>
          </w:p>
        </w:tc>
        <w:tc>
          <w:tcPr>
            <w:tcW w:w="160" w:type="dxa"/>
            <w:vAlign w:val="bottom"/>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108</w:t>
            </w:r>
          </w:p>
        </w:tc>
        <w:tc>
          <w:tcPr>
            <w:tcW w:w="0" w:type="dxa"/>
            <w:vAlign w:val="bottom"/>
          </w:tcPr>
          <w:p>
            <w:pPr>
              <w:spacing w:after="0"/>
              <w:rPr>
                <w:sz w:val="1"/>
                <w:szCs w:val="1"/>
                <w:color w:val="auto"/>
              </w:rPr>
            </w:pPr>
          </w:p>
        </w:tc>
      </w:tr>
      <w:tr>
        <w:trPr>
          <w:trHeight w:val="180"/>
        </w:trPr>
        <w:tc>
          <w:tcPr>
            <w:tcW w:w="16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0000EE"/>
            </w:tcBorders>
            <w:shd w:val="clear" w:color="auto" w:fill="CCFFCC"/>
          </w:tcPr>
          <w:p>
            <w:pPr>
              <w:spacing w:after="0"/>
              <w:rPr>
                <w:sz w:val="15"/>
                <w:szCs w:val="15"/>
                <w:color w:val="auto"/>
              </w:rPr>
            </w:pPr>
          </w:p>
        </w:tc>
        <w:tc>
          <w:tcPr>
            <w:tcW w:w="6620" w:type="dxa"/>
            <w:vAlign w:val="bottom"/>
            <w:tcBorders>
              <w:top w:val="single" w:sz="8" w:color="0000EE"/>
            </w:tcBorders>
            <w:gridSpan w:val="27"/>
            <w:shd w:val="clear" w:color="auto" w:fill="CCFFCC"/>
          </w:tcPr>
          <w:p>
            <w:pPr>
              <w:spacing w:after="0" w:line="180" w:lineRule="exact"/>
              <w:rPr>
                <w:sz w:val="20"/>
                <w:szCs w:val="20"/>
                <w:color w:val="auto"/>
              </w:rPr>
            </w:pPr>
            <w:r>
              <w:rPr>
                <w:rFonts w:ascii="Arial" w:cs="Arial" w:eastAsia="Arial" w:hAnsi="Arial"/>
                <w:sz w:val="17"/>
                <w:szCs w:val="17"/>
                <w:color w:val="0000EE"/>
              </w:rPr>
              <w:t>Incorporation to Effect a Reverse Stock Split of Vringo Common Stock</w:t>
            </w:r>
          </w:p>
        </w:tc>
        <w:tc>
          <w:tcPr>
            <w:tcW w:w="16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CCFFCC"/>
              <w:right w:val="single" w:sz="8" w:color="CCFFCC"/>
            </w:tcBorders>
            <w:shd w:val="clear" w:color="auto" w:fill="CCFFCC"/>
          </w:tcPr>
          <w:p>
            <w:pPr>
              <w:spacing w:after="0"/>
              <w:rPr>
                <w:sz w:val="15"/>
                <w:szCs w:val="15"/>
                <w:color w:val="auto"/>
              </w:rPr>
            </w:pPr>
          </w:p>
        </w:tc>
        <w:tc>
          <w:tcPr>
            <w:tcW w:w="240" w:type="dxa"/>
            <w:vAlign w:val="bottom"/>
            <w:tcBorders>
              <w:top w:val="single" w:sz="8" w:color="0000EE"/>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6800" w:type="dxa"/>
            <w:vAlign w:val="bottom"/>
            <w:gridSpan w:val="28"/>
          </w:tcPr>
          <w:p>
            <w:pPr>
              <w:spacing w:after="0" w:line="163" w:lineRule="exact"/>
              <w:rPr>
                <w:sz w:val="20"/>
                <w:szCs w:val="20"/>
                <w:color w:val="auto"/>
              </w:rPr>
            </w:pPr>
            <w:r>
              <w:rPr>
                <w:rFonts w:ascii="Arial" w:cs="Arial" w:eastAsia="Arial" w:hAnsi="Arial"/>
                <w:sz w:val="17"/>
                <w:szCs w:val="17"/>
                <w:color w:val="0000EE"/>
                <w:w w:val="90"/>
              </w:rPr>
              <w:t>Vringo Proposal No. 3: Approval of an Amendment to Vringo’s Amended and Restated Certificate of</w:t>
            </w:r>
          </w:p>
        </w:tc>
        <w:tc>
          <w:tcPr>
            <w:tcW w:w="160" w:type="dxa"/>
            <w:vAlign w:val="bottom"/>
          </w:tcPr>
          <w:p>
            <w:pPr>
              <w:spacing w:after="0"/>
              <w:rPr>
                <w:sz w:val="14"/>
                <w:szCs w:val="14"/>
                <w:color w:val="auto"/>
              </w:rPr>
            </w:pP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114</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460" w:type="dxa"/>
            <w:vAlign w:val="bottom"/>
            <w:tcBorders>
              <w:top w:val="single" w:sz="8" w:color="0000EE"/>
              <w:bottom w:val="single" w:sz="8" w:color="0000EE"/>
            </w:tcBorders>
            <w:gridSpan w:val="24"/>
          </w:tcPr>
          <w:p>
            <w:pPr>
              <w:spacing w:after="0" w:line="180" w:lineRule="exact"/>
              <w:rPr>
                <w:sz w:val="20"/>
                <w:szCs w:val="20"/>
                <w:color w:val="auto"/>
              </w:rPr>
            </w:pPr>
            <w:r>
              <w:rPr>
                <w:rFonts w:ascii="Arial" w:cs="Arial" w:eastAsia="Arial" w:hAnsi="Arial"/>
                <w:sz w:val="17"/>
                <w:szCs w:val="17"/>
                <w:color w:val="0000EE"/>
                <w:w w:val="89"/>
              </w:rPr>
              <w:t>Incorporation to Increase the Number of Shares of Common Stock Authorized for Issuance from</w:t>
            </w:r>
          </w:p>
        </w:tc>
        <w:tc>
          <w:tcPr>
            <w:tcW w:w="160" w:type="dxa"/>
            <w:vAlign w:val="bottom"/>
            <w:tcBorders>
              <w:top w:val="single" w:sz="8" w:color="0000EE"/>
            </w:tcBorders>
            <w:gridSpan w:val="3"/>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780" w:type="dxa"/>
            <w:vAlign w:val="bottom"/>
            <w:gridSpan w:val="28"/>
          </w:tcPr>
          <w:p>
            <w:pPr>
              <w:spacing w:after="0" w:line="180" w:lineRule="exact"/>
              <w:rPr>
                <w:sz w:val="20"/>
                <w:szCs w:val="20"/>
                <w:color w:val="auto"/>
              </w:rPr>
            </w:pPr>
            <w:r>
              <w:rPr>
                <w:rFonts w:ascii="Arial" w:cs="Arial" w:eastAsia="Arial" w:hAnsi="Arial"/>
                <w:sz w:val="17"/>
                <w:szCs w:val="17"/>
                <w:color w:val="0000EE"/>
              </w:rPr>
              <w:t>28,000,000 to up to a maximum of 150,000,000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3000" w:type="dxa"/>
            <w:vAlign w:val="bottom"/>
            <w:gridSpan w:val="14"/>
            <w:shd w:val="clear" w:color="auto" w:fill="CCFFCC"/>
          </w:tcPr>
          <w:p>
            <w:pPr>
              <w:spacing w:after="0" w:line="172" w:lineRule="exact"/>
              <w:rPr>
                <w:sz w:val="20"/>
                <w:szCs w:val="20"/>
                <w:color w:val="auto"/>
              </w:rPr>
            </w:pPr>
            <w:r>
              <w:rPr>
                <w:rFonts w:ascii="Arial" w:cs="Arial" w:eastAsia="Arial" w:hAnsi="Arial"/>
                <w:sz w:val="17"/>
                <w:szCs w:val="17"/>
                <w:color w:val="0000EE"/>
                <w:w w:val="90"/>
              </w:rPr>
              <w:t>Vringo Proposal No. 4: Election of Directors</w:t>
            </w:r>
          </w:p>
        </w:tc>
        <w:tc>
          <w:tcPr>
            <w:tcW w:w="3960" w:type="dxa"/>
            <w:vAlign w:val="bottom"/>
            <w:gridSpan w:val="15"/>
            <w:shd w:val="clear" w:color="auto" w:fill="CCFFCC"/>
          </w:tcPr>
          <w:p>
            <w:pPr>
              <w:spacing w:after="0"/>
              <w:rPr>
                <w:sz w:val="14"/>
                <w:szCs w:val="14"/>
                <w:color w:val="auto"/>
              </w:rPr>
            </w:pPr>
          </w:p>
        </w:tc>
        <w:tc>
          <w:tcPr>
            <w:tcW w:w="50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116</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6780" w:type="dxa"/>
            <w:vAlign w:val="bottom"/>
            <w:gridSpan w:val="27"/>
          </w:tcPr>
          <w:p>
            <w:pPr>
              <w:spacing w:after="0" w:line="163" w:lineRule="exact"/>
              <w:rPr>
                <w:sz w:val="20"/>
                <w:szCs w:val="20"/>
                <w:color w:val="auto"/>
              </w:rPr>
            </w:pPr>
            <w:r>
              <w:rPr>
                <w:rFonts w:ascii="Arial" w:cs="Arial" w:eastAsia="Arial" w:hAnsi="Arial"/>
                <w:sz w:val="17"/>
                <w:szCs w:val="17"/>
                <w:color w:val="0000EE"/>
                <w:w w:val="90"/>
              </w:rPr>
              <w:t>Vringo Proposal No. 5: Approval of the Vringo, Inc. 2012 Employee, Director and Consultant Equity</w:t>
            </w:r>
          </w:p>
        </w:tc>
        <w:tc>
          <w:tcPr>
            <w:tcW w:w="180" w:type="dxa"/>
            <w:vAlign w:val="bottom"/>
            <w:gridSpan w:val="2"/>
          </w:tcPr>
          <w:p>
            <w:pPr>
              <w:spacing w:after="0"/>
              <w:rPr>
                <w:sz w:val="14"/>
                <w:szCs w:val="14"/>
                <w:color w:val="auto"/>
              </w:rPr>
            </w:pP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117</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960" w:type="dxa"/>
            <w:vAlign w:val="bottom"/>
            <w:tcBorders>
              <w:top w:val="single" w:sz="8" w:color="0000EE"/>
              <w:bottom w:val="single" w:sz="8" w:color="0000EE"/>
            </w:tcBorders>
            <w:gridSpan w:val="3"/>
          </w:tcPr>
          <w:p>
            <w:pPr>
              <w:spacing w:after="0" w:line="180" w:lineRule="exact"/>
              <w:rPr>
                <w:sz w:val="20"/>
                <w:szCs w:val="20"/>
                <w:color w:val="auto"/>
              </w:rPr>
            </w:pPr>
            <w:r>
              <w:rPr>
                <w:rFonts w:ascii="Arial" w:cs="Arial" w:eastAsia="Arial" w:hAnsi="Arial"/>
                <w:sz w:val="17"/>
                <w:szCs w:val="17"/>
                <w:color w:val="0000EE"/>
                <w:w w:val="87"/>
              </w:rPr>
              <w:t>Incentive Plan</w:t>
            </w:r>
          </w:p>
        </w:tc>
        <w:tc>
          <w:tcPr>
            <w:tcW w:w="5640" w:type="dxa"/>
            <w:vAlign w:val="bottom"/>
            <w:tcBorders>
              <w:top w:val="single" w:sz="8" w:color="0000EE"/>
            </w:tcBorders>
            <w:gridSpan w:val="23"/>
          </w:tcPr>
          <w:p>
            <w:pPr>
              <w:spacing w:after="0"/>
              <w:rPr>
                <w:sz w:val="16"/>
                <w:szCs w:val="16"/>
                <w:color w:val="auto"/>
              </w:rPr>
            </w:pPr>
          </w:p>
        </w:tc>
        <w:tc>
          <w:tcPr>
            <w:tcW w:w="18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9"/>
            <w:shd w:val="clear" w:color="auto" w:fill="CCFFCC"/>
          </w:tcPr>
          <w:p>
            <w:pPr>
              <w:spacing w:after="0" w:line="172" w:lineRule="exact"/>
              <w:rPr>
                <w:sz w:val="20"/>
                <w:szCs w:val="20"/>
                <w:color w:val="auto"/>
              </w:rPr>
            </w:pPr>
            <w:r>
              <w:rPr>
                <w:rFonts w:ascii="Arial" w:cs="Arial" w:eastAsia="Arial" w:hAnsi="Arial"/>
                <w:sz w:val="17"/>
                <w:szCs w:val="17"/>
                <w:color w:val="0000EE"/>
                <w:w w:val="95"/>
              </w:rPr>
              <w:t>Vringo Proposal No. 6: Ratification of the Appointment of Vringo’s Independent Registered Public</w:t>
            </w:r>
          </w:p>
        </w:tc>
        <w:tc>
          <w:tcPr>
            <w:tcW w:w="50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122</w:t>
            </w:r>
          </w:p>
        </w:tc>
        <w:tc>
          <w:tcPr>
            <w:tcW w:w="0" w:type="dxa"/>
            <w:vAlign w:val="bottom"/>
          </w:tcPr>
          <w:p>
            <w:pPr>
              <w:spacing w:after="0"/>
              <w:rPr>
                <w:sz w:val="1"/>
                <w:szCs w:val="1"/>
                <w:color w:val="auto"/>
              </w:rPr>
            </w:pPr>
          </w:p>
        </w:tc>
      </w:tr>
      <w:tr>
        <w:trPr>
          <w:trHeight w:val="198"/>
        </w:trPr>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0000EE"/>
              <w:bottom w:val="single" w:sz="8" w:color="CCFFCC"/>
            </w:tcBorders>
            <w:shd w:val="clear" w:color="auto" w:fill="CCFFCC"/>
          </w:tcPr>
          <w:p>
            <w:pPr>
              <w:spacing w:after="0"/>
              <w:rPr>
                <w:sz w:val="17"/>
                <w:szCs w:val="17"/>
                <w:color w:val="auto"/>
              </w:rPr>
            </w:pPr>
          </w:p>
        </w:tc>
        <w:tc>
          <w:tcPr>
            <w:tcW w:w="1140" w:type="dxa"/>
            <w:vAlign w:val="bottom"/>
            <w:tcBorders>
              <w:top w:val="single" w:sz="8" w:color="0000EE"/>
              <w:bottom w:val="single" w:sz="8" w:color="0000EE"/>
            </w:tcBorders>
            <w:gridSpan w:val="5"/>
            <w:shd w:val="clear" w:color="auto" w:fill="CCFFCC"/>
          </w:tcPr>
          <w:p>
            <w:pPr>
              <w:spacing w:after="0" w:line="180" w:lineRule="exact"/>
              <w:rPr>
                <w:sz w:val="20"/>
                <w:szCs w:val="20"/>
                <w:color w:val="auto"/>
              </w:rPr>
            </w:pPr>
            <w:r>
              <w:rPr>
                <w:rFonts w:ascii="Arial" w:cs="Arial" w:eastAsia="Arial" w:hAnsi="Arial"/>
                <w:sz w:val="17"/>
                <w:szCs w:val="17"/>
                <w:color w:val="0000EE"/>
                <w:w w:val="91"/>
              </w:rPr>
              <w:t>Accounting Firm</w:t>
            </w:r>
          </w:p>
        </w:tc>
        <w:tc>
          <w:tcPr>
            <w:tcW w:w="5300" w:type="dxa"/>
            <w:vAlign w:val="bottom"/>
            <w:tcBorders>
              <w:top w:val="single" w:sz="8" w:color="0000EE"/>
              <w:bottom w:val="single" w:sz="8" w:color="CCFFCC"/>
            </w:tcBorders>
            <w:gridSpan w:val="18"/>
            <w:shd w:val="clear" w:color="auto" w:fill="CCFFCC"/>
          </w:tcPr>
          <w:p>
            <w:pPr>
              <w:spacing w:after="0"/>
              <w:rPr>
                <w:sz w:val="17"/>
                <w:szCs w:val="17"/>
                <w:color w:val="auto"/>
              </w:rPr>
            </w:pPr>
          </w:p>
        </w:tc>
        <w:tc>
          <w:tcPr>
            <w:tcW w:w="340" w:type="dxa"/>
            <w:vAlign w:val="bottom"/>
            <w:tcBorders>
              <w:top w:val="single" w:sz="8" w:color="CCFFCC"/>
              <w:bottom w:val="single" w:sz="8" w:color="CCFFCC"/>
            </w:tcBorders>
            <w:gridSpan w:val="5"/>
            <w:shd w:val="clear" w:color="auto" w:fill="CCFFCC"/>
          </w:tcPr>
          <w:p>
            <w:pPr>
              <w:spacing w:after="0"/>
              <w:rPr>
                <w:sz w:val="17"/>
                <w:szCs w:val="17"/>
                <w:color w:val="auto"/>
              </w:rPr>
            </w:pPr>
          </w:p>
        </w:tc>
        <w:tc>
          <w:tcPr>
            <w:tcW w:w="180" w:type="dxa"/>
            <w:vAlign w:val="bottom"/>
            <w:tcBorders>
              <w:top w:val="single" w:sz="8" w:color="CCFFCC"/>
              <w:bottom w:val="single" w:sz="8" w:color="CCFFCC"/>
              <w:right w:val="single" w:sz="8" w:color="CCFFCC"/>
            </w:tcBorders>
            <w:shd w:val="clear" w:color="auto" w:fill="CCFFCC"/>
          </w:tcPr>
          <w:p>
            <w:pPr>
              <w:spacing w:after="0"/>
              <w:rPr>
                <w:sz w:val="17"/>
                <w:szCs w:val="17"/>
                <w:color w:val="auto"/>
              </w:rPr>
            </w:pPr>
          </w:p>
        </w:tc>
        <w:tc>
          <w:tcPr>
            <w:tcW w:w="240" w:type="dxa"/>
            <w:vAlign w:val="bottom"/>
            <w:tcBorders>
              <w:top w:val="single" w:sz="8" w:color="0000EE"/>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6960" w:type="dxa"/>
            <w:vAlign w:val="bottom"/>
            <w:gridSpan w:val="29"/>
          </w:tcPr>
          <w:p>
            <w:pPr>
              <w:spacing w:after="0" w:line="163" w:lineRule="exact"/>
              <w:rPr>
                <w:sz w:val="20"/>
                <w:szCs w:val="20"/>
                <w:color w:val="auto"/>
              </w:rPr>
            </w:pPr>
            <w:r>
              <w:rPr>
                <w:rFonts w:ascii="Arial" w:cs="Arial" w:eastAsia="Arial" w:hAnsi="Arial"/>
                <w:sz w:val="17"/>
                <w:szCs w:val="17"/>
                <w:color w:val="0000EE"/>
                <w:w w:val="93"/>
              </w:rPr>
              <w:t>Vringo Proposal No. 7: Approval of the Adjournment of the Vringo Annual Meeting, if Necessary, to</w:t>
            </w: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123</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60" w:type="dxa"/>
            <w:vAlign w:val="bottom"/>
            <w:tcBorders>
              <w:top w:val="single" w:sz="8" w:color="0000EE"/>
              <w:bottom w:val="single" w:sz="8" w:color="0000EE"/>
            </w:tcBorders>
            <w:gridSpan w:val="20"/>
          </w:tcPr>
          <w:p>
            <w:pPr>
              <w:spacing w:after="0" w:line="180" w:lineRule="exact"/>
              <w:rPr>
                <w:sz w:val="20"/>
                <w:szCs w:val="20"/>
                <w:color w:val="auto"/>
              </w:rPr>
            </w:pPr>
            <w:r>
              <w:rPr>
                <w:rFonts w:ascii="Arial" w:cs="Arial" w:eastAsia="Arial" w:hAnsi="Arial"/>
                <w:sz w:val="17"/>
                <w:szCs w:val="17"/>
                <w:color w:val="0000EE"/>
                <w:w w:val="91"/>
              </w:rPr>
              <w:t>Solicit Additional Proxies if There Are Not Sufficient Votes in Favor of the Vringo Merger</w:t>
            </w:r>
          </w:p>
        </w:tc>
        <w:tc>
          <w:tcPr>
            <w:tcW w:w="540" w:type="dxa"/>
            <w:vAlign w:val="bottom"/>
            <w:tcBorders>
              <w:top w:val="single" w:sz="8" w:color="0000EE"/>
            </w:tcBorders>
            <w:gridSpan w:val="6"/>
          </w:tcPr>
          <w:p>
            <w:pPr>
              <w:spacing w:after="0"/>
              <w:rPr>
                <w:sz w:val="15"/>
                <w:szCs w:val="15"/>
                <w:color w:val="auto"/>
              </w:rPr>
            </w:pPr>
          </w:p>
        </w:tc>
        <w:tc>
          <w:tcPr>
            <w:tcW w:w="1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780" w:type="dxa"/>
            <w:vAlign w:val="bottom"/>
            <w:gridSpan w:val="28"/>
          </w:tcPr>
          <w:p>
            <w:pPr>
              <w:spacing w:after="0" w:line="180" w:lineRule="exact"/>
              <w:rPr>
                <w:sz w:val="20"/>
                <w:szCs w:val="20"/>
                <w:color w:val="auto"/>
              </w:rPr>
            </w:pPr>
            <w:r>
              <w:rPr>
                <w:rFonts w:ascii="Arial" w:cs="Arial" w:eastAsia="Arial" w:hAnsi="Arial"/>
                <w:sz w:val="17"/>
                <w:szCs w:val="17"/>
                <w:color w:val="0000EE"/>
              </w:rPr>
              <w:t>Proposals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120" w:type="dxa"/>
            <w:vAlign w:val="bottom"/>
            <w:gridSpan w:val="30"/>
            <w:shd w:val="clear" w:color="auto" w:fill="CCFFCC"/>
          </w:tcPr>
          <w:p>
            <w:pPr>
              <w:spacing w:after="0" w:line="172" w:lineRule="exact"/>
              <w:rPr>
                <w:sz w:val="20"/>
                <w:szCs w:val="20"/>
                <w:color w:val="auto"/>
              </w:rPr>
            </w:pPr>
            <w:r>
              <w:rPr>
                <w:rFonts w:ascii="Arial" w:cs="Arial" w:eastAsia="Arial" w:hAnsi="Arial"/>
                <w:sz w:val="17"/>
                <w:szCs w:val="17"/>
                <w:color w:val="0000EE"/>
              </w:rPr>
              <w:t>VRINGO’S BUSINESS</w:t>
            </w:r>
          </w:p>
        </w:tc>
        <w:tc>
          <w:tcPr>
            <w:tcW w:w="50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124</w:t>
            </w:r>
          </w:p>
        </w:tc>
        <w:tc>
          <w:tcPr>
            <w:tcW w:w="0" w:type="dxa"/>
            <w:vAlign w:val="bottom"/>
          </w:tcPr>
          <w:p>
            <w:pPr>
              <w:spacing w:after="0"/>
              <w:rPr>
                <w:sz w:val="1"/>
                <w:szCs w:val="1"/>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CCFFCC"/>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6640" w:type="dxa"/>
            <w:vAlign w:val="bottom"/>
            <w:gridSpan w:val="24"/>
          </w:tcPr>
          <w:p>
            <w:pPr>
              <w:spacing w:after="0" w:line="163" w:lineRule="exact"/>
              <w:rPr>
                <w:sz w:val="20"/>
                <w:szCs w:val="20"/>
                <w:color w:val="auto"/>
              </w:rPr>
            </w:pPr>
            <w:r>
              <w:rPr>
                <w:rFonts w:ascii="Arial" w:cs="Arial" w:eastAsia="Arial" w:hAnsi="Arial"/>
                <w:sz w:val="17"/>
                <w:szCs w:val="17"/>
                <w:color w:val="0000EE"/>
                <w:w w:val="96"/>
              </w:rPr>
              <w:t>VRINGO’S MANAGEMENT’S DISCUSSION AND ANALYSIS OF FINANCIAL CONDITION</w:t>
            </w:r>
          </w:p>
        </w:tc>
        <w:tc>
          <w:tcPr>
            <w:tcW w:w="480" w:type="dxa"/>
            <w:vAlign w:val="bottom"/>
            <w:gridSpan w:val="6"/>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130</w:t>
            </w:r>
          </w:p>
        </w:tc>
        <w:tc>
          <w:tcPr>
            <w:tcW w:w="0" w:type="dxa"/>
            <w:vAlign w:val="bottom"/>
          </w:tcPr>
          <w:p>
            <w:pPr>
              <w:spacing w:after="0"/>
              <w:rPr>
                <w:sz w:val="1"/>
                <w:szCs w:val="1"/>
                <w:color w:val="auto"/>
              </w:rPr>
            </w:pPr>
          </w:p>
        </w:tc>
      </w:tr>
      <w:tr>
        <w:trPr>
          <w:trHeight w:val="189"/>
        </w:trPr>
        <w:tc>
          <w:tcPr>
            <w:tcW w:w="160" w:type="dxa"/>
            <w:vAlign w:val="bottom"/>
            <w:tcBorders>
              <w:top w:val="single" w:sz="8" w:color="0000EE"/>
            </w:tcBorders>
          </w:tcPr>
          <w:p>
            <w:pPr>
              <w:spacing w:after="0"/>
              <w:rPr>
                <w:sz w:val="16"/>
                <w:szCs w:val="16"/>
                <w:color w:val="auto"/>
              </w:rPr>
            </w:pPr>
          </w:p>
        </w:tc>
        <w:tc>
          <w:tcPr>
            <w:tcW w:w="2440" w:type="dxa"/>
            <w:vAlign w:val="bottom"/>
            <w:tcBorders>
              <w:top w:val="single" w:sz="8" w:color="0000EE"/>
              <w:bottom w:val="single" w:sz="8" w:color="0000EE"/>
            </w:tcBorders>
            <w:gridSpan w:val="11"/>
          </w:tcPr>
          <w:p>
            <w:pPr>
              <w:spacing w:after="0" w:line="180" w:lineRule="exact"/>
              <w:rPr>
                <w:sz w:val="20"/>
                <w:szCs w:val="20"/>
                <w:color w:val="auto"/>
              </w:rPr>
            </w:pPr>
            <w:r>
              <w:rPr>
                <w:rFonts w:ascii="Arial" w:cs="Arial" w:eastAsia="Arial" w:hAnsi="Arial"/>
                <w:sz w:val="17"/>
                <w:szCs w:val="17"/>
                <w:color w:val="0000EE"/>
                <w:w w:val="91"/>
              </w:rPr>
              <w:t>AND RESULTS OF OPERATIONS</w:t>
            </w:r>
          </w:p>
        </w:tc>
        <w:tc>
          <w:tcPr>
            <w:tcW w:w="4040" w:type="dxa"/>
            <w:vAlign w:val="bottom"/>
            <w:tcBorders>
              <w:top w:val="single" w:sz="8" w:color="0000EE"/>
            </w:tcBorders>
            <w:gridSpan w:val="12"/>
          </w:tcPr>
          <w:p>
            <w:pPr>
              <w:spacing w:after="0"/>
              <w:rPr>
                <w:sz w:val="16"/>
                <w:szCs w:val="16"/>
                <w:color w:val="auto"/>
              </w:rPr>
            </w:pPr>
          </w:p>
        </w:tc>
        <w:tc>
          <w:tcPr>
            <w:tcW w:w="480" w:type="dxa"/>
            <w:vAlign w:val="bottom"/>
            <w:gridSpan w:val="6"/>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120" w:type="dxa"/>
            <w:vAlign w:val="bottom"/>
            <w:gridSpan w:val="30"/>
            <w:shd w:val="clear" w:color="auto" w:fill="CCFFCC"/>
          </w:tcPr>
          <w:p>
            <w:pPr>
              <w:spacing w:after="0" w:line="172" w:lineRule="exact"/>
              <w:rPr>
                <w:sz w:val="20"/>
                <w:szCs w:val="20"/>
                <w:color w:val="auto"/>
              </w:rPr>
            </w:pPr>
            <w:r>
              <w:rPr>
                <w:rFonts w:ascii="Arial" w:cs="Arial" w:eastAsia="Arial" w:hAnsi="Arial"/>
                <w:sz w:val="17"/>
                <w:szCs w:val="17"/>
                <w:color w:val="0000EE"/>
              </w:rPr>
              <w:t>INNOVATE/PROTECT’S BUSINESS</w:t>
            </w:r>
          </w:p>
        </w:tc>
        <w:tc>
          <w:tcPr>
            <w:tcW w:w="50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149</w:t>
            </w:r>
          </w:p>
        </w:tc>
        <w:tc>
          <w:tcPr>
            <w:tcW w:w="0" w:type="dxa"/>
            <w:vAlign w:val="bottom"/>
          </w:tcPr>
          <w:p>
            <w:pPr>
              <w:spacing w:after="0"/>
              <w:rPr>
                <w:sz w:val="1"/>
                <w:szCs w:val="1"/>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CCFFCC"/>
            </w:tcBorders>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7120" w:type="dxa"/>
            <w:vAlign w:val="bottom"/>
            <w:gridSpan w:val="30"/>
          </w:tcPr>
          <w:p>
            <w:pPr>
              <w:spacing w:after="0" w:line="163" w:lineRule="exact"/>
              <w:rPr>
                <w:sz w:val="20"/>
                <w:szCs w:val="20"/>
                <w:color w:val="auto"/>
              </w:rPr>
            </w:pPr>
            <w:r>
              <w:rPr>
                <w:rFonts w:ascii="Arial" w:cs="Arial" w:eastAsia="Arial" w:hAnsi="Arial"/>
                <w:sz w:val="17"/>
                <w:szCs w:val="17"/>
                <w:color w:val="0000EE"/>
              </w:rPr>
              <w:t>INNOVATE/PROTECT’S MANAGEMENT’S DISCUSSION AND ANALYSIS OF FINANCIAL</w:t>
            </w: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157</w:t>
            </w:r>
          </w:p>
        </w:tc>
        <w:tc>
          <w:tcPr>
            <w:tcW w:w="0" w:type="dxa"/>
            <w:vAlign w:val="bottom"/>
          </w:tcPr>
          <w:p>
            <w:pPr>
              <w:spacing w:after="0"/>
              <w:rPr>
                <w:sz w:val="1"/>
                <w:szCs w:val="1"/>
                <w:color w:val="auto"/>
              </w:rPr>
            </w:pPr>
          </w:p>
        </w:tc>
      </w:tr>
      <w:tr>
        <w:trPr>
          <w:trHeight w:val="180"/>
        </w:trPr>
        <w:tc>
          <w:tcPr>
            <w:tcW w:w="160" w:type="dxa"/>
            <w:vAlign w:val="bottom"/>
            <w:tcBorders>
              <w:top w:val="single" w:sz="8" w:color="0000EE"/>
            </w:tcBorders>
          </w:tcPr>
          <w:p>
            <w:pPr>
              <w:spacing w:after="0"/>
              <w:rPr>
                <w:sz w:val="15"/>
                <w:szCs w:val="15"/>
                <w:color w:val="auto"/>
              </w:rPr>
            </w:pPr>
          </w:p>
        </w:tc>
        <w:tc>
          <w:tcPr>
            <w:tcW w:w="6460" w:type="dxa"/>
            <w:vAlign w:val="bottom"/>
            <w:tcBorders>
              <w:top w:val="single" w:sz="8" w:color="0000EE"/>
            </w:tcBorders>
            <w:gridSpan w:val="22"/>
          </w:tcPr>
          <w:p>
            <w:pPr>
              <w:spacing w:after="0" w:line="180" w:lineRule="exact"/>
              <w:rPr>
                <w:sz w:val="20"/>
                <w:szCs w:val="20"/>
                <w:color w:val="auto"/>
              </w:rPr>
            </w:pPr>
            <w:r>
              <w:rPr>
                <w:rFonts w:ascii="Arial" w:cs="Arial" w:eastAsia="Arial" w:hAnsi="Arial"/>
                <w:sz w:val="17"/>
                <w:szCs w:val="17"/>
                <w:color w:val="0000EE"/>
              </w:rPr>
              <w:t>CONDITION AND RESULTS OF OPERATIONS</w:t>
            </w:r>
          </w:p>
        </w:tc>
        <w:tc>
          <w:tcPr>
            <w:tcW w:w="500" w:type="dxa"/>
            <w:vAlign w:val="bottom"/>
            <w:gridSpan w:val="7"/>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760" w:type="dxa"/>
            <w:vAlign w:val="bottom"/>
            <w:gridSpan w:val="21"/>
            <w:shd w:val="clear" w:color="auto" w:fill="CCFFCC"/>
          </w:tcPr>
          <w:p>
            <w:pPr>
              <w:spacing w:after="0" w:line="172" w:lineRule="exact"/>
              <w:rPr>
                <w:sz w:val="20"/>
                <w:szCs w:val="20"/>
                <w:color w:val="auto"/>
              </w:rPr>
            </w:pPr>
            <w:r>
              <w:rPr>
                <w:rFonts w:ascii="Arial" w:cs="Arial" w:eastAsia="Arial" w:hAnsi="Arial"/>
                <w:sz w:val="17"/>
                <w:szCs w:val="17"/>
                <w:color w:val="0000EE"/>
                <w:w w:val="95"/>
              </w:rPr>
              <w:t>MANAGEMENT OF THE COMBINED COMPANY FOLLOWING THE MERGER</w:t>
            </w:r>
          </w:p>
        </w:tc>
        <w:tc>
          <w:tcPr>
            <w:tcW w:w="1360" w:type="dxa"/>
            <w:vAlign w:val="bottom"/>
            <w:gridSpan w:val="9"/>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167</w:t>
            </w:r>
          </w:p>
        </w:tc>
        <w:tc>
          <w:tcPr>
            <w:tcW w:w="0" w:type="dxa"/>
            <w:vAlign w:val="bottom"/>
          </w:tcPr>
          <w:p>
            <w:pPr>
              <w:spacing w:after="0"/>
              <w:rPr>
                <w:sz w:val="1"/>
                <w:szCs w:val="1"/>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5600" w:type="dxa"/>
            <w:vAlign w:val="bottom"/>
            <w:gridSpan w:val="20"/>
          </w:tcPr>
          <w:p>
            <w:pPr>
              <w:spacing w:after="0" w:line="163" w:lineRule="exact"/>
              <w:rPr>
                <w:sz w:val="20"/>
                <w:szCs w:val="20"/>
                <w:color w:val="auto"/>
              </w:rPr>
            </w:pPr>
            <w:r>
              <w:rPr>
                <w:rFonts w:ascii="Arial" w:cs="Arial" w:eastAsia="Arial" w:hAnsi="Arial"/>
                <w:sz w:val="17"/>
                <w:szCs w:val="17"/>
                <w:color w:val="0000EE"/>
              </w:rPr>
              <w:t>Executive Officers and Directors</w:t>
            </w:r>
          </w:p>
        </w:tc>
        <w:tc>
          <w:tcPr>
            <w:tcW w:w="1360" w:type="dxa"/>
            <w:vAlign w:val="bottom"/>
            <w:gridSpan w:val="9"/>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167</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3600" w:type="dxa"/>
            <w:vAlign w:val="bottom"/>
            <w:gridSpan w:val="16"/>
            <w:shd w:val="clear" w:color="auto" w:fill="CCFFCC"/>
          </w:tcPr>
          <w:p>
            <w:pPr>
              <w:spacing w:after="0" w:line="172" w:lineRule="exact"/>
              <w:rPr>
                <w:sz w:val="20"/>
                <w:szCs w:val="20"/>
                <w:color w:val="auto"/>
              </w:rPr>
            </w:pPr>
            <w:r>
              <w:rPr>
                <w:rFonts w:ascii="Arial" w:cs="Arial" w:eastAsia="Arial" w:hAnsi="Arial"/>
                <w:sz w:val="17"/>
                <w:szCs w:val="17"/>
                <w:color w:val="0000EE"/>
                <w:w w:val="89"/>
              </w:rPr>
              <w:t>Composition of the Board and Director Independence</w:t>
            </w:r>
          </w:p>
        </w:tc>
        <w:tc>
          <w:tcPr>
            <w:tcW w:w="3360" w:type="dxa"/>
            <w:vAlign w:val="bottom"/>
            <w:gridSpan w:val="13"/>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171</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2540" w:type="dxa"/>
            <w:vAlign w:val="bottom"/>
            <w:gridSpan w:val="12"/>
          </w:tcPr>
          <w:p>
            <w:pPr>
              <w:spacing w:after="0" w:line="163" w:lineRule="exact"/>
              <w:rPr>
                <w:sz w:val="20"/>
                <w:szCs w:val="20"/>
                <w:color w:val="auto"/>
              </w:rPr>
            </w:pPr>
            <w:r>
              <w:rPr>
                <w:rFonts w:ascii="Arial" w:cs="Arial" w:eastAsia="Arial" w:hAnsi="Arial"/>
                <w:sz w:val="17"/>
                <w:szCs w:val="17"/>
                <w:color w:val="0000EE"/>
                <w:w w:val="89"/>
              </w:rPr>
              <w:t>Committees of the Board of Directors</w:t>
            </w:r>
          </w:p>
        </w:tc>
        <w:tc>
          <w:tcPr>
            <w:tcW w:w="1060" w:type="dxa"/>
            <w:vAlign w:val="bottom"/>
            <w:gridSpan w:val="4"/>
          </w:tcPr>
          <w:p>
            <w:pPr>
              <w:spacing w:after="0"/>
              <w:rPr>
                <w:sz w:val="14"/>
                <w:szCs w:val="14"/>
                <w:color w:val="auto"/>
              </w:rPr>
            </w:pPr>
          </w:p>
        </w:tc>
        <w:tc>
          <w:tcPr>
            <w:tcW w:w="3360" w:type="dxa"/>
            <w:vAlign w:val="bottom"/>
            <w:gridSpan w:val="13"/>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171</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5320" w:type="dxa"/>
            <w:vAlign w:val="bottom"/>
            <w:gridSpan w:val="19"/>
            <w:shd w:val="clear" w:color="auto" w:fill="CCFFCC"/>
          </w:tcPr>
          <w:p>
            <w:pPr>
              <w:spacing w:after="0" w:line="172" w:lineRule="exact"/>
              <w:rPr>
                <w:sz w:val="20"/>
                <w:szCs w:val="20"/>
                <w:color w:val="auto"/>
              </w:rPr>
            </w:pPr>
            <w:r>
              <w:rPr>
                <w:rFonts w:ascii="Arial" w:cs="Arial" w:eastAsia="Arial" w:hAnsi="Arial"/>
                <w:sz w:val="17"/>
                <w:szCs w:val="17"/>
                <w:color w:val="0000EE"/>
                <w:w w:val="88"/>
              </w:rPr>
              <w:t>Board Leadership Structure, Executive Sessions of Non-Management Directors</w:t>
            </w:r>
          </w:p>
        </w:tc>
        <w:tc>
          <w:tcPr>
            <w:tcW w:w="1640" w:type="dxa"/>
            <w:vAlign w:val="bottom"/>
            <w:gridSpan w:val="10"/>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172</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1020" w:type="dxa"/>
            <w:vAlign w:val="bottom"/>
            <w:gridSpan w:val="3"/>
          </w:tcPr>
          <w:p>
            <w:pPr>
              <w:spacing w:after="0" w:line="163" w:lineRule="exact"/>
              <w:rPr>
                <w:sz w:val="20"/>
                <w:szCs w:val="20"/>
                <w:color w:val="auto"/>
              </w:rPr>
            </w:pPr>
            <w:r>
              <w:rPr>
                <w:rFonts w:ascii="Arial" w:cs="Arial" w:eastAsia="Arial" w:hAnsi="Arial"/>
                <w:sz w:val="17"/>
                <w:szCs w:val="17"/>
                <w:color w:val="0000EE"/>
                <w:w w:val="88"/>
              </w:rPr>
              <w:t>Risk Oversight</w:t>
            </w:r>
          </w:p>
        </w:tc>
        <w:tc>
          <w:tcPr>
            <w:tcW w:w="4300" w:type="dxa"/>
            <w:vAlign w:val="bottom"/>
            <w:gridSpan w:val="16"/>
          </w:tcPr>
          <w:p>
            <w:pPr>
              <w:spacing w:after="0"/>
              <w:rPr>
                <w:sz w:val="14"/>
                <w:szCs w:val="14"/>
                <w:color w:val="auto"/>
              </w:rPr>
            </w:pPr>
          </w:p>
        </w:tc>
        <w:tc>
          <w:tcPr>
            <w:tcW w:w="1640" w:type="dxa"/>
            <w:vAlign w:val="bottom"/>
            <w:gridSpan w:val="10"/>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172</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1020" w:type="dxa"/>
            <w:vAlign w:val="bottom"/>
            <w:tcBorders>
              <w:right w:val="single" w:sz="8" w:color="CCFFCC"/>
            </w:tcBorders>
            <w:gridSpan w:val="3"/>
            <w:shd w:val="clear" w:color="auto" w:fill="CCFFCC"/>
          </w:tcPr>
          <w:p>
            <w:pPr>
              <w:spacing w:after="0" w:line="172" w:lineRule="exact"/>
              <w:rPr>
                <w:sz w:val="20"/>
                <w:szCs w:val="20"/>
                <w:color w:val="auto"/>
              </w:rPr>
            </w:pPr>
            <w:r>
              <w:rPr>
                <w:rFonts w:ascii="Arial" w:cs="Arial" w:eastAsia="Arial" w:hAnsi="Arial"/>
                <w:sz w:val="17"/>
                <w:szCs w:val="17"/>
                <w:color w:val="0000EE"/>
                <w:w w:val="88"/>
              </w:rPr>
              <w:t>Code of Ethics</w:t>
            </w:r>
          </w:p>
        </w:tc>
        <w:tc>
          <w:tcPr>
            <w:tcW w:w="5940" w:type="dxa"/>
            <w:vAlign w:val="bottom"/>
            <w:gridSpan w:val="26"/>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172</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CCFFCC"/>
            </w:tcBorders>
            <w:shd w:val="clear" w:color="auto" w:fill="0000EE"/>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20" w:type="dxa"/>
            <w:vAlign w:val="bottom"/>
            <w:tcBorders>
              <w:right w:val="single" w:sz="8" w:color="CCFFCC"/>
            </w:tcBorders>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6960" w:type="dxa"/>
            <w:vAlign w:val="bottom"/>
            <w:gridSpan w:val="29"/>
          </w:tcPr>
          <w:p>
            <w:pPr>
              <w:spacing w:after="0" w:line="163" w:lineRule="exact"/>
              <w:rPr>
                <w:sz w:val="20"/>
                <w:szCs w:val="20"/>
                <w:color w:val="auto"/>
              </w:rPr>
            </w:pPr>
            <w:r>
              <w:rPr>
                <w:rFonts w:ascii="Arial" w:cs="Arial" w:eastAsia="Arial" w:hAnsi="Arial"/>
                <w:sz w:val="17"/>
                <w:szCs w:val="17"/>
                <w:color w:val="0000EE"/>
              </w:rPr>
              <w:t>Section 16(a) Beneficial Ownership Reporting Compliance</w:t>
            </w: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172</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1900" w:type="dxa"/>
            <w:vAlign w:val="bottom"/>
            <w:gridSpan w:val="9"/>
            <w:shd w:val="clear" w:color="auto" w:fill="CCFFCC"/>
          </w:tcPr>
          <w:p>
            <w:pPr>
              <w:spacing w:after="0" w:line="172" w:lineRule="exact"/>
              <w:rPr>
                <w:sz w:val="20"/>
                <w:szCs w:val="20"/>
                <w:color w:val="auto"/>
              </w:rPr>
            </w:pPr>
            <w:r>
              <w:rPr>
                <w:rFonts w:ascii="Arial" w:cs="Arial" w:eastAsia="Arial" w:hAnsi="Arial"/>
                <w:sz w:val="17"/>
                <w:szCs w:val="17"/>
                <w:color w:val="0000EE"/>
                <w:w w:val="85"/>
              </w:rPr>
              <w:t>Related Person Transactions</w:t>
            </w:r>
          </w:p>
        </w:tc>
        <w:tc>
          <w:tcPr>
            <w:tcW w:w="2060" w:type="dxa"/>
            <w:vAlign w:val="bottom"/>
            <w:tcBorders>
              <w:right w:val="single" w:sz="8" w:color="CCFFCC"/>
            </w:tcBorders>
            <w:gridSpan w:val="8"/>
            <w:shd w:val="clear" w:color="auto" w:fill="CCFFCC"/>
          </w:tcPr>
          <w:p>
            <w:pPr>
              <w:spacing w:after="0"/>
              <w:rPr>
                <w:sz w:val="14"/>
                <w:szCs w:val="14"/>
                <w:color w:val="auto"/>
              </w:rPr>
            </w:pPr>
          </w:p>
        </w:tc>
        <w:tc>
          <w:tcPr>
            <w:tcW w:w="3000" w:type="dxa"/>
            <w:vAlign w:val="bottom"/>
            <w:gridSpan w:val="12"/>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173</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1900" w:type="dxa"/>
            <w:vAlign w:val="bottom"/>
            <w:gridSpan w:val="9"/>
          </w:tcPr>
          <w:p>
            <w:pPr>
              <w:spacing w:after="0" w:line="163" w:lineRule="exact"/>
              <w:rPr>
                <w:sz w:val="20"/>
                <w:szCs w:val="20"/>
                <w:color w:val="auto"/>
              </w:rPr>
            </w:pPr>
            <w:r>
              <w:rPr>
                <w:rFonts w:ascii="Arial" w:cs="Arial" w:eastAsia="Arial" w:hAnsi="Arial"/>
                <w:sz w:val="17"/>
                <w:szCs w:val="17"/>
                <w:color w:val="0000EE"/>
              </w:rPr>
              <w:t>Director Compensation</w:t>
            </w:r>
          </w:p>
        </w:tc>
        <w:tc>
          <w:tcPr>
            <w:tcW w:w="5060" w:type="dxa"/>
            <w:vAlign w:val="bottom"/>
            <w:gridSpan w:val="20"/>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173</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1680" w:type="dxa"/>
            <w:vAlign w:val="bottom"/>
            <w:gridSpan w:val="8"/>
            <w:shd w:val="clear" w:color="auto" w:fill="CCFFCC"/>
          </w:tcPr>
          <w:p>
            <w:pPr>
              <w:spacing w:after="0" w:line="172" w:lineRule="exact"/>
              <w:rPr>
                <w:sz w:val="20"/>
                <w:szCs w:val="20"/>
                <w:color w:val="auto"/>
              </w:rPr>
            </w:pPr>
            <w:r>
              <w:rPr>
                <w:rFonts w:ascii="Arial" w:cs="Arial" w:eastAsia="Arial" w:hAnsi="Arial"/>
                <w:sz w:val="17"/>
                <w:szCs w:val="17"/>
                <w:color w:val="0000EE"/>
                <w:w w:val="88"/>
              </w:rPr>
              <w:t>Executive Compensation</w:t>
            </w:r>
          </w:p>
        </w:tc>
        <w:tc>
          <w:tcPr>
            <w:tcW w:w="5280" w:type="dxa"/>
            <w:vAlign w:val="bottom"/>
            <w:gridSpan w:val="21"/>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175</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gridSpan w:val="28"/>
          </w:tcPr>
          <w:p>
            <w:pPr>
              <w:spacing w:after="0" w:line="163" w:lineRule="exact"/>
              <w:rPr>
                <w:sz w:val="20"/>
                <w:szCs w:val="20"/>
                <w:color w:val="auto"/>
              </w:rPr>
            </w:pPr>
            <w:r>
              <w:rPr>
                <w:rFonts w:ascii="Arial" w:cs="Arial" w:eastAsia="Arial" w:hAnsi="Arial"/>
                <w:sz w:val="17"/>
                <w:szCs w:val="17"/>
                <w:color w:val="0000EE"/>
                <w:w w:val="94"/>
              </w:rPr>
              <w:t>VRINGO SECURITY OWNERSHIP OF CERTAIN BENEFICIAL OWNERS AND MANAGEMENT</w:t>
            </w:r>
          </w:p>
        </w:tc>
        <w:tc>
          <w:tcPr>
            <w:tcW w:w="1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179</w:t>
            </w:r>
          </w:p>
        </w:tc>
        <w:tc>
          <w:tcPr>
            <w:tcW w:w="0" w:type="dxa"/>
            <w:vAlign w:val="bottom"/>
          </w:tcPr>
          <w:p>
            <w:pPr>
              <w:spacing w:after="0"/>
              <w:rPr>
                <w:sz w:val="1"/>
                <w:szCs w:val="1"/>
                <w:color w:val="auto"/>
              </w:rPr>
            </w:pP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940" w:type="dxa"/>
            <w:vAlign w:val="bottom"/>
            <w:tcBorders>
              <w:right w:val="single" w:sz="8" w:color="CCFFCC"/>
            </w:tcBorders>
            <w:gridSpan w:val="28"/>
            <w:shd w:val="clear" w:color="auto" w:fill="CCFFCC"/>
          </w:tcPr>
          <w:p>
            <w:pPr>
              <w:spacing w:after="0" w:line="172" w:lineRule="exact"/>
              <w:rPr>
                <w:sz w:val="20"/>
                <w:szCs w:val="20"/>
                <w:color w:val="auto"/>
              </w:rPr>
            </w:pPr>
            <w:r>
              <w:rPr>
                <w:rFonts w:ascii="Arial" w:cs="Arial" w:eastAsia="Arial" w:hAnsi="Arial"/>
                <w:sz w:val="17"/>
                <w:szCs w:val="17"/>
                <w:color w:val="0000EE"/>
                <w:w w:val="97"/>
              </w:rPr>
              <w:t>INNOVATE/PROTECT SECURITY OWNERSHIP OF CERTAIN BENEFICIAL OWNERS AND</w:t>
            </w:r>
          </w:p>
        </w:tc>
        <w:tc>
          <w:tcPr>
            <w:tcW w:w="180" w:type="dxa"/>
            <w:vAlign w:val="bottom"/>
            <w:gridSpan w:val="2"/>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181</w:t>
            </w:r>
          </w:p>
        </w:tc>
        <w:tc>
          <w:tcPr>
            <w:tcW w:w="0" w:type="dxa"/>
            <w:vAlign w:val="bottom"/>
          </w:tcPr>
          <w:p>
            <w:pPr>
              <w:spacing w:after="0"/>
              <w:rPr>
                <w:sz w:val="1"/>
                <w:szCs w:val="1"/>
                <w:color w:val="auto"/>
              </w:rPr>
            </w:pPr>
          </w:p>
        </w:tc>
      </w:tr>
      <w:tr>
        <w:trPr>
          <w:trHeight w:val="198"/>
        </w:trPr>
        <w:tc>
          <w:tcPr>
            <w:tcW w:w="160" w:type="dxa"/>
            <w:vAlign w:val="bottom"/>
            <w:tcBorders>
              <w:top w:val="single" w:sz="8" w:color="0000EE"/>
              <w:bottom w:val="single" w:sz="8" w:color="CCFFCC"/>
            </w:tcBorders>
            <w:shd w:val="clear" w:color="auto" w:fill="CCFFCC"/>
          </w:tcPr>
          <w:p>
            <w:pPr>
              <w:spacing w:after="0"/>
              <w:rPr>
                <w:sz w:val="17"/>
                <w:szCs w:val="17"/>
                <w:color w:val="auto"/>
              </w:rPr>
            </w:pPr>
          </w:p>
        </w:tc>
        <w:tc>
          <w:tcPr>
            <w:tcW w:w="1260" w:type="dxa"/>
            <w:vAlign w:val="bottom"/>
            <w:tcBorders>
              <w:top w:val="single" w:sz="8" w:color="0000EE"/>
              <w:bottom w:val="single" w:sz="8" w:color="0000EE"/>
              <w:right w:val="single" w:sz="8" w:color="CCFFCC"/>
            </w:tcBorders>
            <w:gridSpan w:val="5"/>
            <w:shd w:val="clear" w:color="auto" w:fill="CCFFCC"/>
          </w:tcPr>
          <w:p>
            <w:pPr>
              <w:spacing w:after="0" w:line="180" w:lineRule="exact"/>
              <w:rPr>
                <w:sz w:val="20"/>
                <w:szCs w:val="20"/>
                <w:color w:val="auto"/>
              </w:rPr>
            </w:pPr>
            <w:r>
              <w:rPr>
                <w:rFonts w:ascii="Arial" w:cs="Arial" w:eastAsia="Arial" w:hAnsi="Arial"/>
                <w:sz w:val="17"/>
                <w:szCs w:val="17"/>
                <w:color w:val="0000EE"/>
              </w:rPr>
              <w:t>MANAGEMENT</w:t>
            </w:r>
          </w:p>
        </w:tc>
        <w:tc>
          <w:tcPr>
            <w:tcW w:w="5220" w:type="dxa"/>
            <w:vAlign w:val="bottom"/>
            <w:tcBorders>
              <w:top w:val="single" w:sz="8" w:color="0000EE"/>
              <w:bottom w:val="single" w:sz="8" w:color="CCFFCC"/>
            </w:tcBorders>
            <w:gridSpan w:val="18"/>
            <w:shd w:val="clear" w:color="auto" w:fill="CCFFCC"/>
          </w:tcPr>
          <w:p>
            <w:pPr>
              <w:spacing w:after="0"/>
              <w:rPr>
                <w:sz w:val="17"/>
                <w:szCs w:val="17"/>
                <w:color w:val="auto"/>
              </w:rPr>
            </w:pPr>
          </w:p>
        </w:tc>
        <w:tc>
          <w:tcPr>
            <w:tcW w:w="480" w:type="dxa"/>
            <w:vAlign w:val="bottom"/>
            <w:tcBorders>
              <w:top w:val="single" w:sz="8" w:color="CCFFCC"/>
              <w:bottom w:val="single" w:sz="8" w:color="CCFFCC"/>
            </w:tcBorders>
            <w:gridSpan w:val="6"/>
            <w:shd w:val="clear" w:color="auto" w:fill="CCFFCC"/>
          </w:tcPr>
          <w:p>
            <w:pPr>
              <w:spacing w:after="0"/>
              <w:rPr>
                <w:sz w:val="17"/>
                <w:szCs w:val="17"/>
                <w:color w:val="auto"/>
              </w:rPr>
            </w:pPr>
          </w:p>
        </w:tc>
        <w:tc>
          <w:tcPr>
            <w:tcW w:w="180" w:type="dxa"/>
            <w:vAlign w:val="bottom"/>
            <w:tcBorders>
              <w:top w:val="single" w:sz="8" w:color="CCFFCC"/>
              <w:bottom w:val="single" w:sz="8" w:color="CCFFCC"/>
              <w:right w:val="single" w:sz="8" w:color="CCFFCC"/>
            </w:tcBorders>
            <w:shd w:val="clear" w:color="auto" w:fill="CCFFCC"/>
          </w:tcPr>
          <w:p>
            <w:pPr>
              <w:spacing w:after="0"/>
              <w:rPr>
                <w:sz w:val="17"/>
                <w:szCs w:val="17"/>
                <w:color w:val="auto"/>
              </w:rPr>
            </w:pPr>
          </w:p>
        </w:tc>
        <w:tc>
          <w:tcPr>
            <w:tcW w:w="240" w:type="dxa"/>
            <w:vAlign w:val="bottom"/>
            <w:tcBorders>
              <w:top w:val="single" w:sz="8" w:color="0000EE"/>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120" w:type="dxa"/>
            <w:vAlign w:val="bottom"/>
            <w:gridSpan w:val="30"/>
          </w:tcPr>
          <w:p>
            <w:pPr>
              <w:spacing w:after="0" w:line="163" w:lineRule="exact"/>
              <w:rPr>
                <w:sz w:val="20"/>
                <w:szCs w:val="20"/>
                <w:color w:val="auto"/>
              </w:rPr>
            </w:pPr>
            <w:r>
              <w:rPr>
                <w:rFonts w:ascii="Arial" w:cs="Arial" w:eastAsia="Arial" w:hAnsi="Arial"/>
                <w:sz w:val="17"/>
                <w:szCs w:val="17"/>
                <w:color w:val="0000EE"/>
                <w:w w:val="98"/>
              </w:rPr>
              <w:t>SECURITY OWNERSHIP OF CERTAIN BENEFICIAL OWNERS AND MANAGEMENT OF THE</w:t>
            </w: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183</w:t>
            </w:r>
          </w:p>
        </w:tc>
        <w:tc>
          <w:tcPr>
            <w:tcW w:w="0" w:type="dxa"/>
            <w:vAlign w:val="bottom"/>
          </w:tcPr>
          <w:p>
            <w:pPr>
              <w:spacing w:after="0"/>
              <w:rPr>
                <w:sz w:val="1"/>
                <w:szCs w:val="1"/>
                <w:color w:val="auto"/>
              </w:rPr>
            </w:pPr>
          </w:p>
        </w:tc>
      </w:tr>
      <w:tr>
        <w:trPr>
          <w:trHeight w:val="180"/>
        </w:trPr>
        <w:tc>
          <w:tcPr>
            <w:tcW w:w="160" w:type="dxa"/>
            <w:vAlign w:val="bottom"/>
            <w:tcBorders>
              <w:top w:val="single" w:sz="8" w:color="0000EE"/>
            </w:tcBorders>
          </w:tcPr>
          <w:p>
            <w:pPr>
              <w:spacing w:after="0"/>
              <w:rPr>
                <w:sz w:val="15"/>
                <w:szCs w:val="15"/>
                <w:color w:val="auto"/>
              </w:rPr>
            </w:pPr>
          </w:p>
        </w:tc>
        <w:tc>
          <w:tcPr>
            <w:tcW w:w="3960" w:type="dxa"/>
            <w:vAlign w:val="bottom"/>
            <w:tcBorders>
              <w:top w:val="single" w:sz="8" w:color="0000EE"/>
              <w:bottom w:val="single" w:sz="8" w:color="0000EE"/>
            </w:tcBorders>
            <w:gridSpan w:val="17"/>
          </w:tcPr>
          <w:p>
            <w:pPr>
              <w:spacing w:after="0" w:line="180" w:lineRule="exact"/>
              <w:rPr>
                <w:sz w:val="20"/>
                <w:szCs w:val="20"/>
                <w:color w:val="auto"/>
              </w:rPr>
            </w:pPr>
            <w:r>
              <w:rPr>
                <w:rFonts w:ascii="Arial" w:cs="Arial" w:eastAsia="Arial" w:hAnsi="Arial"/>
                <w:sz w:val="17"/>
                <w:szCs w:val="17"/>
                <w:color w:val="0000EE"/>
                <w:w w:val="96"/>
              </w:rPr>
              <w:t>COMBINED COMPANY FOLLOWING THE MERGER</w:t>
            </w:r>
          </w:p>
        </w:tc>
        <w:tc>
          <w:tcPr>
            <w:tcW w:w="2740" w:type="dxa"/>
            <w:vAlign w:val="bottom"/>
            <w:tcBorders>
              <w:top w:val="single" w:sz="8" w:color="0000EE"/>
            </w:tcBorders>
            <w:gridSpan w:val="9"/>
          </w:tcPr>
          <w:p>
            <w:pPr>
              <w:spacing w:after="0"/>
              <w:rPr>
                <w:sz w:val="15"/>
                <w:szCs w:val="15"/>
                <w:color w:val="auto"/>
              </w:rPr>
            </w:pPr>
          </w:p>
        </w:tc>
        <w:tc>
          <w:tcPr>
            <w:tcW w:w="26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-5274945</wp:posOffset>
            </wp:positionV>
            <wp:extent cx="4837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6780" w:type="dxa"/>
            <w:vAlign w:val="bottom"/>
            <w:gridSpan w:val="15"/>
          </w:tcPr>
          <w:p>
            <w:pPr>
              <w:spacing w:after="0"/>
              <w:rPr>
                <w:sz w:val="20"/>
                <w:szCs w:val="20"/>
                <w:color w:val="auto"/>
              </w:rPr>
            </w:pPr>
            <w:r>
              <w:rPr>
                <w:rFonts w:ascii="Arial" w:cs="Arial" w:eastAsia="Arial" w:hAnsi="Arial"/>
                <w:sz w:val="13"/>
                <w:szCs w:val="13"/>
                <w:b w:val="1"/>
                <w:bCs w:val="1"/>
                <w:color w:val="0000EE"/>
              </w:rPr>
              <w:t>TABLE OF CONTENTS</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2"/>
        </w:trPr>
        <w:tc>
          <w:tcPr>
            <w:tcW w:w="1420" w:type="dxa"/>
            <w:vAlign w:val="bottom"/>
            <w:tcBorders>
              <w:top w:val="single" w:sz="8" w:color="0000EE"/>
              <w:bottom w:val="single" w:sz="8" w:color="0000EE"/>
            </w:tcBorders>
            <w:gridSpan w:val="5"/>
          </w:tcPr>
          <w:p>
            <w:pPr>
              <w:spacing w:after="0" w:line="143" w:lineRule="exact"/>
              <w:rPr>
                <w:sz w:val="20"/>
                <w:szCs w:val="20"/>
                <w:color w:val="auto"/>
              </w:rPr>
            </w:pPr>
            <w:r>
              <w:rPr>
                <w:rFonts w:ascii="Arial" w:cs="Arial" w:eastAsia="Arial" w:hAnsi="Arial"/>
                <w:sz w:val="16"/>
                <w:szCs w:val="16"/>
                <w:color w:val="0000EE"/>
              </w:rPr>
              <w:t>DESCRIPTION OF</w:t>
            </w:r>
          </w:p>
        </w:tc>
        <w:tc>
          <w:tcPr>
            <w:tcW w:w="1240" w:type="dxa"/>
            <w:vAlign w:val="bottom"/>
            <w:tcBorders>
              <w:bottom w:val="single" w:sz="8" w:color="0000EE"/>
            </w:tcBorders>
            <w:gridSpan w:val="2"/>
          </w:tcPr>
          <w:p>
            <w:pPr>
              <w:spacing w:after="0" w:line="143" w:lineRule="exact"/>
              <w:rPr>
                <w:sz w:val="20"/>
                <w:szCs w:val="20"/>
                <w:color w:val="auto"/>
              </w:rPr>
            </w:pPr>
            <w:r>
              <w:rPr>
                <w:rFonts w:ascii="Arial" w:cs="Arial" w:eastAsia="Arial" w:hAnsi="Arial"/>
                <w:sz w:val="16"/>
                <w:szCs w:val="16"/>
                <w:color w:val="0000EE"/>
                <w:w w:val="96"/>
              </w:rPr>
              <w:t>CAPITAL STOCK</w:t>
            </w:r>
          </w:p>
        </w:tc>
        <w:tc>
          <w:tcPr>
            <w:tcW w:w="4120" w:type="dxa"/>
            <w:vAlign w:val="bottom"/>
            <w:gridSpan w:val="8"/>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bottom w:val="single" w:sz="8" w:color="0000EE"/>
            </w:tcBorders>
          </w:tcPr>
          <w:p>
            <w:pPr>
              <w:jc w:val="right"/>
              <w:spacing w:after="0" w:line="143" w:lineRule="exact"/>
              <w:rPr>
                <w:sz w:val="20"/>
                <w:szCs w:val="20"/>
                <w:color w:val="auto"/>
              </w:rPr>
            </w:pPr>
            <w:r>
              <w:rPr>
                <w:rFonts w:ascii="Arial" w:cs="Arial" w:eastAsia="Arial" w:hAnsi="Arial"/>
                <w:sz w:val="16"/>
                <w:szCs w:val="16"/>
                <w:color w:val="0000EE"/>
                <w:w w:val="82"/>
              </w:rPr>
              <w:t>186</w:t>
            </w:r>
          </w:p>
        </w:tc>
        <w:tc>
          <w:tcPr>
            <w:tcW w:w="60" w:type="dxa"/>
            <w:vAlign w:val="bottom"/>
          </w:tcPr>
          <w:p>
            <w:pPr>
              <w:spacing w:after="0"/>
              <w:rPr>
                <w:sz w:val="13"/>
                <w:szCs w:val="13"/>
                <w:color w:val="auto"/>
              </w:rPr>
            </w:pPr>
          </w:p>
        </w:tc>
      </w:tr>
      <w:tr>
        <w:trPr>
          <w:trHeight w:val="172"/>
        </w:trPr>
        <w:tc>
          <w:tcPr>
            <w:tcW w:w="160" w:type="dxa"/>
            <w:vAlign w:val="bottom"/>
            <w:shd w:val="clear" w:color="auto" w:fill="CCFFCC"/>
          </w:tcPr>
          <w:p>
            <w:pPr>
              <w:spacing w:after="0"/>
              <w:rPr>
                <w:sz w:val="14"/>
                <w:szCs w:val="14"/>
                <w:color w:val="auto"/>
              </w:rPr>
            </w:pPr>
          </w:p>
        </w:tc>
        <w:tc>
          <w:tcPr>
            <w:tcW w:w="6620" w:type="dxa"/>
            <w:vAlign w:val="bottom"/>
            <w:gridSpan w:val="14"/>
            <w:shd w:val="clear" w:color="auto" w:fill="CCFFCC"/>
          </w:tcPr>
          <w:p>
            <w:pPr>
              <w:spacing w:after="0" w:line="172" w:lineRule="exact"/>
              <w:rPr>
                <w:sz w:val="20"/>
                <w:szCs w:val="20"/>
                <w:color w:val="auto"/>
              </w:rPr>
            </w:pPr>
            <w:r>
              <w:rPr>
                <w:rFonts w:ascii="Arial" w:cs="Arial" w:eastAsia="Arial" w:hAnsi="Arial"/>
                <w:sz w:val="17"/>
                <w:szCs w:val="17"/>
                <w:color w:val="0000EE"/>
              </w:rPr>
              <w:t>Common Stock</w:t>
            </w:r>
          </w:p>
        </w:tc>
        <w:tc>
          <w:tcPr>
            <w:tcW w:w="840" w:type="dxa"/>
            <w:vAlign w:val="bottom"/>
            <w:gridSpan w:val="3"/>
            <w:shd w:val="clear" w:color="auto" w:fill="CCFFCC"/>
          </w:tcPr>
          <w:p>
            <w:pPr>
              <w:jc w:val="right"/>
              <w:ind w:right="60"/>
              <w:spacing w:after="0" w:line="172" w:lineRule="exact"/>
              <w:rPr>
                <w:sz w:val="20"/>
                <w:szCs w:val="20"/>
                <w:color w:val="auto"/>
              </w:rPr>
            </w:pPr>
            <w:r>
              <w:rPr>
                <w:rFonts w:ascii="Arial" w:cs="Arial" w:eastAsia="Arial" w:hAnsi="Arial"/>
                <w:sz w:val="17"/>
                <w:szCs w:val="17"/>
                <w:color w:val="0000EE"/>
              </w:rPr>
              <w:t>186</w:t>
            </w:r>
          </w:p>
        </w:tc>
      </w:tr>
      <w:tr>
        <w:trPr>
          <w:trHeight w:val="38"/>
        </w:trPr>
        <w:tc>
          <w:tcPr>
            <w:tcW w:w="160" w:type="dxa"/>
            <w:vAlign w:val="bottom"/>
            <w:shd w:val="clear" w:color="auto" w:fill="CCFFCC"/>
          </w:tcPr>
          <w:p>
            <w:pPr>
              <w:spacing w:after="0"/>
              <w:rPr>
                <w:sz w:val="3"/>
                <w:szCs w:val="3"/>
                <w:color w:val="auto"/>
              </w:rPr>
            </w:pPr>
          </w:p>
        </w:tc>
        <w:tc>
          <w:tcPr>
            <w:tcW w:w="60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118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60" w:type="dxa"/>
            <w:vAlign w:val="bottom"/>
            <w:shd w:val="clear" w:color="auto" w:fill="CCFFCC"/>
          </w:tcPr>
          <w:p>
            <w:pPr>
              <w:spacing w:after="0"/>
              <w:rPr>
                <w:sz w:val="3"/>
                <w:szCs w:val="3"/>
                <w:color w:val="auto"/>
              </w:rPr>
            </w:pPr>
          </w:p>
        </w:tc>
        <w:tc>
          <w:tcPr>
            <w:tcW w:w="34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10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54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60" w:type="dxa"/>
            <w:vAlign w:val="bottom"/>
            <w:shd w:val="clear" w:color="auto" w:fill="CCFFCC"/>
          </w:tcPr>
          <w:p>
            <w:pPr>
              <w:spacing w:after="0"/>
              <w:rPr>
                <w:sz w:val="3"/>
                <w:szCs w:val="3"/>
                <w:color w:val="auto"/>
              </w:rPr>
            </w:pPr>
          </w:p>
        </w:tc>
      </w:tr>
      <w:tr>
        <w:trPr>
          <w:trHeight w:val="172"/>
        </w:trPr>
        <w:tc>
          <w:tcPr>
            <w:tcW w:w="160" w:type="dxa"/>
            <w:vAlign w:val="bottom"/>
          </w:tcPr>
          <w:p>
            <w:pPr>
              <w:spacing w:after="0"/>
              <w:rPr>
                <w:sz w:val="14"/>
                <w:szCs w:val="14"/>
                <w:color w:val="auto"/>
              </w:rPr>
            </w:pPr>
          </w:p>
        </w:tc>
        <w:tc>
          <w:tcPr>
            <w:tcW w:w="6620" w:type="dxa"/>
            <w:vAlign w:val="bottom"/>
            <w:gridSpan w:val="14"/>
          </w:tcPr>
          <w:p>
            <w:pPr>
              <w:spacing w:after="0" w:line="163" w:lineRule="exact"/>
              <w:rPr>
                <w:sz w:val="20"/>
                <w:szCs w:val="20"/>
                <w:color w:val="auto"/>
              </w:rPr>
            </w:pPr>
            <w:r>
              <w:rPr>
                <w:rFonts w:ascii="Arial" w:cs="Arial" w:eastAsia="Arial" w:hAnsi="Arial"/>
                <w:sz w:val="17"/>
                <w:szCs w:val="17"/>
                <w:color w:val="0000EE"/>
              </w:rPr>
              <w:t>Preferred Stock</w:t>
            </w:r>
          </w:p>
        </w:tc>
        <w:tc>
          <w:tcPr>
            <w:tcW w:w="840" w:type="dxa"/>
            <w:vAlign w:val="bottom"/>
            <w:gridSpan w:val="3"/>
          </w:tcPr>
          <w:p>
            <w:pPr>
              <w:jc w:val="right"/>
              <w:ind w:right="60"/>
              <w:spacing w:after="0" w:line="163" w:lineRule="exact"/>
              <w:rPr>
                <w:sz w:val="20"/>
                <w:szCs w:val="20"/>
                <w:color w:val="auto"/>
              </w:rPr>
            </w:pPr>
            <w:r>
              <w:rPr>
                <w:rFonts w:ascii="Arial" w:cs="Arial" w:eastAsia="Arial" w:hAnsi="Arial"/>
                <w:sz w:val="17"/>
                <w:szCs w:val="17"/>
                <w:color w:val="0000EE"/>
              </w:rPr>
              <w:t>186</w:t>
            </w:r>
          </w:p>
        </w:tc>
      </w:tr>
      <w:tr>
        <w:trPr>
          <w:trHeight w:val="172"/>
        </w:trPr>
        <w:tc>
          <w:tcPr>
            <w:tcW w:w="160" w:type="dxa"/>
            <w:vAlign w:val="bottom"/>
            <w:shd w:val="clear" w:color="auto" w:fill="CCFFCC"/>
          </w:tcPr>
          <w:p>
            <w:pPr>
              <w:spacing w:after="0"/>
              <w:rPr>
                <w:sz w:val="14"/>
                <w:szCs w:val="14"/>
                <w:color w:val="auto"/>
              </w:rPr>
            </w:pPr>
          </w:p>
        </w:tc>
        <w:tc>
          <w:tcPr>
            <w:tcW w:w="1040" w:type="dxa"/>
            <w:vAlign w:val="bottom"/>
            <w:tcBorders>
              <w:top w:val="single" w:sz="8" w:color="0000EE"/>
            </w:tcBorders>
            <w:gridSpan w:val="2"/>
            <w:shd w:val="clear" w:color="auto" w:fill="CCFFCC"/>
          </w:tcPr>
          <w:p>
            <w:pPr>
              <w:spacing w:after="0" w:line="172" w:lineRule="exact"/>
              <w:rPr>
                <w:sz w:val="20"/>
                <w:szCs w:val="20"/>
                <w:color w:val="auto"/>
              </w:rPr>
            </w:pPr>
            <w:r>
              <w:rPr>
                <w:rFonts w:ascii="Arial" w:cs="Arial" w:eastAsia="Arial" w:hAnsi="Arial"/>
                <w:sz w:val="17"/>
                <w:szCs w:val="17"/>
                <w:color w:val="0000EE"/>
              </w:rPr>
              <w:t>Warrants</w:t>
            </w:r>
          </w:p>
        </w:tc>
        <w:tc>
          <w:tcPr>
            <w:tcW w:w="5580" w:type="dxa"/>
            <w:vAlign w:val="bottom"/>
            <w:gridSpan w:val="12"/>
            <w:shd w:val="clear" w:color="auto" w:fill="CCFFCC"/>
          </w:tcPr>
          <w:p>
            <w:pPr>
              <w:spacing w:after="0"/>
              <w:rPr>
                <w:sz w:val="14"/>
                <w:szCs w:val="14"/>
                <w:color w:val="auto"/>
              </w:rPr>
            </w:pPr>
          </w:p>
        </w:tc>
        <w:tc>
          <w:tcPr>
            <w:tcW w:w="540" w:type="dxa"/>
            <w:vAlign w:val="bottom"/>
            <w:tcBorders>
              <w:right w:val="single" w:sz="8" w:color="CCFFCC"/>
            </w:tcBorders>
            <w:shd w:val="clear" w:color="auto" w:fill="CCFFCC"/>
          </w:tcPr>
          <w:p>
            <w:pPr>
              <w:spacing w:after="0"/>
              <w:rPr>
                <w:sz w:val="14"/>
                <w:szCs w:val="14"/>
                <w:color w:val="auto"/>
              </w:rPr>
            </w:pPr>
          </w:p>
        </w:tc>
        <w:tc>
          <w:tcPr>
            <w:tcW w:w="240" w:type="dxa"/>
            <w:vAlign w:val="bottom"/>
            <w:tcBorders>
              <w:top w:val="single" w:sz="8" w:color="0000EE"/>
            </w:tcBorders>
            <w:shd w:val="clear" w:color="auto" w:fill="CCFFCC"/>
          </w:tcPr>
          <w:p>
            <w:pPr>
              <w:jc w:val="right"/>
              <w:spacing w:after="0" w:line="172" w:lineRule="exact"/>
              <w:rPr>
                <w:sz w:val="20"/>
                <w:szCs w:val="20"/>
                <w:color w:val="auto"/>
              </w:rPr>
            </w:pPr>
            <w:r>
              <w:rPr>
                <w:rFonts w:ascii="Arial" w:cs="Arial" w:eastAsia="Arial" w:hAnsi="Arial"/>
                <w:sz w:val="17"/>
                <w:szCs w:val="17"/>
                <w:color w:val="0000EE"/>
                <w:w w:val="77"/>
              </w:rPr>
              <w:t>187</w:t>
            </w:r>
          </w:p>
        </w:tc>
        <w:tc>
          <w:tcPr>
            <w:tcW w:w="6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60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118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60" w:type="dxa"/>
            <w:vAlign w:val="bottom"/>
            <w:shd w:val="clear" w:color="auto" w:fill="CCFFCC"/>
          </w:tcPr>
          <w:p>
            <w:pPr>
              <w:spacing w:after="0"/>
              <w:rPr>
                <w:sz w:val="3"/>
                <w:szCs w:val="3"/>
                <w:color w:val="auto"/>
              </w:rPr>
            </w:pPr>
          </w:p>
        </w:tc>
        <w:tc>
          <w:tcPr>
            <w:tcW w:w="34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10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54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60" w:type="dxa"/>
            <w:vAlign w:val="bottom"/>
            <w:shd w:val="clear" w:color="auto" w:fill="CCFFCC"/>
          </w:tcPr>
          <w:p>
            <w:pPr>
              <w:spacing w:after="0"/>
              <w:rPr>
                <w:sz w:val="3"/>
                <w:szCs w:val="3"/>
                <w:color w:val="auto"/>
              </w:rPr>
            </w:pPr>
          </w:p>
        </w:tc>
      </w:tr>
      <w:tr>
        <w:trPr>
          <w:trHeight w:val="172"/>
        </w:trPr>
        <w:tc>
          <w:tcPr>
            <w:tcW w:w="160" w:type="dxa"/>
            <w:vAlign w:val="bottom"/>
          </w:tcPr>
          <w:p>
            <w:pPr>
              <w:spacing w:after="0"/>
              <w:rPr>
                <w:sz w:val="14"/>
                <w:szCs w:val="14"/>
                <w:color w:val="auto"/>
              </w:rPr>
            </w:pPr>
          </w:p>
        </w:tc>
        <w:tc>
          <w:tcPr>
            <w:tcW w:w="3600" w:type="dxa"/>
            <w:vAlign w:val="bottom"/>
            <w:tcBorders>
              <w:bottom w:val="single" w:sz="8" w:color="0000EE"/>
            </w:tcBorders>
            <w:gridSpan w:val="8"/>
          </w:tcPr>
          <w:p>
            <w:pPr>
              <w:spacing w:after="0" w:line="163" w:lineRule="exact"/>
              <w:rPr>
                <w:sz w:val="20"/>
                <w:szCs w:val="20"/>
                <w:color w:val="auto"/>
              </w:rPr>
            </w:pPr>
            <w:r>
              <w:rPr>
                <w:rFonts w:ascii="Arial" w:cs="Arial" w:eastAsia="Arial" w:hAnsi="Arial"/>
                <w:sz w:val="17"/>
                <w:szCs w:val="17"/>
                <w:color w:val="0000EE"/>
                <w:w w:val="89"/>
              </w:rPr>
              <w:t>Delaware Statutory Business Combinations Provision</w:t>
            </w:r>
          </w:p>
        </w:tc>
        <w:tc>
          <w:tcPr>
            <w:tcW w:w="3020" w:type="dxa"/>
            <w:vAlign w:val="bottom"/>
            <w:gridSpan w:val="6"/>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0000EE"/>
            </w:tcBorders>
          </w:tcPr>
          <w:p>
            <w:pPr>
              <w:jc w:val="right"/>
              <w:spacing w:after="0" w:line="163" w:lineRule="exact"/>
              <w:rPr>
                <w:sz w:val="20"/>
                <w:szCs w:val="20"/>
                <w:color w:val="auto"/>
              </w:rPr>
            </w:pPr>
            <w:r>
              <w:rPr>
                <w:rFonts w:ascii="Arial" w:cs="Arial" w:eastAsia="Arial" w:hAnsi="Arial"/>
                <w:sz w:val="17"/>
                <w:szCs w:val="17"/>
                <w:color w:val="0000EE"/>
                <w:w w:val="77"/>
              </w:rPr>
              <w:t>188</w:t>
            </w:r>
          </w:p>
        </w:tc>
        <w:tc>
          <w:tcPr>
            <w:tcW w:w="60" w:type="dxa"/>
            <w:vAlign w:val="bottom"/>
          </w:tcPr>
          <w:p>
            <w:pPr>
              <w:spacing w:after="0"/>
              <w:rPr>
                <w:sz w:val="14"/>
                <w:szCs w:val="14"/>
                <w:color w:val="auto"/>
              </w:rPr>
            </w:pPr>
          </w:p>
        </w:tc>
      </w:tr>
      <w:tr>
        <w:trPr>
          <w:trHeight w:val="189"/>
        </w:trPr>
        <w:tc>
          <w:tcPr>
            <w:tcW w:w="4960" w:type="dxa"/>
            <w:vAlign w:val="bottom"/>
            <w:tcBorders>
              <w:bottom w:val="single" w:sz="8" w:color="0000EE"/>
            </w:tcBorders>
            <w:gridSpan w:val="12"/>
            <w:shd w:val="clear" w:color="auto" w:fill="CCFFCC"/>
          </w:tcPr>
          <w:p>
            <w:pPr>
              <w:spacing w:after="0" w:line="172" w:lineRule="exact"/>
              <w:rPr>
                <w:sz w:val="20"/>
                <w:szCs w:val="20"/>
                <w:color w:val="auto"/>
              </w:rPr>
            </w:pPr>
            <w:r>
              <w:rPr>
                <w:rFonts w:ascii="Arial" w:cs="Arial" w:eastAsia="Arial" w:hAnsi="Arial"/>
                <w:sz w:val="17"/>
                <w:szCs w:val="17"/>
                <w:color w:val="0000EE"/>
                <w:w w:val="95"/>
              </w:rPr>
              <w:t>UNAUDITED PRO FORMA COMBINED FINANCIAL STATEMENTS</w:t>
            </w:r>
          </w:p>
        </w:tc>
        <w:tc>
          <w:tcPr>
            <w:tcW w:w="1820" w:type="dxa"/>
            <w:vAlign w:val="bottom"/>
            <w:tcBorders>
              <w:bottom w:val="single" w:sz="8" w:color="CCFFCC"/>
            </w:tcBorders>
            <w:gridSpan w:val="3"/>
            <w:shd w:val="clear" w:color="auto" w:fill="CCFFCC"/>
          </w:tcPr>
          <w:p>
            <w:pPr>
              <w:spacing w:after="0"/>
              <w:rPr>
                <w:sz w:val="16"/>
                <w:szCs w:val="16"/>
                <w:color w:val="auto"/>
              </w:rPr>
            </w:pPr>
          </w:p>
        </w:tc>
        <w:tc>
          <w:tcPr>
            <w:tcW w:w="540" w:type="dxa"/>
            <w:vAlign w:val="bottom"/>
            <w:tcBorders>
              <w:bottom w:val="single" w:sz="8" w:color="CCFFCC"/>
              <w:right w:val="single" w:sz="8" w:color="CCFFCC"/>
            </w:tcBorders>
            <w:shd w:val="clear" w:color="auto" w:fill="CCFFCC"/>
          </w:tcPr>
          <w:p>
            <w:pPr>
              <w:spacing w:after="0"/>
              <w:rPr>
                <w:sz w:val="16"/>
                <w:szCs w:val="16"/>
                <w:color w:val="auto"/>
              </w:rPr>
            </w:pPr>
          </w:p>
        </w:tc>
        <w:tc>
          <w:tcPr>
            <w:tcW w:w="240" w:type="dxa"/>
            <w:vAlign w:val="bottom"/>
            <w:tcBorders>
              <w:bottom w:val="single" w:sz="8" w:color="0000EE"/>
            </w:tcBorders>
            <w:shd w:val="clear" w:color="auto" w:fill="CCFFCC"/>
          </w:tcPr>
          <w:p>
            <w:pPr>
              <w:jc w:val="right"/>
              <w:spacing w:after="0" w:line="172" w:lineRule="exact"/>
              <w:rPr>
                <w:sz w:val="20"/>
                <w:szCs w:val="20"/>
                <w:color w:val="auto"/>
              </w:rPr>
            </w:pPr>
            <w:r>
              <w:rPr>
                <w:rFonts w:ascii="Arial" w:cs="Arial" w:eastAsia="Arial" w:hAnsi="Arial"/>
                <w:sz w:val="17"/>
                <w:szCs w:val="17"/>
                <w:color w:val="0000EE"/>
                <w:w w:val="77"/>
              </w:rPr>
              <w:t>189</w:t>
            </w:r>
          </w:p>
        </w:tc>
        <w:tc>
          <w:tcPr>
            <w:tcW w:w="60" w:type="dxa"/>
            <w:vAlign w:val="bottom"/>
            <w:tcBorders>
              <w:bottom w:val="single" w:sz="8" w:color="CCFFCC"/>
            </w:tcBorders>
            <w:shd w:val="clear" w:color="auto" w:fill="CCFFCC"/>
          </w:tcPr>
          <w:p>
            <w:pPr>
              <w:spacing w:after="0"/>
              <w:rPr>
                <w:sz w:val="16"/>
                <w:szCs w:val="16"/>
                <w:color w:val="auto"/>
              </w:rPr>
            </w:pPr>
          </w:p>
        </w:tc>
      </w:tr>
      <w:tr>
        <w:trPr>
          <w:trHeight w:val="163"/>
        </w:trPr>
        <w:tc>
          <w:tcPr>
            <w:tcW w:w="6340" w:type="dxa"/>
            <w:vAlign w:val="bottom"/>
            <w:tcBorders>
              <w:bottom w:val="single" w:sz="8" w:color="0000EE"/>
            </w:tcBorders>
            <w:gridSpan w:val="14"/>
          </w:tcPr>
          <w:p>
            <w:pPr>
              <w:spacing w:after="0" w:line="163" w:lineRule="exact"/>
              <w:rPr>
                <w:sz w:val="20"/>
                <w:szCs w:val="20"/>
                <w:color w:val="auto"/>
              </w:rPr>
            </w:pPr>
            <w:r>
              <w:rPr>
                <w:rFonts w:ascii="Arial" w:cs="Arial" w:eastAsia="Arial" w:hAnsi="Arial"/>
                <w:sz w:val="17"/>
                <w:szCs w:val="17"/>
                <w:color w:val="0000EE"/>
                <w:w w:val="93"/>
              </w:rPr>
              <w:t>COMPARISON OF RIGHTS OF VRINGO STOCKHOLDERS AND INNOVATE/PROTECT</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0000EE"/>
            </w:tcBorders>
          </w:tcPr>
          <w:p>
            <w:pPr>
              <w:jc w:val="right"/>
              <w:spacing w:after="0" w:line="163" w:lineRule="exact"/>
              <w:rPr>
                <w:sz w:val="20"/>
                <w:szCs w:val="20"/>
                <w:color w:val="auto"/>
              </w:rPr>
            </w:pPr>
            <w:r>
              <w:rPr>
                <w:rFonts w:ascii="Arial" w:cs="Arial" w:eastAsia="Arial" w:hAnsi="Arial"/>
                <w:sz w:val="17"/>
                <w:szCs w:val="17"/>
                <w:color w:val="0000EE"/>
                <w:w w:val="77"/>
              </w:rPr>
              <w:t>198</w:t>
            </w:r>
          </w:p>
        </w:tc>
        <w:tc>
          <w:tcPr>
            <w:tcW w:w="60" w:type="dxa"/>
            <w:vAlign w:val="bottom"/>
          </w:tcPr>
          <w:p>
            <w:pPr>
              <w:spacing w:after="0"/>
              <w:rPr>
                <w:sz w:val="14"/>
                <w:szCs w:val="14"/>
                <w:color w:val="auto"/>
              </w:rPr>
            </w:pPr>
          </w:p>
        </w:tc>
      </w:tr>
      <w:tr>
        <w:trPr>
          <w:trHeight w:val="189"/>
        </w:trPr>
        <w:tc>
          <w:tcPr>
            <w:tcW w:w="160" w:type="dxa"/>
            <w:vAlign w:val="bottom"/>
          </w:tcPr>
          <w:p>
            <w:pPr>
              <w:spacing w:after="0"/>
              <w:rPr>
                <w:sz w:val="16"/>
                <w:szCs w:val="16"/>
                <w:color w:val="auto"/>
              </w:rPr>
            </w:pPr>
          </w:p>
        </w:tc>
        <w:tc>
          <w:tcPr>
            <w:tcW w:w="1320" w:type="dxa"/>
            <w:vAlign w:val="bottom"/>
            <w:tcBorders>
              <w:bottom w:val="single" w:sz="8" w:color="0000EE"/>
            </w:tcBorders>
            <w:gridSpan w:val="5"/>
          </w:tcPr>
          <w:p>
            <w:pPr>
              <w:spacing w:after="0" w:line="180" w:lineRule="exact"/>
              <w:rPr>
                <w:sz w:val="20"/>
                <w:szCs w:val="20"/>
                <w:color w:val="auto"/>
              </w:rPr>
            </w:pPr>
            <w:r>
              <w:rPr>
                <w:rFonts w:ascii="Arial" w:cs="Arial" w:eastAsia="Arial" w:hAnsi="Arial"/>
                <w:sz w:val="17"/>
                <w:szCs w:val="17"/>
                <w:color w:val="0000EE"/>
                <w:w w:val="92"/>
              </w:rPr>
              <w:t>STOCKHOLDERS</w:t>
            </w:r>
          </w:p>
        </w:tc>
        <w:tc>
          <w:tcPr>
            <w:tcW w:w="5300" w:type="dxa"/>
            <w:vAlign w:val="bottom"/>
            <w:gridSpan w:val="9"/>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780" w:type="dxa"/>
            <w:vAlign w:val="bottom"/>
            <w:gridSpan w:val="15"/>
            <w:shd w:val="clear" w:color="auto" w:fill="CCFFCC"/>
          </w:tcPr>
          <w:p>
            <w:pPr>
              <w:spacing w:after="0" w:line="172" w:lineRule="exact"/>
              <w:rPr>
                <w:sz w:val="20"/>
                <w:szCs w:val="20"/>
                <w:color w:val="auto"/>
              </w:rPr>
            </w:pPr>
            <w:r>
              <w:rPr>
                <w:rFonts w:ascii="Arial" w:cs="Arial" w:eastAsia="Arial" w:hAnsi="Arial"/>
                <w:sz w:val="17"/>
                <w:szCs w:val="17"/>
                <w:color w:val="0000EE"/>
              </w:rPr>
              <w:t>LEGAL MATTERS</w:t>
            </w:r>
          </w:p>
        </w:tc>
        <w:tc>
          <w:tcPr>
            <w:tcW w:w="840" w:type="dxa"/>
            <w:vAlign w:val="bottom"/>
            <w:gridSpan w:val="3"/>
            <w:shd w:val="clear" w:color="auto" w:fill="CCFFCC"/>
          </w:tcPr>
          <w:p>
            <w:pPr>
              <w:jc w:val="right"/>
              <w:ind w:right="60"/>
              <w:spacing w:after="0" w:line="172" w:lineRule="exact"/>
              <w:rPr>
                <w:sz w:val="20"/>
                <w:szCs w:val="20"/>
                <w:color w:val="auto"/>
              </w:rPr>
            </w:pPr>
            <w:r>
              <w:rPr>
                <w:rFonts w:ascii="Arial" w:cs="Arial" w:eastAsia="Arial" w:hAnsi="Arial"/>
                <w:sz w:val="17"/>
                <w:szCs w:val="17"/>
                <w:color w:val="0000EE"/>
              </w:rPr>
              <w:t>203</w:t>
            </w:r>
          </w:p>
        </w:tc>
      </w:tr>
      <w:tr>
        <w:trPr>
          <w:trHeight w:val="172"/>
        </w:trPr>
        <w:tc>
          <w:tcPr>
            <w:tcW w:w="760" w:type="dxa"/>
            <w:vAlign w:val="bottom"/>
            <w:tcBorders>
              <w:top w:val="single" w:sz="8" w:color="0000EE"/>
              <w:bottom w:val="single" w:sz="8" w:color="0000EE"/>
            </w:tcBorders>
            <w:gridSpan w:val="2"/>
          </w:tcPr>
          <w:p>
            <w:pPr>
              <w:spacing w:after="0" w:line="163" w:lineRule="exact"/>
              <w:rPr>
                <w:sz w:val="20"/>
                <w:szCs w:val="20"/>
                <w:color w:val="auto"/>
              </w:rPr>
            </w:pPr>
            <w:r>
              <w:rPr>
                <w:rFonts w:ascii="Arial" w:cs="Arial" w:eastAsia="Arial" w:hAnsi="Arial"/>
                <w:sz w:val="17"/>
                <w:szCs w:val="17"/>
                <w:color w:val="0000EE"/>
                <w:w w:val="90"/>
              </w:rPr>
              <w:t>EXPERTS</w:t>
            </w:r>
          </w:p>
        </w:tc>
        <w:tc>
          <w:tcPr>
            <w:tcW w:w="580" w:type="dxa"/>
            <w:vAlign w:val="bottom"/>
            <w:tcBorders>
              <w:top w:val="single" w:sz="8" w:color="0000EE"/>
            </w:tcBorders>
            <w:gridSpan w:val="2"/>
          </w:tcPr>
          <w:p>
            <w:pPr>
              <w:spacing w:after="0"/>
              <w:rPr>
                <w:sz w:val="14"/>
                <w:szCs w:val="14"/>
                <w:color w:val="auto"/>
              </w:rPr>
            </w:pPr>
          </w:p>
        </w:tc>
        <w:tc>
          <w:tcPr>
            <w:tcW w:w="5440" w:type="dxa"/>
            <w:vAlign w:val="bottom"/>
            <w:tcBorders>
              <w:top w:val="single" w:sz="8" w:color="CCFFCC"/>
            </w:tcBorders>
            <w:gridSpan w:val="11"/>
          </w:tcPr>
          <w:p>
            <w:pPr>
              <w:spacing w:after="0"/>
              <w:rPr>
                <w:sz w:val="14"/>
                <w:szCs w:val="14"/>
                <w:color w:val="auto"/>
              </w:rPr>
            </w:pPr>
          </w:p>
        </w:tc>
        <w:tc>
          <w:tcPr>
            <w:tcW w:w="540" w:type="dxa"/>
            <w:vAlign w:val="bottom"/>
            <w:tcBorders>
              <w:top w:val="single" w:sz="8" w:color="CCFFCC"/>
            </w:tcBorders>
          </w:tcPr>
          <w:p>
            <w:pPr>
              <w:spacing w:after="0"/>
              <w:rPr>
                <w:sz w:val="14"/>
                <w:szCs w:val="14"/>
                <w:color w:val="auto"/>
              </w:rPr>
            </w:pPr>
          </w:p>
        </w:tc>
        <w:tc>
          <w:tcPr>
            <w:tcW w:w="240" w:type="dxa"/>
            <w:vAlign w:val="bottom"/>
            <w:tcBorders>
              <w:top w:val="single" w:sz="8" w:color="0000EE"/>
              <w:bottom w:val="single" w:sz="8" w:color="0000EE"/>
            </w:tcBorders>
          </w:tcPr>
          <w:p>
            <w:pPr>
              <w:jc w:val="right"/>
              <w:spacing w:after="0" w:line="163" w:lineRule="exact"/>
              <w:rPr>
                <w:sz w:val="20"/>
                <w:szCs w:val="20"/>
                <w:color w:val="auto"/>
              </w:rPr>
            </w:pPr>
            <w:r>
              <w:rPr>
                <w:rFonts w:ascii="Arial" w:cs="Arial" w:eastAsia="Arial" w:hAnsi="Arial"/>
                <w:sz w:val="17"/>
                <w:szCs w:val="17"/>
                <w:color w:val="0000EE"/>
                <w:w w:val="77"/>
              </w:rPr>
              <w:t>203</w:t>
            </w:r>
          </w:p>
        </w:tc>
        <w:tc>
          <w:tcPr>
            <w:tcW w:w="60" w:type="dxa"/>
            <w:vAlign w:val="bottom"/>
            <w:tcBorders>
              <w:top w:val="single" w:sz="8" w:color="CCFFCC"/>
            </w:tcBorders>
          </w:tcPr>
          <w:p>
            <w:pPr>
              <w:spacing w:after="0"/>
              <w:rPr>
                <w:sz w:val="14"/>
                <w:szCs w:val="14"/>
                <w:color w:val="auto"/>
              </w:rPr>
            </w:pPr>
          </w:p>
        </w:tc>
      </w:tr>
      <w:tr>
        <w:trPr>
          <w:trHeight w:val="189"/>
        </w:trPr>
        <w:tc>
          <w:tcPr>
            <w:tcW w:w="2900" w:type="dxa"/>
            <w:vAlign w:val="bottom"/>
            <w:tcBorders>
              <w:bottom w:val="single" w:sz="8" w:color="0000EE"/>
            </w:tcBorders>
            <w:gridSpan w:val="8"/>
            <w:shd w:val="clear" w:color="auto" w:fill="CCFFCC"/>
          </w:tcPr>
          <w:p>
            <w:pPr>
              <w:spacing w:after="0" w:line="172" w:lineRule="exact"/>
              <w:rPr>
                <w:sz w:val="20"/>
                <w:szCs w:val="20"/>
                <w:color w:val="auto"/>
              </w:rPr>
            </w:pPr>
            <w:r>
              <w:rPr>
                <w:rFonts w:ascii="Arial" w:cs="Arial" w:eastAsia="Arial" w:hAnsi="Arial"/>
                <w:sz w:val="17"/>
                <w:szCs w:val="17"/>
                <w:color w:val="0000EE"/>
                <w:w w:val="92"/>
              </w:rPr>
              <w:t>FUTURE STOCKHOLDER PROPOSALS</w:t>
            </w:r>
          </w:p>
        </w:tc>
        <w:tc>
          <w:tcPr>
            <w:tcW w:w="3880" w:type="dxa"/>
            <w:vAlign w:val="bottom"/>
            <w:tcBorders>
              <w:bottom w:val="single" w:sz="8" w:color="CCFFCC"/>
            </w:tcBorders>
            <w:gridSpan w:val="7"/>
            <w:shd w:val="clear" w:color="auto" w:fill="CCFFCC"/>
          </w:tcPr>
          <w:p>
            <w:pPr>
              <w:spacing w:after="0"/>
              <w:rPr>
                <w:sz w:val="16"/>
                <w:szCs w:val="16"/>
                <w:color w:val="auto"/>
              </w:rPr>
            </w:pPr>
          </w:p>
        </w:tc>
        <w:tc>
          <w:tcPr>
            <w:tcW w:w="540" w:type="dxa"/>
            <w:vAlign w:val="bottom"/>
            <w:tcBorders>
              <w:bottom w:val="single" w:sz="8" w:color="CCFFCC"/>
              <w:right w:val="single" w:sz="8" w:color="CCFFCC"/>
            </w:tcBorders>
            <w:shd w:val="clear" w:color="auto" w:fill="CCFFCC"/>
          </w:tcPr>
          <w:p>
            <w:pPr>
              <w:spacing w:after="0"/>
              <w:rPr>
                <w:sz w:val="16"/>
                <w:szCs w:val="16"/>
                <w:color w:val="auto"/>
              </w:rPr>
            </w:pPr>
          </w:p>
        </w:tc>
        <w:tc>
          <w:tcPr>
            <w:tcW w:w="240" w:type="dxa"/>
            <w:vAlign w:val="bottom"/>
            <w:tcBorders>
              <w:bottom w:val="single" w:sz="8" w:color="0000EE"/>
            </w:tcBorders>
            <w:shd w:val="clear" w:color="auto" w:fill="CCFFCC"/>
          </w:tcPr>
          <w:p>
            <w:pPr>
              <w:jc w:val="right"/>
              <w:spacing w:after="0" w:line="172" w:lineRule="exact"/>
              <w:rPr>
                <w:sz w:val="20"/>
                <w:szCs w:val="20"/>
                <w:color w:val="auto"/>
              </w:rPr>
            </w:pPr>
            <w:r>
              <w:rPr>
                <w:rFonts w:ascii="Arial" w:cs="Arial" w:eastAsia="Arial" w:hAnsi="Arial"/>
                <w:sz w:val="17"/>
                <w:szCs w:val="17"/>
                <w:color w:val="0000EE"/>
                <w:w w:val="77"/>
              </w:rPr>
              <w:t>204</w:t>
            </w:r>
          </w:p>
        </w:tc>
        <w:tc>
          <w:tcPr>
            <w:tcW w:w="60" w:type="dxa"/>
            <w:vAlign w:val="bottom"/>
            <w:tcBorders>
              <w:bottom w:val="single" w:sz="8" w:color="CCFFCC"/>
            </w:tcBorders>
            <w:shd w:val="clear" w:color="auto" w:fill="CCFFCC"/>
          </w:tcPr>
          <w:p>
            <w:pPr>
              <w:spacing w:after="0"/>
              <w:rPr>
                <w:sz w:val="16"/>
                <w:szCs w:val="16"/>
                <w:color w:val="auto"/>
              </w:rPr>
            </w:pPr>
          </w:p>
        </w:tc>
      </w:tr>
      <w:tr>
        <w:trPr>
          <w:trHeight w:val="172"/>
        </w:trPr>
        <w:tc>
          <w:tcPr>
            <w:tcW w:w="4100" w:type="dxa"/>
            <w:vAlign w:val="bottom"/>
            <w:tcBorders>
              <w:bottom w:val="single" w:sz="8" w:color="0000EE"/>
            </w:tcBorders>
            <w:gridSpan w:val="10"/>
          </w:tcPr>
          <w:p>
            <w:pPr>
              <w:spacing w:after="0" w:line="163" w:lineRule="exact"/>
              <w:rPr>
                <w:sz w:val="20"/>
                <w:szCs w:val="20"/>
                <w:color w:val="auto"/>
              </w:rPr>
            </w:pPr>
            <w:r>
              <w:rPr>
                <w:rFonts w:ascii="Arial" w:cs="Arial" w:eastAsia="Arial" w:hAnsi="Arial"/>
                <w:sz w:val="17"/>
                <w:szCs w:val="17"/>
                <w:color w:val="0000EE"/>
                <w:w w:val="97"/>
              </w:rPr>
              <w:t>WHERE YOU CAN FIND ADDITIONAL INFORMATION</w:t>
            </w:r>
          </w:p>
        </w:tc>
        <w:tc>
          <w:tcPr>
            <w:tcW w:w="2680" w:type="dxa"/>
            <w:vAlign w:val="bottom"/>
            <w:gridSpan w:val="5"/>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0000EE"/>
            </w:tcBorders>
          </w:tcPr>
          <w:p>
            <w:pPr>
              <w:jc w:val="right"/>
              <w:spacing w:after="0" w:line="163" w:lineRule="exact"/>
              <w:rPr>
                <w:sz w:val="20"/>
                <w:szCs w:val="20"/>
                <w:color w:val="auto"/>
              </w:rPr>
            </w:pPr>
            <w:r>
              <w:rPr>
                <w:rFonts w:ascii="Arial" w:cs="Arial" w:eastAsia="Arial" w:hAnsi="Arial"/>
                <w:sz w:val="17"/>
                <w:szCs w:val="17"/>
                <w:color w:val="0000EE"/>
                <w:w w:val="77"/>
              </w:rPr>
              <w:t>204</w:t>
            </w:r>
          </w:p>
        </w:tc>
        <w:tc>
          <w:tcPr>
            <w:tcW w:w="60" w:type="dxa"/>
            <w:vAlign w:val="bottom"/>
          </w:tcPr>
          <w:p>
            <w:pPr>
              <w:spacing w:after="0"/>
              <w:rPr>
                <w:sz w:val="14"/>
                <w:szCs w:val="14"/>
                <w:color w:val="auto"/>
              </w:rPr>
            </w:pPr>
          </w:p>
        </w:tc>
      </w:tr>
      <w:tr>
        <w:trPr>
          <w:trHeight w:val="172"/>
        </w:trPr>
        <w:tc>
          <w:tcPr>
            <w:tcW w:w="6780" w:type="dxa"/>
            <w:vAlign w:val="bottom"/>
            <w:gridSpan w:val="15"/>
            <w:shd w:val="clear" w:color="auto" w:fill="CCFFCC"/>
          </w:tcPr>
          <w:p>
            <w:pPr>
              <w:spacing w:after="0" w:line="172" w:lineRule="exact"/>
              <w:rPr>
                <w:sz w:val="20"/>
                <w:szCs w:val="20"/>
                <w:color w:val="auto"/>
              </w:rPr>
            </w:pPr>
            <w:r>
              <w:rPr>
                <w:rFonts w:ascii="Arial" w:cs="Arial" w:eastAsia="Arial" w:hAnsi="Arial"/>
                <w:sz w:val="17"/>
                <w:szCs w:val="17"/>
                <w:color w:val="0000EE"/>
              </w:rPr>
              <w:t>VRINGO, INC. INDEX TO THE FINANCIAL STATEMENTS</w:t>
            </w:r>
          </w:p>
        </w:tc>
        <w:tc>
          <w:tcPr>
            <w:tcW w:w="540" w:type="dxa"/>
            <w:vAlign w:val="bottom"/>
            <w:tcBorders>
              <w:right w:val="single" w:sz="8" w:color="CCFFCC"/>
            </w:tcBorders>
            <w:shd w:val="clear" w:color="auto" w:fill="CCFFCC"/>
          </w:tcPr>
          <w:p>
            <w:pPr>
              <w:spacing w:after="0"/>
              <w:rPr>
                <w:sz w:val="14"/>
                <w:szCs w:val="14"/>
                <w:color w:val="auto"/>
              </w:rPr>
            </w:pPr>
          </w:p>
        </w:tc>
        <w:tc>
          <w:tcPr>
            <w:tcW w:w="300" w:type="dxa"/>
            <w:vAlign w:val="bottom"/>
            <w:gridSpan w:val="2"/>
            <w:shd w:val="clear" w:color="auto" w:fill="CCFFCC"/>
          </w:tcPr>
          <w:p>
            <w:pPr>
              <w:jc w:val="right"/>
              <w:ind w:right="60"/>
              <w:spacing w:after="0" w:line="172" w:lineRule="exact"/>
              <w:rPr>
                <w:sz w:val="20"/>
                <w:szCs w:val="20"/>
                <w:color w:val="auto"/>
              </w:rPr>
            </w:pPr>
            <w:r>
              <w:rPr>
                <w:rFonts w:ascii="Arial" w:cs="Arial" w:eastAsia="Arial" w:hAnsi="Arial"/>
                <w:sz w:val="17"/>
                <w:szCs w:val="17"/>
                <w:color w:val="0000EE"/>
                <w:w w:val="86"/>
              </w:rPr>
              <w:t>F-1</w:t>
            </w:r>
          </w:p>
        </w:tc>
      </w:tr>
      <w:tr>
        <w:trPr>
          <w:trHeight w:val="38"/>
        </w:trPr>
        <w:tc>
          <w:tcPr>
            <w:tcW w:w="160" w:type="dxa"/>
            <w:vAlign w:val="bottom"/>
            <w:shd w:val="clear" w:color="auto" w:fill="0000EE"/>
          </w:tcPr>
          <w:p>
            <w:pPr>
              <w:spacing w:after="0"/>
              <w:rPr>
                <w:sz w:val="3"/>
                <w:szCs w:val="3"/>
                <w:color w:val="auto"/>
              </w:rPr>
            </w:pPr>
          </w:p>
        </w:tc>
        <w:tc>
          <w:tcPr>
            <w:tcW w:w="60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10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540" w:type="dxa"/>
            <w:vAlign w:val="bottom"/>
            <w:tcBorders>
              <w:right w:val="single" w:sz="8" w:color="CCFFCC"/>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60" w:type="dxa"/>
            <w:vAlign w:val="bottom"/>
            <w:shd w:val="clear" w:color="auto" w:fill="CCFFCC"/>
          </w:tcPr>
          <w:p>
            <w:pPr>
              <w:spacing w:after="0"/>
              <w:rPr>
                <w:sz w:val="3"/>
                <w:szCs w:val="3"/>
                <w:color w:val="auto"/>
              </w:rPr>
            </w:pPr>
          </w:p>
        </w:tc>
      </w:tr>
      <w:tr>
        <w:trPr>
          <w:trHeight w:val="163"/>
        </w:trPr>
        <w:tc>
          <w:tcPr>
            <w:tcW w:w="5240" w:type="dxa"/>
            <w:vAlign w:val="bottom"/>
            <w:gridSpan w:val="13"/>
          </w:tcPr>
          <w:p>
            <w:pPr>
              <w:spacing w:after="0" w:line="163" w:lineRule="exact"/>
              <w:rPr>
                <w:sz w:val="20"/>
                <w:szCs w:val="20"/>
                <w:color w:val="auto"/>
              </w:rPr>
            </w:pPr>
            <w:r>
              <w:rPr>
                <w:rFonts w:ascii="Arial" w:cs="Arial" w:eastAsia="Arial" w:hAnsi="Arial"/>
                <w:sz w:val="17"/>
                <w:szCs w:val="17"/>
                <w:color w:val="0000EE"/>
                <w:w w:val="94"/>
              </w:rPr>
              <w:t>INNOVATE/PROTECT, INC. INDEX TO THE FINANCIAL STATEMENTS</w:t>
            </w:r>
          </w:p>
        </w:tc>
        <w:tc>
          <w:tcPr>
            <w:tcW w:w="1540" w:type="dxa"/>
            <w:vAlign w:val="bottom"/>
            <w:gridSpan w:val="2"/>
          </w:tcPr>
          <w:p>
            <w:pPr>
              <w:spacing w:after="0"/>
              <w:rPr>
                <w:sz w:val="14"/>
                <w:szCs w:val="14"/>
                <w:color w:val="auto"/>
              </w:rPr>
            </w:pPr>
          </w:p>
        </w:tc>
        <w:tc>
          <w:tcPr>
            <w:tcW w:w="840" w:type="dxa"/>
            <w:vAlign w:val="bottom"/>
            <w:gridSpan w:val="3"/>
          </w:tcPr>
          <w:p>
            <w:pPr>
              <w:jc w:val="right"/>
              <w:ind w:right="60"/>
              <w:spacing w:after="0" w:line="163" w:lineRule="exact"/>
              <w:rPr>
                <w:sz w:val="20"/>
                <w:szCs w:val="20"/>
                <w:color w:val="auto"/>
              </w:rPr>
            </w:pPr>
            <w:r>
              <w:rPr>
                <w:rFonts w:ascii="Arial" w:cs="Arial" w:eastAsia="Arial" w:hAnsi="Arial"/>
                <w:sz w:val="17"/>
                <w:szCs w:val="17"/>
                <w:color w:val="0000EE"/>
              </w:rPr>
              <w:t>F-52</w:t>
            </w:r>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-1837055</wp:posOffset>
            </wp:positionV>
            <wp:extent cx="4837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Annexes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Annex A —The Merger Agreement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Annex B —Form of Certificate of Amendment to Effect a Reverse Stock Split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Annex C —Form Certificate of Amendment to Effect an Increase in Authorized Shares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Annex D —Vringo, Inc. 2012 Employee, Director and Consultant Equity Incentive Plan</w:t>
      </w:r>
    </w:p>
    <w:p>
      <w:pPr>
        <w:spacing w:after="0" w:line="105" w:lineRule="exact"/>
        <w:rPr>
          <w:sz w:val="20"/>
          <w:szCs w:val="20"/>
          <w:color w:val="auto"/>
        </w:rPr>
      </w:pPr>
    </w:p>
    <w:p>
      <w:pPr>
        <w:ind w:left="820" w:right="3659" w:hanging="801"/>
        <w:spacing w:after="0" w:line="267" w:lineRule="auto"/>
        <w:rPr>
          <w:sz w:val="20"/>
          <w:szCs w:val="20"/>
          <w:color w:val="auto"/>
        </w:rPr>
      </w:pPr>
      <w:r>
        <w:rPr>
          <w:rFonts w:ascii="Arial" w:cs="Arial" w:eastAsia="Arial" w:hAnsi="Arial"/>
          <w:sz w:val="17"/>
          <w:szCs w:val="17"/>
          <w:color w:val="auto"/>
        </w:rPr>
        <w:t>Annex E —Form of Certificate of Designations, Preferences and Rights of Series A Convertible Preferred Stock</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Annex F —Form of Series 1 Warrant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Annex G —Form of Series 2 Warrant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Annex H —Opinion of Etico Capital, a division of Olympus Securities LLC</w:t>
      </w:r>
    </w:p>
    <w:p>
      <w:pPr>
        <w:spacing w:after="0" w:line="200" w:lineRule="exact"/>
        <w:rPr>
          <w:sz w:val="20"/>
          <w:szCs w:val="20"/>
          <w:color w:val="auto"/>
        </w:rPr>
      </w:pPr>
    </w:p>
    <w:p>
      <w:pPr>
        <w:spacing w:after="0" w:line="319"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QUESTIONS AND ANSWERS ABOUT THE MERGER AND</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VRINGO ANNUAL MEETING</w:t>
      </w:r>
    </w:p>
    <w:p>
      <w:pPr>
        <w:spacing w:after="0" w:line="9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i w:val="1"/>
          <w:iCs w:val="1"/>
          <w:color w:val="auto"/>
        </w:rPr>
        <w:t>The following are some questions that you, as a stockholder of Vringo, Inc. (“Vringo”), may have regarding the Merger (as defined below) or the Vringo annual meeting, together with brief answers to those questions. Vringo urges you to read carefully the remainder of this proxy statement/prospectus, including the annexes and other documents referred to in this proxy statement/prospectus, because the information in this section may not provide all of the information that might be important to you with respect to the Merger or the Vringo annual meeting.</w:t>
      </w:r>
    </w:p>
    <w:p>
      <w:pPr>
        <w:spacing w:after="0" w:line="8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i w:val="1"/>
          <w:iCs w:val="1"/>
          <w:color w:val="auto"/>
        </w:rPr>
        <w:t>When this proxy statement/prospectus refers to the combined company, it means Vringo and its subsidiaries and Innovate/Protect, Inc. (“Innovate/Protect”) and its subsidiaries, collectively.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is the Merger?</w:t>
      </w:r>
    </w:p>
    <w:p>
      <w:pPr>
        <w:spacing w:after="0" w:line="109" w:lineRule="exact"/>
        <w:rPr>
          <w:sz w:val="20"/>
          <w:szCs w:val="20"/>
          <w:color w:val="auto"/>
        </w:rPr>
      </w:pPr>
    </w:p>
    <w:p>
      <w:pPr>
        <w:jc w:val="both"/>
        <w:ind w:left="260" w:right="1239" w:hanging="250"/>
        <w:spacing w:after="0" w:line="292" w:lineRule="auto"/>
        <w:tabs>
          <w:tab w:leader="none" w:pos="26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Vringo and Innovate/Protect have entered into an Agreement and Plan of Merger, dated as of March 12, 2012 (as may be amended or modified, the “</w:t>
      </w:r>
      <w:r>
        <w:rPr>
          <w:rFonts w:ascii="Arial" w:cs="Arial" w:eastAsia="Arial" w:hAnsi="Arial"/>
          <w:sz w:val="15"/>
          <w:szCs w:val="15"/>
          <w:b w:val="1"/>
          <w:bCs w:val="1"/>
          <w:color w:val="auto"/>
        </w:rPr>
        <w:t>Merger Agreement</w:t>
      </w:r>
      <w:r>
        <w:rPr>
          <w:rFonts w:ascii="Arial" w:cs="Arial" w:eastAsia="Arial" w:hAnsi="Arial"/>
          <w:sz w:val="15"/>
          <w:szCs w:val="15"/>
          <w:color w:val="auto"/>
        </w:rPr>
        <w:t>”), that sets forth the terms and conditions of the proposed business combination of Vringo and Innovate/Protect. Under the Merger Agreement, Innovate/Protect will merge with and into VIP Merger Sub, Inc., a wholly-owned subsidiary of Vringo (the “</w:t>
      </w:r>
      <w:r>
        <w:rPr>
          <w:rFonts w:ascii="Arial" w:cs="Arial" w:eastAsia="Arial" w:hAnsi="Arial"/>
          <w:sz w:val="15"/>
          <w:szCs w:val="15"/>
          <w:b w:val="1"/>
          <w:bCs w:val="1"/>
          <w:color w:val="auto"/>
        </w:rPr>
        <w:t>Merger Sub</w:t>
      </w:r>
      <w:r>
        <w:rPr>
          <w:rFonts w:ascii="Arial" w:cs="Arial" w:eastAsia="Arial" w:hAnsi="Arial"/>
          <w:sz w:val="15"/>
          <w:szCs w:val="15"/>
          <w:color w:val="auto"/>
        </w:rPr>
        <w:t>”), with Merger Sub surviving as a wholly-owned subsidiary of Vringo (the “</w:t>
      </w:r>
      <w:r>
        <w:rPr>
          <w:rFonts w:ascii="Arial" w:cs="Arial" w:eastAsia="Arial" w:hAnsi="Arial"/>
          <w:sz w:val="15"/>
          <w:szCs w:val="15"/>
          <w:b w:val="1"/>
          <w:bCs w:val="1"/>
          <w:color w:val="auto"/>
        </w:rPr>
        <w:t>Merger</w:t>
      </w:r>
      <w:r>
        <w:rPr>
          <w:rFonts w:ascii="Arial" w:cs="Arial" w:eastAsia="Arial" w:hAnsi="Arial"/>
          <w:sz w:val="15"/>
          <w:szCs w:val="15"/>
          <w:color w:val="auto"/>
        </w:rPr>
        <w:t xml:space="preserve">”). A complete copy of the Merger Agreement is attached to this proxy statement/prospectus as </w:t>
      </w:r>
      <w:r>
        <w:rPr>
          <w:rFonts w:ascii="Arial" w:cs="Arial" w:eastAsia="Arial" w:hAnsi="Arial"/>
          <w:sz w:val="15"/>
          <w:szCs w:val="15"/>
          <w:u w:val="single" w:color="auto"/>
          <w:color w:val="auto"/>
        </w:rPr>
        <w:t>Annex A</w:t>
      </w:r>
      <w:r>
        <w:rPr>
          <w:rFonts w:ascii="Arial" w:cs="Arial" w:eastAsia="Arial" w:hAnsi="Arial"/>
          <w:sz w:val="15"/>
          <w:szCs w:val="15"/>
          <w:color w:val="auto"/>
        </w:rPr>
        <w:t>.</w:t>
      </w:r>
    </w:p>
    <w:p>
      <w:pPr>
        <w:spacing w:after="0" w:line="354" w:lineRule="exact"/>
        <w:rPr>
          <w:sz w:val="20"/>
          <w:szCs w:val="20"/>
          <w:color w:val="auto"/>
        </w:rPr>
      </w:pPr>
    </w:p>
    <w:p>
      <w:pPr>
        <w:jc w:val="both"/>
        <w:ind w:left="260" w:right="1239" w:hanging="250"/>
        <w:spacing w:after="0" w:line="251" w:lineRule="auto"/>
        <w:tabs>
          <w:tab w:leader="none" w:pos="2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board of directors of Vringo has unanimously approved the Merger Agreement and the Merger. The combination of the two companies will substantially increase Vringo’s intellectual property portfolio, add significant talent in technological innovation, and position Vringo to enhance its opportunities for revenue generation through the monetization of the combined company’s assets, including a potential successful outcome of Innovate/Protect’s litigation against Google, Inc. and the owners of other online search engines.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Why am I receiving these materials?</w:t>
      </w:r>
    </w:p>
    <w:p>
      <w:pPr>
        <w:spacing w:after="0" w:line="109" w:lineRule="exact"/>
        <w:rPr>
          <w:sz w:val="20"/>
          <w:szCs w:val="20"/>
          <w:color w:val="auto"/>
        </w:rPr>
      </w:pPr>
    </w:p>
    <w:p>
      <w:pPr>
        <w:ind w:left="260" w:right="1239" w:hanging="250"/>
        <w:spacing w:after="0" w:line="267" w:lineRule="auto"/>
        <w:tabs>
          <w:tab w:leader="none" w:pos="2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Vringo is sending these materials to its stockholders to help them decide how to vote their shares of Vringo common stock with respect to the Merger and the other matters to be considered at the annual meeting.</w:t>
      </w:r>
    </w:p>
    <w:p>
      <w:pPr>
        <w:spacing w:after="0" w:line="66" w:lineRule="exact"/>
        <w:rPr>
          <w:sz w:val="20"/>
          <w:szCs w:val="20"/>
          <w:color w:val="auto"/>
        </w:rPr>
      </w:pPr>
    </w:p>
    <w:p>
      <w:pPr>
        <w:jc w:val="both"/>
        <w:ind w:left="300" w:right="1239"/>
        <w:spacing w:after="0" w:line="292" w:lineRule="auto"/>
        <w:rPr>
          <w:sz w:val="20"/>
          <w:szCs w:val="20"/>
          <w:color w:val="auto"/>
        </w:rPr>
      </w:pPr>
      <w:r>
        <w:rPr>
          <w:rFonts w:ascii="Arial" w:cs="Arial" w:eastAsia="Arial" w:hAnsi="Arial"/>
          <w:sz w:val="15"/>
          <w:szCs w:val="15"/>
          <w:color w:val="auto"/>
        </w:rPr>
        <w:t>This document serves as both a proxy statement of Vringo used to solicit proxies for its annual meeting and as a prospectus of Vringo used to offer shares of Vringo common stock, preferred stock and warrants to purchase common stock (including the shares of common stock issuable upon conversion of the preferred stock and exercise of the warrants) issuable to Innovate/Protect stockholders and warrantholder in connection with the Merger. This proxy statement/prospectus contains important information about the Merger and the Vringo annual meeting and you should read it carefully.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will Innovate/Protect stockholders receive in the Merger?</w:t>
      </w:r>
    </w:p>
    <w:p>
      <w:pPr>
        <w:spacing w:after="0" w:line="109" w:lineRule="exact"/>
        <w:rPr>
          <w:sz w:val="20"/>
          <w:szCs w:val="20"/>
          <w:color w:val="auto"/>
        </w:rPr>
      </w:pPr>
    </w:p>
    <w:p>
      <w:pPr>
        <w:jc w:val="both"/>
        <w:ind w:left="260" w:right="1239" w:hanging="250"/>
        <w:spacing w:after="0" w:line="285" w:lineRule="auto"/>
        <w:tabs>
          <w:tab w:leader="none" w:pos="26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Pursuant to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Innovate/Protect, or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Series A Convertible Preferred Stock, or Vringo preferred stock, which 6,673 shares, as of May 25, 2012, shall be initially convertible into an aggregate of 20,136,445 shares of Vringo common stock (or at current conversion rate of 3,017.6). The Common Stock Exchange Ratio initially is 3.0176, which is subject to adjustment in the</w:t>
      </w:r>
    </w:p>
    <w:p>
      <w:pPr>
        <w:spacing w:after="0" w:line="200" w:lineRule="exact"/>
        <w:rPr>
          <w:sz w:val="20"/>
          <w:szCs w:val="20"/>
          <w:color w:val="auto"/>
        </w:rPr>
      </w:pPr>
    </w:p>
    <w:p>
      <w:pPr>
        <w:spacing w:after="0" w:line="270"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spacing w:after="0" w:line="281" w:lineRule="auto"/>
        <w:rPr>
          <w:sz w:val="20"/>
          <w:szCs w:val="20"/>
          <w:color w:val="auto"/>
        </w:rPr>
      </w:pPr>
      <w:r>
        <w:rPr>
          <w:rFonts w:ascii="Arial" w:cs="Arial" w:eastAsia="Arial" w:hAnsi="Arial"/>
          <w:sz w:val="15"/>
          <w:szCs w:val="15"/>
          <w:color w:val="auto"/>
        </w:rPr>
        <w:t xml:space="preserve">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pro </w:t>
      </w:r>
      <w:r>
        <w:rPr>
          <w:rFonts w:ascii="Arial" w:cs="Arial" w:eastAsia="Arial" w:hAnsi="Arial"/>
          <w:sz w:val="15"/>
          <w:szCs w:val="15"/>
          <w:i w:val="1"/>
          <w:iCs w:val="1"/>
          <w:color w:val="auto"/>
        </w:rPr>
        <w:t>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 the former stockholders of Innovate/Protect are expected to own approximately 56.30% of the outstanding common stock of the combined company and the current stockholders of Vringo are expected to own approximately 43.70% of the outstanding common stock of the combined company (without taking into account any shares of Vringo common stock held by Innovate/Protect stockholders prior to the completion of the Merger and without giving effect to shares of Vringo common stock issuable upon conversion of the Vringo preferred stock or the exercise of warrants and options). On a fully diluted basis, the stockholders of Innovate/Protect are expected to own approximately 67.55% of the outstanding capital stock of the combined company and current stockholders of Vringo are expected to own approximately 32.45% of the outstanding capital stock of the combined company.</w:t>
      </w:r>
    </w:p>
    <w:p>
      <w:pPr>
        <w:spacing w:after="0" w:line="67"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No fractional shares of Vringo common or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w:t>
      </w:r>
    </w:p>
    <w:p>
      <w:pPr>
        <w:spacing w:after="0" w:line="78"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 xml:space="preserve">For a more complete discussion of what Innovate/Protect stockholders will receive in connection with the Merger, see the sections entitled “The Merger — What Innovate/Protect Stockholders Will Receive in the Merger,” “The Merger — Ownership of the Combined Company After the Completion of the Merger” and “The Merger Agreement — Merger Consideration” beginning on pages </w:t>
      </w:r>
      <w:r>
        <w:rPr>
          <w:rFonts w:ascii="Arial" w:cs="Arial" w:eastAsia="Arial" w:hAnsi="Arial"/>
          <w:sz w:val="17"/>
          <w:szCs w:val="17"/>
          <w:u w:val="single" w:color="auto"/>
          <w:color w:val="0000EE"/>
        </w:rPr>
        <w:t>64</w:t>
      </w:r>
      <w:r>
        <w:rPr>
          <w:rFonts w:ascii="Arial" w:cs="Arial" w:eastAsia="Arial" w:hAnsi="Arial"/>
          <w:sz w:val="17"/>
          <w:szCs w:val="17"/>
          <w:color w:val="auto"/>
        </w:rPr>
        <w:t xml:space="preserve">, </w:t>
      </w:r>
      <w:r>
        <w:rPr>
          <w:rFonts w:ascii="Arial" w:cs="Arial" w:eastAsia="Arial" w:hAnsi="Arial"/>
          <w:sz w:val="17"/>
          <w:szCs w:val="17"/>
          <w:u w:val="single" w:color="auto"/>
          <w:color w:val="0000EE"/>
        </w:rPr>
        <w:t>65</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90</w:t>
      </w:r>
      <w:r>
        <w:rPr>
          <w:rFonts w:ascii="Arial" w:cs="Arial" w:eastAsia="Arial" w:hAnsi="Arial"/>
          <w:sz w:val="17"/>
          <w:szCs w:val="17"/>
          <w:color w:val="auto"/>
        </w:rPr>
        <w:t>,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How will Vringo stockholders be affected by the Merger?</w:t>
      </w:r>
    </w:p>
    <w:p>
      <w:pPr>
        <w:spacing w:after="0" w:line="109" w:lineRule="exact"/>
        <w:rPr>
          <w:sz w:val="20"/>
          <w:szCs w:val="20"/>
          <w:color w:val="auto"/>
        </w:rPr>
      </w:pPr>
    </w:p>
    <w:p>
      <w:pPr>
        <w:jc w:val="both"/>
        <w:ind w:left="260" w:right="1239" w:hanging="250"/>
        <w:spacing w:after="0" w:line="269" w:lineRule="auto"/>
        <w:tabs>
          <w:tab w:leader="none" w:pos="2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Merger will have no effect on the number of shares of Vringo common stock held by current Vringo stockholders as of immediately prior to the completion of the Merger (subject to any changes in outstanding shares of Vringo common stock as a result of the proposed reverse stock split described in the Reverse Stock Split Proposal below). However, it is expected that upon completion of the Merger such shares will represent only an aggregate of approximately 32.45% of the outstanding shares of common stock of the combined company calculated on a fully diluted basis (without taking into account shares of Vringo common stock held by Innovate/Protect stockholders prior to the completion of the Merger).</w:t>
      </w:r>
    </w:p>
    <w:p>
      <w:pPr>
        <w:spacing w:after="0" w:line="66" w:lineRule="exact"/>
        <w:rPr>
          <w:sz w:val="20"/>
          <w:szCs w:val="20"/>
          <w:color w:val="auto"/>
        </w:rPr>
      </w:pPr>
    </w:p>
    <w:p>
      <w:pPr>
        <w:jc w:val="both"/>
        <w:ind w:left="300" w:right="1239"/>
        <w:spacing w:after="0" w:line="251" w:lineRule="auto"/>
        <w:rPr>
          <w:sz w:val="20"/>
          <w:szCs w:val="20"/>
          <w:color w:val="auto"/>
        </w:rPr>
      </w:pPr>
      <w:r>
        <w:rPr>
          <w:rFonts w:ascii="Arial" w:cs="Arial" w:eastAsia="Arial" w:hAnsi="Arial"/>
          <w:sz w:val="17"/>
          <w:szCs w:val="17"/>
          <w:color w:val="auto"/>
        </w:rPr>
        <w:t>For example, if you are a Vringo stockholder and hold 5% of the outstanding shares of Vringo common stock calculated on a fully diluted basis immediately prior to the completion of the Merger and do not also hold shares of Innovate/Protect capital stock or warrants, then upon completion of the Merger you will hold an aggregate of approximately 1.62% of the outstanding shares of common stock of the combined company calculated on a fully diluted basis as of immediately following the completion of the Merger.</w:t>
      </w:r>
    </w:p>
    <w:p>
      <w:pPr>
        <w:spacing w:after="0" w:line="200" w:lineRule="exact"/>
        <w:rPr>
          <w:sz w:val="20"/>
          <w:szCs w:val="20"/>
          <w:color w:val="auto"/>
        </w:rPr>
      </w:pPr>
    </w:p>
    <w:p>
      <w:pPr>
        <w:spacing w:after="0" w:line="294"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260" w:right="1239" w:hanging="250"/>
        <w:spacing w:after="0" w:line="272" w:lineRule="auto"/>
        <w:tabs>
          <w:tab w:leader="none" w:pos="2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Are the Exchange Ratios subject to adjustments based on fluctuations in the price of Vringo common stock or value of Innovate/Protect capital stock?</w:t>
      </w:r>
    </w:p>
    <w:p>
      <w:pPr>
        <w:spacing w:after="0" w:line="62" w:lineRule="exact"/>
        <w:rPr>
          <w:sz w:val="20"/>
          <w:szCs w:val="20"/>
          <w:color w:val="auto"/>
        </w:rPr>
      </w:pPr>
    </w:p>
    <w:p>
      <w:pPr>
        <w:jc w:val="both"/>
        <w:ind w:left="260" w:right="1239" w:hanging="250"/>
        <w:spacing w:after="0" w:line="288" w:lineRule="auto"/>
        <w:tabs>
          <w:tab w:leader="none" w:pos="26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No. The Common Stock Exchange Ratio initially is 3.0176, subject to adjustment, such as for stock splits, as set forth in the Merger Agreement. There will be no adjustments to the Common Stock Exchange Ratio based on fluctuations in the price of Vringo common stock or the value of Innovate/Protect capital stock prior to the completion of the Merger. As a result of any such fluctuations in stock price or value, the aggregate market value of the shares of Vringo common stock that the Innovate/Protect stockholders are entitled to receive at the time that the Merger is completed could vary significantly from the value of such shares on the date of this proxy statement/prospectus, the date of the Vringo annual meeting or the date on which the Innovate/Protect stockholders actually receive their shares of Vringo common stock or Vringo preferred stock.</w:t>
      </w:r>
    </w:p>
    <w:p>
      <w:pPr>
        <w:spacing w:after="0" w:line="55" w:lineRule="exact"/>
        <w:rPr>
          <w:sz w:val="20"/>
          <w:szCs w:val="20"/>
          <w:color w:val="auto"/>
        </w:rPr>
      </w:pPr>
    </w:p>
    <w:p>
      <w:pPr>
        <w:jc w:val="both"/>
        <w:ind w:left="300" w:right="1239"/>
        <w:spacing w:after="0" w:line="269" w:lineRule="auto"/>
        <w:rPr>
          <w:sz w:val="20"/>
          <w:szCs w:val="20"/>
          <w:color w:val="auto"/>
        </w:rPr>
      </w:pPr>
      <w:r>
        <w:rPr>
          <w:rFonts w:ascii="Arial" w:cs="Arial" w:eastAsia="Arial" w:hAnsi="Arial"/>
          <w:sz w:val="16"/>
          <w:szCs w:val="16"/>
          <w:color w:val="auto"/>
        </w:rPr>
        <w:t>On March 14, 2012, the trading day of the announcement of the Merger, the last reported sale price of Vringo’s common stock was $1.84, for an aggregate market value of Vringo of $25.5 million, or $48.7 million on a fully diluted basis. On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______________, 2012, the latest practicable date before the printing of this proxy statement/prospectus, the last reported sale</w:t>
      </w:r>
    </w:p>
    <w:p>
      <w:pPr>
        <w:spacing w:after="0" w:line="2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price of Vringo’s common stock was $_______, for an aggregate market value of Vringo of $______, or $______ on a fully</w:t>
      </w:r>
    </w:p>
    <w:p>
      <w:pPr>
        <w:spacing w:after="0" w:line="28" w:lineRule="exact"/>
        <w:rPr>
          <w:sz w:val="20"/>
          <w:szCs w:val="20"/>
          <w:color w:val="auto"/>
        </w:rPr>
      </w:pPr>
    </w:p>
    <w:p>
      <w:pPr>
        <w:jc w:val="both"/>
        <w:ind w:left="300" w:right="1239"/>
        <w:spacing w:after="0" w:line="278" w:lineRule="auto"/>
        <w:rPr>
          <w:sz w:val="20"/>
          <w:szCs w:val="20"/>
          <w:color w:val="auto"/>
        </w:rPr>
      </w:pPr>
      <w:r>
        <w:rPr>
          <w:rFonts w:ascii="Arial" w:cs="Arial" w:eastAsia="Arial" w:hAnsi="Arial"/>
          <w:sz w:val="15"/>
          <w:szCs w:val="15"/>
          <w:color w:val="auto"/>
        </w:rPr>
        <w:t>diluted basis. Assuming the issuance on such date of an aggregate of 18,113,169 shares of Vringo common stock based on a Common Stock Exchange Ratio of 3.0176, an aggregate of 6,673 shares of Vringo preferred stock and an aggregate of 16,809,838 of Vringo warrants, if the Merger was completed on such date, the market value attributable to the shares of Vringo common stock to be issued to Innovate/Protect’s stockholders in the aggregate, or approximately _______% of the outstanding</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shares of the combined company calculated on a fully diluted basis, would equal $______.</w:t>
      </w:r>
    </w:p>
    <w:p>
      <w:pPr>
        <w:spacing w:after="0" w:line="93"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color w:val="auto"/>
        </w:rPr>
        <w:t xml:space="preserve">For a more complete discussion of the Common Stock Exchange Ratio, see the section entitled “The Merger — What Innovate/Protect Stockholders Will Receive in the Merger” beginning on page </w:t>
      </w:r>
      <w:r>
        <w:rPr>
          <w:rFonts w:ascii="Arial" w:cs="Arial" w:eastAsia="Arial" w:hAnsi="Arial"/>
          <w:sz w:val="17"/>
          <w:szCs w:val="17"/>
          <w:u w:val="single" w:color="auto"/>
          <w:color w:val="0000EE"/>
        </w:rPr>
        <w:t>64</w:t>
      </w:r>
      <w:r>
        <w:rPr>
          <w:rFonts w:ascii="Arial" w:cs="Arial" w:eastAsia="Arial" w:hAnsi="Arial"/>
          <w:sz w:val="17"/>
          <w:szCs w:val="17"/>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will holders of Innovate/Protect warrants and stock options receive in the Merger?</w:t>
      </w:r>
    </w:p>
    <w:p>
      <w:pPr>
        <w:spacing w:after="0" w:line="109" w:lineRule="exact"/>
        <w:rPr>
          <w:sz w:val="20"/>
          <w:szCs w:val="20"/>
          <w:color w:val="auto"/>
        </w:rPr>
      </w:pPr>
    </w:p>
    <w:p>
      <w:pPr>
        <w:jc w:val="both"/>
        <w:ind w:left="260" w:right="1239" w:hanging="250"/>
        <w:spacing w:after="0" w:line="249" w:lineRule="auto"/>
        <w:tabs>
          <w:tab w:leader="none" w:pos="2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as-converted basis) an aggregate of 15,959,838 warrants to purchase an aggregate of 15,959,838 shares of Vringo common stock with an exercise price of $1.76 per share.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w:t>
      </w:r>
    </w:p>
    <w:p>
      <w:pPr>
        <w:spacing w:after="0" w:line="84" w:lineRule="exact"/>
        <w:rPr>
          <w:sz w:val="20"/>
          <w:szCs w:val="20"/>
          <w:color w:val="auto"/>
        </w:rPr>
      </w:pPr>
    </w:p>
    <w:p>
      <w:pPr>
        <w:jc w:val="both"/>
        <w:ind w:left="300" w:right="1239"/>
        <w:spacing w:after="0" w:line="266" w:lineRule="auto"/>
        <w:rPr>
          <w:sz w:val="20"/>
          <w:szCs w:val="20"/>
          <w:color w:val="auto"/>
        </w:rPr>
      </w:pPr>
      <w:r>
        <w:rPr>
          <w:rFonts w:ascii="Arial" w:cs="Arial" w:eastAsia="Arial" w:hAnsi="Arial"/>
          <w:sz w:val="16"/>
          <w:szCs w:val="16"/>
          <w:color w:val="auto"/>
        </w:rPr>
        <w:t>At the effective time of the Merger, each Innovate/Protect stock option,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As of May 25, 2012, the outstanding and unexercised Innovate/Protect stock options to purchase 13,646 shares of Innovate/Protect common stock, whether vested or unvested, will be converted into and become options to purchase an aggregate of 41,178 shares of Vringo common stock at an exercise price of $0.994 per share.</w:t>
      </w:r>
    </w:p>
    <w:p>
      <w:pPr>
        <w:spacing w:after="0" w:line="69" w:lineRule="exact"/>
        <w:rPr>
          <w:sz w:val="20"/>
          <w:szCs w:val="20"/>
          <w:color w:val="auto"/>
        </w:rPr>
      </w:pPr>
    </w:p>
    <w:p>
      <w:pPr>
        <w:jc w:val="both"/>
        <w:ind w:left="300" w:right="1239"/>
        <w:spacing w:after="0" w:line="256" w:lineRule="auto"/>
        <w:rPr>
          <w:sz w:val="20"/>
          <w:szCs w:val="20"/>
          <w:color w:val="auto"/>
        </w:rPr>
      </w:pPr>
      <w:r>
        <w:rPr>
          <w:rFonts w:ascii="Arial" w:cs="Arial" w:eastAsia="Arial" w:hAnsi="Arial"/>
          <w:sz w:val="17"/>
          <w:szCs w:val="17"/>
          <w:color w:val="auto"/>
        </w:rPr>
        <w:t xml:space="preserve">For a more complete discussion of what holders of Innovate/Protect stock options and warrants will receive in connection with the Merger, see the section entitled “The Merger — Treatment of Innovate/Protect Stock Options and Warrants” beginning on page </w:t>
      </w:r>
      <w:r>
        <w:rPr>
          <w:rFonts w:ascii="Arial" w:cs="Arial" w:eastAsia="Arial" w:hAnsi="Arial"/>
          <w:sz w:val="17"/>
          <w:szCs w:val="17"/>
          <w:u w:val="single" w:color="auto"/>
          <w:color w:val="0000EE"/>
        </w:rPr>
        <w:t>65</w:t>
      </w:r>
      <w:r>
        <w:rPr>
          <w:rFonts w:ascii="Arial" w:cs="Arial" w:eastAsia="Arial" w:hAnsi="Arial"/>
          <w:sz w:val="17"/>
          <w:szCs w:val="17"/>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How will the Merger affect Vringo’s business?</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 xml:space="preserve">Vringo will undergo changes in connection with the Merger. Currently, Vringo is engaged in developing software platforms and applications for mobile phones (as more fully discussed in the section entitled “Vringo’s Business — Overview” beginning on page </w:t>
      </w:r>
      <w:r>
        <w:rPr>
          <w:rFonts w:ascii="Arial" w:cs="Arial" w:eastAsia="Arial" w:hAnsi="Arial"/>
          <w:sz w:val="17"/>
          <w:szCs w:val="17"/>
          <w:u w:val="single" w:color="auto"/>
          <w:color w:val="0000EE"/>
        </w:rPr>
        <w:t>124</w:t>
      </w:r>
      <w:r>
        <w:rPr>
          <w:rFonts w:ascii="Arial" w:cs="Arial" w:eastAsia="Arial" w:hAnsi="Arial"/>
          <w:sz w:val="17"/>
          <w:szCs w:val="17"/>
          <w:color w:val="auto"/>
        </w:rPr>
        <w:t>). Following the Merger, Vringo will maximize</w:t>
      </w:r>
    </w:p>
    <w:p>
      <w:pPr>
        <w:spacing w:after="0" w:line="200" w:lineRule="exact"/>
        <w:rPr>
          <w:sz w:val="20"/>
          <w:szCs w:val="20"/>
          <w:color w:val="auto"/>
        </w:rPr>
      </w:pPr>
    </w:p>
    <w:p>
      <w:pPr>
        <w:spacing w:after="0" w:line="290"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spacing w:after="0" w:line="292" w:lineRule="auto"/>
        <w:rPr>
          <w:sz w:val="20"/>
          <w:szCs w:val="20"/>
          <w:color w:val="auto"/>
        </w:rPr>
      </w:pPr>
      <w:r>
        <w:rPr>
          <w:rFonts w:ascii="Arial" w:cs="Arial" w:eastAsia="Arial" w:hAnsi="Arial"/>
          <w:sz w:val="15"/>
          <w:szCs w:val="15"/>
          <w:color w:val="auto"/>
        </w:rPr>
        <w:t>the economic benefits of its intellectual property portfolio, add significant talent in technological innovation, and potentially enhance its opportunities for revenue generation through the monetization of the combined company’s assets, including patents owned by Innovate/Protect and the outcome of the litigation against online search companies. In addition, as a result of the Merger, former Innovate/Protect stockholders will possess majority control of the combined company and members of Innovate/Protect’s current board of directors will possess majority control of the board of directors of the combined company.</w:t>
      </w:r>
    </w:p>
    <w:p>
      <w:pPr>
        <w:spacing w:after="0" w:line="53"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Both Vringo and Innovate/Protect expect to undergo changes in connection with the Merger. Currently, Vringo is engaged in developing software platforms and applications for mobile devices. Innovate/Protect maximizes, for inventors and investors, the economic benefits of intellectual property assets through acquiring or internally developing patents or other intellectual property assets.</w:t>
      </w:r>
    </w:p>
    <w:p>
      <w:pPr>
        <w:spacing w:after="0" w:line="78"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The Merger will create a company with enhanced technology capabilities to create, build and deliver mobile applications and services to its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expect that the combined company will have two key areas of operation:</w:t>
      </w:r>
    </w:p>
    <w:p>
      <w:pPr>
        <w:spacing w:after="0" w:line="105" w:lineRule="exact"/>
        <w:rPr>
          <w:sz w:val="20"/>
          <w:szCs w:val="20"/>
          <w:color w:val="auto"/>
        </w:rPr>
      </w:pPr>
    </w:p>
    <w:p>
      <w:pPr>
        <w:ind w:left="820" w:hanging="309"/>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delivery and monetization of mobile social applications, and</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maximization of the economic benefits of intellectual property.</w:t>
      </w:r>
    </w:p>
    <w:p>
      <w:pPr>
        <w:spacing w:after="0" w:line="105"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Vringo has developed a platform for the distribution of mobile applications. Vringo believes that its technology and business relationships will allow it to distribute new applications and services through:</w:t>
      </w:r>
    </w:p>
    <w:p>
      <w:pPr>
        <w:spacing w:after="0" w:line="66" w:lineRule="exact"/>
        <w:rPr>
          <w:sz w:val="20"/>
          <w:szCs w:val="20"/>
          <w:color w:val="auto"/>
        </w:rPr>
      </w:pPr>
    </w:p>
    <w:p>
      <w:pPr>
        <w:ind w:left="820" w:hanging="309"/>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mobile operators,</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handset makers, and</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application storefronts.</w:t>
      </w:r>
    </w:p>
    <w:p>
      <w:pPr>
        <w:spacing w:after="0" w:line="105" w:lineRule="exact"/>
        <w:rPr>
          <w:sz w:val="20"/>
          <w:szCs w:val="20"/>
          <w:color w:val="auto"/>
        </w:rPr>
      </w:pPr>
    </w:p>
    <w:p>
      <w:pPr>
        <w:jc w:val="both"/>
        <w:ind w:left="300" w:right="1239"/>
        <w:spacing w:after="0" w:line="251" w:lineRule="auto"/>
        <w:rPr>
          <w:sz w:val="20"/>
          <w:szCs w:val="20"/>
          <w:color w:val="auto"/>
        </w:rPr>
      </w:pPr>
      <w:r>
        <w:rPr>
          <w:rFonts w:ascii="Arial" w:cs="Arial" w:eastAsia="Arial" w:hAnsi="Arial"/>
          <w:sz w:val="17"/>
          <w:szCs w:val="17"/>
          <w:color w:val="auto"/>
        </w:rPr>
        <w:t>Vringo has succeeded in licensing its software to two of the four largest handset makers in the world, ZTE and Nokia. Vringo has also launched services with mobile operators such as Verizon, NTTDocomo, Etisalat, Axiata, Orange (Everything Everywhere), Tata Docomo, Vodafone and Maxis. Through the Merger, Vringo adds a technology development leadership team that we believe will develop products that we believe will continue to represent the next stage in the evolution of the mobile content and mobile social applications market.</w:t>
      </w:r>
    </w:p>
    <w:p>
      <w:pPr>
        <w:spacing w:after="0" w:line="80" w:lineRule="exact"/>
        <w:rPr>
          <w:sz w:val="20"/>
          <w:szCs w:val="20"/>
          <w:color w:val="auto"/>
        </w:rPr>
      </w:pPr>
    </w:p>
    <w:p>
      <w:pPr>
        <w:jc w:val="both"/>
        <w:ind w:left="300" w:right="1239"/>
        <w:spacing w:after="0" w:line="270" w:lineRule="auto"/>
        <w:rPr>
          <w:sz w:val="20"/>
          <w:szCs w:val="20"/>
          <w:color w:val="auto"/>
        </w:rPr>
      </w:pPr>
      <w:r>
        <w:rPr>
          <w:rFonts w:ascii="Arial" w:cs="Arial" w:eastAsia="Arial" w:hAnsi="Arial"/>
          <w:sz w:val="16"/>
          <w:szCs w:val="16"/>
          <w:color w:val="auto"/>
        </w:rPr>
        <w:t>To date, Vringo has filed over 24 patent applications, and three patents have been granted by the USPTO. Additionally, Vringo has received a notice of allowance for one patent in Europe. Through the Merger, Vringo will own patent assets acquired from Lycos, Inc. Vringo intends to expand its intellectual property portfolio through both internal development and acquisition. The experience and liquidity of the combined company will enable Vringo to expand on that portfolio as well as create additional intellectually property internally. Vringo intends to monetize its intellectual property through:</w:t>
      </w:r>
    </w:p>
    <w:p>
      <w:pPr>
        <w:spacing w:after="0" w:line="68" w:lineRule="exact"/>
        <w:rPr>
          <w:sz w:val="20"/>
          <w:szCs w:val="20"/>
          <w:color w:val="auto"/>
        </w:rPr>
      </w:pPr>
    </w:p>
    <w:p>
      <w:pPr>
        <w:ind w:left="820" w:hanging="30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licensing,</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strategic partnerships, and</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litigation.</w:t>
      </w:r>
    </w:p>
    <w:p>
      <w:pPr>
        <w:spacing w:after="0" w:line="105" w:lineRule="exact"/>
        <w:rPr>
          <w:sz w:val="20"/>
          <w:szCs w:val="20"/>
          <w:color w:val="auto"/>
        </w:rPr>
      </w:pPr>
    </w:p>
    <w:p>
      <w:pPr>
        <w:jc w:val="both"/>
        <w:ind w:left="300" w:right="1239"/>
        <w:spacing w:after="0" w:line="290" w:lineRule="auto"/>
        <w:rPr>
          <w:sz w:val="20"/>
          <w:szCs w:val="20"/>
          <w:color w:val="auto"/>
        </w:rPr>
      </w:pPr>
      <w:r>
        <w:rPr>
          <w:rFonts w:ascii="Arial" w:cs="Arial" w:eastAsia="Arial" w:hAnsi="Arial"/>
          <w:sz w:val="15"/>
          <w:szCs w:val="15"/>
          <w:color w:val="auto"/>
        </w:rPr>
        <w:t xml:space="preserve">For a more complete discussion of the existing businesses of Vringo and Innovate/Protect, see the sections entitled “Vringo’s Business,” “Vringo’s Management’s Discussion and Analysis of Financial Condition and Results of Operations,” “Innovate/Protect’s Business,” and “Innovate/Protect’s Management’s Discussion and Analysis of Financial Condition and Results of Operations” beginning on pages </w:t>
      </w:r>
      <w:r>
        <w:rPr>
          <w:rFonts w:ascii="Arial" w:cs="Arial" w:eastAsia="Arial" w:hAnsi="Arial"/>
          <w:sz w:val="15"/>
          <w:szCs w:val="15"/>
          <w:u w:val="single" w:color="auto"/>
          <w:color w:val="0000EE"/>
        </w:rPr>
        <w:t>124</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130</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149</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157</w:t>
      </w:r>
      <w:r>
        <w:rPr>
          <w:rFonts w:ascii="Arial" w:cs="Arial" w:eastAsia="Arial" w:hAnsi="Arial"/>
          <w:sz w:val="15"/>
          <w:szCs w:val="15"/>
          <w:color w:val="auto"/>
        </w:rPr>
        <w:t xml:space="preserve">, respectively. In addition, you should carefully review the section entitled “Risk Factors” beginning on page </w:t>
      </w:r>
      <w:r>
        <w:rPr>
          <w:rFonts w:ascii="Arial" w:cs="Arial" w:eastAsia="Arial" w:hAnsi="Arial"/>
          <w:sz w:val="15"/>
          <w:szCs w:val="15"/>
          <w:u w:val="single" w:color="auto"/>
          <w:color w:val="0000EE"/>
        </w:rPr>
        <w:t>41</w:t>
      </w:r>
      <w:r>
        <w:rPr>
          <w:rFonts w:ascii="Arial" w:cs="Arial" w:eastAsia="Arial" w:hAnsi="Arial"/>
          <w:sz w:val="15"/>
          <w:szCs w:val="15"/>
          <w:color w:val="auto"/>
        </w:rPr>
        <w:t>, which presents risks and uncertainties related to the Merger, the combined company following the completion of the Merger, and the business and operations of each of Vringo and Innovate/Protect.</w:t>
      </w:r>
    </w:p>
    <w:p>
      <w:pPr>
        <w:spacing w:after="0" w:line="200" w:lineRule="exact"/>
        <w:rPr>
          <w:sz w:val="20"/>
          <w:szCs w:val="20"/>
          <w:color w:val="auto"/>
        </w:rPr>
      </w:pPr>
    </w:p>
    <w:p>
      <w:pPr>
        <w:spacing w:after="0" w:line="266"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Does Innovate/Protect have debt that will become an obligation of the combined company following the Merger?</w:t>
      </w:r>
    </w:p>
    <w:p>
      <w:pPr>
        <w:spacing w:after="0" w:line="121" w:lineRule="exact"/>
        <w:rPr>
          <w:sz w:val="20"/>
          <w:szCs w:val="20"/>
          <w:color w:val="auto"/>
        </w:rPr>
      </w:pPr>
    </w:p>
    <w:p>
      <w:pPr>
        <w:jc w:val="both"/>
        <w:ind w:left="260" w:right="1239" w:hanging="250"/>
        <w:spacing w:after="0" w:line="281" w:lineRule="auto"/>
        <w:tabs>
          <w:tab w:leader="none" w:pos="260" w:val="left"/>
        </w:tabs>
        <w:numPr>
          <w:ilvl w:val="0"/>
          <w:numId w:val="15"/>
        </w:numPr>
        <w:rPr>
          <w:rFonts w:ascii="Arial" w:cs="Arial" w:eastAsia="Arial" w:hAnsi="Arial"/>
          <w:sz w:val="15"/>
          <w:szCs w:val="15"/>
          <w:b w:val="1"/>
          <w:bCs w:val="1"/>
          <w:color w:val="auto"/>
        </w:rPr>
      </w:pPr>
      <w:r>
        <w:rPr>
          <w:rFonts w:ascii="Arial" w:cs="Arial" w:eastAsia="Arial" w:hAnsi="Arial"/>
          <w:sz w:val="15"/>
          <w:szCs w:val="15"/>
          <w:color w:val="auto"/>
        </w:rPr>
        <w:t xml:space="preserve">Innovate/Protect is obligated under a senior secured note payable to its principal stockholder Hudson Bay with an outstanding balance of $3,200,000 as of March 31, 2012.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Lycos’s patents) to secure its obligations under the senior secured note. In connection with the Merger, the senior secured note will become an obligation of the combined company and Vringo will guaranty the obligations under the senior secured note. For a more complete discussion of the outstanding indebtedness of Innovate/Protect, see the sections entitled “Innovate/Protect’s Business — Relationship with Hudson Bay Master Fund Ltd.,” and “Innovate/Protect’s Management’s Discussion and Analysis of Financial Condition and Results of Operations” beginning on pages </w:t>
      </w:r>
      <w:r>
        <w:rPr>
          <w:rFonts w:ascii="Arial" w:cs="Arial" w:eastAsia="Arial" w:hAnsi="Arial"/>
          <w:sz w:val="15"/>
          <w:szCs w:val="15"/>
          <w:u w:val="single" w:color="auto"/>
          <w:color w:val="0000EE"/>
        </w:rPr>
        <w:t>153</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157</w:t>
      </w:r>
      <w:r>
        <w:rPr>
          <w:rFonts w:ascii="Arial" w:cs="Arial" w:eastAsia="Arial" w:hAnsi="Arial"/>
          <w:sz w:val="15"/>
          <w:szCs w:val="15"/>
          <w:color w:val="auto"/>
        </w:rPr>
        <w:t xml:space="preserve">, respectively. In addition, you should carefully review the section entitled “Risk Factors” beginning on page </w:t>
      </w:r>
      <w:r>
        <w:rPr>
          <w:rFonts w:ascii="Arial" w:cs="Arial" w:eastAsia="Arial" w:hAnsi="Arial"/>
          <w:sz w:val="15"/>
          <w:szCs w:val="15"/>
          <w:u w:val="single" w:color="auto"/>
          <w:color w:val="0000EE"/>
        </w:rPr>
        <w:t>41</w:t>
      </w:r>
      <w:r>
        <w:rPr>
          <w:rFonts w:ascii="Arial" w:cs="Arial" w:eastAsia="Arial" w:hAnsi="Arial"/>
          <w:sz w:val="15"/>
          <w:szCs w:val="15"/>
          <w:color w:val="000000"/>
        </w:rPr>
        <w:t>, which describes the risks of guarantying the Innovate/Protect debt.</w:t>
      </w:r>
    </w:p>
    <w:p>
      <w:pPr>
        <w:spacing w:after="0" w:line="64" w:lineRule="exact"/>
        <w:rPr>
          <w:sz w:val="20"/>
          <w:szCs w:val="20"/>
          <w:color w:val="auto"/>
        </w:rPr>
      </w:pPr>
    </w:p>
    <w:p>
      <w:pPr>
        <w:jc w:val="both"/>
        <w:ind w:left="300" w:right="1239"/>
        <w:spacing w:after="0" w:line="263"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Vringo, Innovate/Protect and/or any of their subsidiaries (each a “Vringo entity” and, together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w:t>
      </w:r>
    </w:p>
    <w:p>
      <w:pPr>
        <w:spacing w:after="0" w:line="200" w:lineRule="exact"/>
        <w:rPr>
          <w:sz w:val="20"/>
          <w:szCs w:val="20"/>
          <w:color w:val="auto"/>
        </w:rPr>
      </w:pPr>
    </w:p>
    <w:p>
      <w:pPr>
        <w:spacing w:after="0" w:line="294"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8" w:lineRule="auto"/>
        <w:rPr>
          <w:sz w:val="20"/>
          <w:szCs w:val="20"/>
          <w:color w:val="auto"/>
        </w:rPr>
      </w:pPr>
      <w:r>
        <w:rPr>
          <w:rFonts w:ascii="Arial" w:cs="Arial" w:eastAsia="Arial" w:hAnsi="Arial"/>
          <w:sz w:val="15"/>
          <w:szCs w:val="15"/>
          <w:color w:val="auto"/>
        </w:rPr>
        <w:t>under the commitment letter agreement will be subject to certain conditions set forth in the commitment letter agreement and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51" w:lineRule="exact"/>
        <w:rPr>
          <w:sz w:val="20"/>
          <w:szCs w:val="20"/>
          <w:color w:val="auto"/>
        </w:rPr>
      </w:pPr>
    </w:p>
    <w:p>
      <w:pPr>
        <w:ind w:left="260" w:right="1239" w:hanging="250"/>
        <w:spacing w:after="0" w:line="272" w:lineRule="auto"/>
        <w:tabs>
          <w:tab w:leader="none" w:pos="2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Will the shares of Vringo common stock and preferred stock received by Innovate/Protect stockholders in the Merger be subject to any transfer restrictions?</w:t>
      </w:r>
    </w:p>
    <w:p>
      <w:pPr>
        <w:spacing w:after="0" w:line="62" w:lineRule="exact"/>
        <w:rPr>
          <w:sz w:val="20"/>
          <w:szCs w:val="20"/>
          <w:color w:val="auto"/>
        </w:rPr>
      </w:pPr>
    </w:p>
    <w:p>
      <w:pPr>
        <w:jc w:val="both"/>
        <w:ind w:left="260" w:right="1239" w:hanging="250"/>
        <w:spacing w:after="0" w:line="281" w:lineRule="auto"/>
        <w:tabs>
          <w:tab w:leader="none" w:pos="260" w:val="left"/>
        </w:tabs>
        <w:numPr>
          <w:ilvl w:val="0"/>
          <w:numId w:val="17"/>
        </w:numPr>
        <w:rPr>
          <w:rFonts w:ascii="Arial" w:cs="Arial" w:eastAsia="Arial" w:hAnsi="Arial"/>
          <w:sz w:val="15"/>
          <w:szCs w:val="15"/>
          <w:b w:val="1"/>
          <w:bCs w:val="1"/>
          <w:color w:val="auto"/>
        </w:rPr>
      </w:pPr>
      <w:r>
        <w:rPr>
          <w:rFonts w:ascii="Arial" w:cs="Arial" w:eastAsia="Arial" w:hAnsi="Arial"/>
          <w:sz w:val="15"/>
          <w:szCs w:val="15"/>
          <w:color w:val="auto"/>
        </w:rPr>
        <w:t>Yes. Pursuant to a letter agreement between Vringo and Hudson Bay Master Fund Ltd., or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pursuant to the Merger Agreement, (ii) shares of Vringo common stock issued upon exercise of any Series 1 Warrants or Series 2 Warrants issued to Hudson Bay pursuant to the Merger Agreement, and (iii) shares of Vringo common stock issued upon conversion of the Vringo preferred stock. This restriction is in place from the closing date until the date upon which Vringo gives notice of termination to Hudson Bay. In exchange, from the closing date until 30 days after Vringo terminates the transfer restriction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 Hudson Bay’s right to participate in up to 25% of Subsequent Placement may have a chilling effect on Vringo’s ability to raise financing via such offerings. Although the participation procedures are designed to minimize any impact on the timing of a transaction, there are notification processes to follow that could have the effect of slowing certain offerings. In addition, the possibility that a large percentage of an offering may be acquired by a third party may discourage some investors from participating in an offering due to the possibility that the size of the remaining offering will not be large enough to accommodate them. Nonetheless, Vringo does not anticipate that Hudson Bay’s right to participate will have a material impact on Vringo’s ability to raise financing.</w:t>
      </w:r>
    </w:p>
    <w:p>
      <w:pPr>
        <w:spacing w:after="0" w:line="67"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may be resold by them only in transactions permitted by Rule 144 or as otherwise permitted under the Securities Act.</w:t>
      </w:r>
    </w:p>
    <w:p>
      <w:pPr>
        <w:spacing w:after="0" w:line="78" w:lineRule="exact"/>
        <w:rPr>
          <w:sz w:val="20"/>
          <w:szCs w:val="20"/>
          <w:color w:val="auto"/>
        </w:rPr>
      </w:pPr>
    </w:p>
    <w:p>
      <w:pPr>
        <w:jc w:val="both"/>
        <w:ind w:left="300" w:right="1239"/>
        <w:spacing w:after="0" w:line="280" w:lineRule="auto"/>
        <w:rPr>
          <w:sz w:val="20"/>
          <w:szCs w:val="20"/>
          <w:color w:val="auto"/>
        </w:rPr>
      </w:pPr>
      <w:r>
        <w:rPr>
          <w:rFonts w:ascii="Arial" w:cs="Arial" w:eastAsia="Arial" w:hAnsi="Arial"/>
          <w:sz w:val="16"/>
          <w:szCs w:val="16"/>
          <w:color w:val="auto"/>
        </w:rPr>
        <w:t xml:space="preserve">For a more complete discussion of the restrictions on sales of shares of Vringo common stock received by Innovate/Protect stockholders in the Merger, see the section entitled “The Merger — Restrictions on Sales of Shares of Vringo Common Stock Received by Innovate/Protect Stockholders in the Merger” beginning on page </w:t>
      </w:r>
      <w:r>
        <w:rPr>
          <w:rFonts w:ascii="Arial" w:cs="Arial" w:eastAsia="Arial" w:hAnsi="Arial"/>
          <w:sz w:val="16"/>
          <w:szCs w:val="16"/>
          <w:u w:val="single" w:color="auto"/>
          <w:color w:val="0000EE"/>
        </w:rPr>
        <w:t>84</w:t>
      </w:r>
      <w:r>
        <w:rPr>
          <w:rFonts w:ascii="Arial" w:cs="Arial" w:eastAsia="Arial" w:hAnsi="Arial"/>
          <w:sz w:val="16"/>
          <w:szCs w:val="16"/>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was the role of the Vringo board of directors in connection with the Merger?</w:t>
      </w:r>
    </w:p>
    <w:p>
      <w:pPr>
        <w:spacing w:after="0" w:line="109" w:lineRule="exact"/>
        <w:rPr>
          <w:sz w:val="20"/>
          <w:szCs w:val="20"/>
          <w:color w:val="auto"/>
        </w:rPr>
      </w:pPr>
    </w:p>
    <w:p>
      <w:pPr>
        <w:ind w:left="260" w:right="1239" w:hanging="250"/>
        <w:spacing w:after="0" w:line="267" w:lineRule="auto"/>
        <w:tabs>
          <w:tab w:leader="none" w:pos="2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In addition to reviewing, evaluating and negotiating the terms and conditions of the Merger and considering the interests of Vringo’s directors and executive officers in the Merger, the Vringo board of</w:t>
      </w:r>
    </w:p>
    <w:p>
      <w:pPr>
        <w:spacing w:after="0" w:line="200" w:lineRule="exact"/>
        <w:rPr>
          <w:sz w:val="20"/>
          <w:szCs w:val="20"/>
          <w:color w:val="auto"/>
        </w:rPr>
      </w:pPr>
    </w:p>
    <w:p>
      <w:pPr>
        <w:spacing w:after="0" w:line="280"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spacing w:after="0" w:line="256" w:lineRule="auto"/>
        <w:rPr>
          <w:sz w:val="20"/>
          <w:szCs w:val="20"/>
          <w:color w:val="auto"/>
        </w:rPr>
      </w:pPr>
      <w:r>
        <w:rPr>
          <w:rFonts w:ascii="Arial" w:cs="Arial" w:eastAsia="Arial" w:hAnsi="Arial"/>
          <w:sz w:val="17"/>
          <w:szCs w:val="17"/>
          <w:color w:val="auto"/>
        </w:rPr>
        <w:t>directors conducted a review of all strategic alternatives for Vringo in an effort to maximize stockholder value, including continuing Vringo as a stand-alone publicly traded company and entering into strategic transactions with number of other operating companies.</w:t>
      </w:r>
    </w:p>
    <w:p>
      <w:pPr>
        <w:spacing w:after="0" w:line="76"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The Vringo board of directors recommends that the Merger Agreement and the transactions contemplated thereby, including the Merger, be approved by the stockholders of Vringo. The Vringo board of directors made its recommendation to the Vringo stockholders after considering the factors described in the section entitled “The Merger — Recommendations of the Vringo Board of Directors and its Reasons for the Merger.”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proposals are Vringo stockholders being asked to consider?</w:t>
      </w:r>
    </w:p>
    <w:p>
      <w:pPr>
        <w:spacing w:after="0" w:line="109" w:lineRule="exact"/>
        <w:rPr>
          <w:sz w:val="20"/>
          <w:szCs w:val="20"/>
          <w:color w:val="auto"/>
        </w:rPr>
      </w:pPr>
    </w:p>
    <w:p>
      <w:pPr>
        <w:jc w:val="both"/>
        <w:ind w:left="260" w:right="1239" w:hanging="250"/>
        <w:spacing w:after="0" w:line="281" w:lineRule="auto"/>
        <w:tabs>
          <w:tab w:leader="none" w:pos="260" w:val="left"/>
        </w:tabs>
        <w:numPr>
          <w:ilvl w:val="0"/>
          <w:numId w:val="19"/>
        </w:numPr>
        <w:rPr>
          <w:rFonts w:ascii="Arial" w:cs="Arial" w:eastAsia="Arial" w:hAnsi="Arial"/>
          <w:sz w:val="15"/>
          <w:szCs w:val="15"/>
          <w:b w:val="1"/>
          <w:bCs w:val="1"/>
          <w:color w:val="auto"/>
        </w:rPr>
      </w:pPr>
      <w:r>
        <w:rPr>
          <w:rFonts w:ascii="Arial" w:cs="Arial" w:eastAsia="Arial" w:hAnsi="Arial"/>
          <w:sz w:val="15"/>
          <w:szCs w:val="15"/>
          <w:color w:val="auto"/>
        </w:rPr>
        <w:t>As a condition to the completion of the Merger, Vringo stockholders must approve (i) the Merger, including, but not limited to the issuance of shares of Vringo common stock and preferred stock and warrants (including the shares of common stock issuable upon conversion of the preferred stock and exercise of the warrants, as applicable) to the Innovate/Protect stockholders and warrantholder in connection with the Merger (the “</w:t>
      </w:r>
      <w:r>
        <w:rPr>
          <w:rFonts w:ascii="Arial" w:cs="Arial" w:eastAsia="Arial" w:hAnsi="Arial"/>
          <w:sz w:val="15"/>
          <w:szCs w:val="15"/>
          <w:b w:val="1"/>
          <w:bCs w:val="1"/>
          <w:color w:val="auto"/>
        </w:rPr>
        <w:t>Securities Issuance Proposal</w:t>
      </w:r>
      <w:r>
        <w:rPr>
          <w:rFonts w:ascii="Arial" w:cs="Arial" w:eastAsia="Arial" w:hAnsi="Arial"/>
          <w:sz w:val="15"/>
          <w:szCs w:val="15"/>
          <w:color w:val="auto"/>
        </w:rPr>
        <w:t>”), which approval requires the affirmative vote of the holders of a majority of the shares of Vringo common stock present and entitled to vote on the matter either in person or by proxy at the Vringo annual meeting, (ii) an amendment to the Vringo amended and restated certificate of incorporation (the “</w:t>
      </w:r>
      <w:r>
        <w:rPr>
          <w:rFonts w:ascii="Arial" w:cs="Arial" w:eastAsia="Arial" w:hAnsi="Arial"/>
          <w:sz w:val="15"/>
          <w:szCs w:val="15"/>
          <w:b w:val="1"/>
          <w:bCs w:val="1"/>
          <w:color w:val="auto"/>
        </w:rPr>
        <w:t>Vringo’s Certificate</w:t>
      </w:r>
      <w:r>
        <w:rPr>
          <w:rFonts w:ascii="Arial" w:cs="Arial" w:eastAsia="Arial" w:hAnsi="Arial"/>
          <w:sz w:val="15"/>
          <w:szCs w:val="15"/>
          <w:color w:val="auto"/>
        </w:rPr>
        <w:t>”) to effect a reverse stock split of Vringo issued and outstanding common stock within the range of one-for-two to one-for-four (with the exact amount to be determined by Innovate/Protect prior to the completion of the Merger based on the requirements of the NYSE Amex) (the “</w:t>
      </w:r>
      <w:r>
        <w:rPr>
          <w:rFonts w:ascii="Arial" w:cs="Arial" w:eastAsia="Arial" w:hAnsi="Arial"/>
          <w:sz w:val="15"/>
          <w:szCs w:val="15"/>
          <w:b w:val="1"/>
          <w:bCs w:val="1"/>
          <w:color w:val="auto"/>
        </w:rPr>
        <w:t>Reverse Stock Split Proposal</w:t>
      </w:r>
      <w:r>
        <w:rPr>
          <w:rFonts w:ascii="Arial" w:cs="Arial" w:eastAsia="Arial" w:hAnsi="Arial"/>
          <w:sz w:val="15"/>
          <w:szCs w:val="15"/>
          <w:color w:val="auto"/>
        </w:rPr>
        <w:t>”), which approval requires the affirmative vote of the holders of a majority of the shares of Vringo common stock outstanding and entitled to vote on the matter, and (iii) an amendment to Vringo’s Certificate to increase the number of authorized shares of Vringo common stock from 28,000,000 to up to a maximum of 150,000,000 shares (with the exact amount to be determined by Innovate/Protect prior to the completion of the Merger) (the “</w:t>
      </w:r>
      <w:r>
        <w:rPr>
          <w:rFonts w:ascii="Arial" w:cs="Arial" w:eastAsia="Arial" w:hAnsi="Arial"/>
          <w:sz w:val="15"/>
          <w:szCs w:val="15"/>
          <w:b w:val="1"/>
          <w:bCs w:val="1"/>
          <w:color w:val="auto"/>
        </w:rPr>
        <w:t>Authorized Shares Increase Proposal</w:t>
      </w:r>
      <w:r>
        <w:rPr>
          <w:rFonts w:ascii="Arial" w:cs="Arial" w:eastAsia="Arial" w:hAnsi="Arial"/>
          <w:sz w:val="15"/>
          <w:szCs w:val="15"/>
          <w:color w:val="auto"/>
        </w:rPr>
        <w:t>”), which approval requires the affirmative vote of the holders of a majority of the shares of Vringo common stock outstanding and entitled to vote on the matter. In addition, Vringo stockholders are being asked to (i) elect seven (7) director nominees to the Vringo board of directors as specified in “Vringo Proposal No. 4: Election of Directors” to serve until the next annual meeting of the Vringo stockholders or until their successors are duly elected and qualify or until their earlier death, resignation or removal, which election shall be subject to the closing of the Merger (the “</w:t>
      </w:r>
      <w:r>
        <w:rPr>
          <w:rFonts w:ascii="Arial" w:cs="Arial" w:eastAsia="Arial" w:hAnsi="Arial"/>
          <w:sz w:val="15"/>
          <w:szCs w:val="15"/>
          <w:b w:val="1"/>
          <w:bCs w:val="1"/>
          <w:color w:val="auto"/>
        </w:rPr>
        <w:t>Election of Directors Proposal</w:t>
      </w:r>
      <w:r>
        <w:rPr>
          <w:rFonts w:ascii="Arial" w:cs="Arial" w:eastAsia="Arial" w:hAnsi="Arial"/>
          <w:sz w:val="15"/>
          <w:szCs w:val="15"/>
          <w:color w:val="auto"/>
        </w:rPr>
        <w:t>”), (ii) to approve the Vringo, Inc. 2012 Employee, Director and Consultant Equity Incentive Plan (the “</w:t>
      </w:r>
      <w:r>
        <w:rPr>
          <w:rFonts w:ascii="Arial" w:cs="Arial" w:eastAsia="Arial" w:hAnsi="Arial"/>
          <w:sz w:val="15"/>
          <w:szCs w:val="15"/>
          <w:b w:val="1"/>
          <w:bCs w:val="1"/>
          <w:color w:val="auto"/>
        </w:rPr>
        <w:t>2012 Equity Incentive Plan</w:t>
      </w:r>
      <w:r>
        <w:rPr>
          <w:rFonts w:ascii="Arial" w:cs="Arial" w:eastAsia="Arial" w:hAnsi="Arial"/>
          <w:sz w:val="15"/>
          <w:szCs w:val="15"/>
          <w:color w:val="auto"/>
        </w:rPr>
        <w:t xml:space="preserve">,” which is described in the section entitled “Vringo Proposal No. 5: Approval of the 2012 Equity Incentive Plan” and attached to this proxy statement/prospectus as </w:t>
      </w:r>
      <w:r>
        <w:rPr>
          <w:rFonts w:ascii="Arial" w:cs="Arial" w:eastAsia="Arial" w:hAnsi="Arial"/>
          <w:sz w:val="15"/>
          <w:szCs w:val="15"/>
          <w:u w:val="single" w:color="auto"/>
          <w:color w:val="auto"/>
        </w:rPr>
        <w:t>Annex D</w:t>
      </w:r>
      <w:r>
        <w:rPr>
          <w:rFonts w:ascii="Arial" w:cs="Arial" w:eastAsia="Arial" w:hAnsi="Arial"/>
          <w:sz w:val="15"/>
          <w:szCs w:val="15"/>
          <w:color w:val="auto"/>
        </w:rPr>
        <w:t xml:space="preserve"> (the “</w:t>
      </w:r>
      <w:r>
        <w:rPr>
          <w:rFonts w:ascii="Arial" w:cs="Arial" w:eastAsia="Arial" w:hAnsi="Arial"/>
          <w:sz w:val="15"/>
          <w:szCs w:val="15"/>
          <w:b w:val="1"/>
          <w:bCs w:val="1"/>
          <w:color w:val="auto"/>
        </w:rPr>
        <w:t>2012 Equity Incentive Plan</w:t>
      </w:r>
      <w:r>
        <w:rPr>
          <w:rFonts w:ascii="Arial" w:cs="Arial" w:eastAsia="Arial" w:hAnsi="Arial"/>
          <w:sz w:val="15"/>
          <w:szCs w:val="15"/>
          <w:color w:val="auto"/>
        </w:rPr>
        <w:t xml:space="preserve"> </w:t>
      </w:r>
      <w:r>
        <w:rPr>
          <w:rFonts w:ascii="Arial" w:cs="Arial" w:eastAsia="Arial" w:hAnsi="Arial"/>
          <w:sz w:val="15"/>
          <w:szCs w:val="15"/>
          <w:b w:val="1"/>
          <w:bCs w:val="1"/>
          <w:color w:val="auto"/>
        </w:rPr>
        <w:t>Proposal</w:t>
      </w:r>
      <w:r>
        <w:rPr>
          <w:rFonts w:ascii="Arial" w:cs="Arial" w:eastAsia="Arial" w:hAnsi="Arial"/>
          <w:sz w:val="15"/>
          <w:szCs w:val="15"/>
          <w:color w:val="auto"/>
        </w:rPr>
        <w:t>”) and (iii) to ratify the appointment of Somekh Chaikin, a member firm of KPMG International, as Vringo’s</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registered public accounting firm for the fiscal year ending December 31, 2012 (the “</w:t>
      </w:r>
      <w:r>
        <w:rPr>
          <w:rFonts w:ascii="Arial" w:cs="Arial" w:eastAsia="Arial" w:hAnsi="Arial"/>
          <w:sz w:val="15"/>
          <w:szCs w:val="15"/>
          <w:b w:val="1"/>
          <w:bCs w:val="1"/>
          <w:color w:val="auto"/>
        </w:rPr>
        <w:t>Ratification of the</w:t>
      </w:r>
      <w:r>
        <w:rPr>
          <w:rFonts w:ascii="Arial" w:cs="Arial" w:eastAsia="Arial" w:hAnsi="Arial"/>
          <w:sz w:val="15"/>
          <w:szCs w:val="15"/>
          <w:color w:val="auto"/>
        </w:rPr>
        <w:t xml:space="preserve"> </w:t>
      </w:r>
      <w:r>
        <w:rPr>
          <w:rFonts w:ascii="Arial" w:cs="Arial" w:eastAsia="Arial" w:hAnsi="Arial"/>
          <w:sz w:val="15"/>
          <w:szCs w:val="15"/>
          <w:b w:val="1"/>
          <w:bCs w:val="1"/>
          <w:color w:val="auto"/>
        </w:rPr>
        <w:t>Appointment of Vringo’s Independent Registered Public Accounting Firm Proposal</w:t>
      </w:r>
      <w:r>
        <w:rPr>
          <w:rFonts w:ascii="Arial" w:cs="Arial" w:eastAsia="Arial" w:hAnsi="Arial"/>
          <w:sz w:val="15"/>
          <w:szCs w:val="15"/>
          <w:color w:val="auto"/>
        </w:rPr>
        <w:t>”). The Securities Issuance Proposal,</w:t>
      </w:r>
      <w:r>
        <w:rPr>
          <w:rFonts w:ascii="Arial" w:cs="Arial" w:eastAsia="Arial" w:hAnsi="Arial"/>
          <w:sz w:val="15"/>
          <w:szCs w:val="15"/>
          <w:b w:val="1"/>
          <w:bCs w:val="1"/>
          <w:color w:val="auto"/>
        </w:rPr>
        <w:t xml:space="preserve"> </w:t>
      </w:r>
      <w:r>
        <w:rPr>
          <w:rFonts w:ascii="Arial" w:cs="Arial" w:eastAsia="Arial" w:hAnsi="Arial"/>
          <w:sz w:val="15"/>
          <w:szCs w:val="15"/>
          <w:color w:val="auto"/>
        </w:rPr>
        <w:t>the Reverse Stock Split Proposal, and the Authorized Shares Increase Proposal are collectively referred to herein as the “</w:t>
      </w:r>
      <w:r>
        <w:rPr>
          <w:rFonts w:ascii="Arial" w:cs="Arial" w:eastAsia="Arial" w:hAnsi="Arial"/>
          <w:sz w:val="15"/>
          <w:szCs w:val="15"/>
          <w:b w:val="1"/>
          <w:bCs w:val="1"/>
          <w:color w:val="auto"/>
        </w:rPr>
        <w:t>Vringo</w:t>
      </w:r>
      <w:r>
        <w:rPr>
          <w:rFonts w:ascii="Arial" w:cs="Arial" w:eastAsia="Arial" w:hAnsi="Arial"/>
          <w:sz w:val="15"/>
          <w:szCs w:val="15"/>
          <w:color w:val="auto"/>
        </w:rPr>
        <w:t xml:space="preserve"> </w:t>
      </w:r>
      <w:r>
        <w:rPr>
          <w:rFonts w:ascii="Arial" w:cs="Arial" w:eastAsia="Arial" w:hAnsi="Arial"/>
          <w:sz w:val="15"/>
          <w:szCs w:val="15"/>
          <w:b w:val="1"/>
          <w:bCs w:val="1"/>
          <w:color w:val="auto"/>
        </w:rPr>
        <w:t>Merger Proposals</w:t>
      </w:r>
      <w:r>
        <w:rPr>
          <w:rFonts w:ascii="Arial" w:cs="Arial" w:eastAsia="Arial" w:hAnsi="Arial"/>
          <w:sz w:val="15"/>
          <w:szCs w:val="15"/>
          <w:color w:val="auto"/>
        </w:rPr>
        <w:t>.”</w:t>
      </w:r>
    </w:p>
    <w:p>
      <w:pPr>
        <w:spacing w:after="0" w:line="262" w:lineRule="exact"/>
        <w:rPr>
          <w:sz w:val="20"/>
          <w:szCs w:val="20"/>
          <w:color w:val="auto"/>
        </w:rPr>
      </w:pPr>
    </w:p>
    <w:p>
      <w:pPr>
        <w:ind w:left="260" w:right="1239" w:hanging="250"/>
        <w:spacing w:after="0" w:line="272" w:lineRule="auto"/>
        <w:tabs>
          <w:tab w:leader="none" w:pos="2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What stockholder approvals are required for the adjournment of the Vringo annual meeting, if necessary, to solicit additional proxies if there are not sufficient votes in favor of the Vringo Merger Proposals?</w:t>
      </w:r>
    </w:p>
    <w:p>
      <w:pPr>
        <w:spacing w:after="0" w:line="62" w:lineRule="exact"/>
        <w:rPr>
          <w:sz w:val="20"/>
          <w:szCs w:val="20"/>
          <w:color w:val="auto"/>
        </w:rPr>
      </w:pPr>
    </w:p>
    <w:p>
      <w:pPr>
        <w:ind w:left="260" w:right="1239" w:hanging="250"/>
        <w:spacing w:after="0" w:line="267" w:lineRule="auto"/>
        <w:tabs>
          <w:tab w:leader="none" w:pos="2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The holders of a majority of the shares of Vringo common stock present and entitled to vote either in person or by proxy at the Vringo annual meeting must vote in favor of any adjournment of the Vringo annual meeting.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conditions must be satisfied or waived to complete the Merger?</w:t>
      </w:r>
    </w:p>
    <w:p>
      <w:pPr>
        <w:spacing w:after="0" w:line="109" w:lineRule="exact"/>
        <w:rPr>
          <w:sz w:val="20"/>
          <w:szCs w:val="20"/>
          <w:color w:val="auto"/>
        </w:rPr>
      </w:pPr>
    </w:p>
    <w:p>
      <w:pPr>
        <w:jc w:val="both"/>
        <w:ind w:left="260" w:right="1239" w:hanging="250"/>
        <w:spacing w:after="0" w:line="251" w:lineRule="auto"/>
        <w:tabs>
          <w:tab w:leader="none" w:pos="26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In order to complete the Merger, each of the closing conditions contained in the Merger Agreement must be satisfied or waived (to the extent permitted by applicable law). Among the closing conditions is the requirement that (i) the stockholders of each of Vringo and Innovate/Protect have approved the Merger and the Merger Agreement; (ii) this proxy statement/prospectus has become effective; (iii) the shares of Vringo common stock to be issued in the Merger have been approved for listing on the NYSE Amex;</w:t>
      </w:r>
    </w:p>
    <w:p>
      <w:pPr>
        <w:spacing w:after="0" w:line="200" w:lineRule="exact"/>
        <w:rPr>
          <w:sz w:val="20"/>
          <w:szCs w:val="20"/>
          <w:color w:val="auto"/>
        </w:rPr>
      </w:pPr>
    </w:p>
    <w:p>
      <w:pPr>
        <w:spacing w:after="0" w:line="294"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spacing w:after="0" w:line="280" w:lineRule="auto"/>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Vringo or Innovate/Protect, as applicable, shall have entered into certain agreements amending and restating the existing indebtedness of Innovate/Protect; (v) the representations and warranties of each party contained in the Merger Agreement are true and correct in all material respects; (vi) each party shall have performed or complied in all material respects with all agreements and covenants under the Merger Agreement; (vii) the receipt of all necessary consents and approvals; (viii) the absence of an Innovate/Protect Material Adverse Effect or a Vringo Material Adverse Effect (as each term is defined in the Merger Agreement), as the case may be; (ix) Vringo shall have received written resignations from all of the directors and officers of Innovate/Protect and its subsidiaries; (x) 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(x) since the date of the Merger Agreement, (a) neither Innovate/Protect nor any of its subsidiaries has (A) settled, discharged or released any of its claims, causes of action, or defenses in that certain lawsuit captioned </w:t>
      </w:r>
      <w:r>
        <w:rPr>
          <w:rFonts w:ascii="Arial" w:cs="Arial" w:eastAsia="Arial" w:hAnsi="Arial"/>
          <w:sz w:val="15"/>
          <w:szCs w:val="15"/>
          <w:i w:val="1"/>
          <w:iCs w:val="1"/>
          <w:color w:val="auto"/>
        </w:rPr>
        <w:t>I/P Engine, Inc. v. AOL, Inc.</w:t>
      </w:r>
      <w:r>
        <w:rPr>
          <w:rFonts w:ascii="Arial" w:cs="Arial" w:eastAsia="Arial" w:hAnsi="Arial"/>
          <w:sz w:val="15"/>
          <w:szCs w:val="15"/>
          <w:color w:val="auto"/>
        </w:rPr>
        <w:t>, Civ. Action No. 2:11-cv-512, filed in United States District Court for the Eastern District of Virginia, Norfolk Division on September 15, 2011 (the “</w:t>
      </w:r>
      <w:r>
        <w:rPr>
          <w:rFonts w:ascii="Arial" w:cs="Arial" w:eastAsia="Arial" w:hAnsi="Arial"/>
          <w:sz w:val="15"/>
          <w:szCs w:val="15"/>
          <w:b w:val="1"/>
          <w:bCs w:val="1"/>
          <w:color w:val="auto"/>
        </w:rPr>
        <w:t>Litigation</w:t>
      </w:r>
      <w:r>
        <w:rPr>
          <w:rFonts w:ascii="Arial" w:cs="Arial" w:eastAsia="Arial" w:hAnsi="Arial"/>
          <w:sz w:val="15"/>
          <w:szCs w:val="15"/>
          <w:color w:val="auto"/>
        </w:rPr>
        <w:t>”) nor</w:t>
      </w:r>
    </w:p>
    <w:p>
      <w:pPr>
        <w:spacing w:after="0" w:line="3" w:lineRule="exact"/>
        <w:rPr>
          <w:rFonts w:ascii="Arial" w:cs="Arial" w:eastAsia="Arial" w:hAnsi="Arial"/>
          <w:sz w:val="15"/>
          <w:szCs w:val="15"/>
          <w:color w:val="auto"/>
        </w:rPr>
      </w:pPr>
    </w:p>
    <w:p>
      <w:pPr>
        <w:jc w:val="both"/>
        <w:ind w:left="260" w:right="1239"/>
        <w:spacing w:after="0" w:line="286" w:lineRule="auto"/>
        <w:rPr>
          <w:rFonts w:ascii="Arial" w:cs="Arial" w:eastAsia="Arial" w:hAnsi="Arial"/>
          <w:sz w:val="15"/>
          <w:szCs w:val="15"/>
          <w:color w:val="auto"/>
        </w:rPr>
      </w:pPr>
      <w:r>
        <w:rPr>
          <w:rFonts w:ascii="Arial" w:cs="Arial" w:eastAsia="Arial" w:hAnsi="Arial"/>
          <w:sz w:val="15"/>
          <w:szCs w:val="15"/>
          <w:color w:val="auto"/>
        </w:rPr>
        <w:t>(B) assigned, promised, transferred, conveyed, encumbered, or granted a security interest in any of those claims and (b) there has been no dismissal (including, without limitation, by motion to dismiss or summary judgment) of the Litigation; (xi) holders of no more than 10% of the issued and outstanding Innovate/Protect capital stock shall have demanded and perfected their right to an appraisal of Innovate/Protect capital stock under the Delaware General Corporation Law; and (xii) 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58" w:lineRule="exact"/>
        <w:rPr>
          <w:sz w:val="20"/>
          <w:szCs w:val="20"/>
          <w:color w:val="auto"/>
        </w:rPr>
      </w:pPr>
    </w:p>
    <w:p>
      <w:pPr>
        <w:ind w:left="300" w:right="1239"/>
        <w:spacing w:after="0" w:line="299" w:lineRule="auto"/>
        <w:rPr>
          <w:sz w:val="20"/>
          <w:szCs w:val="20"/>
          <w:color w:val="auto"/>
        </w:rPr>
      </w:pPr>
      <w:r>
        <w:rPr>
          <w:rFonts w:ascii="Arial" w:cs="Arial" w:eastAsia="Arial" w:hAnsi="Arial"/>
          <w:sz w:val="16"/>
          <w:szCs w:val="16"/>
          <w:color w:val="auto"/>
        </w:rPr>
        <w:t xml:space="preserve">For a more complete discussion of the conditions to the completion of the Merger under the Merger Agreement, see the section entitled “The Merger Agreement — Conditions to the Completion of the Merger” beginning on page </w:t>
      </w:r>
      <w:r>
        <w:rPr>
          <w:rFonts w:ascii="Arial" w:cs="Arial" w:eastAsia="Arial" w:hAnsi="Arial"/>
          <w:sz w:val="16"/>
          <w:szCs w:val="16"/>
          <w:u w:val="single" w:color="auto"/>
          <w:color w:val="0000EE"/>
        </w:rPr>
        <w:t>97</w:t>
      </w:r>
      <w:r>
        <w:rPr>
          <w:rFonts w:ascii="Arial" w:cs="Arial" w:eastAsia="Arial" w:hAnsi="Arial"/>
          <w:sz w:val="16"/>
          <w:szCs w:val="16"/>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is the reverse stock split and why is it necessary?</w:t>
      </w:r>
    </w:p>
    <w:p>
      <w:pPr>
        <w:spacing w:after="0" w:line="109" w:lineRule="exact"/>
        <w:rPr>
          <w:sz w:val="20"/>
          <w:szCs w:val="20"/>
          <w:color w:val="auto"/>
        </w:rPr>
      </w:pPr>
    </w:p>
    <w:p>
      <w:pPr>
        <w:jc w:val="both"/>
        <w:ind w:left="260" w:right="1239" w:hanging="250"/>
        <w:spacing w:after="0" w:line="282" w:lineRule="auto"/>
        <w:tabs>
          <w:tab w:leader="none" w:pos="260" w:val="left"/>
        </w:tabs>
        <w:numPr>
          <w:ilvl w:val="0"/>
          <w:numId w:val="24"/>
        </w:numPr>
        <w:rPr>
          <w:rFonts w:ascii="Arial" w:cs="Arial" w:eastAsia="Arial" w:hAnsi="Arial"/>
          <w:sz w:val="15"/>
          <w:szCs w:val="15"/>
          <w:b w:val="1"/>
          <w:bCs w:val="1"/>
          <w:color w:val="auto"/>
        </w:rPr>
      </w:pPr>
      <w:r>
        <w:rPr>
          <w:rFonts w:ascii="Arial" w:cs="Arial" w:eastAsia="Arial" w:hAnsi="Arial"/>
          <w:sz w:val="15"/>
          <w:szCs w:val="15"/>
          <w:color w:val="auto"/>
        </w:rPr>
        <w:t>If necessary to continue to list Vringo’s securities on the NYSE Amex, it is expected that immediately prior to the effective time of the Merger (the “</w:t>
      </w:r>
      <w:r>
        <w:rPr>
          <w:rFonts w:ascii="Arial" w:cs="Arial" w:eastAsia="Arial" w:hAnsi="Arial"/>
          <w:sz w:val="15"/>
          <w:szCs w:val="15"/>
          <w:b w:val="1"/>
          <w:bCs w:val="1"/>
          <w:color w:val="auto"/>
        </w:rPr>
        <w:t>Effective Time</w:t>
      </w:r>
      <w:r>
        <w:rPr>
          <w:rFonts w:ascii="Arial" w:cs="Arial" w:eastAsia="Arial" w:hAnsi="Arial"/>
          <w:sz w:val="15"/>
          <w:szCs w:val="15"/>
          <w:color w:val="auto"/>
        </w:rPr>
        <w:t>”), Vringo will effect a reverse stock split within the range of one-for-two to one-for-four (with the exact ratio to be determined immediately prior to the completion of the Merger based on the requirements of the NYSE Amex). The Vringo board of directors believes that stockholder approval of an amendment granting this discretion, rather than approval of a specified ratio, provides the appropriate flexibility to react to then-current market conditions and NYSE Amex’s requirements for continued listing therefore, is in the best interests of Vringo and its stockholders. In addition, Vringo may elect not to undertake a reverse stock split. The Merger constitutes a “reverse merger” under applicable rules and regulations established by the NYSE Amex, which requires the combined company to comply with the initial listing standards of the rules and regulations established by NYSE Amex to continue to be listed on such market following the Merger. Vringo common stock is required to be listed on the NYSE Amex as a condition to closing the Merger. The NYSE Amex’s initial listing standards require a company to have, among other things, a $3.00 per share minimum bid price. Because the per share price of Vringo common stock may be less than $3.00, the reverse stock split may be necessary to meet the minimum bid listing requirement. From April 9, 2012 until May 18, 2012 the Vringo common stock had a closing price of $3.00 or above for each trading day. On May 25, 2012, the closing price of Vringo common stock was $3.39. If the Vringo common stock continues to trade at or above $3.00 at the time of the Merger, Vringo does not anticipate that it will need to undertake a reverse stock split, even if Vringo obtains stockholder approval to do so.</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 Why is Vringo seeking to amend Vringo’s Certificate to increase the number of authorized shares of its common stock?</w:t>
      </w:r>
    </w:p>
    <w:p>
      <w:pPr>
        <w:spacing w:after="0" w:line="132" w:lineRule="exact"/>
        <w:rPr>
          <w:sz w:val="20"/>
          <w:szCs w:val="20"/>
          <w:color w:val="auto"/>
        </w:rPr>
      </w:pPr>
    </w:p>
    <w:p>
      <w:pPr>
        <w:jc w:val="both"/>
        <w:ind w:left="260" w:right="1239" w:hanging="250"/>
        <w:spacing w:after="0" w:line="297" w:lineRule="auto"/>
        <w:tabs>
          <w:tab w:leader="none" w:pos="260" w:val="left"/>
        </w:tabs>
        <w:numPr>
          <w:ilvl w:val="0"/>
          <w:numId w:val="25"/>
        </w:numPr>
        <w:rPr>
          <w:rFonts w:ascii="Arial" w:cs="Arial" w:eastAsia="Arial" w:hAnsi="Arial"/>
          <w:sz w:val="15"/>
          <w:szCs w:val="15"/>
          <w:b w:val="1"/>
          <w:bCs w:val="1"/>
          <w:color w:val="auto"/>
        </w:rPr>
      </w:pPr>
      <w:r>
        <w:rPr>
          <w:rFonts w:ascii="Arial" w:cs="Arial" w:eastAsia="Arial" w:hAnsi="Arial"/>
          <w:sz w:val="15"/>
          <w:szCs w:val="15"/>
          <w:color w:val="auto"/>
        </w:rPr>
        <w:t>In addition to the securities to be issued pursuant to the Merger, the Vringo board of directors desires to have additional shares available to provide flexibility to use its capital stock for business and financial purposes in the future. The approval of an amendment to Vringo’s Certificate to increase the number of authorized shares of Vringo common stock (which is the subject of the Authorized Shares Increase Proposal) is one of the conditions to the completion of the Merger.</w:t>
      </w:r>
    </w:p>
    <w:p>
      <w:pPr>
        <w:spacing w:after="0" w:line="200" w:lineRule="exact"/>
        <w:rPr>
          <w:sz w:val="20"/>
          <w:szCs w:val="20"/>
          <w:color w:val="auto"/>
        </w:rPr>
      </w:pPr>
    </w:p>
    <w:p>
      <w:pPr>
        <w:spacing w:after="0" w:line="262"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Who will be the directors of Vringo if the Merger does not close?</w:t>
      </w:r>
    </w:p>
    <w:p>
      <w:pPr>
        <w:spacing w:after="0" w:line="109" w:lineRule="exact"/>
        <w:rPr>
          <w:sz w:val="20"/>
          <w:szCs w:val="20"/>
          <w:color w:val="auto"/>
        </w:rPr>
      </w:pPr>
    </w:p>
    <w:p>
      <w:pPr>
        <w:jc w:val="both"/>
        <w:ind w:left="260" w:right="1239" w:hanging="250"/>
        <w:spacing w:after="0" w:line="280" w:lineRule="auto"/>
        <w:tabs>
          <w:tab w:leader="none" w:pos="26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The election of the seven (7) director nominees is contingent upon the approval of the Merger by the stockholders and the completion of the Merger. If the Merger is not approved by the Vringo stockholders or the Merger does not close, then the current directors of Vringo will continue in office and Vringo will hold another stockholders meeting to elect directors.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When does Vringo expect to complete the Merger?</w:t>
      </w:r>
    </w:p>
    <w:p>
      <w:pPr>
        <w:spacing w:after="0" w:line="109" w:lineRule="exact"/>
        <w:rPr>
          <w:sz w:val="20"/>
          <w:szCs w:val="20"/>
          <w:color w:val="auto"/>
        </w:rPr>
      </w:pPr>
    </w:p>
    <w:p>
      <w:pPr>
        <w:jc w:val="both"/>
        <w:ind w:left="260" w:right="1239" w:hanging="250"/>
        <w:spacing w:after="0" w:line="253" w:lineRule="auto"/>
        <w:tabs>
          <w:tab w:leader="none" w:pos="26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Vringo expects to complete the Merger as soon as possible following the approval of the Vringo Merger Proposals at the annual meeting, assuming the satisfaction or waiver of all other closing conditions contained in the Merger Agreement. It is possible, therefore, that factors outside of each company’s control could require Vringo to complete the Merger at a later time or not complete it at all.</w:t>
      </w:r>
    </w:p>
    <w:p>
      <w:pPr>
        <w:spacing w:after="0" w:line="74" w:lineRule="exact"/>
        <w:rPr>
          <w:sz w:val="20"/>
          <w:szCs w:val="20"/>
          <w:color w:val="auto"/>
        </w:rPr>
      </w:pPr>
    </w:p>
    <w:p>
      <w:pPr>
        <w:ind w:left="260" w:right="1239" w:hanging="250"/>
        <w:spacing w:after="0" w:line="272" w:lineRule="auto"/>
        <w:tabs>
          <w:tab w:leader="none" w:pos="26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How does the Vringo board of directors recommend that Vringo stockholders vote with respect to each of the proposals and the adjournment of the Vringo annual meeting?</w:t>
      </w:r>
    </w:p>
    <w:p>
      <w:pPr>
        <w:spacing w:after="0" w:line="62" w:lineRule="exact"/>
        <w:rPr>
          <w:sz w:val="20"/>
          <w:szCs w:val="20"/>
          <w:color w:val="auto"/>
        </w:rPr>
      </w:pPr>
    </w:p>
    <w:p>
      <w:pPr>
        <w:jc w:val="both"/>
        <w:ind w:left="260" w:right="1239" w:hanging="250"/>
        <w:spacing w:after="0" w:line="287" w:lineRule="auto"/>
        <w:tabs>
          <w:tab w:leader="none" w:pos="260" w:val="left"/>
        </w:tabs>
        <w:numPr>
          <w:ilvl w:val="0"/>
          <w:numId w:val="29"/>
        </w:numPr>
        <w:rPr>
          <w:rFonts w:ascii="Arial" w:cs="Arial" w:eastAsia="Arial" w:hAnsi="Arial"/>
          <w:sz w:val="15"/>
          <w:szCs w:val="15"/>
          <w:b w:val="1"/>
          <w:bCs w:val="1"/>
          <w:color w:val="auto"/>
        </w:rPr>
      </w:pPr>
      <w:r>
        <w:rPr>
          <w:rFonts w:ascii="Arial" w:cs="Arial" w:eastAsia="Arial" w:hAnsi="Arial"/>
          <w:sz w:val="15"/>
          <w:szCs w:val="15"/>
          <w:color w:val="auto"/>
        </w:rPr>
        <w:t>The Vringo board of directors unanimously recommends that the Vringo stockholders vote FOR the Securities Issuance Proposal, FOR the Reverse Stock Split Proposal, FOR the Authorized Shares Increase Proposal, FOR the election of the seven</w:t>
      </w:r>
    </w:p>
    <w:p>
      <w:pPr>
        <w:jc w:val="both"/>
        <w:ind w:left="260" w:right="1239"/>
        <w:spacing w:after="0" w:line="247" w:lineRule="auto"/>
        <w:tabs>
          <w:tab w:leader="none" w:pos="513"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director nominees as set forth in the Election of Directors Proposal, FOR the approval of the 2012 Equity Incentive Plan Proposal, FOR the Ratification of the Appointment of Vringo’s Independent Registered Public Accounting Firm Proposal and FOR the adjournment of the Vringo annual meeting, if necessary, to solicit additional proxies if there are not sufficient votes in favor of the Vringo Merger Proposals. The Vringo board of directors made its recommendation after considering the factors described in this proxy statement/prospectus.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risks should I consider in deciding whether to vote in favor of the Vringo Merger Proposals?</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 xml:space="preserve">You should carefully review the section of this proxy statement/prospectus entitled “Risk Factors” beginning on page </w:t>
      </w:r>
      <w:r>
        <w:rPr>
          <w:rFonts w:ascii="Arial" w:cs="Arial" w:eastAsia="Arial" w:hAnsi="Arial"/>
          <w:sz w:val="17"/>
          <w:szCs w:val="17"/>
          <w:u w:val="single" w:color="auto"/>
          <w:color w:val="0000EE"/>
        </w:rPr>
        <w:t>41</w:t>
      </w:r>
      <w:r>
        <w:rPr>
          <w:rFonts w:ascii="Arial" w:cs="Arial" w:eastAsia="Arial" w:hAnsi="Arial"/>
          <w:sz w:val="17"/>
          <w:szCs w:val="17"/>
          <w:color w:val="auto"/>
        </w:rPr>
        <w:t>, which presents risks and uncertainties related to the Merger, the combined company, and the business and operations of each of Vringo and Innovate/Protect.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are the material federal income tax consequences of the Merger to me?</w:t>
      </w:r>
    </w:p>
    <w:p>
      <w:pPr>
        <w:spacing w:after="0" w:line="109" w:lineRule="exact"/>
        <w:rPr>
          <w:sz w:val="20"/>
          <w:szCs w:val="20"/>
          <w:color w:val="auto"/>
        </w:rPr>
      </w:pPr>
    </w:p>
    <w:p>
      <w:pPr>
        <w:jc w:val="both"/>
        <w:ind w:left="260" w:right="1239" w:hanging="250"/>
        <w:spacing w:after="0" w:line="253" w:lineRule="auto"/>
        <w:tabs>
          <w:tab w:leader="none" w:pos="26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The Merger is intended to qualify as a “reorganization” within the meaning of Section 368(a)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Mintz, Levin, Cohn, Ferris, Glovsky and Popeo, P.C. has rendered its written opinion regarding such qualification. As a result of the reorganization, Vringo stockholders generally will not recognize gain or loss for U.S. federal income tax purposes as a result of the Merger.</w:t>
      </w:r>
    </w:p>
    <w:p>
      <w:pPr>
        <w:spacing w:after="0" w:line="78"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6"/>
          <w:szCs w:val="16"/>
          <w:color w:val="auto"/>
        </w:rPr>
        <w:t>The opinion of counsel relied on certain assumptions as well as representations made by Vringo, Merger Sub and Innovate/Protect, including factual representations and certifications contained in officers’ certificates to be delivered at closing, and assumed that these representations are true, correct and complete, without regard to any knowledge limitation. If any of these representations or assumptions are inconsistent with the actual facts, the opinion could become invalid as a result, and the U.S. federal income tax treatment of the merger could be adversely affected. An opinion of counsel represents counsel’s best legal judgment and is not binding on the Internal Revenue Service or any court. No ruling has been, or will be, sought from the Internal Revenue Service as to the tax consequences of the Merger.</w:t>
      </w:r>
    </w:p>
    <w:p>
      <w:pPr>
        <w:spacing w:after="0" w:line="71"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As a result of the “reorganization,” Innovate/Protect stockholders generally will not recognize gain or loss for U.S. federal income tax purposes upon the exchange of their shares of Innovate/Protect capital stock for the equity securities of Vringo in connection with the Merger. However, an Innovate/Protect stockholder who perfects appraisal rights and receives cash in exchange for such stockholder’s Innovate/Protect capital stock will recognize gain or loss measured by the difference between the amount of cash received and such stockholder’s adjusted tax basis in those shares. Vringo stockholders generally will not recognize gain or loss for U.S. federal income tax purposes as a result of the Merger.</w:t>
      </w:r>
    </w:p>
    <w:p>
      <w:pPr>
        <w:spacing w:after="0" w:line="200" w:lineRule="exact"/>
        <w:rPr>
          <w:sz w:val="20"/>
          <w:szCs w:val="20"/>
          <w:color w:val="auto"/>
        </w:rPr>
      </w:pPr>
    </w:p>
    <w:p>
      <w:pPr>
        <w:spacing w:after="0" w:line="284"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300" w:right="1239"/>
        <w:spacing w:after="0" w:line="270" w:lineRule="auto"/>
        <w:rPr>
          <w:sz w:val="20"/>
          <w:szCs w:val="20"/>
          <w:color w:val="auto"/>
        </w:rPr>
      </w:pPr>
      <w:r>
        <w:rPr>
          <w:rFonts w:ascii="Arial" w:cs="Arial" w:eastAsia="Arial" w:hAnsi="Arial"/>
          <w:sz w:val="16"/>
          <w:szCs w:val="16"/>
          <w:b w:val="1"/>
          <w:bCs w:val="1"/>
          <w:color w:val="auto"/>
        </w:rPr>
        <w:t xml:space="preserve">Tax matters are very complicated, and the tax consequences of the Merger to a particular Vringo or Innovate/Protect stockholder will depend in part on such stockholder’s circumstances. Accordingly, Vringo and Innovate/Protect urge you to consult your own tax advisor for a full understanding of the tax consequences of the Merger to you, including the applicability and effect of federal, state, local and foreign income and other tax laws. For a more complete discussion of the material U.S. federal income tax consequences of the Merger, see the section entitled, “Material U.S. Federal Income Tax Consequences of the Merger” beginning on page </w:t>
      </w:r>
      <w:r>
        <w:rPr>
          <w:rFonts w:ascii="Arial" w:cs="Arial" w:eastAsia="Arial" w:hAnsi="Arial"/>
          <w:sz w:val="16"/>
          <w:szCs w:val="16"/>
          <w:b w:val="1"/>
          <w:bCs w:val="1"/>
          <w:u w:val="single" w:color="auto"/>
          <w:color w:val="0000EE"/>
        </w:rPr>
        <w:t>86</w:t>
      </w:r>
      <w:r>
        <w:rPr>
          <w:rFonts w:ascii="Arial" w:cs="Arial" w:eastAsia="Arial" w:hAnsi="Arial"/>
          <w:sz w:val="16"/>
          <w:szCs w:val="16"/>
          <w:b w:val="1"/>
          <w:bCs w:val="1"/>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Do I have appraisal rights in connection with the Merger?</w:t>
      </w:r>
    </w:p>
    <w:p>
      <w:pPr>
        <w:spacing w:after="0" w:line="105" w:lineRule="exact"/>
        <w:rPr>
          <w:sz w:val="20"/>
          <w:szCs w:val="20"/>
          <w:color w:val="auto"/>
        </w:rPr>
      </w:pPr>
    </w:p>
    <w:p>
      <w:pPr>
        <w:jc w:val="both"/>
        <w:ind w:left="260" w:right="1239" w:hanging="250"/>
        <w:spacing w:after="0" w:line="309" w:lineRule="auto"/>
        <w:tabs>
          <w:tab w:leader="none" w:pos="260" w:val="left"/>
        </w:tabs>
        <w:numPr>
          <w:ilvl w:val="0"/>
          <w:numId w:val="32"/>
        </w:numPr>
        <w:rPr>
          <w:rFonts w:ascii="Arial" w:cs="Arial" w:eastAsia="Arial" w:hAnsi="Arial"/>
          <w:sz w:val="15"/>
          <w:szCs w:val="15"/>
          <w:b w:val="1"/>
          <w:bCs w:val="1"/>
          <w:color w:val="auto"/>
        </w:rPr>
      </w:pPr>
      <w:r>
        <w:rPr>
          <w:rFonts w:ascii="Arial" w:cs="Arial" w:eastAsia="Arial" w:hAnsi="Arial"/>
          <w:sz w:val="15"/>
          <w:szCs w:val="15"/>
          <w:color w:val="auto"/>
        </w:rPr>
        <w:t>Under the Delaware General Corporation Law, (the “</w:t>
      </w:r>
      <w:r>
        <w:rPr>
          <w:rFonts w:ascii="Arial" w:cs="Arial" w:eastAsia="Arial" w:hAnsi="Arial"/>
          <w:sz w:val="15"/>
          <w:szCs w:val="15"/>
          <w:b w:val="1"/>
          <w:bCs w:val="1"/>
          <w:color w:val="auto"/>
        </w:rPr>
        <w:t>DGCL</w:t>
      </w:r>
      <w:r>
        <w:rPr>
          <w:rFonts w:ascii="Arial" w:cs="Arial" w:eastAsia="Arial" w:hAnsi="Arial"/>
          <w:sz w:val="15"/>
          <w:szCs w:val="15"/>
          <w:color w:val="auto"/>
        </w:rPr>
        <w:t>”), holders of Vringo common stock are not entitled to appraisal rights in connection with the Merger or the proposals described in this proxy statement/prospectus. Under the DGCL, however, holders of Innovate/Protect capital stock may be entitled to appraisal rights in connection with the Merger.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When and where will the Vringo annual meeting take place?</w:t>
      </w:r>
    </w:p>
    <w:p>
      <w:pPr>
        <w:spacing w:after="0" w:line="109" w:lineRule="exact"/>
        <w:rPr>
          <w:sz w:val="20"/>
          <w:szCs w:val="20"/>
          <w:color w:val="auto"/>
        </w:rPr>
      </w:pPr>
    </w:p>
    <w:p>
      <w:pPr>
        <w:ind w:left="260" w:right="1239" w:hanging="250"/>
        <w:spacing w:after="0" w:line="299" w:lineRule="auto"/>
        <w:tabs>
          <w:tab w:leader="none" w:pos="26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The Vringo annual meeting will be held on [July 12, 2012] at 10:00 a.m., local time, at the offices of Mintz, Levin, Cohn, Ferris, Glovsky and Popeo, P.C., the Chrysler Center, 666 Third Avenue, 32nd floor, New York, New York 10017.</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Who can attend and vote at the stockholder meetings?</w:t>
      </w:r>
    </w:p>
    <w:p>
      <w:pPr>
        <w:spacing w:after="0" w:line="109" w:lineRule="exact"/>
        <w:rPr>
          <w:sz w:val="20"/>
          <w:szCs w:val="20"/>
          <w:color w:val="auto"/>
        </w:rPr>
      </w:pPr>
    </w:p>
    <w:p>
      <w:pPr>
        <w:ind w:left="260" w:right="1239" w:hanging="250"/>
        <w:spacing w:after="0" w:line="267" w:lineRule="auto"/>
        <w:tabs>
          <w:tab w:leader="none" w:pos="2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All Vringo stockholders of record as of the close of business on [June 8, 2012], the record date for the Vringo annual meeting, are entitled to receive notice of and to vote at the Vringo annual meeting.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do I need to do now and how do I vote?</w:t>
      </w:r>
    </w:p>
    <w:p>
      <w:pPr>
        <w:spacing w:after="0" w:line="109" w:lineRule="exact"/>
        <w:rPr>
          <w:sz w:val="20"/>
          <w:szCs w:val="20"/>
          <w:color w:val="auto"/>
        </w:rPr>
      </w:pPr>
    </w:p>
    <w:p>
      <w:pPr>
        <w:ind w:left="260" w:right="1239" w:hanging="250"/>
        <w:spacing w:after="0" w:line="267" w:lineRule="auto"/>
        <w:tabs>
          <w:tab w:leader="none" w:pos="26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Vringo urges you to read this proxy statement/prospectus carefully, including its annexes, and to consider how the Merger may affect you.</w:t>
      </w:r>
    </w:p>
    <w:p>
      <w:pPr>
        <w:spacing w:after="0" w:line="66" w:lineRule="exact"/>
        <w:rPr>
          <w:sz w:val="20"/>
          <w:szCs w:val="20"/>
          <w:color w:val="auto"/>
        </w:rPr>
      </w:pPr>
    </w:p>
    <w:p>
      <w:pPr>
        <w:jc w:val="both"/>
        <w:ind w:left="300" w:right="1239"/>
        <w:spacing w:after="0" w:line="297" w:lineRule="auto"/>
        <w:rPr>
          <w:sz w:val="20"/>
          <w:szCs w:val="20"/>
          <w:color w:val="auto"/>
        </w:rPr>
      </w:pPr>
      <w:r>
        <w:rPr>
          <w:rFonts w:ascii="Arial" w:cs="Arial" w:eastAsia="Arial" w:hAnsi="Arial"/>
          <w:sz w:val="15"/>
          <w:szCs w:val="15"/>
          <w:color w:val="auto"/>
        </w:rPr>
        <w:t>If you are a Vringo stockholder, you may vote by telephone or through the Internet by following the instructions included on your proxy card, you may indicate on the enclosed proxy card how you would like to vote, sign and return the proxy card in the enclosed postage-paid envelope, or you may attend the Vringo annual meeting in person. Please provide your proxy instructions only once and as soon as possible so that your shares can be voted at the Vringo annual meeting.</w:t>
      </w:r>
    </w:p>
    <w:p>
      <w:pPr>
        <w:spacing w:after="0" w:line="48"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color w:val="auto"/>
        </w:rPr>
        <w:t>If you hold your shares in “street name,” please refer to your proxy card or the information forwarded by your broker or other nominee to see which options are available to you.</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happens if I do not submit my proxy or if I elect to abstain from voting?</w:t>
      </w:r>
    </w:p>
    <w:p>
      <w:pPr>
        <w:spacing w:after="0" w:line="109" w:lineRule="exact"/>
        <w:rPr>
          <w:sz w:val="20"/>
          <w:szCs w:val="20"/>
          <w:color w:val="auto"/>
        </w:rPr>
      </w:pPr>
    </w:p>
    <w:p>
      <w:pPr>
        <w:jc w:val="both"/>
        <w:ind w:left="260" w:right="1239" w:hanging="250"/>
        <w:spacing w:after="0" w:line="266" w:lineRule="auto"/>
        <w:tabs>
          <w:tab w:leader="none" w:pos="26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If you are a Vringo stockholder and you fail to submit your proxy (i) through the Internet, (ii) by telephone or (iii) by marking, signing and dating the enclosed proxy card and returning it in the enclosed postage-paid envelope, your shares will not be counted as present for the purpose of determining the presence of a quorum, which is required to transact business at the Vringo annual meeting, and your failure to take action will have no effect on the outcome of Vringo Proposal Nos. 1 (Securities Issuance Proposal), 4 (Election of Directors Proposal), 5 (2012 Equity Incentive Plan Proposal), 6 (Ratification of the Appointment of Vringo’s Independent Registered Public Accounting Firm Proposal) and 7 (adjournment to solicit additional proxies, if necessary). However, such failure to take action will have the same effect as voting AGAINST Vringo Proposal Nos. 2 (Reverse Stock Split Proposal) and 3 (Authorized Shares Increase Proposal).</w:t>
      </w:r>
    </w:p>
    <w:p>
      <w:pPr>
        <w:spacing w:after="0" w:line="73" w:lineRule="exact"/>
        <w:rPr>
          <w:sz w:val="20"/>
          <w:szCs w:val="20"/>
          <w:color w:val="auto"/>
        </w:rPr>
      </w:pPr>
    </w:p>
    <w:p>
      <w:pPr>
        <w:jc w:val="both"/>
        <w:ind w:left="300" w:right="1239"/>
        <w:spacing w:after="0" w:line="249" w:lineRule="auto"/>
        <w:rPr>
          <w:sz w:val="20"/>
          <w:szCs w:val="20"/>
          <w:color w:val="auto"/>
        </w:rPr>
      </w:pPr>
      <w:r>
        <w:rPr>
          <w:rFonts w:ascii="Arial" w:cs="Arial" w:eastAsia="Arial" w:hAnsi="Arial"/>
          <w:sz w:val="17"/>
          <w:szCs w:val="17"/>
          <w:color w:val="auto"/>
        </w:rPr>
        <w:t>If you are a Vringo stockholder and you sign, date, and mail your proxy card without indicating how you wish to vote, your proxy will be counted as present for the purpose of determining the presence of a quorum for the Vringo annual meeting and all of your shares will be voted FOR Vringo Proposal Nos. 1, 2, 3, 4, 5, 6 and 7. However, if you submit a proxy card and affirmatively elect to abstain from voting, your proxy will be counted as present for the purpose of determining the presence of a quorum for the Vringo annual meeting, but will not be voted at the Vringo annual meeting. As a result, your abstention will have the same effect as voting AGAINST Vringo Proposal Nos. 1, 2, 3, 5 and 7 and will have no effect on Vringo Proposal Nos. 4 and 6.</w:t>
      </w:r>
    </w:p>
    <w:p>
      <w:pPr>
        <w:spacing w:after="0" w:line="200" w:lineRule="exact"/>
        <w:rPr>
          <w:sz w:val="20"/>
          <w:szCs w:val="20"/>
          <w:color w:val="auto"/>
        </w:rPr>
      </w:pPr>
    </w:p>
    <w:p>
      <w:pPr>
        <w:spacing w:after="0" w:line="29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260" w:right="1239" w:hanging="250"/>
        <w:spacing w:after="0" w:line="272" w:lineRule="auto"/>
        <w:tabs>
          <w:tab w:leader="none" w:pos="2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If my Vringo shares are held in “street name” by a broker or other nominee, will my broker or nominee vote my shares for me?</w:t>
      </w:r>
    </w:p>
    <w:p>
      <w:pPr>
        <w:spacing w:after="0" w:line="62" w:lineRule="exact"/>
        <w:rPr>
          <w:sz w:val="20"/>
          <w:szCs w:val="20"/>
          <w:color w:val="auto"/>
        </w:rPr>
      </w:pPr>
    </w:p>
    <w:p>
      <w:pPr>
        <w:jc w:val="both"/>
        <w:ind w:left="260" w:right="1239" w:hanging="250"/>
        <w:spacing w:after="0" w:line="292" w:lineRule="auto"/>
        <w:tabs>
          <w:tab w:leader="none" w:pos="260" w:val="left"/>
        </w:tabs>
        <w:numPr>
          <w:ilvl w:val="0"/>
          <w:numId w:val="38"/>
        </w:numPr>
        <w:rPr>
          <w:rFonts w:ascii="Arial" w:cs="Arial" w:eastAsia="Arial" w:hAnsi="Arial"/>
          <w:sz w:val="15"/>
          <w:szCs w:val="15"/>
          <w:b w:val="1"/>
          <w:bCs w:val="1"/>
          <w:color w:val="auto"/>
        </w:rPr>
      </w:pPr>
      <w:r>
        <w:rPr>
          <w:rFonts w:ascii="Arial" w:cs="Arial" w:eastAsia="Arial" w:hAnsi="Arial"/>
          <w:sz w:val="15"/>
          <w:szCs w:val="15"/>
          <w:color w:val="auto"/>
        </w:rPr>
        <w:t>If your Vringo shares are held in “street name” in a stock brokerage account or by another nominee, you must provide the record holder of your shares with instructions on how to vote your shares. Please follow the voting instructions provided by your broker or other nominee. Please note that you may not vote shares held in “street name” by returning a proxy card directly to Vringo or by voting in person at the Vringo annual meeting unless you provide a legal proxy, which you must obtain from your broker or other nominee that holds your shares giving you the right to vote the shares in person at the Vringo annual meeting.</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May I vote in person?</w:t>
      </w:r>
    </w:p>
    <w:p>
      <w:pPr>
        <w:spacing w:after="0" w:line="109" w:lineRule="exact"/>
        <w:rPr>
          <w:sz w:val="20"/>
          <w:szCs w:val="20"/>
          <w:color w:val="auto"/>
        </w:rPr>
      </w:pPr>
    </w:p>
    <w:p>
      <w:pPr>
        <w:jc w:val="both"/>
        <w:ind w:left="260" w:right="1239" w:hanging="250"/>
        <w:spacing w:after="0" w:line="253" w:lineRule="auto"/>
        <w:tabs>
          <w:tab w:leader="none" w:pos="26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If you are a stockholder of Vringo and your shares of Vringo common stock are registered directly in your name with Vringo’s transfer agent, you are considered, with respect to those shares, the stockholder of record, and the proxy materials and proxy card are being sent directly to you by Vringo. If you are a Vringo stockholder of record, you may attend the Vringo annual meeting and vote your shares in person, rather than submitting your proxy.</w:t>
      </w:r>
    </w:p>
    <w:p>
      <w:pPr>
        <w:spacing w:after="0" w:line="78" w:lineRule="exact"/>
        <w:rPr>
          <w:sz w:val="20"/>
          <w:szCs w:val="20"/>
          <w:color w:val="auto"/>
        </w:rPr>
      </w:pPr>
    </w:p>
    <w:p>
      <w:pPr>
        <w:jc w:val="both"/>
        <w:ind w:left="300" w:right="1239"/>
        <w:spacing w:after="0" w:line="250" w:lineRule="auto"/>
        <w:rPr>
          <w:sz w:val="20"/>
          <w:szCs w:val="20"/>
          <w:color w:val="auto"/>
        </w:rPr>
      </w:pPr>
      <w:r>
        <w:rPr>
          <w:rFonts w:ascii="Arial" w:cs="Arial" w:eastAsia="Arial" w:hAnsi="Arial"/>
          <w:sz w:val="17"/>
          <w:szCs w:val="17"/>
          <w:color w:val="auto"/>
        </w:rPr>
        <w:t>If your shares of Vringo common stock are held in a brokerage account or by another nominee, you are considered the beneficial owner of shares held in street name, and these proxy materials are being forwarded to you together with a voting instruction card. As the beneficial owner, you are also invited to attend the Vringo annual meeting. However, since a beneficial owner is not the stockholder of record, you may not vote these shares in person at the Vringo annual meeting unless you obtain a legal proxy from the broker or other nominee that holds your shares giving you the right to vote the shares in person at the Vringo annual meeting.</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May I revoke or change my vote after I have provided proxy instructions?</w:t>
      </w:r>
    </w:p>
    <w:p>
      <w:pPr>
        <w:spacing w:after="0" w:line="109" w:lineRule="exact"/>
        <w:rPr>
          <w:sz w:val="20"/>
          <w:szCs w:val="20"/>
          <w:color w:val="auto"/>
        </w:rPr>
      </w:pPr>
    </w:p>
    <w:p>
      <w:pPr>
        <w:jc w:val="both"/>
        <w:ind w:left="260" w:right="1239" w:hanging="250"/>
        <w:spacing w:after="0" w:line="267" w:lineRule="auto"/>
        <w:tabs>
          <w:tab w:leader="none" w:pos="26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Yes. You may revoke or change your vote at any time before your proxy is voted at the Vringo annual meeting. You can do this in one of four ways. First, you can send a written notice to Vringo stating that you would like to revoke your proxy. Second, you can submit a duly executed proxy bearing a later date or time than that of the previously submitted proxy. Third, you can submit a later dated vote by the Internet or telephone. Fourth, you can attend the Vringo annual meeting and vote in person. Your attendance alone at the Vringo annual meeting will not revoke your proxy. If you are a Vringo stockholder and have instructed a broker or other nominee to vote your shares, you must follow directions received from your broker or other nominee in order to change those instructions.</w:t>
      </w:r>
    </w:p>
    <w:p>
      <w:pPr>
        <w:spacing w:after="0" w:line="71" w:lineRule="exact"/>
        <w:rPr>
          <w:sz w:val="20"/>
          <w:szCs w:val="20"/>
          <w:color w:val="auto"/>
        </w:rPr>
      </w:pPr>
    </w:p>
    <w:p>
      <w:pPr>
        <w:jc w:val="both"/>
        <w:ind w:left="300" w:right="1239"/>
        <w:spacing w:after="0" w:line="256" w:lineRule="auto"/>
        <w:rPr>
          <w:sz w:val="20"/>
          <w:szCs w:val="20"/>
          <w:color w:val="auto"/>
        </w:rPr>
      </w:pPr>
      <w:r>
        <w:rPr>
          <w:rFonts w:ascii="Arial" w:cs="Arial" w:eastAsia="Arial" w:hAnsi="Arial"/>
          <w:sz w:val="17"/>
          <w:szCs w:val="17"/>
          <w:color w:val="auto"/>
        </w:rPr>
        <w:t>If you are a beneficial owner of Vringo common stock, you may submit new voting instructions by contacting your broker or other nominee. You also may vote in person if you obtain a legal proxy. All shares that have been properly voted and not revoked will be voted at the Vringo annual meeting.</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constitutes a quorum?</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Stockholders who hold a majority of the shares of Vringo common stock outstanding as of the close of business on the record date for the Vringo annual meeting must be present either in person or by proxy in order to constitute a quorum to conduct business at the Vringo annual meeting.</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Who is paying for this proxy solicitation?</w:t>
      </w:r>
    </w:p>
    <w:p>
      <w:pPr>
        <w:spacing w:after="0" w:line="109" w:lineRule="exact"/>
        <w:rPr>
          <w:sz w:val="20"/>
          <w:szCs w:val="20"/>
          <w:color w:val="auto"/>
        </w:rPr>
      </w:pPr>
    </w:p>
    <w:p>
      <w:pPr>
        <w:jc w:val="both"/>
        <w:ind w:left="260" w:right="1239" w:hanging="250"/>
        <w:spacing w:after="0" w:line="266" w:lineRule="auto"/>
        <w:tabs>
          <w:tab w:leader="none" w:pos="260"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Vringo will bear its own cost and expense of preparing, assembling, printing, and mailing this proxy statement/prospectus, any amendments thereto, the proxy card, and any additional information furnished to the Vringo stockholders. Vringo will bear any fees paid to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Vringo may also reimburse brokerage houses and other custodians, nominees and fiduciaries for their costs of soliciting and obtaining proxies from beneficial owners, including the costs of reimbursing brokerage houses and other custodians, nominees and fiduciaries for their costs of forwarding this proxy statement/prospectus and other solicitation materials to beneficial owners. In addition, proxies may be solicited without additional compensation by directors, officers and employees of Vringo by mail, telephone, fax, or other methods of communication. Vringo has retained Morrow &amp; Co., LLC (Morrow)</w:t>
      </w:r>
    </w:p>
    <w:p>
      <w:pPr>
        <w:spacing w:after="0" w:line="200" w:lineRule="exact"/>
        <w:rPr>
          <w:sz w:val="20"/>
          <w:szCs w:val="20"/>
          <w:color w:val="auto"/>
        </w:rPr>
      </w:pPr>
    </w:p>
    <w:p>
      <w:pPr>
        <w:spacing w:after="0" w:line="28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spacing w:after="0" w:line="256" w:lineRule="auto"/>
        <w:rPr>
          <w:sz w:val="20"/>
          <w:szCs w:val="20"/>
          <w:color w:val="auto"/>
        </w:rPr>
      </w:pPr>
      <w:r>
        <w:rPr>
          <w:rFonts w:ascii="Arial" w:cs="Arial" w:eastAsia="Arial" w:hAnsi="Arial"/>
          <w:sz w:val="17"/>
          <w:szCs w:val="17"/>
          <w:color w:val="auto"/>
        </w:rPr>
        <w:t>to assist Vringo in the solicitation of proxies from Vringo stockholders in connection with the Vringo special meeting. Morrow will receive a fee of $8,500 as compensation for its services, plus $5.00 per stockholder contacted and reimbursement of out-of-pocket expenses.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Whom should I contact if I have any questions about the Merger or the Vringo annual meeting?</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If you have any questions about the Merger, the Vringo annual meeting, or if you need assistance in submitting your proxy or voting your shares or need additional copies of this proxy statement/prospectus or the enclosed proxy card, you should contact Vringo or Morrow, Vringo’s proxy solicitor.</w:t>
      </w:r>
    </w:p>
    <w:p>
      <w:pPr>
        <w:spacing w:after="0" w:line="76" w:lineRule="exact"/>
        <w:rPr>
          <w:sz w:val="20"/>
          <w:szCs w:val="20"/>
          <w:color w:val="auto"/>
        </w:rPr>
      </w:pPr>
    </w:p>
    <w:p>
      <w:pPr>
        <w:ind w:left="300" w:right="1239"/>
        <w:spacing w:after="0" w:line="253" w:lineRule="auto"/>
        <w:rPr>
          <w:sz w:val="20"/>
          <w:szCs w:val="20"/>
          <w:color w:val="auto"/>
        </w:rPr>
      </w:pPr>
      <w:r>
        <w:rPr>
          <w:rFonts w:ascii="Arial" w:cs="Arial" w:eastAsia="Arial" w:hAnsi="Arial"/>
          <w:sz w:val="17"/>
          <w:szCs w:val="17"/>
          <w:color w:val="auto"/>
        </w:rPr>
        <w:t>If you are a Vringo stockholder you should contact Vringo or Morrow, Vringo’s proxy solicitor, at the applicable address and telephone number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35483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48380" cy="8255"/>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Vringo,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44 W. 28th Street, Suite 1414</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10001</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Attn: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(646) 525-4319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Morrow &amp; Co., LLC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470 West Avenue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Stamford, Connecticut 06902</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(203) 658-9400</w:t>
      </w:r>
    </w:p>
    <w:p>
      <w:pPr>
        <w:spacing w:after="0" w:line="289" w:lineRule="exact"/>
        <w:rPr>
          <w:sz w:val="20"/>
          <w:szCs w:val="20"/>
          <w:color w:val="auto"/>
        </w:rPr>
      </w:pPr>
    </w:p>
    <w:p>
      <w:pPr>
        <w:sectPr>
          <w:pgSz w:w="11900" w:h="16838" w:orient="portrait"/>
          <w:cols w:equalWidth="0" w:num="2">
            <w:col w:w="2560" w:space="720"/>
            <w:col w:w="6819"/>
          </w:cols>
          <w:pgMar w:left="360" w:top="746" w:right="1440" w:bottom="1440" w:gutter="0" w:footer="0" w:header="0"/>
          <w:type w:val="continuous"/>
        </w:sectPr>
      </w:pPr>
    </w:p>
    <w:p>
      <w:pPr>
        <w:ind w:left="40" w:right="1239" w:firstLine="251"/>
        <w:spacing w:after="0" w:line="272" w:lineRule="auto"/>
        <w:rPr>
          <w:sz w:val="20"/>
          <w:szCs w:val="20"/>
          <w:color w:val="auto"/>
        </w:rPr>
      </w:pPr>
      <w:r>
        <w:rPr>
          <w:rFonts w:ascii="Arial" w:cs="Arial" w:eastAsia="Arial" w:hAnsi="Arial"/>
          <w:sz w:val="17"/>
          <w:szCs w:val="17"/>
          <w:b w:val="1"/>
          <w:bCs w:val="1"/>
          <w:color w:val="auto"/>
        </w:rPr>
        <w:t xml:space="preserve">This proxy statement/prospectus, a form of proxy card and Vringo’s Annual Report to Stockholders for 2011 are available on the Internet at </w:t>
      </w:r>
      <w:r>
        <w:rPr>
          <w:rFonts w:ascii="Arial" w:cs="Arial" w:eastAsia="Arial" w:hAnsi="Arial"/>
          <w:sz w:val="17"/>
          <w:szCs w:val="17"/>
          <w:b w:val="1"/>
          <w:bCs w:val="1"/>
          <w:i w:val="1"/>
          <w:iCs w:val="1"/>
          <w:color w:val="auto"/>
        </w:rPr>
        <w:t>https://materials.proxyvote.com/92911N.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What happens if I sell my shares after the applicable record date but before the applicable annual meeting?</w:t>
      </w:r>
    </w:p>
    <w:p>
      <w:pPr>
        <w:spacing w:after="0" w:line="121" w:lineRule="exact"/>
        <w:rPr>
          <w:sz w:val="20"/>
          <w:szCs w:val="20"/>
          <w:color w:val="auto"/>
        </w:rPr>
      </w:pPr>
    </w:p>
    <w:p>
      <w:pPr>
        <w:jc w:val="both"/>
        <w:ind w:left="260" w:right="1239" w:hanging="250"/>
        <w:spacing w:after="0" w:line="256" w:lineRule="auto"/>
        <w:tabs>
          <w:tab w:leader="none" w:pos="26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If you transfer your Vringo common stock after the applicable record date but before the date of the applicable meeting, you will retain your right to vote at the annual meeting (provided that such shares remain outstanding on the date of the applicable meeting).</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do I do if I receive more than one proxy statement/prospectus or set of voting instructions?</w:t>
      </w:r>
    </w:p>
    <w:p>
      <w:pPr>
        <w:spacing w:after="0" w:line="109" w:lineRule="exact"/>
        <w:rPr>
          <w:sz w:val="20"/>
          <w:szCs w:val="20"/>
          <w:color w:val="auto"/>
        </w:rPr>
      </w:pPr>
    </w:p>
    <w:p>
      <w:pPr>
        <w:jc w:val="both"/>
        <w:ind w:left="260" w:right="1239" w:hanging="250"/>
        <w:spacing w:after="0" w:line="280" w:lineRule="auto"/>
        <w:tabs>
          <w:tab w:leader="none" w:pos="26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If you hold shares directly as a record holder and also in “street name” or otherwise through a nominee, you may receive more than one proxy statement/prospectus and/or set of voting instructions relating to the Vringo annual meeting. These should each be voted and/or returned separately in order to ensure that all of your shares are voted.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Should I send in my stock certificates now?</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No. Vringo stockholders are not required to tender or exchange their stock certificates as part of the Merger. However, you will receive written instructions from American Stock Transfer &amp; Trust Company, LLC, Vringo’s transfer agent, for exchanging your Vringo stock certificates in connection with any reverse stock split.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7022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7545" cy="7022465"/>
                    </a:xfrm>
                    <a:prstGeom prst="rect">
                      <a:avLst/>
                    </a:prstGeom>
                    <a:noFill/>
                  </pic:spPr>
                </pic:pic>
              </a:graphicData>
            </a:graphic>
          </wp:anchor>
        </w:drawing>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SUMMARY</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i w:val="1"/>
          <w:iCs w:val="1"/>
          <w:color w:val="auto"/>
        </w:rPr>
        <w:t xml:space="preserve">This proxy statement/prospectus is being sent to Vringo and Innovate/Protect stockholders. This summary highlights selected information from this proxy statement/prospectus. It may not contain all of the information that is important to you with respect to the Vringo Merger Proposals and the other proposals or any other matter described in this proxy statement/prospectus. Vringo urges you to carefully read this proxy statement/prospectus, as well as the documents attached to or referred to in this proxy statement/prospectus, to fully understand the Merger. In particular, you should read the Merger Agreement, which is described elsewhere in this proxy statement/prospectus and attached as Annex A. To understand the Merger fully, you should read carefully this entire document, including the business and financial information about Vringo and Innovate/Protect, and the documents to which this proxy statement/prospectus refers, including the annexes attached hereto. See the section entitled “Where You Can Find Additional Information” beginning on page </w:t>
      </w:r>
      <w:r>
        <w:rPr>
          <w:rFonts w:ascii="Arial" w:cs="Arial" w:eastAsia="Arial" w:hAnsi="Arial"/>
          <w:sz w:val="16"/>
          <w:szCs w:val="16"/>
          <w:i w:val="1"/>
          <w:iCs w:val="1"/>
          <w:u w:val="single" w:color="auto"/>
          <w:color w:val="0000EE"/>
        </w:rPr>
        <w:t>204</w:t>
      </w:r>
      <w:r>
        <w:rPr>
          <w:rFonts w:ascii="Arial" w:cs="Arial" w:eastAsia="Arial" w:hAnsi="Arial"/>
          <w:sz w:val="16"/>
          <w:szCs w:val="16"/>
          <w:i w:val="1"/>
          <w:iCs w:val="1"/>
          <w:color w:val="auto"/>
        </w:rPr>
        <w: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The Companies</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Vringo, Inc.</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Vringo is a provider of software platforms for mobile social and video applications. With its award-winning video ringtone</w:t>
      </w:r>
    </w:p>
    <w:p>
      <w:pPr>
        <w:spacing w:after="0" w:line="43" w:lineRule="exact"/>
        <w:rPr>
          <w:sz w:val="20"/>
          <w:szCs w:val="20"/>
          <w:color w:val="auto"/>
        </w:rPr>
      </w:pPr>
    </w:p>
    <w:p>
      <w:pPr>
        <w:jc w:val="both"/>
        <w:ind w:left="40" w:right="1239"/>
        <w:spacing w:after="0" w:line="261" w:lineRule="auto"/>
        <w:rPr>
          <w:sz w:val="20"/>
          <w:szCs w:val="20"/>
          <w:color w:val="auto"/>
        </w:rPr>
      </w:pPr>
      <w:r>
        <w:rPr>
          <w:rFonts w:ascii="Arial" w:cs="Arial" w:eastAsia="Arial" w:hAnsi="Arial"/>
          <w:sz w:val="15"/>
          <w:szCs w:val="15"/>
          <w:color w:val="auto"/>
        </w:rPr>
        <w:t>application and other mobile software platforms — including Facetones</w:t>
      </w:r>
      <w:r>
        <w:rPr>
          <w:rFonts w:ascii="Arial" w:cs="Arial" w:eastAsia="Arial" w:hAnsi="Arial"/>
          <w:sz w:val="24"/>
          <w:szCs w:val="24"/>
          <w:color w:val="auto"/>
          <w:vertAlign w:val="superscript"/>
        </w:rPr>
        <w:t>TM</w:t>
      </w:r>
      <w:r>
        <w:rPr>
          <w:rFonts w:ascii="Arial" w:cs="Arial" w:eastAsia="Arial" w:hAnsi="Arial"/>
          <w:sz w:val="15"/>
          <w:szCs w:val="15"/>
          <w:color w:val="auto"/>
        </w:rPr>
        <w:t>,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Vringo has introduced its patented VringForward technology, which allows users to share video clips with friends with a simple</w:t>
      </w:r>
    </w:p>
    <w:p>
      <w:pPr>
        <w:spacing w:after="0" w:line="2" w:lineRule="exact"/>
        <w:rPr>
          <w:sz w:val="20"/>
          <w:szCs w:val="20"/>
          <w:color w:val="auto"/>
        </w:rPr>
      </w:pPr>
    </w:p>
    <w:p>
      <w:pPr>
        <w:jc w:val="both"/>
        <w:ind w:left="40" w:right="1239"/>
        <w:spacing w:after="0" w:line="244" w:lineRule="auto"/>
        <w:rPr>
          <w:sz w:val="20"/>
          <w:szCs w:val="20"/>
          <w:color w:val="auto"/>
        </w:rPr>
      </w:pPr>
      <w:r>
        <w:rPr>
          <w:rFonts w:ascii="Arial" w:cs="Arial" w:eastAsia="Arial" w:hAnsi="Arial"/>
          <w:sz w:val="16"/>
          <w:szCs w:val="16"/>
          <w:color w:val="auto"/>
        </w:rPr>
        <w:t>call. 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Additionally, Fan Loyalty is a platform that lets users interact, vote and communicate with contestants in reality TV series that it partners with, as well as downloading and setting clips from such shows as video ringtones.</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Vringo is headquartered in New York, New York and was incorporated in Delaware in 2006. Vringo’s principal offices are</w:t>
      </w:r>
    </w:p>
    <w:p>
      <w:pPr>
        <w:spacing w:after="0" w:line="43" w:lineRule="exact"/>
        <w:rPr>
          <w:sz w:val="20"/>
          <w:szCs w:val="20"/>
          <w:color w:val="auto"/>
        </w:rPr>
      </w:pPr>
    </w:p>
    <w:p>
      <w:pPr>
        <w:jc w:val="both"/>
        <w:ind w:left="40" w:right="1239"/>
        <w:spacing w:after="0" w:line="247" w:lineRule="auto"/>
        <w:rPr>
          <w:sz w:val="20"/>
          <w:szCs w:val="20"/>
          <w:color w:val="auto"/>
        </w:rPr>
      </w:pPr>
      <w:r>
        <w:rPr>
          <w:rFonts w:ascii="Arial" w:cs="Arial" w:eastAsia="Arial" w:hAnsi="Arial"/>
          <w:sz w:val="16"/>
          <w:szCs w:val="16"/>
          <w:color w:val="auto"/>
        </w:rPr>
        <w:t>located at 44 West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1414, New York, New York 10001 and its telephone number is (646) 525-4319. Vringo’s principal website is </w:t>
      </w:r>
      <w:r>
        <w:rPr>
          <w:rFonts w:ascii="Arial" w:cs="Arial" w:eastAsia="Arial" w:hAnsi="Arial"/>
          <w:sz w:val="16"/>
          <w:szCs w:val="16"/>
          <w:i w:val="1"/>
          <w:iCs w:val="1"/>
          <w:color w:val="auto"/>
        </w:rPr>
        <w:t>www.vringo.com</w:t>
      </w:r>
      <w:r>
        <w:rPr>
          <w:rFonts w:ascii="Arial" w:cs="Arial" w:eastAsia="Arial" w:hAnsi="Arial"/>
          <w:sz w:val="16"/>
          <w:szCs w:val="16"/>
          <w:color w:val="auto"/>
        </w:rPr>
        <w:t xml:space="preserve">. The information on or that can be accessed through Vringo’s website is not part of this proxy statement/prospectus. Vringo’s common stock is listed on the NYSE Amex and trades under the symbol “VRNG.” Additional information about Vringo and its subsidiaries is included elsewhere in this proxy statement/prospectus. See the sections entitled “Vringo’s Business,” “Vringo’s Management’s Discussion and Analysis of Financial Condition and Results of Operations,” and “Vringo’s Financial Statements” beginning on pages </w:t>
      </w:r>
      <w:r>
        <w:rPr>
          <w:rFonts w:ascii="Arial" w:cs="Arial" w:eastAsia="Arial" w:hAnsi="Arial"/>
          <w:sz w:val="16"/>
          <w:szCs w:val="16"/>
          <w:u w:val="single" w:color="auto"/>
          <w:color w:val="0000EE"/>
        </w:rPr>
        <w:t>124</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130</w:t>
      </w:r>
      <w:r>
        <w:rPr>
          <w:rFonts w:ascii="Arial" w:cs="Arial" w:eastAsia="Arial" w:hAnsi="Arial"/>
          <w:sz w:val="16"/>
          <w:szCs w:val="16"/>
          <w:color w:val="auto"/>
        </w:rPr>
        <w:t>, and F-</w:t>
      </w:r>
      <w:r>
        <w:rPr>
          <w:rFonts w:ascii="Arial" w:cs="Arial" w:eastAsia="Arial" w:hAnsi="Arial"/>
          <w:sz w:val="16"/>
          <w:szCs w:val="16"/>
          <w:u w:val="single" w:color="auto"/>
          <w:color w:val="0000EE"/>
        </w:rPr>
        <w:t>1</w:t>
      </w:r>
      <w:r>
        <w:rPr>
          <w:rFonts w:ascii="Arial" w:cs="Arial" w:eastAsia="Arial" w:hAnsi="Arial"/>
          <w:sz w:val="16"/>
          <w:szCs w:val="16"/>
          <w:color w:val="auto"/>
        </w:rPr>
        <w:t>, respectively.</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Innovate/Protect, Inc.</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Innovate/Protect is a company focused on the economic benefits of intellectual property assets through acquiring or internally developing patents or other intellectual property assets (or interests therein) and then monetizing such assets through a variety of value enhancing initiatives, including, but not limited to:</w:t>
      </w:r>
    </w:p>
    <w:p>
      <w:pPr>
        <w:spacing w:after="0" w:line="76" w:lineRule="exact"/>
        <w:rPr>
          <w:sz w:val="20"/>
          <w:szCs w:val="20"/>
          <w:color w:val="auto"/>
        </w:rPr>
      </w:pPr>
    </w:p>
    <w:p>
      <w:pPr>
        <w:ind w:left="560" w:hanging="300"/>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licensing;</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customized technology solutions;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strategic partnerships;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litigation.</w:t>
      </w:r>
    </w:p>
    <w:p>
      <w:pPr>
        <w:spacing w:after="0" w:line="101"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color w:val="auto"/>
        </w:rPr>
        <w:t>Innovate/Protect is the owner of patent assets acquired from Lycos, Inc. (“</w:t>
      </w:r>
      <w:r>
        <w:rPr>
          <w:rFonts w:ascii="Arial" w:cs="Arial" w:eastAsia="Arial" w:hAnsi="Arial"/>
          <w:sz w:val="15"/>
          <w:szCs w:val="15"/>
          <w:b w:val="1"/>
          <w:bCs w:val="1"/>
          <w:color w:val="auto"/>
        </w:rPr>
        <w:t>Lycos</w:t>
      </w:r>
      <w:r>
        <w:rPr>
          <w:rFonts w:ascii="Arial" w:cs="Arial" w:eastAsia="Arial" w:hAnsi="Arial"/>
          <w:sz w:val="15"/>
          <w:szCs w:val="15"/>
          <w:color w:val="auto"/>
        </w:rPr>
        <w:t>”) one of the largest search engine websites of its kind in the mid and late 1990s, with technologies that remain critical to current search platforms. Innovate/Protect’s Chief Executive Officer, Chief Technology Officer and President, Andrew K. Lang, is the former Chief Technology Officer of Lycos and led the development of the patented technologies. On September 15, 2011, Innovate/Protect through its subsidiary, I/P Engine, initiated a patent infringement lawsuit in the United States District Court for the Eastern District of Virginia against Google, Inc., AOL, Inc., IAC Search &amp; Media, Inc., Gannett Company, Inc. and Target Corporation for unlawfully</w:t>
      </w: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433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7545" cy="6433820"/>
                    </a:xfrm>
                    <a:prstGeom prst="rect">
                      <a:avLst/>
                    </a:prstGeom>
                    <a:noFill/>
                  </pic:spPr>
                </pic:pic>
              </a:graphicData>
            </a:graphic>
          </wp:anchor>
        </w:drawing>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using systems that incorporate features claimed in two patents owned by I/P Engine. The patents-in-suit relate to relevance search technology that is used in the search engine industry to produce better search results, and has also become the dominant technology used in search advertising to position high-quality advertisements.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Innovate/Protect is headquartered in New York, New York and was incorporated in Delaware in 2011. Innovate/Protect’s</w:t>
      </w:r>
    </w:p>
    <w:p>
      <w:pPr>
        <w:spacing w:after="0" w:line="43" w:lineRule="exact"/>
        <w:rPr>
          <w:sz w:val="20"/>
          <w:szCs w:val="20"/>
          <w:color w:val="auto"/>
        </w:rPr>
      </w:pPr>
    </w:p>
    <w:p>
      <w:pPr>
        <w:jc w:val="both"/>
        <w:ind w:left="40" w:right="1239"/>
        <w:spacing w:after="0" w:line="249" w:lineRule="auto"/>
        <w:rPr>
          <w:sz w:val="20"/>
          <w:szCs w:val="20"/>
          <w:color w:val="auto"/>
        </w:rPr>
      </w:pPr>
      <w:r>
        <w:rPr>
          <w:rFonts w:ascii="Arial" w:cs="Arial" w:eastAsia="Arial" w:hAnsi="Arial"/>
          <w:sz w:val="16"/>
          <w:szCs w:val="16"/>
          <w:color w:val="auto"/>
        </w:rPr>
        <w:t>principal offices are located at 380 Madison Avenue, 22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New York, New York 10017 and its telephone number is (212) 309-7549. Innovate/Protect’s principal website is </w:t>
      </w:r>
      <w:r>
        <w:rPr>
          <w:rFonts w:ascii="Arial" w:cs="Arial" w:eastAsia="Arial" w:hAnsi="Arial"/>
          <w:sz w:val="16"/>
          <w:szCs w:val="16"/>
          <w:i w:val="1"/>
          <w:iCs w:val="1"/>
          <w:color w:val="auto"/>
        </w:rPr>
        <w:t>www.InnovateProtect.com</w:t>
      </w:r>
      <w:r>
        <w:rPr>
          <w:rFonts w:ascii="Arial" w:cs="Arial" w:eastAsia="Arial" w:hAnsi="Arial"/>
          <w:sz w:val="16"/>
          <w:szCs w:val="16"/>
          <w:color w:val="auto"/>
        </w:rPr>
        <w:t xml:space="preserve">. The information on or that can be accessed through Innovate/Protect’s website is not part of this proxy statement/prospectus. Innovate/Protect is a private company and shares of its capital stock are not publicly traded. Additional information about Innovate/Protect and its subsidiaries is included elsewhere in this proxy statement/prospectus. See the sections entitled “Innovate/Protect’s Business,” “Innovate/Protect’s Management’s Discussion and Analysis of Financial Condition and Results of Operations,” and “Innovate/Protect’s Financial Statements” beginning on pages </w:t>
      </w:r>
      <w:r>
        <w:rPr>
          <w:rFonts w:ascii="Arial" w:cs="Arial" w:eastAsia="Arial" w:hAnsi="Arial"/>
          <w:sz w:val="16"/>
          <w:szCs w:val="16"/>
          <w:u w:val="single" w:color="auto"/>
          <w:color w:val="0000EE"/>
        </w:rPr>
        <w:t>149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157</w:t>
      </w:r>
      <w:r>
        <w:rPr>
          <w:rFonts w:ascii="Arial" w:cs="Arial" w:eastAsia="Arial" w:hAnsi="Arial"/>
          <w:sz w:val="16"/>
          <w:szCs w:val="16"/>
          <w:color w:val="000000"/>
        </w:rPr>
        <w:t>, and F-</w:t>
      </w:r>
      <w:r>
        <w:rPr>
          <w:rFonts w:ascii="Arial" w:cs="Arial" w:eastAsia="Arial" w:hAnsi="Arial"/>
          <w:sz w:val="16"/>
          <w:szCs w:val="16"/>
          <w:u w:val="single" w:color="auto"/>
          <w:color w:val="0000EE"/>
        </w:rPr>
        <w:t>52</w:t>
      </w:r>
      <w:r>
        <w:rPr>
          <w:rFonts w:ascii="Arial" w:cs="Arial" w:eastAsia="Arial" w:hAnsi="Arial"/>
          <w:sz w:val="16"/>
          <w:szCs w:val="16"/>
          <w:color w:val="000000"/>
        </w:rPr>
        <w:t>, respectively.</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VIP Merger Sub, Inc.</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Merger Sub is a wholly-owned subsidiary of Vringo and was incorporated in Delaware on March 8, 2012, solely for the purpose of facilitating the Merger. Merger Sub has not carried on any activities to date, except for activities incidental to its formation and activities undertaken in connection with the transactions contemplated by the Merger Agreement.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The Merger</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Vringo and Innovate/Protect have entered into the Merger Agreement, which provides that, subject to the terms and conditions of the Merger Agreement and in accordance with the DGCL at the Effective Time (as such term is defined in the Merger Agreement), Innovate/Protect will merge with and into Merger Sub, with Merger Sub surviving as a wholly-owned subsidiary of Vringo. The board of directors of Vringo has unanimously approved the Merger Agreement and the Merger. The board of directors of Innovate/Protect has unanimously approved the Merger Agreement and the Merger.</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What Innovate/Protect Stockholders Will Receive in the Merger</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Upon completion of the Merger, each Innovate/Protect common stockholder will have the right to receive, for each share of the outstanding common stock of Innovate/Protect they hold, a number of shares of Vringo common stock multiplied by the Common Stock Exchange Ratio, which shall initially be 3.0176, which is subject to adjustment in the event of a reverse stock split to provide the holders of shares of Innovate/Protect capital stock with the same economic benefit as contemplated by the Merger Agreement prior to any such reverse stock split. Each share of Innovate/Protect preferred stock will automatically be converted into the right to receive the same number of shares of Vringo preferred stock, which 6,673 shares, as of May 25, 2012, shall be initially convertible into an aggregate of 20,136,445 shares of Vringo common stock (or at current conversion rate of 3,017.6).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w:t>
      </w: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5608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7545" cy="6560820"/>
                    </a:xfrm>
                    <a:prstGeom prst="rect">
                      <a:avLst/>
                    </a:prstGeom>
                    <a:noFill/>
                  </pic:spPr>
                </pic:pic>
              </a:graphicData>
            </a:graphic>
          </wp:anchor>
        </w:drawing>
        <w:t>TABLE OF CONTENTS</w:t>
      </w:r>
    </w:p>
    <w:p>
      <w:pPr>
        <w:spacing w:after="0" w:line="184" w:lineRule="exact"/>
        <w:rPr>
          <w:sz w:val="20"/>
          <w:szCs w:val="20"/>
          <w:color w:val="auto"/>
        </w:rPr>
      </w:pPr>
    </w:p>
    <w:p>
      <w:pPr>
        <w:jc w:val="both"/>
        <w:ind w:left="40" w:right="1239"/>
        <w:spacing w:after="0" w:line="265" w:lineRule="auto"/>
        <w:rPr>
          <w:sz w:val="20"/>
          <w:szCs w:val="20"/>
          <w:color w:val="auto"/>
        </w:rPr>
      </w:pPr>
      <w:r>
        <w:rPr>
          <w:rFonts w:ascii="Arial" w:cs="Arial" w:eastAsia="Arial" w:hAnsi="Arial"/>
          <w:sz w:val="16"/>
          <w:szCs w:val="16"/>
          <w:color w:val="auto"/>
        </w:rPr>
        <w:t>Immediately following the completion of the Merger (without taking into account any shares of Vringo common stock held by Innovate/Protect stockholders prior to the completion of the Merger), the former stockholders of Innovate/Protect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 Based on current data if the Merger had been completed on [June 8, 2012], the record date for the Vringo annual meeting, an aggregate of 18,113,169 shares of Vringo common stock would have been issuable to Innovate/Protect common stockholders and the warrant holder, and an aggregate of 6,673 shares of Vringo preferred stock initially convertible into 20,136,445 shares of Vringo common stock on such date would have been issuable to Innovate/Protect stockholders upon completion of the Merger.</w:t>
      </w:r>
    </w:p>
    <w:p>
      <w:pPr>
        <w:spacing w:after="0" w:line="74"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Common Stock Exchange Ratio and the number of shares for which the Innovate/Protect preferred stock shall be convertible into shall not be adjusted without the prior written consent of Innovate/Protect; provided, however that such prior written consent shall not be unreasonably conditioned, withheld or delayed with regard to any such adjustments being made with respect to a reverse split of the equity securities of Vringo undertaken for the purpose of maintaining Vringo’s listing on NYSE Amex or any other consent, approval or authorization of, or registration, declaration or filing with, any governmental authority.</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No fractional shares of Vringo common stock or Vringo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For a more complete discussion of what Innovate/Protect stockholders will receive in connection with the Merger and the formula that will be used to calculate the Exchange Ratios, see the sections entitled “The Merger — What Innovate/Protect Stockholders Will Receive in the Merger” and “The Merger Agreement — Merger Consideration” beginning on pages </w:t>
      </w:r>
      <w:r>
        <w:rPr>
          <w:rFonts w:ascii="Arial" w:cs="Arial" w:eastAsia="Arial" w:hAnsi="Arial"/>
          <w:sz w:val="17"/>
          <w:szCs w:val="17"/>
          <w:u w:val="single" w:color="auto"/>
          <w:color w:val="0000EE"/>
        </w:rPr>
        <w:t>64</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90</w:t>
      </w:r>
      <w:r>
        <w:rPr>
          <w:rFonts w:ascii="Arial" w:cs="Arial" w:eastAsia="Arial" w:hAnsi="Arial"/>
          <w:sz w:val="17"/>
          <w:szCs w:val="17"/>
          <w:color w:val="auto"/>
        </w:rPr>
        <w:t>, respectively.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Ownership of the Combined Company After the Completion of the Merger</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Upon completion of the Merger and regardless of the exact Exchange Ratios (or any reverse stock split), the former stockholders of Innovate/Protect (without taking into account any shares of Vringo common stock held by Innovate/Protect stockholders prior to the completion of the Merger)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Treatment of Innovate/Protect Stock Options and Warrants</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Therefore, at the effective time of the Merger, the outstanding and unexercised Innovate/Protect stock options to purchase 13,646 shares of Innovate/Protect common stock, whether vested or unvested, will be converted into and become options to purchase an aggregate of 41,178 shares of Vringo common stock at an exercise price of $0.994 per share.</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as-converted basis) an aggregate of 15,959,838 warrants to purchase an</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5849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7545" cy="6584950"/>
                    </a:xfrm>
                    <a:prstGeom prst="rect">
                      <a:avLst/>
                    </a:prstGeom>
                    <a:noFill/>
                  </pic:spPr>
                </pic:pic>
              </a:graphicData>
            </a:graphic>
          </wp:anchor>
        </w:drawing>
        <w:t>TABLE OF CONTENTS</w:t>
      </w:r>
    </w:p>
    <w:p>
      <w:pPr>
        <w:spacing w:after="0" w:line="184" w:lineRule="exact"/>
        <w:rPr>
          <w:sz w:val="20"/>
          <w:szCs w:val="20"/>
          <w:color w:val="auto"/>
        </w:rPr>
      </w:pPr>
    </w:p>
    <w:p>
      <w:pPr>
        <w:jc w:val="both"/>
        <w:ind w:left="40" w:right="1239"/>
        <w:spacing w:after="0" w:line="251" w:lineRule="auto"/>
        <w:rPr>
          <w:sz w:val="20"/>
          <w:szCs w:val="20"/>
          <w:color w:val="auto"/>
        </w:rPr>
      </w:pPr>
      <w:r>
        <w:rPr>
          <w:rFonts w:ascii="Arial" w:cs="Arial" w:eastAsia="Arial" w:hAnsi="Arial"/>
          <w:sz w:val="17"/>
          <w:szCs w:val="17"/>
          <w:color w:val="auto"/>
        </w:rPr>
        <w:t>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__________, 2012, the latest practicable date before the printing of this proxy statement/prospectus, there were</w:t>
      </w:r>
    </w:p>
    <w:p>
      <w:pPr>
        <w:spacing w:after="0" w:line="29" w:lineRule="exact"/>
        <w:rPr>
          <w:sz w:val="20"/>
          <w:szCs w:val="20"/>
          <w:color w:val="auto"/>
        </w:rPr>
      </w:pPr>
    </w:p>
    <w:p>
      <w:pPr>
        <w:jc w:val="both"/>
        <w:ind w:left="40" w:right="1239"/>
        <w:spacing w:after="0" w:line="252" w:lineRule="auto"/>
        <w:rPr>
          <w:sz w:val="20"/>
          <w:szCs w:val="20"/>
          <w:color w:val="auto"/>
        </w:rPr>
      </w:pPr>
      <w:r>
        <w:rPr>
          <w:rFonts w:ascii="Arial" w:cs="Arial" w:eastAsia="Arial" w:hAnsi="Arial"/>
          <w:sz w:val="17"/>
          <w:szCs w:val="17"/>
          <w:color w:val="auto"/>
        </w:rPr>
        <w:t>outstanding options to purchase 13,646 shares of Innovate/Protect capital stock and an outstanding warrant to purchase 250,000 shares of Innovate/Protect capital stock.</w:t>
      </w:r>
    </w:p>
    <w:p>
      <w:pPr>
        <w:spacing w:after="0" w:line="7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For a more complete discussion of the treatment of Innovate/Protect stock options and warrants, see the section entitled “The Merger — Treatment of Innovate/Protect Stock Options and Warrants” beginning on page </w:t>
      </w:r>
      <w:r>
        <w:rPr>
          <w:rFonts w:ascii="Arial" w:cs="Arial" w:eastAsia="Arial" w:hAnsi="Arial"/>
          <w:sz w:val="17"/>
          <w:szCs w:val="17"/>
          <w:u w:val="single" w:color="auto"/>
          <w:color w:val="0000EE"/>
        </w:rPr>
        <w:t>65</w:t>
      </w:r>
      <w:r>
        <w:rPr>
          <w:rFonts w:ascii="Arial" w:cs="Arial" w:eastAsia="Arial" w:hAnsi="Arial"/>
          <w:sz w:val="17"/>
          <w:szCs w:val="17"/>
          <w:color w:val="auto"/>
        </w:rPr>
        <w: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Treatment of Vringo Stock Options; Change of Control Payments</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Upon the change of control in connection with the consummation of the Merger, there will be a one year acceleration of option vesting for all Vringo’s option holders for grants prior to the consummation of the Merger, except for Andrew D. Perlman who will be entitled to 50% acceleration for all of his unvested options granted to him prior to him becoming Chief Executive Officer of Vringo. In addition,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Board of Directors and Executive Officers of the Combined Company After the Completion of the Merger</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Upon completion of the Merger, the combined company will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the Innovate/Protect board of directors.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executive management team of the combined company is expected to be composed of the following individuals: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3200" w:type="dxa"/>
            <w:vAlign w:val="bottom"/>
            <w:tcBorders>
              <w:bottom w:val="single" w:sz="8" w:color="auto"/>
            </w:tcBorders>
          </w:tcPr>
          <w:p>
            <w:pPr>
              <w:ind w:left="1120"/>
              <w:spacing w:after="0"/>
              <w:rPr>
                <w:sz w:val="20"/>
                <w:szCs w:val="20"/>
                <w:color w:val="auto"/>
              </w:rPr>
            </w:pPr>
            <w:r>
              <w:rPr>
                <w:rFonts w:ascii="Arial" w:cs="Arial" w:eastAsia="Arial" w:hAnsi="Arial"/>
                <w:sz w:val="13"/>
                <w:szCs w:val="13"/>
                <w:b w:val="1"/>
                <w:bCs w:val="1"/>
                <w:color w:val="auto"/>
              </w:rPr>
              <w:t>Current Position</w:t>
            </w:r>
          </w:p>
        </w:tc>
        <w:tc>
          <w:tcPr>
            <w:tcW w:w="140" w:type="dxa"/>
            <w:vAlign w:val="bottom"/>
          </w:tcPr>
          <w:p>
            <w:pPr>
              <w:spacing w:after="0"/>
              <w:rPr>
                <w:sz w:val="14"/>
                <w:szCs w:val="14"/>
                <w:color w:val="auto"/>
              </w:rPr>
            </w:pPr>
          </w:p>
        </w:tc>
        <w:tc>
          <w:tcPr>
            <w:tcW w:w="26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Position with the Combined Company</w:t>
            </w:r>
          </w:p>
        </w:tc>
      </w:tr>
      <w:tr>
        <w:trPr>
          <w:trHeight w:val="172"/>
        </w:trPr>
        <w:tc>
          <w:tcPr>
            <w:tcW w:w="1500" w:type="dxa"/>
            <w:vAlign w:val="bottom"/>
          </w:tcPr>
          <w:p>
            <w:pPr>
              <w:spacing w:after="0"/>
              <w:rPr>
                <w:sz w:val="20"/>
                <w:szCs w:val="20"/>
                <w:color w:val="auto"/>
              </w:rPr>
            </w:pPr>
            <w:r>
              <w:rPr>
                <w:rFonts w:ascii="Arial" w:cs="Arial" w:eastAsia="Arial" w:hAnsi="Arial"/>
                <w:sz w:val="15"/>
                <w:szCs w:val="15"/>
                <w:color w:val="auto"/>
              </w:rPr>
              <w:t>Andrew D. Perlman</w:t>
            </w:r>
          </w:p>
        </w:tc>
        <w:tc>
          <w:tcPr>
            <w:tcW w:w="16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w w:val="98"/>
              </w:rPr>
              <w:t>Chief Executive Officer and President of Vringo</w:t>
            </w:r>
          </w:p>
        </w:tc>
        <w:tc>
          <w:tcPr>
            <w:tcW w:w="140" w:type="dxa"/>
            <w:vAlign w:val="bottom"/>
          </w:tcPr>
          <w:p>
            <w:pPr>
              <w:spacing w:after="0"/>
              <w:rPr>
                <w:sz w:val="14"/>
                <w:szCs w:val="14"/>
                <w:color w:val="auto"/>
              </w:rPr>
            </w:pPr>
          </w:p>
        </w:tc>
        <w:tc>
          <w:tcPr>
            <w:tcW w:w="2620" w:type="dxa"/>
            <w:vAlign w:val="bottom"/>
          </w:tcPr>
          <w:p>
            <w:pPr>
              <w:ind w:left="80"/>
              <w:spacing w:after="0"/>
              <w:rPr>
                <w:sz w:val="20"/>
                <w:szCs w:val="20"/>
                <w:color w:val="auto"/>
              </w:rPr>
            </w:pPr>
            <w:r>
              <w:rPr>
                <w:rFonts w:ascii="Arial" w:cs="Arial" w:eastAsia="Arial" w:hAnsi="Arial"/>
                <w:sz w:val="15"/>
                <w:szCs w:val="15"/>
                <w:color w:val="auto"/>
              </w:rPr>
              <w:t>Chief Executive Officer</w:t>
            </w:r>
          </w:p>
        </w:tc>
      </w:tr>
      <w:tr>
        <w:trPr>
          <w:trHeight w:val="188"/>
        </w:trPr>
        <w:tc>
          <w:tcPr>
            <w:tcW w:w="1500" w:type="dxa"/>
            <w:vAlign w:val="bottom"/>
          </w:tcPr>
          <w:p>
            <w:pPr>
              <w:spacing w:after="0"/>
              <w:rPr>
                <w:sz w:val="20"/>
                <w:szCs w:val="20"/>
                <w:color w:val="auto"/>
              </w:rPr>
            </w:pPr>
            <w:r>
              <w:rPr>
                <w:rFonts w:ascii="Arial" w:cs="Arial" w:eastAsia="Arial" w:hAnsi="Arial"/>
                <w:sz w:val="15"/>
                <w:szCs w:val="15"/>
                <w:color w:val="auto"/>
                <w:w w:val="97"/>
              </w:rPr>
              <w:t>Andrew Kennedy Lang</w:t>
            </w:r>
          </w:p>
        </w:tc>
        <w:tc>
          <w:tcPr>
            <w:tcW w:w="160" w:type="dxa"/>
            <w:vAlign w:val="bottom"/>
          </w:tcPr>
          <w:p>
            <w:pPr>
              <w:spacing w:after="0"/>
              <w:rPr>
                <w:sz w:val="16"/>
                <w:szCs w:val="16"/>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rPr>
              <w:t>President, Chief Executive Officer and Chief</w:t>
            </w:r>
          </w:p>
        </w:tc>
        <w:tc>
          <w:tcPr>
            <w:tcW w:w="140" w:type="dxa"/>
            <w:vAlign w:val="bottom"/>
          </w:tcPr>
          <w:p>
            <w:pPr>
              <w:spacing w:after="0"/>
              <w:rPr>
                <w:sz w:val="16"/>
                <w:szCs w:val="16"/>
                <w:color w:val="auto"/>
              </w:rPr>
            </w:pPr>
          </w:p>
        </w:tc>
        <w:tc>
          <w:tcPr>
            <w:tcW w:w="2620" w:type="dxa"/>
            <w:vAlign w:val="bottom"/>
          </w:tcPr>
          <w:p>
            <w:pPr>
              <w:ind w:left="80"/>
              <w:spacing w:after="0"/>
              <w:rPr>
                <w:sz w:val="20"/>
                <w:szCs w:val="20"/>
                <w:color w:val="auto"/>
              </w:rPr>
            </w:pPr>
            <w:r>
              <w:rPr>
                <w:rFonts w:ascii="Arial" w:cs="Arial" w:eastAsia="Arial" w:hAnsi="Arial"/>
                <w:sz w:val="15"/>
                <w:szCs w:val="15"/>
                <w:color w:val="auto"/>
                <w:w w:val="96"/>
              </w:rPr>
              <w:t>Chief Technology Officer and President</w:t>
            </w:r>
          </w:p>
        </w:tc>
      </w:tr>
      <w:tr>
        <w:trPr>
          <w:trHeight w:val="188"/>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rPr>
              <w:t>Technology Officer of Innovate/Protect</w:t>
            </w: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5"/>
                <w:szCs w:val="15"/>
                <w:color w:val="auto"/>
              </w:rPr>
              <w:t>Alexander R. Berger</w:t>
            </w:r>
          </w:p>
        </w:tc>
        <w:tc>
          <w:tcPr>
            <w:tcW w:w="160" w:type="dxa"/>
            <w:vAlign w:val="bottom"/>
          </w:tcPr>
          <w:p>
            <w:pPr>
              <w:spacing w:after="0"/>
              <w:rPr>
                <w:sz w:val="16"/>
                <w:szCs w:val="16"/>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w w:val="94"/>
              </w:rPr>
              <w:t>Secretary, Treasurer, Chief Operating Officer and</w:t>
            </w:r>
          </w:p>
        </w:tc>
        <w:tc>
          <w:tcPr>
            <w:tcW w:w="140" w:type="dxa"/>
            <w:vAlign w:val="bottom"/>
          </w:tcPr>
          <w:p>
            <w:pPr>
              <w:spacing w:after="0"/>
              <w:rPr>
                <w:sz w:val="16"/>
                <w:szCs w:val="16"/>
                <w:color w:val="auto"/>
              </w:rPr>
            </w:pPr>
          </w:p>
        </w:tc>
        <w:tc>
          <w:tcPr>
            <w:tcW w:w="2620" w:type="dxa"/>
            <w:vAlign w:val="bottom"/>
          </w:tcPr>
          <w:p>
            <w:pPr>
              <w:ind w:left="80"/>
              <w:spacing w:after="0"/>
              <w:rPr>
                <w:sz w:val="20"/>
                <w:szCs w:val="20"/>
                <w:color w:val="auto"/>
              </w:rPr>
            </w:pPr>
            <w:r>
              <w:rPr>
                <w:rFonts w:ascii="Arial" w:cs="Arial" w:eastAsia="Arial" w:hAnsi="Arial"/>
                <w:sz w:val="15"/>
                <w:szCs w:val="15"/>
                <w:color w:val="auto"/>
              </w:rPr>
              <w:t>Chief Operating Officer and Secretary</w:t>
            </w:r>
          </w:p>
        </w:tc>
      </w:tr>
      <w:tr>
        <w:trPr>
          <w:trHeight w:val="188"/>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rPr>
              <w:t>Chief Financial Officer of Innovate/Protect</w:t>
            </w: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90"/>
        </w:trPr>
        <w:tc>
          <w:tcPr>
            <w:tcW w:w="1500" w:type="dxa"/>
            <w:vAlign w:val="bottom"/>
          </w:tcPr>
          <w:p>
            <w:pPr>
              <w:spacing w:after="0"/>
              <w:rPr>
                <w:sz w:val="20"/>
                <w:szCs w:val="20"/>
                <w:color w:val="auto"/>
              </w:rPr>
            </w:pPr>
            <w:r>
              <w:rPr>
                <w:rFonts w:ascii="Arial" w:cs="Arial" w:eastAsia="Arial" w:hAnsi="Arial"/>
                <w:sz w:val="15"/>
                <w:szCs w:val="15"/>
                <w:color w:val="auto"/>
              </w:rPr>
              <w:t>Ellen Cohl</w:t>
            </w:r>
          </w:p>
        </w:tc>
        <w:tc>
          <w:tcPr>
            <w:tcW w:w="160" w:type="dxa"/>
            <w:vAlign w:val="bottom"/>
          </w:tcPr>
          <w:p>
            <w:pPr>
              <w:spacing w:after="0"/>
              <w:rPr>
                <w:sz w:val="16"/>
                <w:szCs w:val="16"/>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rPr>
              <w:t>Chief Financial Officer of Vringo</w:t>
            </w:r>
          </w:p>
        </w:tc>
        <w:tc>
          <w:tcPr>
            <w:tcW w:w="140" w:type="dxa"/>
            <w:vAlign w:val="bottom"/>
          </w:tcPr>
          <w:p>
            <w:pPr>
              <w:spacing w:after="0"/>
              <w:rPr>
                <w:sz w:val="16"/>
                <w:szCs w:val="16"/>
                <w:color w:val="auto"/>
              </w:rPr>
            </w:pPr>
          </w:p>
        </w:tc>
        <w:tc>
          <w:tcPr>
            <w:tcW w:w="2620" w:type="dxa"/>
            <w:vAlign w:val="bottom"/>
          </w:tcPr>
          <w:p>
            <w:pPr>
              <w:ind w:left="80"/>
              <w:spacing w:after="0"/>
              <w:rPr>
                <w:sz w:val="20"/>
                <w:szCs w:val="20"/>
                <w:color w:val="auto"/>
              </w:rPr>
            </w:pPr>
            <w:r>
              <w:rPr>
                <w:rFonts w:ascii="Arial" w:cs="Arial" w:eastAsia="Arial" w:hAnsi="Arial"/>
                <w:sz w:val="15"/>
                <w:szCs w:val="15"/>
                <w:color w:val="auto"/>
              </w:rPr>
              <w:t>Chief Financial Officer and Treasurer</w:t>
            </w:r>
          </w:p>
        </w:tc>
      </w:tr>
    </w:tbl>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Recommendations of the Vringo Board of Directors and its Reasons for the Merger</w:t>
      </w:r>
    </w:p>
    <w:p>
      <w:pPr>
        <w:spacing w:after="0" w:line="109"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The Vringo board of directors, after considering the factors described in the section entitled “The Merger — Recommendations of the Vringo Board of Directors and its Reasons for the Merger” beginning on page </w:t>
      </w:r>
      <w:r>
        <w:rPr>
          <w:rFonts w:ascii="Arial" w:cs="Arial" w:eastAsia="Arial" w:hAnsi="Arial"/>
          <w:sz w:val="15"/>
          <w:szCs w:val="15"/>
          <w:u w:val="single" w:color="auto"/>
          <w:color w:val="0000EE"/>
        </w:rPr>
        <w:t>73</w:t>
      </w:r>
      <w:r>
        <w:rPr>
          <w:rFonts w:ascii="Arial" w:cs="Arial" w:eastAsia="Arial" w:hAnsi="Arial"/>
          <w:sz w:val="15"/>
          <w:szCs w:val="15"/>
          <w:color w:val="auto"/>
        </w:rPr>
        <w:t>, has unanimously approved the Merger Agreement and the transactions contemplated thereby, including the Merger. The Vringo board of directors has determined that the Merger Agreement and the transactions contemplated thereby, including the Merger, are advisable and fair to, and in the best interests of, Vringo and its stockholders, and therefore recommends that the Vringo stockholders vote FOR the Securities Issuance Proposal, FOR the Reverse Stock Split Proposal, FOR the Authorized Shares Increase Proposal, as contemplated by the Merger Agreement, FOR the election of the seven (7) director nominees set forth in the Election of Directors Proposal, FOR the approval of the 2012 Equity Incentive Plan Proposal, FOR the Ratification of the Appointment of Vringo’s Independent Registered Public Accounting Firm Proposal and FOR the adjournment of the Vringo annual meeting, if necessary, to solicit additional proxies if there are not sufficient votes in favor of the Vringo Merger Proposals. The Vringo board of directors made its recommendations to the Vringo stockholders after considering the factors described in this proxy statement/prospectus. For a more complete discussion of the recommendations of the Vringo board of directors and its</w:t>
      </w:r>
    </w:p>
    <w:p>
      <w:pPr>
        <w:spacing w:after="0" w:line="200" w:lineRule="exact"/>
        <w:rPr>
          <w:sz w:val="20"/>
          <w:szCs w:val="20"/>
          <w:color w:val="auto"/>
        </w:rPr>
      </w:pPr>
    </w:p>
    <w:p>
      <w:pPr>
        <w:spacing w:after="0" w:line="27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5669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7545" cy="5669915"/>
                    </a:xfrm>
                    <a:prstGeom prst="rect">
                      <a:avLst/>
                    </a:prstGeom>
                    <a:noFill/>
                  </pic:spPr>
                </pic:pic>
              </a:graphicData>
            </a:graphic>
          </wp:anchor>
        </w:drawing>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 xml:space="preserve">reasons for the Merger, see the section entitled “The Merger — Recommendations of the Vringo Board of Directors and its Reasons for the Merger” beginning on page </w:t>
      </w:r>
      <w:r>
        <w:rPr>
          <w:rFonts w:ascii="Arial" w:cs="Arial" w:eastAsia="Arial" w:hAnsi="Arial"/>
          <w:sz w:val="17"/>
          <w:szCs w:val="17"/>
          <w:u w:val="single" w:color="auto"/>
          <w:color w:val="0000EE"/>
        </w:rPr>
        <w:t>73</w:t>
      </w:r>
      <w:r>
        <w:rPr>
          <w:rFonts w:ascii="Arial" w:cs="Arial" w:eastAsia="Arial" w:hAnsi="Arial"/>
          <w:sz w:val="17"/>
          <w:szCs w:val="17"/>
          <w:color w:val="auto"/>
        </w:rPr>
        <w: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Opinion of Etico Capital to the Vringo Board of Directors</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 board of directors of Vringo engaged Etico Capital, a division of Olympus Securities LLC (“</w:t>
      </w:r>
      <w:r>
        <w:rPr>
          <w:rFonts w:ascii="Arial" w:cs="Arial" w:eastAsia="Arial" w:hAnsi="Arial"/>
          <w:sz w:val="15"/>
          <w:szCs w:val="15"/>
          <w:b w:val="1"/>
          <w:bCs w:val="1"/>
          <w:color w:val="auto"/>
        </w:rPr>
        <w:t>Etico Capital</w:t>
      </w:r>
      <w:r>
        <w:rPr>
          <w:rFonts w:ascii="Arial" w:cs="Arial" w:eastAsia="Arial" w:hAnsi="Arial"/>
          <w:sz w:val="15"/>
          <w:szCs w:val="15"/>
          <w:color w:val="auto"/>
        </w:rPr>
        <w:t>”), to render an opinion to the board of directors as to whether the Merger consideration was fair, from a financial point of view, to the stockholders of Vringo. The board of directors selected Etico Capital based on the reputation and investment banking experience of Etico Capital and its principals. Etico Capital provides investment banking services, including merger and acquisition advisory services, to a wide range of companies in various industries. On March 11, 2012, Etico Capital provided the Vringo board of directors with a presentation and a draft of the fairness opinion. On March 12, 2012, Etico Capital delivered its final written opinion to the Vringo board of directors that, as of such date, and based upon and subject to the various assumptions and limitations set forth in its written opinion, the Merger consideration to be issued is fair, from a financial point of view, to holders of Vringo common stock (other than those who own, or whose affiliates own, securities of Innovate/Protect, regarding which Etico Capital expressed no view).</w:t>
      </w:r>
    </w:p>
    <w:p>
      <w:pPr>
        <w:spacing w:after="0" w:line="5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b w:val="1"/>
          <w:bCs w:val="1"/>
          <w:color w:val="auto"/>
        </w:rPr>
        <w:t xml:space="preserve">The full text of the written opinion, dated as of March 12, 2012, of Etico Capital is attached as </w:t>
      </w:r>
      <w:r>
        <w:rPr>
          <w:rFonts w:ascii="Arial" w:cs="Arial" w:eastAsia="Arial" w:hAnsi="Arial"/>
          <w:sz w:val="15"/>
          <w:szCs w:val="15"/>
          <w:b w:val="1"/>
          <w:bCs w:val="1"/>
          <w:u w:val="single" w:color="auto"/>
          <w:color w:val="auto"/>
        </w:rPr>
        <w:t>Annex H</w:t>
      </w:r>
      <w:r>
        <w:rPr>
          <w:rFonts w:ascii="Arial" w:cs="Arial" w:eastAsia="Arial" w:hAnsi="Arial"/>
          <w:sz w:val="15"/>
          <w:szCs w:val="15"/>
          <w:b w:val="1"/>
          <w:bCs w:val="1"/>
          <w:color w:val="auto"/>
        </w:rPr>
        <w:t xml:space="preserve"> to this proxy statement/prospectus. The opinion sets forth, among other things, the assumptions made, matters considered and limitations on the review undertaken by Etico Capital. Holders of Vringo common stock are urged to, and should, read the Etico Capital opinion carefully and in its entirety. The Etico Capital opinion is directed to the Vringo board of directors and addresses only the fairness of the Merger consideration from a financial point of view to holders of Vringo common stock (other than those who own, or whose affiliates own, securities of Innovate/Protect, regarding which Etico Capital expressed no view) as of the date of the opinion. The Etico Capital opinion does not address any other aspect of the Merger and does not constitute a recommendation to any holder of Vringo common stock as to how to vote on the Vringo Merger Proposals at the annual meeting. Etico Capital’s opinion does not address the underlying business decision to enter into the Merger Agreement or the Merger, nor does it evaluate alternative opportunities, alternative transaction structures or other financial or strategic alternatives. The summary of the Etico Capital opinion set forth in this proxy statement/prospectus is qualified in its entirety by reference to the full text of such opinion.</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Interests of Vringo Directors and Executive Officers in the Merger</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You should be aware that certain directors and executive officers of Vringo have interests in the Merger that are different from, or in addition to, the interests of the stockholders of Vringo generally.</w:t>
      </w:r>
    </w:p>
    <w:p>
      <w:pPr>
        <w:spacing w:after="0" w:line="66"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Interests of Vringo’s directors and executive officers in connection with the Merger relate to (i) the continuing service of each of Seth M. Siegel, Andrew D. Perlman and John Engelman as directors of the combined company following the completion of the Merger, (ii) the fact that Andrew D. Perlman and Ellen Cohl are currently executive officers of Vringo and will remain executive officers of the combined company following the completion of the Merger, (iii) upon the change of control in connection with the consummation of the Merger, there there will be a one year acceleration of option vesting for option holders for grants prior to the consummation of the Merger, except for Andrew D. Perlman who will be entitled to 50% acceleration for all of his unvested options granted to him prior to him becoming Chief Executive Officer of Vringo, (iv) directors of Vringo, other than Mr. Perlman, departing within six months from a subsequent change of control would receive full acceleration of vesting for any unvested options and extension of the termination period for option exercises to one year from cessation of board service, and (v) the right to continued indemnification for directors and executive officers of Vringo following the completion of the Merger.</w:t>
      </w:r>
    </w:p>
    <w:p>
      <w:pPr>
        <w:spacing w:after="0" w:line="200" w:lineRule="exact"/>
        <w:rPr>
          <w:sz w:val="20"/>
          <w:szCs w:val="20"/>
          <w:color w:val="auto"/>
        </w:rPr>
      </w:pPr>
    </w:p>
    <w:p>
      <w:pPr>
        <w:spacing w:after="0" w:line="27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1" w:name="page32"/>
    <w:bookmarkEnd w:id="31"/>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107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7545" cy="6107430"/>
                    </a:xfrm>
                    <a:prstGeom prst="rect">
                      <a:avLst/>
                    </a:prstGeom>
                    <a:noFill/>
                  </pic:spPr>
                </pic:pic>
              </a:graphicData>
            </a:graphic>
          </wp:anchor>
        </w:drawing>
        <w:t>TABLE OF CONTENTS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benefits to be made to Vringo’s directors and executive officers in connection with the</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Merger, assuming a change of control occurs and termination of Vringo’s directors as of May 25, 2012:</w:t>
      </w:r>
    </w:p>
    <w:tbl>
      <w:tblPr>
        <w:tblLayout w:type="fixed"/>
        <w:tblInd w:w="120" w:type="dxa"/>
        <w:tblCellMar>
          <w:top w:w="0" w:type="dxa"/>
          <w:left w:w="0" w:type="dxa"/>
          <w:bottom w:w="0" w:type="dxa"/>
          <w:right w:w="0" w:type="dxa"/>
        </w:tblCellMar>
      </w:tblPr>
      <w:tr>
        <w:trPr>
          <w:trHeight w:val="193"/>
        </w:trPr>
        <w:tc>
          <w:tcPr>
            <w:tcW w:w="5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
              <w:spacing w:after="0" w:line="193" w:lineRule="exact"/>
              <w:rPr>
                <w:sz w:val="20"/>
                <w:szCs w:val="20"/>
                <w:color w:val="auto"/>
              </w:rPr>
            </w:pPr>
            <w:r>
              <w:rPr>
                <w:rFonts w:ascii="Arial" w:cs="Arial" w:eastAsia="Arial" w:hAnsi="Arial"/>
                <w:sz w:val="13"/>
                <w:szCs w:val="13"/>
                <w:b w:val="1"/>
                <w:bCs w:val="1"/>
                <w:color w:val="auto"/>
                <w:w w:val="90"/>
              </w:rPr>
              <w:t>Equity ($)</w:t>
            </w:r>
            <w:r>
              <w:rPr>
                <w:rFonts w:ascii="Arial" w:cs="Arial" w:eastAsia="Arial" w:hAnsi="Arial"/>
                <w:sz w:val="22"/>
                <w:szCs w:val="22"/>
                <w:b w:val="1"/>
                <w:bCs w:val="1"/>
                <w:color w:val="auto"/>
                <w:w w:val="90"/>
                <w:vertAlign w:val="superscript"/>
              </w:rPr>
              <w:t>(1)</w:t>
            </w:r>
          </w:p>
        </w:tc>
      </w:tr>
      <w:tr>
        <w:trPr>
          <w:trHeight w:val="193"/>
        </w:trPr>
        <w:tc>
          <w:tcPr>
            <w:tcW w:w="588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Andrew D. Perlman</w:t>
            </w:r>
          </w:p>
        </w:tc>
        <w:tc>
          <w:tcPr>
            <w:tcW w:w="2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107,584</w:t>
            </w:r>
          </w:p>
        </w:tc>
      </w:tr>
      <w:tr>
        <w:trPr>
          <w:trHeight w:val="200"/>
        </w:trPr>
        <w:tc>
          <w:tcPr>
            <w:tcW w:w="5880" w:type="dxa"/>
            <w:vAlign w:val="bottom"/>
          </w:tcPr>
          <w:p>
            <w:pPr>
              <w:spacing w:after="0"/>
              <w:rPr>
                <w:sz w:val="20"/>
                <w:szCs w:val="20"/>
                <w:color w:val="auto"/>
              </w:rPr>
            </w:pPr>
            <w:r>
              <w:rPr>
                <w:rFonts w:ascii="Arial" w:cs="Arial" w:eastAsia="Arial" w:hAnsi="Arial"/>
                <w:sz w:val="17"/>
                <w:szCs w:val="17"/>
                <w:color w:val="auto"/>
              </w:rPr>
              <w:t>Seth M. Siegel</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88,809</w:t>
            </w:r>
          </w:p>
        </w:tc>
      </w:tr>
      <w:tr>
        <w:trPr>
          <w:trHeight w:val="200"/>
        </w:trPr>
        <w:tc>
          <w:tcPr>
            <w:tcW w:w="5880" w:type="dxa"/>
            <w:vAlign w:val="bottom"/>
            <w:shd w:val="clear" w:color="auto" w:fill="CCFFCC"/>
          </w:tcPr>
          <w:p>
            <w:pPr>
              <w:spacing w:after="0"/>
              <w:rPr>
                <w:sz w:val="20"/>
                <w:szCs w:val="20"/>
                <w:color w:val="auto"/>
              </w:rPr>
            </w:pPr>
            <w:r>
              <w:rPr>
                <w:rFonts w:ascii="Arial" w:cs="Arial" w:eastAsia="Arial" w:hAnsi="Arial"/>
                <w:sz w:val="17"/>
                <w:szCs w:val="17"/>
                <w:color w:val="auto"/>
              </w:rPr>
              <w:t>John Engelman</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7,280</w:t>
            </w:r>
          </w:p>
        </w:tc>
      </w:tr>
      <w:tr>
        <w:trPr>
          <w:trHeight w:val="213"/>
        </w:trPr>
        <w:tc>
          <w:tcPr>
            <w:tcW w:w="5880" w:type="dxa"/>
            <w:vAlign w:val="bottom"/>
          </w:tcPr>
          <w:p>
            <w:pPr>
              <w:spacing w:after="0"/>
              <w:rPr>
                <w:sz w:val="20"/>
                <w:szCs w:val="20"/>
                <w:color w:val="auto"/>
              </w:rPr>
            </w:pPr>
            <w:r>
              <w:rPr>
                <w:rFonts w:ascii="Arial" w:cs="Arial" w:eastAsia="Arial" w:hAnsi="Arial"/>
                <w:sz w:val="17"/>
                <w:szCs w:val="17"/>
                <w:color w:val="auto"/>
              </w:rPr>
              <w:t>Ellen Cohl</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30,606</w:t>
            </w:r>
          </w:p>
        </w:tc>
      </w:tr>
    </w:tbl>
    <w:p>
      <w:pPr>
        <w:spacing w:after="0" w:line="200" w:lineRule="exact"/>
        <w:rPr>
          <w:sz w:val="20"/>
          <w:szCs w:val="20"/>
          <w:color w:val="auto"/>
        </w:rPr>
      </w:pPr>
    </w:p>
    <w:p>
      <w:pPr>
        <w:spacing w:after="0" w:line="289" w:lineRule="exact"/>
        <w:rPr>
          <w:sz w:val="20"/>
          <w:szCs w:val="20"/>
          <w:color w:val="auto"/>
        </w:rPr>
      </w:pPr>
    </w:p>
    <w:p>
      <w:pPr>
        <w:jc w:val="both"/>
        <w:ind w:left="380" w:right="1239" w:hanging="250"/>
        <w:spacing w:after="0" w:line="274" w:lineRule="auto"/>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Calculated based on the aggregate dollar value of in-the-money option awards for which vesting would be accelerated, determined by the difference between the price per share (as discussed in the below) and the exercise price of the options. The price per share is calculated based on the average closing market price of Vringo common stock over the first five business days following March 14, 2012, the first public announcement of the Merger.</w:t>
      </w:r>
    </w:p>
    <w:p>
      <w:pPr>
        <w:spacing w:after="0" w:line="62" w:lineRule="exact"/>
        <w:rPr>
          <w:sz w:val="20"/>
          <w:szCs w:val="20"/>
          <w:color w:val="auto"/>
        </w:rPr>
      </w:pPr>
    </w:p>
    <w:p>
      <w:pPr>
        <w:jc w:val="both"/>
        <w:ind w:left="160" w:right="1239" w:firstLine="251"/>
        <w:spacing w:after="0" w:line="299" w:lineRule="auto"/>
        <w:rPr>
          <w:sz w:val="20"/>
          <w:szCs w:val="20"/>
          <w:color w:val="auto"/>
        </w:rPr>
      </w:pPr>
      <w:r>
        <w:rPr>
          <w:rFonts w:ascii="Arial" w:cs="Arial" w:eastAsia="Arial" w:hAnsi="Arial"/>
          <w:sz w:val="16"/>
          <w:szCs w:val="16"/>
          <w:color w:val="auto"/>
        </w:rPr>
        <w:t>The Vringo board of directors was aware of and considered these interests, among other matters, in evaluating and negotiating the Merger Agreement and in recommending that Vringo stockholders approve the Vringo Merger Proposals.</w:t>
      </w:r>
    </w:p>
    <w:p>
      <w:pPr>
        <w:spacing w:after="0" w:line="43" w:lineRule="exact"/>
        <w:rPr>
          <w:sz w:val="20"/>
          <w:szCs w:val="20"/>
          <w:color w:val="auto"/>
        </w:rPr>
      </w:pPr>
    </w:p>
    <w:p>
      <w:pPr>
        <w:jc w:val="both"/>
        <w:ind w:left="160" w:right="1239" w:firstLine="251"/>
        <w:spacing w:after="0" w:line="299" w:lineRule="auto"/>
        <w:rPr>
          <w:sz w:val="20"/>
          <w:szCs w:val="20"/>
          <w:color w:val="auto"/>
        </w:rPr>
      </w:pPr>
      <w:r>
        <w:rPr>
          <w:rFonts w:ascii="Arial" w:cs="Arial" w:eastAsia="Arial" w:hAnsi="Arial"/>
          <w:sz w:val="16"/>
          <w:szCs w:val="16"/>
          <w:color w:val="auto"/>
        </w:rPr>
        <w:t xml:space="preserve">For a more complete discussion of the interests of the directors and executive officers of Vringo in the Merger, see the section entitled “The Merger — Interests of Vringo’s Directors and Executive Officers in the Merger” beginning on page </w:t>
      </w:r>
      <w:r>
        <w:rPr>
          <w:rFonts w:ascii="Arial" w:cs="Arial" w:eastAsia="Arial" w:hAnsi="Arial"/>
          <w:sz w:val="16"/>
          <w:szCs w:val="16"/>
          <w:u w:val="single" w:color="auto"/>
          <w:color w:val="0000EE"/>
        </w:rPr>
        <w:t>82</w:t>
      </w:r>
      <w:r>
        <w:rPr>
          <w:rFonts w:ascii="Arial" w:cs="Arial" w:eastAsia="Arial" w:hAnsi="Arial"/>
          <w:sz w:val="16"/>
          <w:szCs w:val="16"/>
          <w:color w:val="auto"/>
        </w:rPr>
        <w: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Ownership Interests</w:t>
      </w:r>
    </w:p>
    <w:p>
      <w:pPr>
        <w:spacing w:after="0" w:line="105" w:lineRule="exact"/>
        <w:rPr>
          <w:sz w:val="20"/>
          <w:szCs w:val="20"/>
          <w:color w:val="auto"/>
        </w:rPr>
      </w:pPr>
    </w:p>
    <w:p>
      <w:pPr>
        <w:jc w:val="both"/>
        <w:ind w:left="160" w:right="1239" w:firstLine="251"/>
        <w:spacing w:after="0" w:line="282" w:lineRule="auto"/>
        <w:rPr>
          <w:sz w:val="20"/>
          <w:szCs w:val="20"/>
          <w:color w:val="auto"/>
        </w:rPr>
      </w:pPr>
      <w:r>
        <w:rPr>
          <w:rFonts w:ascii="Arial" w:cs="Arial" w:eastAsia="Arial" w:hAnsi="Arial"/>
          <w:sz w:val="15"/>
          <w:szCs w:val="15"/>
          <w:color w:val="auto"/>
        </w:rPr>
        <w:t>The following table sets forth information as of May 25, 2012, regarding the beneficial ownership of the combined company for each executive officer and director of Vringo and Innovate/Protect following the completion of the Merger. Percentage of beneficial ownership is calculated in relation to 32,173,593 shares of common stock of the combined company outstanding upon completion of the Merger, assuming that the Common Stock Exchange Ratio to be used in connection with the Merger is approximately 3.0176 shares of Vringo common stock for each share of Innovate/Protect capital stock (without giving effect to the proposed reverse stock split described elsewhere in this proxy statement/prospectus).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and if applicable, shares of Vringo common stock issuable pursuant to the exercise of stock options or other securities that are exercisable or convertible into shares of Innovate/Protect capital stock or Vringo common stock, as applicable, within 60 days of May 25, 2012. The table also sets forth the total number of additional options that each executive officer and director of Innovate/Protect will have the right to acquire following the Merger, but which are not exercisable within 60 days of May 25, 2012.</w:t>
      </w:r>
    </w:p>
    <w:tbl>
      <w:tblPr>
        <w:tblLayout w:type="fixed"/>
        <w:tblInd w:w="0" w:type="dxa"/>
        <w:tblCellMar>
          <w:top w:w="0" w:type="dxa"/>
          <w:left w:w="0" w:type="dxa"/>
          <w:bottom w:w="0" w:type="dxa"/>
          <w:right w:w="0" w:type="dxa"/>
        </w:tblCellMar>
      </w:tblPr>
      <w:tr>
        <w:trPr>
          <w:trHeight w:val="141"/>
        </w:trPr>
        <w:tc>
          <w:tcPr>
            <w:tcW w:w="120" w:type="dxa"/>
            <w:vAlign w:val="bottom"/>
          </w:tcPr>
          <w:p>
            <w:pPr>
              <w:spacing w:after="0"/>
              <w:rPr>
                <w:sz w:val="12"/>
                <w:szCs w:val="12"/>
                <w:color w:val="auto"/>
              </w:rPr>
            </w:pPr>
          </w:p>
        </w:tc>
        <w:tc>
          <w:tcPr>
            <w:tcW w:w="29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Total Shares to be</w:t>
            </w:r>
          </w:p>
        </w:tc>
        <w:tc>
          <w:tcPr>
            <w:tcW w:w="16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Total Additional</w:t>
            </w:r>
          </w:p>
        </w:tc>
        <w:tc>
          <w:tcPr>
            <w:tcW w:w="160" w:type="dxa"/>
            <w:vAlign w:val="bottom"/>
          </w:tcPr>
          <w:p>
            <w:pPr>
              <w:spacing w:after="0"/>
              <w:rPr>
                <w:sz w:val="12"/>
                <w:szCs w:val="12"/>
                <w:color w:val="auto"/>
              </w:rPr>
            </w:pPr>
          </w:p>
        </w:tc>
        <w:tc>
          <w:tcPr>
            <w:tcW w:w="2920" w:type="dxa"/>
            <w:vAlign w:val="bottom"/>
            <w:gridSpan w:val="2"/>
          </w:tcPr>
          <w:p>
            <w:pPr>
              <w:jc w:val="center"/>
              <w:ind w:right="1320"/>
              <w:spacing w:after="0" w:line="142" w:lineRule="exact"/>
              <w:rPr>
                <w:sz w:val="20"/>
                <w:szCs w:val="20"/>
                <w:color w:val="auto"/>
              </w:rPr>
            </w:pPr>
            <w:r>
              <w:rPr>
                <w:rFonts w:ascii="Arial" w:cs="Arial" w:eastAsia="Arial" w:hAnsi="Arial"/>
                <w:sz w:val="13"/>
                <w:szCs w:val="13"/>
                <w:b w:val="1"/>
                <w:bCs w:val="1"/>
                <w:color w:val="auto"/>
                <w:w w:val="94"/>
              </w:rPr>
              <w:t>Combined</w:t>
            </w:r>
          </w:p>
        </w:tc>
        <w:tc>
          <w:tcPr>
            <w:tcW w:w="1100" w:type="dxa"/>
            <w:vAlign w:val="bottom"/>
          </w:tcPr>
          <w:p>
            <w:pPr>
              <w:spacing w:after="0"/>
              <w:rPr>
                <w:sz w:val="12"/>
                <w:szCs w:val="12"/>
                <w:color w:val="auto"/>
              </w:rPr>
            </w:pPr>
          </w:p>
        </w:tc>
      </w:tr>
      <w:tr>
        <w:trPr>
          <w:trHeight w:val="138"/>
        </w:trPr>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Beneficially Owned</w:t>
            </w:r>
          </w:p>
        </w:tc>
        <w:tc>
          <w:tcPr>
            <w:tcW w:w="160" w:type="dxa"/>
            <w:vAlign w:val="bottom"/>
          </w:tcPr>
          <w:p>
            <w:pPr>
              <w:spacing w:after="0"/>
              <w:rPr>
                <w:sz w:val="11"/>
                <w:szCs w:val="11"/>
                <w:color w:val="auto"/>
              </w:rPr>
            </w:pPr>
          </w:p>
        </w:tc>
        <w:tc>
          <w:tcPr>
            <w:tcW w:w="13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Options to be Held</w:t>
            </w:r>
          </w:p>
        </w:tc>
        <w:tc>
          <w:tcPr>
            <w:tcW w:w="160" w:type="dxa"/>
            <w:vAlign w:val="bottom"/>
          </w:tcPr>
          <w:p>
            <w:pPr>
              <w:spacing w:after="0"/>
              <w:rPr>
                <w:sz w:val="11"/>
                <w:szCs w:val="11"/>
                <w:color w:val="auto"/>
              </w:rPr>
            </w:pPr>
          </w:p>
        </w:tc>
        <w:tc>
          <w:tcPr>
            <w:tcW w:w="2920" w:type="dxa"/>
            <w:vAlign w:val="bottom"/>
            <w:gridSpan w:val="2"/>
          </w:tcPr>
          <w:p>
            <w:pPr>
              <w:jc w:val="center"/>
              <w:ind w:right="1320"/>
              <w:spacing w:after="0" w:line="138" w:lineRule="exact"/>
              <w:rPr>
                <w:sz w:val="20"/>
                <w:szCs w:val="20"/>
                <w:color w:val="auto"/>
              </w:rPr>
            </w:pPr>
            <w:r>
              <w:rPr>
                <w:rFonts w:ascii="Arial" w:cs="Arial" w:eastAsia="Arial" w:hAnsi="Arial"/>
                <w:sz w:val="13"/>
                <w:szCs w:val="13"/>
                <w:b w:val="1"/>
                <w:bCs w:val="1"/>
                <w:color w:val="auto"/>
                <w:w w:val="93"/>
              </w:rPr>
              <w:t>Company Beneficial</w:t>
            </w:r>
          </w:p>
        </w:tc>
        <w:tc>
          <w:tcPr>
            <w:tcW w:w="1100" w:type="dxa"/>
            <w:vAlign w:val="bottom"/>
          </w:tcPr>
          <w:p>
            <w:pPr>
              <w:spacing w:after="0"/>
              <w:rPr>
                <w:sz w:val="11"/>
                <w:szCs w:val="11"/>
                <w:color w:val="auto"/>
              </w:rPr>
            </w:pPr>
          </w:p>
        </w:tc>
      </w:tr>
      <w:tr>
        <w:trPr>
          <w:trHeight w:val="138"/>
        </w:trPr>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Following the Merger</w:t>
            </w:r>
          </w:p>
        </w:tc>
        <w:tc>
          <w:tcPr>
            <w:tcW w:w="160" w:type="dxa"/>
            <w:vAlign w:val="bottom"/>
          </w:tcPr>
          <w:p>
            <w:pPr>
              <w:spacing w:after="0"/>
              <w:rPr>
                <w:sz w:val="11"/>
                <w:szCs w:val="11"/>
                <w:color w:val="auto"/>
              </w:rPr>
            </w:pPr>
          </w:p>
        </w:tc>
        <w:tc>
          <w:tcPr>
            <w:tcW w:w="13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Following the Merger</w:t>
            </w:r>
          </w:p>
        </w:tc>
        <w:tc>
          <w:tcPr>
            <w:tcW w:w="160" w:type="dxa"/>
            <w:vAlign w:val="bottom"/>
          </w:tcPr>
          <w:p>
            <w:pPr>
              <w:spacing w:after="0"/>
              <w:rPr>
                <w:sz w:val="11"/>
                <w:szCs w:val="11"/>
                <w:color w:val="auto"/>
              </w:rPr>
            </w:pPr>
          </w:p>
        </w:tc>
        <w:tc>
          <w:tcPr>
            <w:tcW w:w="2920" w:type="dxa"/>
            <w:vAlign w:val="bottom"/>
            <w:gridSpan w:val="2"/>
          </w:tcPr>
          <w:p>
            <w:pPr>
              <w:jc w:val="center"/>
              <w:ind w:right="1320"/>
              <w:spacing w:after="0" w:line="138" w:lineRule="exact"/>
              <w:rPr>
                <w:sz w:val="20"/>
                <w:szCs w:val="20"/>
                <w:color w:val="auto"/>
              </w:rPr>
            </w:pPr>
            <w:r>
              <w:rPr>
                <w:rFonts w:ascii="Arial" w:cs="Arial" w:eastAsia="Arial" w:hAnsi="Arial"/>
                <w:sz w:val="13"/>
                <w:szCs w:val="13"/>
                <w:b w:val="1"/>
                <w:bCs w:val="1"/>
                <w:color w:val="auto"/>
                <w:w w:val="90"/>
              </w:rPr>
              <w:t>Ownership Percentage</w:t>
            </w:r>
          </w:p>
        </w:tc>
        <w:tc>
          <w:tcPr>
            <w:tcW w:w="1100" w:type="dxa"/>
            <w:vAlign w:val="bottom"/>
          </w:tcPr>
          <w:p>
            <w:pPr>
              <w:spacing w:after="0"/>
              <w:rPr>
                <w:sz w:val="11"/>
                <w:szCs w:val="11"/>
                <w:color w:val="auto"/>
              </w:rPr>
            </w:pPr>
          </w:p>
        </w:tc>
      </w:tr>
      <w:tr>
        <w:trPr>
          <w:trHeight w:val="158"/>
        </w:trPr>
        <w:tc>
          <w:tcPr>
            <w:tcW w:w="1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Following the Merger</w:t>
            </w:r>
          </w:p>
        </w:tc>
        <w:tc>
          <w:tcPr>
            <w:tcW w:w="1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3"/>
        </w:trPr>
        <w:tc>
          <w:tcPr>
            <w:tcW w:w="120" w:type="dxa"/>
            <w:vAlign w:val="bottom"/>
          </w:tcPr>
          <w:p>
            <w:pPr>
              <w:spacing w:after="0"/>
              <w:rPr>
                <w:sz w:val="16"/>
                <w:szCs w:val="16"/>
                <w:color w:val="auto"/>
              </w:rPr>
            </w:pPr>
          </w:p>
        </w:tc>
        <w:tc>
          <w:tcPr>
            <w:tcW w:w="294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Andrew D. Perlman</w:t>
            </w:r>
          </w:p>
        </w:tc>
        <w:tc>
          <w:tcPr>
            <w:tcW w:w="1460" w:type="dxa"/>
            <w:vAlign w:val="bottom"/>
            <w:gridSpan w:val="2"/>
            <w:shd w:val="clear" w:color="auto" w:fill="CCFFCC"/>
          </w:tcPr>
          <w:p>
            <w:pPr>
              <w:jc w:val="right"/>
              <w:ind w:right="33"/>
              <w:spacing w:after="0" w:line="193" w:lineRule="exact"/>
              <w:rPr>
                <w:sz w:val="20"/>
                <w:szCs w:val="20"/>
                <w:color w:val="auto"/>
              </w:rPr>
            </w:pPr>
            <w:r>
              <w:rPr>
                <w:rFonts w:ascii="Arial" w:cs="Arial" w:eastAsia="Arial" w:hAnsi="Arial"/>
                <w:sz w:val="17"/>
                <w:szCs w:val="17"/>
                <w:color w:val="auto"/>
              </w:rPr>
              <w:t>607,381</w:t>
            </w:r>
          </w:p>
        </w:tc>
        <w:tc>
          <w:tcPr>
            <w:tcW w:w="1460" w:type="dxa"/>
            <w:vAlign w:val="bottom"/>
            <w:gridSpan w:val="2"/>
            <w:shd w:val="clear" w:color="auto" w:fill="CCFFCC"/>
          </w:tcPr>
          <w:p>
            <w:pPr>
              <w:jc w:val="right"/>
              <w:ind w:right="24"/>
              <w:spacing w:after="0" w:line="193" w:lineRule="exact"/>
              <w:rPr>
                <w:sz w:val="20"/>
                <w:szCs w:val="20"/>
                <w:color w:val="auto"/>
              </w:rPr>
            </w:pPr>
            <w:r>
              <w:rPr>
                <w:rFonts w:ascii="Arial" w:cs="Arial" w:eastAsia="Arial" w:hAnsi="Arial"/>
                <w:sz w:val="17"/>
                <w:szCs w:val="17"/>
                <w:color w:val="auto"/>
              </w:rPr>
              <w:t>331,453</w:t>
            </w:r>
          </w:p>
        </w:tc>
        <w:tc>
          <w:tcPr>
            <w:tcW w:w="1760" w:type="dxa"/>
            <w:vAlign w:val="bottom"/>
            <w:gridSpan w:val="2"/>
            <w:shd w:val="clear" w:color="auto" w:fill="CCFFCC"/>
          </w:tcPr>
          <w:p>
            <w:pPr>
              <w:jc w:val="right"/>
              <w:ind w:right="393"/>
              <w:spacing w:after="0" w:line="193" w:lineRule="exact"/>
              <w:rPr>
                <w:sz w:val="20"/>
                <w:szCs w:val="20"/>
                <w:color w:val="auto"/>
              </w:rPr>
            </w:pPr>
            <w:r>
              <w:rPr>
                <w:rFonts w:ascii="Arial" w:cs="Arial" w:eastAsia="Arial" w:hAnsi="Arial"/>
                <w:sz w:val="17"/>
                <w:szCs w:val="17"/>
                <w:color w:val="auto"/>
              </w:rPr>
              <w:t>1.8%</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Seth M. Siegel</w:t>
            </w:r>
          </w:p>
        </w:tc>
        <w:tc>
          <w:tcPr>
            <w:tcW w:w="1460" w:type="dxa"/>
            <w:vAlign w:val="bottom"/>
            <w:gridSpan w:val="2"/>
          </w:tcPr>
          <w:p>
            <w:pPr>
              <w:jc w:val="right"/>
              <w:ind w:right="33"/>
              <w:spacing w:after="0"/>
              <w:rPr>
                <w:sz w:val="20"/>
                <w:szCs w:val="20"/>
                <w:color w:val="auto"/>
              </w:rPr>
            </w:pPr>
            <w:r>
              <w:rPr>
                <w:rFonts w:ascii="Arial" w:cs="Arial" w:eastAsia="Arial" w:hAnsi="Arial"/>
                <w:sz w:val="17"/>
                <w:szCs w:val="17"/>
                <w:color w:val="auto"/>
              </w:rPr>
              <w:t>619,289</w:t>
            </w:r>
          </w:p>
        </w:tc>
        <w:tc>
          <w:tcPr>
            <w:tcW w:w="1460" w:type="dxa"/>
            <w:vAlign w:val="bottom"/>
            <w:gridSpan w:val="2"/>
          </w:tcPr>
          <w:p>
            <w:pPr>
              <w:jc w:val="right"/>
              <w:ind w:right="24"/>
              <w:spacing w:after="0"/>
              <w:rPr>
                <w:sz w:val="20"/>
                <w:szCs w:val="20"/>
                <w:color w:val="auto"/>
              </w:rPr>
            </w:pPr>
            <w:r>
              <w:rPr>
                <w:rFonts w:ascii="Arial" w:cs="Arial" w:eastAsia="Arial" w:hAnsi="Arial"/>
                <w:sz w:val="17"/>
                <w:szCs w:val="17"/>
                <w:color w:val="auto"/>
              </w:rPr>
              <w:t>214,583</w:t>
            </w:r>
          </w:p>
        </w:tc>
        <w:tc>
          <w:tcPr>
            <w:tcW w:w="1760" w:type="dxa"/>
            <w:vAlign w:val="bottom"/>
            <w:gridSpan w:val="2"/>
          </w:tcPr>
          <w:p>
            <w:pPr>
              <w:jc w:val="right"/>
              <w:ind w:right="393"/>
              <w:spacing w:after="0"/>
              <w:rPr>
                <w:sz w:val="20"/>
                <w:szCs w:val="20"/>
                <w:color w:val="auto"/>
              </w:rPr>
            </w:pPr>
            <w:r>
              <w:rPr>
                <w:rFonts w:ascii="Arial" w:cs="Arial" w:eastAsia="Arial" w:hAnsi="Arial"/>
                <w:sz w:val="17"/>
                <w:szCs w:val="17"/>
                <w:color w:val="auto"/>
              </w:rPr>
              <w:t>1.7%</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29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Andrew Kennedy Lang</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8,034,360</w:t>
            </w:r>
          </w:p>
        </w:tc>
        <w:tc>
          <w:tcPr>
            <w:tcW w:w="160" w:type="dxa"/>
            <w:vAlign w:val="bottom"/>
            <w:shd w:val="clear" w:color="auto" w:fill="CCFFCC"/>
          </w:tcPr>
          <w:p>
            <w:pPr>
              <w:spacing w:after="0"/>
              <w:rPr>
                <w:sz w:val="17"/>
                <w:szCs w:val="17"/>
                <w:color w:val="auto"/>
              </w:rPr>
            </w:pPr>
          </w:p>
        </w:tc>
        <w:tc>
          <w:tcPr>
            <w:tcW w:w="1300" w:type="dxa"/>
            <w:vAlign w:val="bottom"/>
            <w:shd w:val="clear" w:color="auto" w:fill="CCFFCC"/>
          </w:tcPr>
          <w:p>
            <w:pPr>
              <w:jc w:val="right"/>
              <w:ind w:right="24"/>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FFCC"/>
          </w:tcPr>
          <w:p>
            <w:pPr>
              <w:jc w:val="right"/>
              <w:ind w:right="393"/>
              <w:spacing w:after="0"/>
              <w:rPr>
                <w:sz w:val="20"/>
                <w:szCs w:val="20"/>
                <w:color w:val="auto"/>
              </w:rPr>
            </w:pPr>
            <w:r>
              <w:rPr>
                <w:rFonts w:ascii="Arial" w:cs="Arial" w:eastAsia="Arial" w:hAnsi="Arial"/>
                <w:sz w:val="17"/>
                <w:szCs w:val="17"/>
                <w:color w:val="auto"/>
              </w:rPr>
              <w:t>23.3%</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Alexander R. Berger</w:t>
            </w:r>
          </w:p>
        </w:tc>
        <w:tc>
          <w:tcPr>
            <w:tcW w:w="1460" w:type="dxa"/>
            <w:vAlign w:val="bottom"/>
            <w:gridSpan w:val="2"/>
          </w:tcPr>
          <w:p>
            <w:pPr>
              <w:jc w:val="right"/>
              <w:ind w:right="33"/>
              <w:spacing w:after="0"/>
              <w:rPr>
                <w:sz w:val="20"/>
                <w:szCs w:val="20"/>
                <w:color w:val="auto"/>
              </w:rPr>
            </w:pPr>
            <w:r>
              <w:rPr>
                <w:rFonts w:ascii="Arial" w:cs="Arial" w:eastAsia="Arial" w:hAnsi="Arial"/>
                <w:sz w:val="17"/>
                <w:szCs w:val="17"/>
                <w:color w:val="auto"/>
              </w:rPr>
              <w:t>2,678,120</w:t>
            </w:r>
          </w:p>
        </w:tc>
        <w:tc>
          <w:tcPr>
            <w:tcW w:w="160" w:type="dxa"/>
            <w:vAlign w:val="bottom"/>
          </w:tcPr>
          <w:p>
            <w:pPr>
              <w:spacing w:after="0"/>
              <w:rPr>
                <w:sz w:val="17"/>
                <w:szCs w:val="17"/>
                <w:color w:val="auto"/>
              </w:rPr>
            </w:pPr>
          </w:p>
        </w:tc>
        <w:tc>
          <w:tcPr>
            <w:tcW w:w="1300" w:type="dxa"/>
            <w:vAlign w:val="bottom"/>
          </w:tcPr>
          <w:p>
            <w:pPr>
              <w:jc w:val="right"/>
              <w:ind w:right="24"/>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393"/>
              <w:spacing w:after="0"/>
              <w:rPr>
                <w:sz w:val="20"/>
                <w:szCs w:val="20"/>
                <w:color w:val="auto"/>
              </w:rPr>
            </w:pPr>
            <w:r>
              <w:rPr>
                <w:rFonts w:ascii="Arial" w:cs="Arial" w:eastAsia="Arial" w:hAnsi="Arial"/>
                <w:sz w:val="17"/>
                <w:szCs w:val="17"/>
                <w:color w:val="auto"/>
              </w:rPr>
              <w:t>8.1%</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29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John Engelman</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201,533</w:t>
            </w:r>
          </w:p>
        </w:tc>
        <w:tc>
          <w:tcPr>
            <w:tcW w:w="1460" w:type="dxa"/>
            <w:vAlign w:val="bottom"/>
            <w:gridSpan w:val="2"/>
            <w:shd w:val="clear" w:color="auto" w:fill="CCFFCC"/>
          </w:tcPr>
          <w:p>
            <w:pPr>
              <w:jc w:val="right"/>
              <w:ind w:right="24"/>
              <w:spacing w:after="0"/>
              <w:rPr>
                <w:sz w:val="20"/>
                <w:szCs w:val="20"/>
                <w:color w:val="auto"/>
              </w:rPr>
            </w:pPr>
            <w:r>
              <w:rPr>
                <w:rFonts w:ascii="Arial" w:cs="Arial" w:eastAsia="Arial" w:hAnsi="Arial"/>
                <w:sz w:val="17"/>
                <w:szCs w:val="17"/>
                <w:color w:val="auto"/>
              </w:rPr>
              <w:t>129,271</w:t>
            </w:r>
          </w:p>
        </w:tc>
        <w:tc>
          <w:tcPr>
            <w:tcW w:w="1760" w:type="dxa"/>
            <w:vAlign w:val="bottom"/>
            <w:gridSpan w:val="2"/>
            <w:shd w:val="clear" w:color="auto" w:fill="CCFFCC"/>
          </w:tcPr>
          <w:p>
            <w:pPr>
              <w:jc w:val="right"/>
              <w:ind w:right="393"/>
              <w:spacing w:after="0"/>
              <w:rPr>
                <w:sz w:val="20"/>
                <w:szCs w:val="20"/>
                <w:color w:val="auto"/>
              </w:rPr>
            </w:pPr>
            <w:r>
              <w:rPr>
                <w:rFonts w:ascii="Arial" w:cs="Arial" w:eastAsia="Arial" w:hAnsi="Arial"/>
                <w:sz w:val="17"/>
                <w:szCs w:val="17"/>
                <w:color w:val="auto"/>
              </w:rPr>
              <w:t>0.6%</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Donald E. Stout</w:t>
            </w:r>
          </w:p>
        </w:tc>
        <w:tc>
          <w:tcPr>
            <w:tcW w:w="1460" w:type="dxa"/>
            <w:vAlign w:val="bottom"/>
            <w:gridSpan w:val="2"/>
          </w:tcPr>
          <w:p>
            <w:pPr>
              <w:jc w:val="right"/>
              <w:ind w:right="33"/>
              <w:spacing w:after="0"/>
              <w:rPr>
                <w:sz w:val="20"/>
                <w:szCs w:val="20"/>
                <w:color w:val="auto"/>
              </w:rPr>
            </w:pPr>
            <w:r>
              <w:rPr>
                <w:rFonts w:ascii="Arial" w:cs="Arial" w:eastAsia="Arial" w:hAnsi="Arial"/>
                <w:sz w:val="17"/>
                <w:szCs w:val="17"/>
                <w:color w:val="auto"/>
              </w:rPr>
              <w:t>1,083,195</w:t>
            </w:r>
          </w:p>
        </w:tc>
        <w:tc>
          <w:tcPr>
            <w:tcW w:w="160" w:type="dxa"/>
            <w:vAlign w:val="bottom"/>
          </w:tcPr>
          <w:p>
            <w:pPr>
              <w:spacing w:after="0"/>
              <w:rPr>
                <w:sz w:val="17"/>
                <w:szCs w:val="17"/>
                <w:color w:val="auto"/>
              </w:rPr>
            </w:pPr>
          </w:p>
        </w:tc>
        <w:tc>
          <w:tcPr>
            <w:tcW w:w="1300" w:type="dxa"/>
            <w:vAlign w:val="bottom"/>
          </w:tcPr>
          <w:p>
            <w:pPr>
              <w:jc w:val="right"/>
              <w:ind w:right="24"/>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393"/>
              <w:spacing w:after="0"/>
              <w:rPr>
                <w:sz w:val="20"/>
                <w:szCs w:val="20"/>
                <w:color w:val="auto"/>
              </w:rPr>
            </w:pPr>
            <w:r>
              <w:rPr>
                <w:rFonts w:ascii="Arial" w:cs="Arial" w:eastAsia="Arial" w:hAnsi="Arial"/>
                <w:sz w:val="17"/>
                <w:szCs w:val="17"/>
                <w:color w:val="auto"/>
              </w:rPr>
              <w:t>3.3%</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29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H. Van Sinclair</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171,400</w:t>
            </w:r>
          </w:p>
        </w:tc>
        <w:tc>
          <w:tcPr>
            <w:tcW w:w="160" w:type="dxa"/>
            <w:vAlign w:val="bottom"/>
            <w:shd w:val="clear" w:color="auto" w:fill="CCFFCC"/>
          </w:tcPr>
          <w:p>
            <w:pPr>
              <w:spacing w:after="0"/>
              <w:rPr>
                <w:sz w:val="17"/>
                <w:szCs w:val="17"/>
                <w:color w:val="auto"/>
              </w:rPr>
            </w:pPr>
          </w:p>
        </w:tc>
        <w:tc>
          <w:tcPr>
            <w:tcW w:w="1300" w:type="dxa"/>
            <w:vAlign w:val="bottom"/>
            <w:shd w:val="clear" w:color="auto" w:fill="CCFFCC"/>
          </w:tcPr>
          <w:p>
            <w:pPr>
              <w:jc w:val="right"/>
              <w:ind w:right="24"/>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FFCC"/>
          </w:tcPr>
          <w:p>
            <w:pPr>
              <w:jc w:val="right"/>
              <w:ind w:right="393"/>
              <w:spacing w:after="0"/>
              <w:rPr>
                <w:sz w:val="20"/>
                <w:szCs w:val="20"/>
                <w:color w:val="auto"/>
              </w:rPr>
            </w:pPr>
            <w:r>
              <w:rPr>
                <w:rFonts w:ascii="Arial" w:cs="Arial" w:eastAsia="Arial" w:hAnsi="Arial"/>
                <w:sz w:val="17"/>
                <w:szCs w:val="17"/>
                <w:color w:val="auto"/>
              </w:rPr>
              <w:t>0.5%</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Ellen Cohl</w:t>
            </w:r>
          </w:p>
        </w:tc>
        <w:tc>
          <w:tcPr>
            <w:tcW w:w="1460" w:type="dxa"/>
            <w:vAlign w:val="bottom"/>
            <w:gridSpan w:val="2"/>
          </w:tcPr>
          <w:p>
            <w:pPr>
              <w:jc w:val="right"/>
              <w:ind w:right="33"/>
              <w:spacing w:after="0"/>
              <w:rPr>
                <w:sz w:val="20"/>
                <w:szCs w:val="20"/>
                <w:color w:val="auto"/>
              </w:rPr>
            </w:pPr>
            <w:r>
              <w:rPr>
                <w:rFonts w:ascii="Arial" w:cs="Arial" w:eastAsia="Arial" w:hAnsi="Arial"/>
                <w:sz w:val="17"/>
                <w:szCs w:val="17"/>
                <w:color w:val="auto"/>
              </w:rPr>
              <w:t>213,750</w:t>
            </w:r>
          </w:p>
        </w:tc>
        <w:tc>
          <w:tcPr>
            <w:tcW w:w="1460" w:type="dxa"/>
            <w:vAlign w:val="bottom"/>
            <w:gridSpan w:val="2"/>
          </w:tcPr>
          <w:p>
            <w:pPr>
              <w:jc w:val="right"/>
              <w:ind w:right="24"/>
              <w:spacing w:after="0"/>
              <w:rPr>
                <w:sz w:val="20"/>
                <w:szCs w:val="20"/>
                <w:color w:val="auto"/>
              </w:rPr>
            </w:pPr>
            <w:r>
              <w:rPr>
                <w:rFonts w:ascii="Arial" w:cs="Arial" w:eastAsia="Arial" w:hAnsi="Arial"/>
                <w:sz w:val="17"/>
                <w:szCs w:val="17"/>
                <w:color w:val="auto"/>
              </w:rPr>
              <w:t>186,250</w:t>
            </w:r>
          </w:p>
        </w:tc>
        <w:tc>
          <w:tcPr>
            <w:tcW w:w="1760" w:type="dxa"/>
            <w:vAlign w:val="bottom"/>
            <w:gridSpan w:val="2"/>
          </w:tcPr>
          <w:p>
            <w:pPr>
              <w:jc w:val="right"/>
              <w:ind w:right="393"/>
              <w:spacing w:after="0"/>
              <w:rPr>
                <w:sz w:val="20"/>
                <w:szCs w:val="20"/>
                <w:color w:val="auto"/>
              </w:rPr>
            </w:pPr>
            <w:r>
              <w:rPr>
                <w:rFonts w:ascii="Arial" w:cs="Arial" w:eastAsia="Arial" w:hAnsi="Arial"/>
                <w:sz w:val="17"/>
                <w:szCs w:val="17"/>
                <w:color w:val="auto"/>
              </w:rPr>
              <w:t>0.6%</w:t>
            </w: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4"/>
        </w:trPr>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r>
      <w:tr>
        <w:trPr>
          <w:trHeight w:val="497"/>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52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7545" cy="6521450"/>
                    </a:xfrm>
                    <a:prstGeom prst="rect">
                      <a:avLst/>
                    </a:prstGeom>
                    <a:noFill/>
                  </pic:spPr>
                </pic:pic>
              </a:graphicData>
            </a:graphic>
          </wp:anchor>
        </w:drawing>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Anticipated Accounting Treatment of the Merger</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Merger will be treated by Vringo as a reverse merger under the acquisition method of accounting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xml:space="preserve">”). For accounting purposes, Innovate/Protect is considered to be acquiring Vringo in this transaction. For a more complete discussion of the anticipated accounting treatment of the Merger, see the section entitled “The Merger — Anticipated Accounting Treatment” beginning on page </w:t>
      </w:r>
      <w:r>
        <w:rPr>
          <w:rFonts w:ascii="Arial" w:cs="Arial" w:eastAsia="Arial" w:hAnsi="Arial"/>
          <w:sz w:val="16"/>
          <w:szCs w:val="16"/>
          <w:u w:val="single" w:color="auto"/>
          <w:color w:val="0000EE"/>
        </w:rPr>
        <w:t>84</w:t>
      </w:r>
      <w:r>
        <w:rPr>
          <w:rFonts w:ascii="Arial" w:cs="Arial" w:eastAsia="Arial" w:hAnsi="Arial"/>
          <w:sz w:val="16"/>
          <w:szCs w:val="16"/>
          <w:color w:val="auto"/>
        </w:rPr>
        <w: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Material U.S. Federal Income Tax Consequences of the Merger</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Mintz, Levin, Cohn, Ferris, Glovsky and Popeo, P.C. has rendered its written opinion regarding such qualification. As a result of the “reorganization,” Innovate/Protect stockholders generally will not recognize gain or loss for U.S. federal income tax purposes upon the exchange of their shares of Innovate/Protect capital stock for the equity securities of Vringo in connection with the Merger. However, an Innovate/Protect stockholder who perfects appraisal rights and receives cash in exchange for such stockholder’s Innovate/Protect capital stock will recognize gain or loss measured by the difference between the amount of cash received and such stockholder’s adjusted tax basis in those shares. Vringo stockholders generally will not recognize gain or loss for U.S. federal income tax purposes as a result of the Merger.</w:t>
      </w:r>
    </w:p>
    <w:p>
      <w:pPr>
        <w:spacing w:after="0" w:line="7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 opinion of counsel relied on certain assumptions as well as representations made by Vringo, Merger Sub and Innovate/Protect, including factual representations and certifications contained in officers’ certificates to be delivered at closing, and assumed that these representations are true, correct and complete, without regard to any knowledge limitation. If any of these representations or assumptions are inconsistent with the actual facts, the opinion could become invalid as a result, and the U.S. federal income tax treatment of the merger could be adversely affected. An opinion of counsel represents counsel’s best legal judgment and is not binding on the Internal Revenue Service or any court. No ruling has been, or will be, sought from the Internal Revenue Service as to the tax consequences of the Merger.</w:t>
      </w:r>
    </w:p>
    <w:p>
      <w:pPr>
        <w:spacing w:after="0" w:line="71"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b w:val="1"/>
          <w:bCs w:val="1"/>
          <w:i w:val="1"/>
          <w:iCs w:val="1"/>
          <w:color w:val="auto"/>
        </w:rPr>
        <w:t xml:space="preserve">Tax matters are very complicated, and the tax consequences of the Merger to a particular Vringo or Innovate/Protect stockholder will depend in part on such stockholder’s circumstances. Accordingly, Vringo and Innovate/Protect urge you to consult your own tax advisor for a full understanding of the tax consequences of the Merger to you, including the applicability and effect of federal, state, local and foreign income and other tax laws. For a more complete discussion of the material U.S. federal income tax consequences of the Merger, see the section entitled “Material U.S. Federal Income Tax Consequences of the Merger” beginning on page </w:t>
      </w:r>
      <w:r>
        <w:rPr>
          <w:rFonts w:ascii="Arial" w:cs="Arial" w:eastAsia="Arial" w:hAnsi="Arial"/>
          <w:sz w:val="16"/>
          <w:szCs w:val="16"/>
          <w:b w:val="1"/>
          <w:bCs w:val="1"/>
          <w:i w:val="1"/>
          <w:iCs w:val="1"/>
          <w:u w:val="single" w:color="auto"/>
          <w:color w:val="0000EE"/>
        </w:rPr>
        <w:t>86</w:t>
      </w:r>
      <w:r>
        <w:rPr>
          <w:rFonts w:ascii="Arial" w:cs="Arial" w:eastAsia="Arial" w:hAnsi="Arial"/>
          <w:sz w:val="16"/>
          <w:szCs w:val="16"/>
          <w:b w:val="1"/>
          <w:bCs w:val="1"/>
          <w:i w:val="1"/>
          <w:iCs w:val="1"/>
          <w:color w:val="auto"/>
        </w:rPr>
        <w: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Restrictions on Sales of Shares of Vringo Common Stock Received by Innovate/Protect Stockholder in the Merger</w:t>
      </w:r>
    </w:p>
    <w:p>
      <w:pPr>
        <w:spacing w:after="0" w:line="121"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Pursuant to a letter agreement between Vringo and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(ii) shares of Vringo common stock issued upon exercise of any Series 1 Warrants or Series 2 Warrants issued to Hudson Bay pursuant to the Merger Agreement, in the forms attached to this proxy statement/prospectus as </w:t>
      </w:r>
      <w:r>
        <w:rPr>
          <w:rFonts w:ascii="Arial" w:cs="Arial" w:eastAsia="Arial" w:hAnsi="Arial"/>
          <w:sz w:val="15"/>
          <w:szCs w:val="15"/>
          <w:u w:val="single" w:color="auto"/>
          <w:color w:val="auto"/>
        </w:rPr>
        <w:t>Annex F</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Annex G</w:t>
      </w:r>
      <w:r>
        <w:rPr>
          <w:rFonts w:ascii="Arial" w:cs="Arial" w:eastAsia="Arial" w:hAnsi="Arial"/>
          <w:sz w:val="15"/>
          <w:szCs w:val="15"/>
          <w:color w:val="auto"/>
        </w:rPr>
        <w:t>, respectively, and (iii) shares of Vringo common stock issued upon conversion of the Vringo preferred stock. This restriction is in place from the closing date until the date upon which Vringo gives notice of termination to Hudson Bay pursuant to the Merger Agreement. In exchange, from the closing date until 30 days after Vringo terminates the transfer restriction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w:t>
      </w:r>
    </w:p>
    <w:p>
      <w:pPr>
        <w:spacing w:after="0" w:line="200" w:lineRule="exact"/>
        <w:rPr>
          <w:sz w:val="20"/>
          <w:szCs w:val="20"/>
          <w:color w:val="auto"/>
        </w:rPr>
      </w:pPr>
    </w:p>
    <w:p>
      <w:pPr>
        <w:spacing w:after="0" w:line="28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3938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7545" cy="6393815"/>
                    </a:xfrm>
                    <a:prstGeom prst="rect">
                      <a:avLst/>
                    </a:prstGeom>
                    <a:noFill/>
                  </pic:spPr>
                </pic:pic>
              </a:graphicData>
            </a:graphic>
          </wp:anchor>
        </w:drawing>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without limitation any debt, preferred stock or other instrument or security that is, at any time during its life and under any circumstances, convertible into or exchangeable or exercisable for common stock or common stock equivalents.</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may be resold by them only in transactions permitted by Rule 144 or as otherwise permitted under the Securities Act.</w:t>
      </w:r>
    </w:p>
    <w:p>
      <w:pPr>
        <w:spacing w:after="0" w:line="78"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 xml:space="preserve">For a more complete discussion of the restrictions on sales of shares of Vringo common stock and preferred stock and warrants received by the Innovate/Protect stockholders and warrantholder in the Merger, see the section entitled “The Merger — Restrictions on Sales of Shares of Vringo Common Stock Received by Innovate/Protect Stockholders in the Merger” beginning on page </w:t>
      </w:r>
      <w:r>
        <w:rPr>
          <w:rFonts w:ascii="Arial" w:cs="Arial" w:eastAsia="Arial" w:hAnsi="Arial"/>
          <w:sz w:val="15"/>
          <w:szCs w:val="15"/>
          <w:u w:val="single" w:color="auto"/>
          <w:color w:val="0000EE"/>
        </w:rPr>
        <w:t>84</w:t>
      </w:r>
      <w:r>
        <w:rPr>
          <w:rFonts w:ascii="Arial" w:cs="Arial" w:eastAsia="Arial" w:hAnsi="Arial"/>
          <w:sz w:val="15"/>
          <w:szCs w:val="15"/>
          <w:color w:val="auto"/>
        </w:rPr>
        <w: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Appraisal Rights</w:t>
      </w:r>
    </w:p>
    <w:p>
      <w:pPr>
        <w:spacing w:after="0" w:line="109"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Under the DGCL, holders of Vringo common stock are not entitled to appraisal rights in connection with the Merger. Under the DGCL, however, holders of Innovate/Protect capital stock may be entitled to appraisal rights in connection with the Merger.</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Regulatory Approvals</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As of the date of this proxy statement/prospectus, neither Vringo nor Innovate/Protect is required to make filings or to obtain approvals or clearances from any regulatory authorities in the U.S. or other countries to complete the Merger. In the U.S., Vringo must comply with applicable federal and state securities laws and the rules and regulations of the NYSE Amex in connection with the issuance of shares of Vringo common stock and preferred stock and the resulting change in control of Vringo and the filing of this proxy statement/prospectus with the SEC.</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Conditions to the Completion of the Merger</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Vringo and Innovate/Protect expect to complete the Merger as soon as possible following the approval of the Vringo Merger Proposals at the annual meeting. Completion of the Merger will only be possible, however, after all closing conditions contained in the Merger Agreement are satisfied or waived, including after Vringo receives stockholder approval at the annual meeting. It is possible, therefore, that factors outside of each company’s control could require them to complete the Merger at a later time or not complete it at all.</w:t>
      </w:r>
    </w:p>
    <w:p>
      <w:pPr>
        <w:spacing w:after="0" w:line="80"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The obligations of Vringo and Innovate/Protect to consummate the Merger are each subject to the satisfaction or waiver (to the extent permitted under applicable law) of the following conditions, among others and subject, in some cases, to the exceptions or limitations contained in confidential disclosure schedules delivered to each party by the other:</w:t>
      </w:r>
    </w:p>
    <w:p>
      <w:pPr>
        <w:spacing w:after="0" w:line="58" w:lineRule="exact"/>
        <w:rPr>
          <w:sz w:val="20"/>
          <w:szCs w:val="20"/>
          <w:color w:val="auto"/>
        </w:rPr>
      </w:pPr>
    </w:p>
    <w:p>
      <w:pPr>
        <w:ind w:left="560" w:hanging="30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stockholders of each of Vringo and Innovate/Protect have approved the Merger and the Merger agreement;</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proxy statement/prospectus has become effective;</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shares of Vringo common stock shall have been approved for listing on the NYSE Amex;</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Vringo or Innovate/Protect, as applicable, shall have entered into certain agreements amending and restating existing indebtedness of Innovate/Protect;</w:t>
      </w:r>
    </w:p>
    <w:p>
      <w:pPr>
        <w:spacing w:after="0" w:line="66" w:lineRule="exact"/>
        <w:rPr>
          <w:rFonts w:ascii="Arial" w:cs="Arial" w:eastAsia="Arial" w:hAnsi="Arial"/>
          <w:sz w:val="17"/>
          <w:szCs w:val="17"/>
          <w:color w:val="auto"/>
        </w:rPr>
      </w:pPr>
    </w:p>
    <w:p>
      <w:pPr>
        <w:jc w:val="both"/>
        <w:ind w:left="560" w:right="1239" w:hanging="300"/>
        <w:spacing w:after="0" w:line="297" w:lineRule="auto"/>
        <w:tabs>
          <w:tab w:leader="none" w:pos="5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representations and warranties of the parties shall be true, complete and correct in all material respects on and as of the Effective Time, with the same force and effect as if made on and as of the Effective Time, except for those (x) representations and warranties that are qualified by materiality, which representations and warranties shall be true, complete and correct in all respects and (y) representations and warranties which address matters only as of a particular date;</w:t>
      </w:r>
    </w:p>
    <w:p>
      <w:pPr>
        <w:spacing w:after="0" w:line="48" w:lineRule="exact"/>
        <w:rPr>
          <w:rFonts w:ascii="Arial" w:cs="Arial" w:eastAsia="Arial" w:hAnsi="Arial"/>
          <w:sz w:val="15"/>
          <w:szCs w:val="15"/>
          <w:color w:val="auto"/>
        </w:rPr>
      </w:pPr>
    </w:p>
    <w:p>
      <w:pPr>
        <w:ind w:left="560" w:right="1239" w:hanging="300"/>
        <w:spacing w:after="0" w:line="267"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parties shall have performed or complied in all material respects with all agreements and covenants required by the Merger Agreement to be performed or complied with by it on or prior to the Effective Time;</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417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7545" cy="6417945"/>
                    </a:xfrm>
                    <a:prstGeom prst="rect">
                      <a:avLst/>
                    </a:prstGeom>
                    <a:noFill/>
                  </pic:spPr>
                </pic:pic>
              </a:graphicData>
            </a:graphic>
          </wp:anchor>
        </w:drawing>
        <w:t>TABLE OF CONTENTS</w:t>
      </w:r>
    </w:p>
    <w:p>
      <w:pPr>
        <w:spacing w:after="0" w:line="184" w:lineRule="exact"/>
        <w:rPr>
          <w:sz w:val="20"/>
          <w:szCs w:val="20"/>
          <w:color w:val="auto"/>
        </w:rPr>
      </w:pPr>
    </w:p>
    <w:p>
      <w:pPr>
        <w:ind w:left="560" w:right="1239" w:hanging="300"/>
        <w:spacing w:after="0" w:line="267"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holders of Innovate/Protect options and warrants shall have agreed to convert their options and warrants as provided in the Merger Agreement, as applicable;</w:t>
      </w:r>
    </w:p>
    <w:p>
      <w:pPr>
        <w:spacing w:after="0" w:line="66" w:lineRule="exact"/>
        <w:rPr>
          <w:rFonts w:ascii="Arial" w:cs="Arial" w:eastAsia="Arial" w:hAnsi="Arial"/>
          <w:sz w:val="17"/>
          <w:szCs w:val="17"/>
          <w:color w:val="auto"/>
        </w:rPr>
      </w:pPr>
    </w:p>
    <w:p>
      <w:pPr>
        <w:ind w:left="560" w:right="1239" w:hanging="300"/>
        <w:spacing w:after="0" w:line="335" w:lineRule="auto"/>
        <w:tabs>
          <w:tab w:leader="none" w:pos="5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since the date of the Merger Agreement there shall not have occurred, and no event or circumstance shall exist that has had or could reasonably be expected to have, a material adverse effect on Vringo or Innovate/Protect, as applicable;</w:t>
      </w:r>
    </w:p>
    <w:p>
      <w:pPr>
        <w:spacing w:after="0" w:line="19" w:lineRule="exact"/>
        <w:rPr>
          <w:rFonts w:ascii="Arial" w:cs="Arial" w:eastAsia="Arial" w:hAnsi="Arial"/>
          <w:sz w:val="15"/>
          <w:szCs w:val="15"/>
          <w:color w:val="auto"/>
        </w:rPr>
      </w:pPr>
    </w:p>
    <w:p>
      <w:pPr>
        <w:ind w:left="560" w:right="1239" w:hanging="300"/>
        <w:spacing w:after="0" w:line="267"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employment and board agreements and the agreement with Ambrose Employer Group each shall have been assigned to, and assumed by, Vringo, as set forth in the Merger Agreement;</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Vringo shall have received written resignations from all of the directors and officers of Innovate/Protect and its subsidiaries;</w:t>
      </w:r>
    </w:p>
    <w:p>
      <w:pPr>
        <w:spacing w:after="0" w:line="128" w:lineRule="exact"/>
        <w:rPr>
          <w:rFonts w:ascii="Arial" w:cs="Arial" w:eastAsia="Arial" w:hAnsi="Arial"/>
          <w:sz w:val="15"/>
          <w:szCs w:val="15"/>
          <w:color w:val="auto"/>
        </w:rPr>
      </w:pPr>
    </w:p>
    <w:p>
      <w:pPr>
        <w:jc w:val="both"/>
        <w:ind w:left="560" w:right="1239" w:hanging="300"/>
        <w:spacing w:after="0" w:line="256"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at closing;</w:t>
      </w:r>
    </w:p>
    <w:p>
      <w:pPr>
        <w:spacing w:after="0" w:line="76" w:lineRule="exact"/>
        <w:rPr>
          <w:rFonts w:ascii="Arial" w:cs="Arial" w:eastAsia="Arial" w:hAnsi="Arial"/>
          <w:sz w:val="17"/>
          <w:szCs w:val="17"/>
          <w:color w:val="auto"/>
        </w:rPr>
      </w:pPr>
    </w:p>
    <w:p>
      <w:pPr>
        <w:jc w:val="both"/>
        <w:ind w:left="560" w:right="1239" w:hanging="300"/>
        <w:spacing w:after="0" w:line="250"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since the date of the Merger Agreement, (i) neither Innovate/Protect nor any of its subsidiaries has (A) settled, discharged or released any of its claims, causes of action, or defenses in that certain lawsuit captioned </w:t>
      </w:r>
      <w:r>
        <w:rPr>
          <w:rFonts w:ascii="Arial" w:cs="Arial" w:eastAsia="Arial" w:hAnsi="Arial"/>
          <w:sz w:val="17"/>
          <w:szCs w:val="17"/>
          <w:i w:val="1"/>
          <w:iCs w:val="1"/>
          <w:color w:val="auto"/>
        </w:rPr>
        <w:t>I/P Engine, Inc. v. AOL, Inc.</w:t>
      </w:r>
      <w:r>
        <w:rPr>
          <w:rFonts w:ascii="Arial" w:cs="Arial" w:eastAsia="Arial" w:hAnsi="Arial"/>
          <w:sz w:val="17"/>
          <w:szCs w:val="17"/>
          <w:color w:val="auto"/>
        </w:rPr>
        <w:t>, Civ. Action No. 2:11-cv-512, filed in United States District Court for the Eastern District of Virginia, Norfolk Division on September 15, 2011 (the “</w:t>
      </w:r>
      <w:r>
        <w:rPr>
          <w:rFonts w:ascii="Arial" w:cs="Arial" w:eastAsia="Arial" w:hAnsi="Arial"/>
          <w:sz w:val="17"/>
          <w:szCs w:val="17"/>
          <w:b w:val="1"/>
          <w:bCs w:val="1"/>
          <w:color w:val="auto"/>
        </w:rPr>
        <w:t>Litigation</w:t>
      </w:r>
      <w:r>
        <w:rPr>
          <w:rFonts w:ascii="Arial" w:cs="Arial" w:eastAsia="Arial" w:hAnsi="Arial"/>
          <w:sz w:val="17"/>
          <w:szCs w:val="17"/>
          <w:color w:val="auto"/>
        </w:rPr>
        <w:t>”) nor (B) assigned, promised, transferred, conveyed, encumbered, or granted a security interest in any of those claims and (ii) there has been no dismissal (including, without limitation, by motion to dismiss or summary judgment) of the Litigation;</w:t>
      </w:r>
    </w:p>
    <w:p>
      <w:pPr>
        <w:spacing w:after="0" w:line="81" w:lineRule="exact"/>
        <w:rPr>
          <w:rFonts w:ascii="Arial" w:cs="Arial" w:eastAsia="Arial" w:hAnsi="Arial"/>
          <w:sz w:val="17"/>
          <w:szCs w:val="17"/>
          <w:color w:val="auto"/>
        </w:rPr>
      </w:pPr>
    </w:p>
    <w:p>
      <w:pPr>
        <w:ind w:left="560" w:right="1239" w:hanging="300"/>
        <w:spacing w:after="0" w:line="335" w:lineRule="auto"/>
        <w:tabs>
          <w:tab w:leader="none" w:pos="5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holders of no more than 10% of the issued and outstanding Innovate/Protect capital stock shall have demanded and perfected their right to an appraisal of Innovate/Protect capital stock under the Delaware General Corporation Law; and</w:t>
      </w:r>
    </w:p>
    <w:p>
      <w:pPr>
        <w:spacing w:after="0" w:line="19" w:lineRule="exact"/>
        <w:rPr>
          <w:rFonts w:ascii="Arial" w:cs="Arial" w:eastAsia="Arial" w:hAnsi="Arial"/>
          <w:sz w:val="15"/>
          <w:szCs w:val="15"/>
          <w:color w:val="auto"/>
        </w:rPr>
      </w:pPr>
    </w:p>
    <w:p>
      <w:pPr>
        <w:jc w:val="both"/>
        <w:ind w:left="560" w:right="1239" w:hanging="300"/>
        <w:spacing w:after="0" w:line="256"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7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For a more complete discussion of the conditions to the completion of the Merger, see the section entitled “The Merger Agreement — Conditions to the Completion of the Merger” beginning on page </w:t>
      </w:r>
      <w:r>
        <w:rPr>
          <w:rFonts w:ascii="Arial" w:cs="Arial" w:eastAsia="Arial" w:hAnsi="Arial"/>
          <w:sz w:val="17"/>
          <w:szCs w:val="17"/>
          <w:u w:val="single" w:color="auto"/>
          <w:color w:val="0000EE"/>
        </w:rPr>
        <w:t>97</w:t>
      </w:r>
      <w:r>
        <w:rPr>
          <w:rFonts w:ascii="Arial" w:cs="Arial" w:eastAsia="Arial" w:hAnsi="Arial"/>
          <w:sz w:val="17"/>
          <w:szCs w:val="17"/>
          <w:color w:val="auto"/>
        </w:rPr>
        <w: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 Solicitation</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of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the other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the other party to abandon or terminate the Merger Agreement; or (f) grant any approval pursuant to any “moratorium,” “control share acquisition,” “business combination,”</w:t>
      </w:r>
    </w:p>
    <w:p>
      <w:pPr>
        <w:spacing w:after="0" w:line="200" w:lineRule="exact"/>
        <w:rPr>
          <w:sz w:val="20"/>
          <w:szCs w:val="20"/>
          <w:color w:val="auto"/>
        </w:rPr>
      </w:pPr>
    </w:p>
    <w:p>
      <w:pPr>
        <w:spacing w:after="0" w:line="28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736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7545" cy="6736080"/>
                    </a:xfrm>
                    <a:prstGeom prst="rect">
                      <a:avLst/>
                    </a:prstGeom>
                    <a:noFill/>
                  </pic:spPr>
                </pic:pic>
              </a:graphicData>
            </a:graphic>
          </wp:anchor>
        </w:drawing>
        <w:t>TABLE OF CONTENTS</w:t>
      </w:r>
    </w:p>
    <w:p>
      <w:pPr>
        <w:spacing w:after="0" w:line="184" w:lineRule="exact"/>
        <w:rPr>
          <w:sz w:val="20"/>
          <w:szCs w:val="20"/>
          <w:color w:val="auto"/>
        </w:rPr>
      </w:pPr>
    </w:p>
    <w:p>
      <w:pPr>
        <w:ind w:left="40" w:right="1239"/>
        <w:spacing w:after="0" w:line="267" w:lineRule="auto"/>
        <w:rPr>
          <w:sz w:val="20"/>
          <w:szCs w:val="20"/>
          <w:color w:val="auto"/>
        </w:rPr>
      </w:pPr>
      <w:r>
        <w:rPr>
          <w:rFonts w:ascii="Arial" w:cs="Arial" w:eastAsia="Arial" w:hAnsi="Arial"/>
          <w:sz w:val="17"/>
          <w:szCs w:val="17"/>
          <w:color w:val="auto"/>
        </w:rPr>
        <w:t>“fair price” or other form of anti-takeover law to any person or transaction (other than the Merger) or waiver or release any standstill or similar agreement with respect to the equity securities of the other party.</w:t>
      </w:r>
    </w:p>
    <w:p>
      <w:pPr>
        <w:spacing w:after="0" w:line="6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 xml:space="preserve">For a more complete discussion of the prohibition on solicitation of acquisition proposals from third parties, see the section entitled “The Merger Agreement — No Solicitation” beginning on page </w:t>
      </w:r>
      <w:r>
        <w:rPr>
          <w:rFonts w:ascii="Arial" w:cs="Arial" w:eastAsia="Arial" w:hAnsi="Arial"/>
          <w:sz w:val="17"/>
          <w:szCs w:val="17"/>
          <w:u w:val="single" w:color="auto"/>
          <w:color w:val="0000EE"/>
        </w:rPr>
        <w:t>95</w:t>
      </w:r>
      <w:r>
        <w:rPr>
          <w:rFonts w:ascii="Arial" w:cs="Arial" w:eastAsia="Arial" w:hAnsi="Arial"/>
          <w:sz w:val="17"/>
          <w:szCs w:val="17"/>
          <w:color w:val="auto"/>
        </w:rPr>
        <w: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Termination of the Merger Agreement</w:t>
      </w:r>
    </w:p>
    <w:p>
      <w:pPr>
        <w:spacing w:after="0" w:line="109" w:lineRule="exact"/>
        <w:rPr>
          <w:sz w:val="20"/>
          <w:szCs w:val="20"/>
          <w:color w:val="auto"/>
        </w:rPr>
      </w:pPr>
    </w:p>
    <w:p>
      <w:pPr>
        <w:ind w:left="40" w:right="1239" w:firstLine="251"/>
        <w:spacing w:after="0" w:line="299" w:lineRule="auto"/>
        <w:rPr>
          <w:sz w:val="20"/>
          <w:szCs w:val="20"/>
          <w:color w:val="auto"/>
        </w:rPr>
      </w:pPr>
      <w:r>
        <w:rPr>
          <w:rFonts w:ascii="Arial" w:cs="Arial" w:eastAsia="Arial" w:hAnsi="Arial"/>
          <w:sz w:val="16"/>
          <w:szCs w:val="16"/>
          <w:color w:val="auto"/>
        </w:rPr>
        <w:t>Generally and except as specified below, the Merger Agreement may be terminated and the Merger may be abandoned at any time prior to the completion of the Merger, including after the required Vringo stockholder approval is obtained:</w:t>
      </w:r>
    </w:p>
    <w:p>
      <w:pPr>
        <w:spacing w:after="0" w:line="43" w:lineRule="exact"/>
        <w:rPr>
          <w:sz w:val="20"/>
          <w:szCs w:val="20"/>
          <w:color w:val="auto"/>
        </w:rPr>
      </w:pPr>
    </w:p>
    <w:p>
      <w:pPr>
        <w:ind w:left="560" w:hanging="300"/>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mutual written consent of Vringo, Merger Sub and Innovate/Protect; or</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either party, if:</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Merger has not been completed on or before September 30, 2012;</w:t>
      </w:r>
    </w:p>
    <w:p>
      <w:pPr>
        <w:spacing w:after="0" w:line="105" w:lineRule="exact"/>
        <w:rPr>
          <w:rFonts w:ascii="Arial" w:cs="Arial" w:eastAsia="Arial" w:hAnsi="Arial"/>
          <w:sz w:val="17"/>
          <w:szCs w:val="17"/>
          <w:color w:val="auto"/>
        </w:rPr>
      </w:pPr>
    </w:p>
    <w:p>
      <w:pPr>
        <w:ind w:left="820" w:right="1239" w:hanging="309"/>
        <w:spacing w:after="0" w:line="267" w:lineRule="auto"/>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law enacted by a governmental authority prohibits the consummation of the Merger, or any governmental authority has issued an order prohibiting the consummation of the Merger;</w:t>
      </w:r>
    </w:p>
    <w:p>
      <w:pPr>
        <w:spacing w:after="0" w:line="66" w:lineRule="exact"/>
        <w:rPr>
          <w:rFonts w:ascii="Arial" w:cs="Arial" w:eastAsia="Arial" w:hAnsi="Arial"/>
          <w:sz w:val="17"/>
          <w:szCs w:val="17"/>
          <w:color w:val="auto"/>
        </w:rPr>
      </w:pPr>
    </w:p>
    <w:p>
      <w:pPr>
        <w:jc w:val="both"/>
        <w:ind w:left="820" w:right="1239" w:hanging="309"/>
        <w:spacing w:after="0" w:line="253" w:lineRule="auto"/>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after a vote duly taken, the required approval of the Vringo Merger Proposals by the respective stockholders of Vringo or Innovate/Protect has not been obtained at the respective stockholders meeting (or at any adjournment or postponement thereof), unless failure to obtain approval is attributable to a failure on the part of such party seeking to terminate the Agreement; or</w:t>
      </w:r>
    </w:p>
    <w:p>
      <w:pPr>
        <w:spacing w:after="0" w:line="77" w:lineRule="exact"/>
        <w:rPr>
          <w:rFonts w:ascii="Arial" w:cs="Arial" w:eastAsia="Arial" w:hAnsi="Arial"/>
          <w:sz w:val="17"/>
          <w:szCs w:val="17"/>
          <w:color w:val="auto"/>
        </w:rPr>
      </w:pPr>
    </w:p>
    <w:p>
      <w:pPr>
        <w:jc w:val="both"/>
        <w:ind w:left="820" w:right="1239" w:hanging="309"/>
        <w:spacing w:after="0" w:line="253" w:lineRule="auto"/>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subject to cure periods, the other party’s representations and warranties are inaccurate or the other party fails to comply with its covenants, in each case, such that the closing conditions relating to the accuracy of the other party’s representations and warranties or relating to the performance of the other party’s covenants, as applicable, would not be satisfied; or</w:t>
      </w:r>
    </w:p>
    <w:p>
      <w:pPr>
        <w:spacing w:after="0" w:line="77" w:lineRule="exact"/>
        <w:rPr>
          <w:rFonts w:ascii="Arial" w:cs="Arial" w:eastAsia="Arial" w:hAnsi="Arial"/>
          <w:sz w:val="17"/>
          <w:szCs w:val="17"/>
          <w:color w:val="auto"/>
        </w:rPr>
      </w:pPr>
    </w:p>
    <w:p>
      <w:pPr>
        <w:ind w:left="560" w:hanging="300"/>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Vringo, if:</w:t>
      </w:r>
    </w:p>
    <w:p>
      <w:pPr>
        <w:spacing w:after="0" w:line="105" w:lineRule="exact"/>
        <w:rPr>
          <w:rFonts w:ascii="Arial" w:cs="Arial" w:eastAsia="Arial" w:hAnsi="Arial"/>
          <w:sz w:val="17"/>
          <w:szCs w:val="17"/>
          <w:color w:val="auto"/>
        </w:rPr>
      </w:pPr>
    </w:p>
    <w:p>
      <w:pPr>
        <w:jc w:val="both"/>
        <w:ind w:left="820" w:right="1239" w:hanging="309"/>
        <w:spacing w:after="0" w:line="249" w:lineRule="auto"/>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at any time prior to the approval of the Merger by its stockholders, (i) the Innovate/Protect board of directors has effected a recommendation change, (ii) the Innovate/Protect board of directors or any authorized committee has failed to present or recommend the approval of the Merger Agreement and the Merger to the stockholders, (iii) Innovate/Protect shall have entered or cause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or</w:t>
      </w:r>
    </w:p>
    <w:p>
      <w:pPr>
        <w:spacing w:after="0" w:line="184" w:lineRule="exact"/>
        <w:rPr>
          <w:rFonts w:ascii="Arial" w:cs="Arial" w:eastAsia="Arial" w:hAnsi="Arial"/>
          <w:sz w:val="17"/>
          <w:szCs w:val="17"/>
          <w:color w:val="auto"/>
        </w:rPr>
      </w:pPr>
    </w:p>
    <w:p>
      <w:pPr>
        <w:ind w:left="560" w:hanging="300"/>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Innovate/Protect, if:</w:t>
      </w:r>
    </w:p>
    <w:p>
      <w:pPr>
        <w:spacing w:after="0" w:line="105" w:lineRule="exact"/>
        <w:rPr>
          <w:rFonts w:ascii="Arial" w:cs="Arial" w:eastAsia="Arial" w:hAnsi="Arial"/>
          <w:sz w:val="17"/>
          <w:szCs w:val="17"/>
          <w:color w:val="auto"/>
        </w:rPr>
      </w:pPr>
    </w:p>
    <w:p>
      <w:pPr>
        <w:jc w:val="both"/>
        <w:ind w:left="820" w:right="1239" w:hanging="309"/>
        <w:spacing w:after="0" w:line="269" w:lineRule="auto"/>
        <w:tabs>
          <w:tab w:leader="none" w:pos="8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at any time prior to the approval of the Vringo Merger Proposals, (i) the Vringo board of directors has effected a recommendation change (ii) the Vringo board of directors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Vringo shall have breached any term of the non-solicitation provision of the Merger Agreement; or</w:t>
      </w:r>
    </w:p>
    <w:p>
      <w:pPr>
        <w:spacing w:after="0" w:line="65" w:lineRule="exact"/>
        <w:rPr>
          <w:rFonts w:ascii="Arial" w:cs="Arial" w:eastAsia="Arial" w:hAnsi="Arial"/>
          <w:sz w:val="16"/>
          <w:szCs w:val="16"/>
          <w:color w:val="auto"/>
        </w:rPr>
      </w:pPr>
    </w:p>
    <w:p>
      <w:pPr>
        <w:ind w:left="560" w:right="1239" w:hanging="300"/>
        <w:spacing w:after="0" w:line="335" w:lineRule="auto"/>
        <w:tabs>
          <w:tab w:leader="none" w:pos="5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by either Vringo or Innovate/Protect if prior to obtaining stockholder approval such party determines to enter into a definitive agreement relating to an Innovate/Protect Superior Proposal or Vringo Superior Proposal, as the case may be; or</w:t>
      </w:r>
    </w:p>
    <w:p>
      <w:pPr>
        <w:spacing w:after="0" w:line="19" w:lineRule="exact"/>
        <w:rPr>
          <w:rFonts w:ascii="Arial" w:cs="Arial" w:eastAsia="Arial" w:hAnsi="Arial"/>
          <w:sz w:val="15"/>
          <w:szCs w:val="15"/>
          <w:color w:val="auto"/>
        </w:rPr>
      </w:pPr>
    </w:p>
    <w:p>
      <w:pPr>
        <w:ind w:left="560" w:hanging="300"/>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Innovate/Protect at any time, upon payment to Vringo of the Innovate/Protect termination fee.</w:t>
      </w:r>
    </w:p>
    <w:p>
      <w:pPr>
        <w:spacing w:after="0" w:line="105"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 xml:space="preserve">For a more complete discussion of termination of the Merger Agreement, see the section entitled “The Merger Agreement — Termination of the Merger Agreement” beginning on page </w:t>
      </w:r>
      <w:r>
        <w:rPr>
          <w:rFonts w:ascii="Arial" w:cs="Arial" w:eastAsia="Arial" w:hAnsi="Arial"/>
          <w:sz w:val="17"/>
          <w:szCs w:val="17"/>
          <w:u w:val="single" w:color="auto"/>
          <w:color w:val="0000EE"/>
        </w:rPr>
        <w:t>98</w:t>
      </w:r>
      <w:r>
        <w:rPr>
          <w:rFonts w:ascii="Arial" w:cs="Arial" w:eastAsia="Arial" w:hAnsi="Arial"/>
          <w:sz w:val="17"/>
          <w:szCs w:val="17"/>
          <w:color w:val="auto"/>
        </w:rPr>
        <w:t>.</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1633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7545" cy="6163310"/>
                    </a:xfrm>
                    <a:prstGeom prst="rect">
                      <a:avLst/>
                    </a:prstGeom>
                    <a:noFill/>
                  </pic:spPr>
                </pic:pic>
              </a:graphicData>
            </a:graphic>
          </wp:anchor>
        </w:drawing>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Termination Fees and Expenses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Under certain circumstances, if the Merger is terminated by either Vringo or Innovate/Protect, then Innovate/Protect shall pay to Vringo, a fee in cash equal to $5,000,000.</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Under certain circumstances, if the Merger is terminated by either Vringo or Innovate/Protect in connection with or due to Vringo entering into an alternate transaction constituting a superior proposal, then Vringo shall pay to Innovate/Protect, a fee equal to 5% of the consideration paid to all security holders of Vringo in connection with the Vringo Superior Proposal in the same form as such consideration is paid to such security holders.</w:t>
      </w:r>
    </w:p>
    <w:p>
      <w:pPr>
        <w:spacing w:after="0" w:line="7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For a more complete discussion of termination fees and expenses, see the section entitled “The Merger Agreement — Termination Fees and Expenses” beginning on page </w:t>
      </w:r>
      <w:r>
        <w:rPr>
          <w:rFonts w:ascii="Arial" w:cs="Arial" w:eastAsia="Arial" w:hAnsi="Arial"/>
          <w:sz w:val="17"/>
          <w:szCs w:val="17"/>
          <w:u w:val="single" w:color="auto"/>
          <w:color w:val="0000EE"/>
        </w:rPr>
        <w:t>98</w:t>
      </w:r>
      <w:r>
        <w:rPr>
          <w:rFonts w:ascii="Arial" w:cs="Arial" w:eastAsia="Arial" w:hAnsi="Arial"/>
          <w:sz w:val="17"/>
          <w:szCs w:val="17"/>
          <w:color w:val="auto"/>
        </w:rPr>
        <w: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Voting by Vringo Directors and Executive Officers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___________, 2012, the latest practicable date before the printing of this proxy statement/prospectus, directors and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executive officers of Vringo beneficially owned and were entitled to vote _______ shares of Vringo common stock, or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approximately _______% of the total outstanding voting power of Vringo. It is expected that Vringo’s directors and executive</w:t>
      </w:r>
    </w:p>
    <w:p>
      <w:pPr>
        <w:spacing w:after="0" w:line="16" w:lineRule="exact"/>
        <w:rPr>
          <w:sz w:val="20"/>
          <w:szCs w:val="20"/>
          <w:color w:val="auto"/>
        </w:rPr>
      </w:pPr>
    </w:p>
    <w:p>
      <w:pPr>
        <w:jc w:val="both"/>
        <w:ind w:left="40" w:right="1239"/>
        <w:spacing w:after="0" w:line="252" w:lineRule="auto"/>
        <w:rPr>
          <w:sz w:val="20"/>
          <w:szCs w:val="20"/>
          <w:color w:val="auto"/>
        </w:rPr>
      </w:pPr>
      <w:r>
        <w:rPr>
          <w:rFonts w:ascii="Arial" w:cs="Arial" w:eastAsia="Arial" w:hAnsi="Arial"/>
          <w:sz w:val="17"/>
          <w:szCs w:val="17"/>
          <w:color w:val="auto"/>
        </w:rPr>
        <w:t>officers will vote their shares FOR the approval of the Merger, although none of them has entered into any agreement requiring them to do so.</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Rights of Innovate/Protect Stockholders Will Change as a Result of the Merger</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Due to differences between the governing documents of Vringo and Innovate/Protect, Innovate/Protect stockholders receiving Vringo common stock and preferred stock in connection with the Merger will have different rights once they become Vringo stockholders. The material differences are described in detail under the section entitled “Comparison of Rights of Vringo Stockholders and Innovate/Protect Stockholders” beginning on page </w:t>
      </w:r>
      <w:r>
        <w:rPr>
          <w:rFonts w:ascii="Arial" w:cs="Arial" w:eastAsia="Arial" w:hAnsi="Arial"/>
          <w:sz w:val="17"/>
          <w:szCs w:val="17"/>
          <w:u w:val="single" w:color="auto"/>
          <w:color w:val="0000EE"/>
        </w:rPr>
        <w:t>198</w:t>
      </w:r>
      <w:r>
        <w:rPr>
          <w:rFonts w:ascii="Arial" w:cs="Arial" w:eastAsia="Arial" w:hAnsi="Arial"/>
          <w:sz w:val="17"/>
          <w:szCs w:val="17"/>
          <w:color w:val="auto"/>
        </w:rPr>
        <w: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 Factors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Merger, including the possibility that the Merger may not be completed, poses a number of risks to each company and its respective stockholders, including the following:</w:t>
      </w:r>
    </w:p>
    <w:p>
      <w:pPr>
        <w:spacing w:after="0" w:line="66" w:lineRule="exact"/>
        <w:rPr>
          <w:sz w:val="20"/>
          <w:szCs w:val="20"/>
          <w:color w:val="auto"/>
        </w:rPr>
      </w:pPr>
    </w:p>
    <w:p>
      <w:pPr>
        <w:ind w:left="560" w:right="1239" w:hanging="300"/>
        <w:spacing w:after="0" w:line="335" w:lineRule="auto"/>
        <w:tabs>
          <w:tab w:leader="none" w:pos="5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issuance of shares of Vringo common stock and preferred stock and warrants to the Innovate/Protect stockholders and warrantholder in connection with the Merger will substantially dilute the voting power of current Vringo stockholders;</w:t>
      </w:r>
    </w:p>
    <w:p>
      <w:pPr>
        <w:spacing w:after="0" w:line="19" w:lineRule="exact"/>
        <w:rPr>
          <w:rFonts w:ascii="Arial" w:cs="Arial" w:eastAsia="Arial" w:hAnsi="Arial"/>
          <w:sz w:val="15"/>
          <w:szCs w:val="15"/>
          <w:color w:val="auto"/>
        </w:rPr>
      </w:pPr>
    </w:p>
    <w:p>
      <w:pPr>
        <w:ind w:left="560" w:right="1239" w:hanging="300"/>
        <w:spacing w:after="0" w:line="299" w:lineRule="auto"/>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announcement and pendency of the Merger could have an adverse effect on the Vringo stock price and/or the business, financial condition, results of operations, or business prospects for Vringo and/or Innovate/Protect;</w:t>
      </w:r>
    </w:p>
    <w:p>
      <w:pPr>
        <w:spacing w:after="0" w:line="42"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failure to complete the Merger or delays in completing the Merger could negatively impact Vringo’s and Innovate/Protect’s respective businesses, financial condition, or results of operations or the Vringo stock price;</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some of the directors and executive officers of Vringo and Innovate/Protect have interests in the Merger that are different from, or in addition to, those of the other Vringo and Innovate/Protect stockholders; and</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Merger Agreement contains provisions that could discourage or make it difficult for a third party to acquire Vringo or Innovate/Protect prior to the completion of the Merger.</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In addition, each of Vringo, Innovate/Protect, and the combined company is subject to various risks associated with its business. The risks are discussed in greater detail in the section entitled “Risk Factors” beginning on page </w:t>
      </w:r>
      <w:r>
        <w:rPr>
          <w:rFonts w:ascii="Arial" w:cs="Arial" w:eastAsia="Arial" w:hAnsi="Arial"/>
          <w:sz w:val="17"/>
          <w:szCs w:val="17"/>
          <w:u w:val="single" w:color="auto"/>
          <w:color w:val="0000EE"/>
        </w:rPr>
        <w:t>41</w:t>
      </w:r>
      <w:r>
        <w:rPr>
          <w:rFonts w:ascii="Arial" w:cs="Arial" w:eastAsia="Arial" w:hAnsi="Arial"/>
          <w:sz w:val="17"/>
          <w:szCs w:val="17"/>
          <w:color w:val="auto"/>
        </w:rPr>
        <w:t>. Vringo encourages you to read and consider all of these risks carefully.</w:t>
      </w:r>
    </w:p>
    <w:p>
      <w:pPr>
        <w:spacing w:after="0" w:line="200" w:lineRule="exact"/>
        <w:rPr>
          <w:sz w:val="20"/>
          <w:szCs w:val="20"/>
          <w:color w:val="auto"/>
        </w:rPr>
      </w:pPr>
    </w:p>
    <w:p>
      <w:pPr>
        <w:spacing w:after="0" w:line="30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57969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7545" cy="5796915"/>
                    </a:xfrm>
                    <a:prstGeom prst="rect">
                      <a:avLst/>
                    </a:prstGeom>
                    <a:noFill/>
                  </pic:spPr>
                </pic:pic>
              </a:graphicData>
            </a:graphic>
          </wp:anchor>
        </w:drawing>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Matters to Be Considered at the Vringo Annual Meeting</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Vringo Annual Meeting</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i w:val="1"/>
          <w:iCs w:val="1"/>
          <w:color w:val="auto"/>
        </w:rPr>
        <w:t>Date, Time and Place</w:t>
      </w:r>
      <w:r>
        <w:rPr>
          <w:rFonts w:ascii="Arial" w:cs="Arial" w:eastAsia="Arial" w:hAnsi="Arial"/>
          <w:sz w:val="17"/>
          <w:szCs w:val="17"/>
          <w:color w:val="auto"/>
        </w:rPr>
        <w:t>. The Vringo annual meeting will be held on [July 12, 2012] at 10:00 a.m., local time, at the offices of</w:t>
      </w:r>
      <w:r>
        <w:rPr>
          <w:rFonts w:ascii="Arial" w:cs="Arial" w:eastAsia="Arial" w:hAnsi="Arial"/>
          <w:sz w:val="17"/>
          <w:szCs w:val="17"/>
          <w:i w:val="1"/>
          <w:iCs w:val="1"/>
          <w:color w:val="auto"/>
        </w:rPr>
        <w:t xml:space="preserve"> </w:t>
      </w:r>
      <w:r>
        <w:rPr>
          <w:rFonts w:ascii="Arial" w:cs="Arial" w:eastAsia="Arial" w:hAnsi="Arial"/>
          <w:sz w:val="17"/>
          <w:szCs w:val="17"/>
          <w:color w:val="auto"/>
        </w:rPr>
        <w:t>Mintz, Levin, Cohn, Ferris, Glovsky and Popeo, P.C., the Chrysler Center, 666 Third Avenue, 32nd floor, New York, New York 10017.</w:t>
      </w:r>
    </w:p>
    <w:p>
      <w:pPr>
        <w:spacing w:after="0" w:line="7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i w:val="1"/>
          <w:iCs w:val="1"/>
          <w:color w:val="auto"/>
        </w:rPr>
        <w:t>Matters to be Considered at the Vringo Annual Meeting</w:t>
      </w:r>
      <w:r>
        <w:rPr>
          <w:rFonts w:ascii="Arial" w:cs="Arial" w:eastAsia="Arial" w:hAnsi="Arial"/>
          <w:sz w:val="17"/>
          <w:szCs w:val="17"/>
          <w:color w:val="auto"/>
        </w:rPr>
        <w:t>. At the Vringo annual meeting, and any adjournments or</w:t>
      </w:r>
      <w:r>
        <w:rPr>
          <w:rFonts w:ascii="Arial" w:cs="Arial" w:eastAsia="Arial" w:hAnsi="Arial"/>
          <w:sz w:val="17"/>
          <w:szCs w:val="17"/>
          <w:i w:val="1"/>
          <w:iCs w:val="1"/>
          <w:color w:val="auto"/>
        </w:rPr>
        <w:t xml:space="preserve"> </w:t>
      </w:r>
      <w:r>
        <w:rPr>
          <w:rFonts w:ascii="Arial" w:cs="Arial" w:eastAsia="Arial" w:hAnsi="Arial"/>
          <w:sz w:val="17"/>
          <w:szCs w:val="17"/>
          <w:color w:val="auto"/>
        </w:rPr>
        <w:t>postponements thereof, Vringo stockholders will be asked to:</w:t>
      </w:r>
    </w:p>
    <w:p>
      <w:pPr>
        <w:spacing w:after="0" w:line="66" w:lineRule="exact"/>
        <w:rPr>
          <w:sz w:val="20"/>
          <w:szCs w:val="20"/>
          <w:color w:val="auto"/>
        </w:rPr>
      </w:pPr>
    </w:p>
    <w:p>
      <w:pPr>
        <w:ind w:left="560" w:hanging="300"/>
        <w:spacing w:after="0"/>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Securities Issuance Proposal;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Reverse Stock Split Proposal;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Authorized Shares Increase Proposal;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elect seven (7) director nominees to the Vringo board of directors as set forth in the Election of Directors Proposal;</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2012 Equity Incentive Plan Proposal;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approve the Ratification of the Appointment of Vringo’s Independent Registered Public Accounting Firm Proposal;</w:t>
      </w:r>
    </w:p>
    <w:p>
      <w:pPr>
        <w:spacing w:after="0" w:line="116"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adjournment of the Vringo annual meeting, if necessary, to solicit additional proxies if there are not sufficient votes in favor of the Vringo Merger Proposals; and</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conduct any other business as may properly come before the Vringo annual meeting or any adjournment or postponement thereof.</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i w:val="1"/>
          <w:iCs w:val="1"/>
          <w:color w:val="auto"/>
        </w:rPr>
        <w:t>Record Date</w:t>
      </w:r>
      <w:r>
        <w:rPr>
          <w:rFonts w:ascii="Arial" w:cs="Arial" w:eastAsia="Arial" w:hAnsi="Arial"/>
          <w:sz w:val="17"/>
          <w:szCs w:val="17"/>
          <w:color w:val="auto"/>
        </w:rPr>
        <w:t>. The Vringo board of directors has fixed the close of business on [June 8, 2012] as the record date for determining</w:t>
      </w:r>
      <w:r>
        <w:rPr>
          <w:rFonts w:ascii="Arial" w:cs="Arial" w:eastAsia="Arial" w:hAnsi="Arial"/>
          <w:sz w:val="17"/>
          <w:szCs w:val="17"/>
          <w:i w:val="1"/>
          <w:iCs w:val="1"/>
          <w:color w:val="auto"/>
        </w:rPr>
        <w:t xml:space="preserve"> </w:t>
      </w:r>
      <w:r>
        <w:rPr>
          <w:rFonts w:ascii="Arial" w:cs="Arial" w:eastAsia="Arial" w:hAnsi="Arial"/>
          <w:sz w:val="17"/>
          <w:szCs w:val="17"/>
          <w:color w:val="auto"/>
        </w:rPr>
        <w:t>the Vringo stockholders entitled to notice of and to vote at the Vringo annual meeting and any adjournment or postponement thereof.</w:t>
      </w:r>
    </w:p>
    <w:p>
      <w:pPr>
        <w:spacing w:after="0" w:line="76"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i w:val="1"/>
          <w:iCs w:val="1"/>
          <w:color w:val="auto"/>
        </w:rPr>
        <w:t>Required Vote</w:t>
      </w:r>
      <w:r>
        <w:rPr>
          <w:rFonts w:ascii="Arial" w:cs="Arial" w:eastAsia="Arial" w:hAnsi="Arial"/>
          <w:sz w:val="15"/>
          <w:szCs w:val="15"/>
          <w:color w:val="auto"/>
        </w:rPr>
        <w:t>. Approval of the Securities Issuance Proposal, approval of the 2012 Equity Incentive Plan Proposal and approval</w:t>
      </w:r>
      <w:r>
        <w:rPr>
          <w:rFonts w:ascii="Arial" w:cs="Arial" w:eastAsia="Arial" w:hAnsi="Arial"/>
          <w:sz w:val="15"/>
          <w:szCs w:val="15"/>
          <w:i w:val="1"/>
          <w:iCs w:val="1"/>
          <w:color w:val="auto"/>
        </w:rPr>
        <w:t xml:space="preserve"> </w:t>
      </w:r>
      <w:r>
        <w:rPr>
          <w:rFonts w:ascii="Arial" w:cs="Arial" w:eastAsia="Arial" w:hAnsi="Arial"/>
          <w:sz w:val="15"/>
          <w:szCs w:val="15"/>
          <w:color w:val="auto"/>
        </w:rPr>
        <w:t>the Ratification of the Appointment of Vringo’s Independent Registered Public Accounting Firm Proposal require the affirmative vote of the holders of a majority of the shares of Vringo common stock present and entitled to vote on the matter either in person or by proxy at the Vringo annual meeting. Approval of the Reverse Stock Split Proposal and the Authorized Shares Increase Proposal require the affirmative vote of the holders of a majority of the shares of Vringo common stock outstanding and entitled to vote on the matter either in person or by proxy at the Vringo annual meeting. The election of the director nominees set forth in the Election of Directors Proposal requires the affirmative vote of a plurality of the voting power of the shares present or represented by proxy at the Vringo annual meeting and entitled to vote on the election of directors. Approval of the adjournment of the Vringo annual meeting, if necessary, to solicit additional proxies if there are not sufficient votes in favor of the Vringo Merger Proposals requires the affirmative vote of the holders of a majority of the shares of Vringo common stock present and entitled to vote on the matter either in person or by proxy at the Vringo annual meeting. As of the close of business on the record date for the Vringo annual meeting, there were ________ shares of Vringo common stock outstanding.</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For additional information about the Vringo annual meeting, see the section entitled “The Annual Meeting of Vringo Stockholders” beginning on page </w:t>
      </w:r>
      <w:r>
        <w:rPr>
          <w:rFonts w:ascii="Arial" w:cs="Arial" w:eastAsia="Arial" w:hAnsi="Arial"/>
          <w:sz w:val="17"/>
          <w:szCs w:val="17"/>
          <w:u w:val="single" w:color="auto"/>
          <w:color w:val="0000EE"/>
        </w:rPr>
        <w:t>102</w:t>
      </w:r>
      <w:r>
        <w:rPr>
          <w:rFonts w:ascii="Arial" w:cs="Arial" w:eastAsia="Arial" w:hAnsi="Arial"/>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2668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7545" cy="6266815"/>
                    </a:xfrm>
                    <a:prstGeom prst="rect">
                      <a:avLst/>
                    </a:prstGeom>
                    <a:noFill/>
                  </pic:spPr>
                </pic:pic>
              </a:graphicData>
            </a:graphic>
          </wp:anchor>
        </w:drawing>
        <w:t>TABLE OF CONTENTS</w:t>
      </w:r>
    </w:p>
    <w:p>
      <w:pPr>
        <w:spacing w:after="0" w:line="280"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auto"/>
        </w:rPr>
        <w:t>SELECTED HISTORICAL FINANCIAL DATA OF VRINGO</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 following table sets forth Vringo selected historical financial data as of the dates and for each of the periods indicated. The financial data for the years ended December 31, 2011 and 2010, and as of December 31, 2011 and 2010 is derived from Vringo’s audited financial statements, which are included elsewhere in this proxy statement/prospectus. The financial data as of and for the years ended December 31, 2009, 2008, and 2007 is derived from Vringo’s audited historical financial statements, which are not included or incorporated by reference into this proxy statement/prospectus. The financial data for the three-month periods ended March 31, 2012 and 2011 and as of March 31, 2012 is derived from Vringo’s unaudited financial statements which are included elsewhere in this proxy statement/prospectus.</w:t>
      </w:r>
    </w:p>
    <w:p>
      <w:pPr>
        <w:spacing w:after="0" w:line="71"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You should read the selected historical financial data below together with Vringo’s Management’s Discussion and Analysis of Financial Condition and Results of Operations and with the financial statements and notes thereto for the year ended December 31, 2011 and for the three months ended March 31, 2012, each of which are included elsewhere in this proxy statement/prospectus.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gridSpan w:val="36"/>
          </w:tcPr>
          <w:p>
            <w:pPr>
              <w:ind w:left="40"/>
              <w:spacing w:after="0"/>
              <w:rPr>
                <w:sz w:val="20"/>
                <w:szCs w:val="20"/>
                <w:color w:val="auto"/>
              </w:rPr>
            </w:pPr>
            <w:r>
              <w:rPr>
                <w:rFonts w:ascii="Arial" w:cs="Arial" w:eastAsia="Arial" w:hAnsi="Arial"/>
                <w:sz w:val="17"/>
                <w:szCs w:val="17"/>
                <w:b w:val="1"/>
                <w:bCs w:val="1"/>
                <w:color w:val="auto"/>
                <w:w w:val="89"/>
              </w:rPr>
              <w:t>Statements of Operations Data (U.S. dollars; in thousands, except for share and per share data):</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340" w:type="dxa"/>
            <w:vAlign w:val="bottom"/>
          </w:tcPr>
          <w:p>
            <w:pPr>
              <w:spacing w:after="0"/>
              <w:rPr>
                <w:sz w:val="10"/>
                <w:szCs w:val="10"/>
                <w:color w:val="auto"/>
              </w:rPr>
            </w:pPr>
          </w:p>
        </w:tc>
        <w:tc>
          <w:tcPr>
            <w:tcW w:w="1700" w:type="dxa"/>
            <w:vAlign w:val="bottom"/>
            <w:tcBorders>
              <w:bottom w:val="single" w:sz="8" w:color="auto"/>
            </w:tcBorders>
            <w:gridSpan w:val="8"/>
          </w:tcPr>
          <w:p>
            <w:pPr>
              <w:jc w:val="right"/>
              <w:ind w:right="40"/>
              <w:spacing w:after="0" w:line="125" w:lineRule="exact"/>
              <w:rPr>
                <w:sz w:val="20"/>
                <w:szCs w:val="20"/>
                <w:color w:val="auto"/>
              </w:rPr>
            </w:pPr>
            <w:r>
              <w:rPr>
                <w:rFonts w:ascii="Arial" w:cs="Arial" w:eastAsia="Arial" w:hAnsi="Arial"/>
                <w:sz w:val="12"/>
                <w:szCs w:val="12"/>
                <w:b w:val="1"/>
                <w:bCs w:val="1"/>
                <w:color w:val="auto"/>
                <w:w w:val="92"/>
              </w:rPr>
              <w:t>Three Months Ended March 31,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12"/>
          </w:tcPr>
          <w:p>
            <w:pPr>
              <w:jc w:val="right"/>
              <w:spacing w:after="0" w:line="125" w:lineRule="exact"/>
              <w:rPr>
                <w:sz w:val="20"/>
                <w:szCs w:val="20"/>
                <w:color w:val="auto"/>
              </w:rPr>
            </w:pPr>
            <w:r>
              <w:rPr>
                <w:rFonts w:ascii="Arial" w:cs="Arial" w:eastAsia="Arial" w:hAnsi="Arial"/>
                <w:sz w:val="12"/>
                <w:szCs w:val="12"/>
                <w:b w:val="1"/>
                <w:bCs w:val="1"/>
                <w:color w:val="auto"/>
              </w:rPr>
              <w:t>Years Ended December 31,</w:t>
            </w: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40" w:type="dxa"/>
            <w:vAlign w:val="bottom"/>
            <w:vMerge w:val="restart"/>
          </w:tcPr>
          <w:p>
            <w:pPr>
              <w:spacing w:after="0"/>
              <w:rPr>
                <w:sz w:val="20"/>
                <w:szCs w:val="20"/>
                <w:color w:val="auto"/>
              </w:rPr>
            </w:pPr>
            <w:r>
              <w:rPr>
                <w:rFonts w:ascii="Arial" w:cs="Arial" w:eastAsia="Arial" w:hAnsi="Arial"/>
                <w:sz w:val="13"/>
                <w:szCs w:val="13"/>
                <w:b w:val="1"/>
                <w:bCs w:val="1"/>
                <w:color w:val="auto"/>
              </w:rPr>
              <w:t>Revenue</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5"/>
              <w:spacing w:after="0" w:line="130" w:lineRule="exact"/>
              <w:rPr>
                <w:sz w:val="20"/>
                <w:szCs w:val="20"/>
                <w:color w:val="auto"/>
              </w:rPr>
            </w:pPr>
            <w:r>
              <w:rPr>
                <w:rFonts w:ascii="Arial" w:cs="Arial" w:eastAsia="Arial" w:hAnsi="Arial"/>
                <w:sz w:val="12"/>
                <w:szCs w:val="12"/>
                <w:b w:val="1"/>
                <w:bCs w:val="1"/>
                <w:color w:val="auto"/>
              </w:rPr>
              <w:t>2012</w:t>
            </w: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ind w:left="80"/>
              <w:spacing w:after="0" w:line="130" w:lineRule="exact"/>
              <w:rPr>
                <w:sz w:val="20"/>
                <w:szCs w:val="20"/>
                <w:color w:val="auto"/>
              </w:rPr>
            </w:pPr>
            <w:r>
              <w:rPr>
                <w:rFonts w:ascii="Arial" w:cs="Arial" w:eastAsia="Arial" w:hAnsi="Arial"/>
                <w:sz w:val="12"/>
                <w:szCs w:val="12"/>
                <w:b w:val="1"/>
                <w:bCs w:val="1"/>
                <w:color w:val="auto"/>
              </w:rPr>
              <w:t>2011</w:t>
            </w: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5"/>
              <w:spacing w:after="0" w:line="130" w:lineRule="exact"/>
              <w:rPr>
                <w:sz w:val="20"/>
                <w:szCs w:val="20"/>
                <w:color w:val="auto"/>
              </w:rPr>
            </w:pPr>
            <w:r>
              <w:rPr>
                <w:rFonts w:ascii="Arial" w:cs="Arial" w:eastAsia="Arial" w:hAnsi="Arial"/>
                <w:sz w:val="12"/>
                <w:szCs w:val="12"/>
                <w:b w:val="1"/>
                <w:bCs w:val="1"/>
                <w:color w:val="auto"/>
              </w:rPr>
              <w:t>2011</w:t>
            </w: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5"/>
              <w:spacing w:after="0" w:line="130" w:lineRule="exact"/>
              <w:rPr>
                <w:sz w:val="20"/>
                <w:szCs w:val="20"/>
                <w:color w:val="auto"/>
              </w:rPr>
            </w:pPr>
            <w:r>
              <w:rPr>
                <w:rFonts w:ascii="Arial" w:cs="Arial" w:eastAsia="Arial" w:hAnsi="Arial"/>
                <w:sz w:val="12"/>
                <w:szCs w:val="12"/>
                <w:b w:val="1"/>
                <w:bCs w:val="1"/>
                <w:color w:val="auto"/>
              </w:rPr>
              <w:t>2010</w:t>
            </w:r>
          </w:p>
        </w:tc>
        <w:tc>
          <w:tcPr>
            <w:tcW w:w="1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5"/>
              <w:spacing w:after="0" w:line="130" w:lineRule="exact"/>
              <w:rPr>
                <w:sz w:val="20"/>
                <w:szCs w:val="20"/>
                <w:color w:val="auto"/>
              </w:rPr>
            </w:pPr>
            <w:r>
              <w:rPr>
                <w:rFonts w:ascii="Arial" w:cs="Arial" w:eastAsia="Arial" w:hAnsi="Arial"/>
                <w:sz w:val="12"/>
                <w:szCs w:val="12"/>
                <w:b w:val="1"/>
                <w:bCs w:val="1"/>
                <w:color w:val="auto"/>
              </w:rPr>
              <w:t>2009</w:t>
            </w: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5"/>
              <w:spacing w:after="0" w:line="130" w:lineRule="exact"/>
              <w:rPr>
                <w:sz w:val="20"/>
                <w:szCs w:val="20"/>
                <w:color w:val="auto"/>
              </w:rPr>
            </w:pPr>
            <w:r>
              <w:rPr>
                <w:rFonts w:ascii="Arial" w:cs="Arial" w:eastAsia="Arial" w:hAnsi="Arial"/>
                <w:sz w:val="12"/>
                <w:szCs w:val="12"/>
                <w:b w:val="1"/>
                <w:bCs w:val="1"/>
                <w:color w:val="auto"/>
              </w:rPr>
              <w:t>2008</w:t>
            </w: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5"/>
              <w:spacing w:after="0" w:line="130" w:lineRule="exact"/>
              <w:rPr>
                <w:sz w:val="20"/>
                <w:szCs w:val="20"/>
                <w:color w:val="auto"/>
              </w:rPr>
            </w:pPr>
            <w:r>
              <w:rPr>
                <w:rFonts w:ascii="Arial" w:cs="Arial" w:eastAsia="Arial" w:hAnsi="Arial"/>
                <w:sz w:val="12"/>
                <w:szCs w:val="12"/>
                <w:b w:val="1"/>
                <w:bCs w:val="1"/>
                <w:color w:val="auto"/>
              </w:rPr>
              <w:t>2007</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4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80"/>
              <w:spacing w:after="0" w:line="131" w:lineRule="exact"/>
              <w:rPr>
                <w:sz w:val="20"/>
                <w:szCs w:val="20"/>
                <w:color w:val="auto"/>
              </w:rPr>
            </w:pPr>
            <w:r>
              <w:rPr>
                <w:rFonts w:ascii="Arial" w:cs="Arial" w:eastAsia="Arial" w:hAnsi="Arial"/>
                <w:sz w:val="13"/>
                <w:szCs w:val="13"/>
                <w:b w:val="1"/>
                <w:bCs w:val="1"/>
                <w:color w:val="auto"/>
              </w:rPr>
              <w:t>106</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tcPr>
          <w:p>
            <w:pPr>
              <w:spacing w:after="0"/>
              <w:rPr>
                <w:sz w:val="11"/>
                <w:szCs w:val="11"/>
                <w:color w:val="auto"/>
              </w:rPr>
            </w:pPr>
          </w:p>
        </w:tc>
        <w:tc>
          <w:tcPr>
            <w:tcW w:w="580" w:type="dxa"/>
            <w:vAlign w:val="bottom"/>
            <w:gridSpan w:val="2"/>
          </w:tcPr>
          <w:p>
            <w:pPr>
              <w:ind w:left="280"/>
              <w:spacing w:after="0" w:line="131" w:lineRule="exact"/>
              <w:rPr>
                <w:sz w:val="20"/>
                <w:szCs w:val="20"/>
                <w:color w:val="auto"/>
              </w:rPr>
            </w:pPr>
            <w:r>
              <w:rPr>
                <w:rFonts w:ascii="Arial" w:cs="Arial" w:eastAsia="Arial" w:hAnsi="Arial"/>
                <w:sz w:val="13"/>
                <w:szCs w:val="13"/>
                <w:b w:val="1"/>
                <w:bCs w:val="1"/>
                <w:color w:val="auto"/>
              </w:rPr>
              <w:t>147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718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rPr>
              <w:t>211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20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gridSpan w:val="2"/>
          </w:tcPr>
          <w:p>
            <w:pPr>
              <w:jc w:val="right"/>
              <w:ind w:right="110"/>
              <w:spacing w:after="0" w:line="131" w:lineRule="exact"/>
              <w:rPr>
                <w:sz w:val="20"/>
                <w:szCs w:val="20"/>
                <w:color w:val="auto"/>
              </w:rPr>
            </w:pPr>
            <w:r>
              <w:rPr>
                <w:rFonts w:ascii="Arial" w:cs="Arial" w:eastAsia="Arial" w:hAnsi="Arial"/>
                <w:sz w:val="13"/>
                <w:szCs w:val="13"/>
                <w:b w:val="1"/>
                <w:bCs w:val="1"/>
                <w:color w:val="auto"/>
                <w:w w:val="82"/>
              </w:rPr>
              <w:t>$</w:t>
            </w:r>
          </w:p>
        </w:tc>
        <w:tc>
          <w:tcPr>
            <w:tcW w:w="58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ind w:right="82"/>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tcPr>
          <w:p>
            <w:pPr>
              <w:jc w:val="right"/>
              <w:ind w:right="60"/>
              <w:spacing w:after="0" w:line="131"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0"/>
        </w:trPr>
        <w:tc>
          <w:tcPr>
            <w:tcW w:w="1340" w:type="dxa"/>
            <w:vAlign w:val="bottom"/>
            <w:shd w:val="clear" w:color="auto" w:fill="CCFFCC"/>
          </w:tcPr>
          <w:p>
            <w:pPr>
              <w:spacing w:after="0" w:line="131" w:lineRule="exact"/>
              <w:rPr>
                <w:sz w:val="20"/>
                <w:szCs w:val="20"/>
                <w:color w:val="auto"/>
              </w:rPr>
            </w:pPr>
            <w:r>
              <w:rPr>
                <w:rFonts w:ascii="Arial" w:cs="Arial" w:eastAsia="Arial" w:hAnsi="Arial"/>
                <w:sz w:val="13"/>
                <w:szCs w:val="13"/>
                <w:b w:val="1"/>
                <w:bCs w:val="1"/>
                <w:color w:val="auto"/>
              </w:rPr>
              <w:t>Costs and Expenses</w:t>
            </w:r>
          </w:p>
        </w:tc>
        <w:tc>
          <w:tcPr>
            <w:tcW w:w="80" w:type="dxa"/>
            <w:vAlign w:val="bottom"/>
            <w:tcBorders>
              <w:top w:val="single" w:sz="8" w:color="auto"/>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60" w:type="dxa"/>
            <w:vAlign w:val="bottom"/>
            <w:tcBorders>
              <w:top w:val="single" w:sz="8" w:color="auto"/>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2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80" w:type="dxa"/>
            <w:vAlign w:val="bottom"/>
            <w:tcBorders>
              <w:top w:val="single" w:sz="8" w:color="auto"/>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Cost of revenue</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155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180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1340" w:type="dxa"/>
            <w:vAlign w:val="bottom"/>
            <w:shd w:val="clear" w:color="auto" w:fill="CCFFCC"/>
          </w:tcPr>
          <w:p>
            <w:pPr>
              <w:spacing w:after="0" w:line="119" w:lineRule="exact"/>
              <w:rPr>
                <w:sz w:val="20"/>
                <w:szCs w:val="20"/>
                <w:color w:val="auto"/>
              </w:rPr>
            </w:pPr>
            <w:r>
              <w:rPr>
                <w:rFonts w:ascii="Arial" w:cs="Arial" w:eastAsia="Arial" w:hAnsi="Arial"/>
                <w:sz w:val="13"/>
                <w:szCs w:val="13"/>
                <w:color w:val="auto"/>
              </w:rPr>
              <w:t>Research and</w:t>
            </w:r>
          </w:p>
        </w:tc>
        <w:tc>
          <w:tcPr>
            <w:tcW w:w="8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512</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gridSpan w:val="2"/>
            <w:shd w:val="clear" w:color="auto" w:fill="CCFFCC"/>
          </w:tcPr>
          <w:p>
            <w:pPr>
              <w:ind w:left="280"/>
              <w:spacing w:after="0" w:line="119" w:lineRule="exact"/>
              <w:rPr>
                <w:sz w:val="20"/>
                <w:szCs w:val="20"/>
                <w:color w:val="auto"/>
              </w:rPr>
            </w:pPr>
            <w:r>
              <w:rPr>
                <w:rFonts w:ascii="Arial" w:cs="Arial" w:eastAsia="Arial" w:hAnsi="Arial"/>
                <w:sz w:val="13"/>
                <w:szCs w:val="13"/>
                <w:color w:val="auto"/>
              </w:rPr>
              <w:t>519</w:t>
            </w:r>
          </w:p>
        </w:tc>
        <w:tc>
          <w:tcPr>
            <w:tcW w:w="80" w:type="dxa"/>
            <w:vAlign w:val="bottom"/>
            <w:tcBorders>
              <w:left w:val="single" w:sz="8" w:color="CCFFCC"/>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60" w:type="dxa"/>
            <w:vAlign w:val="bottom"/>
            <w:tcBorders>
              <w:right w:val="single" w:sz="8" w:color="CCFFCC"/>
            </w:tcBorders>
            <w:shd w:val="clear" w:color="auto" w:fill="CCFFCC"/>
          </w:tcPr>
          <w:p>
            <w:pPr>
              <w:jc w:val="right"/>
              <w:spacing w:after="0" w:line="119" w:lineRule="exact"/>
              <w:rPr>
                <w:sz w:val="20"/>
                <w:szCs w:val="20"/>
                <w:color w:val="auto"/>
              </w:rPr>
            </w:pPr>
            <w:r>
              <w:rPr>
                <w:rFonts w:ascii="Arial" w:cs="Arial" w:eastAsia="Arial" w:hAnsi="Arial"/>
                <w:sz w:val="13"/>
                <w:szCs w:val="13"/>
                <w:color w:val="auto"/>
              </w:rPr>
              <w:t>2,017</w:t>
            </w:r>
          </w:p>
        </w:tc>
        <w:tc>
          <w:tcPr>
            <w:tcW w:w="10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color w:val="auto"/>
              </w:rPr>
              <w:t>2,503</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tcBorders>
              <w:right w:val="single" w:sz="8" w:color="CCFFCC"/>
            </w:tcBorders>
            <w:shd w:val="clear" w:color="auto" w:fill="CCFFCC"/>
          </w:tcPr>
          <w:p>
            <w:pPr>
              <w:jc w:val="right"/>
              <w:spacing w:after="0" w:line="119" w:lineRule="exact"/>
              <w:rPr>
                <w:sz w:val="20"/>
                <w:szCs w:val="20"/>
                <w:color w:val="auto"/>
              </w:rPr>
            </w:pPr>
            <w:r>
              <w:rPr>
                <w:rFonts w:ascii="Arial" w:cs="Arial" w:eastAsia="Arial" w:hAnsi="Arial"/>
                <w:sz w:val="13"/>
                <w:szCs w:val="13"/>
                <w:color w:val="auto"/>
              </w:rPr>
              <w:t>1,975</w:t>
            </w:r>
          </w:p>
        </w:tc>
        <w:tc>
          <w:tcPr>
            <w:tcW w:w="1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19" w:lineRule="exact"/>
              <w:rPr>
                <w:sz w:val="20"/>
                <w:szCs w:val="20"/>
                <w:color w:val="auto"/>
              </w:rPr>
            </w:pPr>
            <w:r>
              <w:rPr>
                <w:rFonts w:ascii="Arial" w:cs="Arial" w:eastAsia="Arial" w:hAnsi="Arial"/>
                <w:sz w:val="13"/>
                <w:szCs w:val="13"/>
                <w:color w:val="auto"/>
              </w:rPr>
              <w:t>3,110</w:t>
            </w:r>
          </w:p>
        </w:tc>
        <w:tc>
          <w:tcPr>
            <w:tcW w:w="1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00" w:type="dxa"/>
            <w:vAlign w:val="bottom"/>
            <w:tcBorders>
              <w:right w:val="single" w:sz="8" w:color="CCFFCC"/>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2,429</w:t>
            </w:r>
          </w:p>
        </w:tc>
        <w:tc>
          <w:tcPr>
            <w:tcW w:w="0" w:type="dxa"/>
            <w:vAlign w:val="bottom"/>
          </w:tcPr>
          <w:p>
            <w:pPr>
              <w:spacing w:after="0"/>
              <w:rPr>
                <w:sz w:val="1"/>
                <w:szCs w:val="1"/>
                <w:color w:val="auto"/>
              </w:rPr>
            </w:pPr>
          </w:p>
        </w:tc>
      </w:tr>
      <w:tr>
        <w:trPr>
          <w:trHeight w:val="156"/>
        </w:trPr>
        <w:tc>
          <w:tcPr>
            <w:tcW w:w="1340" w:type="dxa"/>
            <w:vAlign w:val="bottom"/>
            <w:shd w:val="clear" w:color="auto" w:fill="CCFFCC"/>
          </w:tcPr>
          <w:p>
            <w:pPr>
              <w:ind w:left="160"/>
              <w:spacing w:after="0"/>
              <w:rPr>
                <w:sz w:val="20"/>
                <w:szCs w:val="20"/>
                <w:color w:val="auto"/>
              </w:rPr>
            </w:pPr>
            <w:r>
              <w:rPr>
                <w:rFonts w:ascii="Arial" w:cs="Arial" w:eastAsia="Arial" w:hAnsi="Arial"/>
                <w:sz w:val="13"/>
                <w:szCs w:val="13"/>
                <w:color w:val="auto"/>
              </w:rPr>
              <w:t>development</w:t>
            </w: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0" w:type="dxa"/>
            <w:vAlign w:val="bottom"/>
            <w:tcBorders>
              <w:left w:val="single" w:sz="8" w:color="CCFFCC"/>
            </w:tcBorders>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6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8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4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100" w:type="dxa"/>
            <w:vAlign w:val="bottom"/>
            <w:tcBorders>
              <w:right w:val="single" w:sz="8" w:color="CCFFCC"/>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540" w:type="dxa"/>
            <w:vAlign w:val="bottom"/>
            <w:shd w:val="clear" w:color="auto" w:fill="CCFFCC"/>
          </w:tcPr>
          <w:p>
            <w:pPr>
              <w:spacing w:after="0"/>
              <w:rPr>
                <w:sz w:val="13"/>
                <w:szCs w:val="13"/>
                <w:color w:val="auto"/>
              </w:rPr>
            </w:pPr>
          </w:p>
        </w:tc>
        <w:tc>
          <w:tcPr>
            <w:tcW w:w="100" w:type="dxa"/>
            <w:vAlign w:val="bottom"/>
            <w:tcBorders>
              <w:left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Marketing</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759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621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2,193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2,183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1,752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rPr>
              <w:t>2,769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20"/>
        </w:trPr>
        <w:tc>
          <w:tcPr>
            <w:tcW w:w="1340" w:type="dxa"/>
            <w:vAlign w:val="bottom"/>
            <w:shd w:val="clear" w:color="auto" w:fill="CCFFCC"/>
          </w:tcPr>
          <w:p>
            <w:pPr>
              <w:spacing w:after="0" w:line="119" w:lineRule="exact"/>
              <w:rPr>
                <w:sz w:val="20"/>
                <w:szCs w:val="20"/>
                <w:color w:val="auto"/>
              </w:rPr>
            </w:pPr>
            <w:r>
              <w:rPr>
                <w:rFonts w:ascii="Arial" w:cs="Arial" w:eastAsia="Arial" w:hAnsi="Arial"/>
                <w:sz w:val="13"/>
                <w:szCs w:val="13"/>
                <w:color w:val="auto"/>
              </w:rPr>
              <w:t>General and</w:t>
            </w:r>
          </w:p>
        </w:tc>
        <w:tc>
          <w:tcPr>
            <w:tcW w:w="8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1,460</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gridSpan w:val="2"/>
            <w:shd w:val="clear" w:color="auto" w:fill="CCFFCC"/>
          </w:tcPr>
          <w:p>
            <w:pPr>
              <w:ind w:left="280"/>
              <w:spacing w:after="0" w:line="119" w:lineRule="exact"/>
              <w:rPr>
                <w:sz w:val="20"/>
                <w:szCs w:val="20"/>
                <w:color w:val="auto"/>
              </w:rPr>
            </w:pPr>
            <w:r>
              <w:rPr>
                <w:rFonts w:ascii="Arial" w:cs="Arial" w:eastAsia="Arial" w:hAnsi="Arial"/>
                <w:sz w:val="13"/>
                <w:szCs w:val="13"/>
                <w:color w:val="auto"/>
              </w:rPr>
              <w:t>665</w:t>
            </w:r>
          </w:p>
        </w:tc>
        <w:tc>
          <w:tcPr>
            <w:tcW w:w="80" w:type="dxa"/>
            <w:vAlign w:val="bottom"/>
            <w:tcBorders>
              <w:left w:val="single" w:sz="8" w:color="CCFFCC"/>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60" w:type="dxa"/>
            <w:vAlign w:val="bottom"/>
            <w:tcBorders>
              <w:right w:val="single" w:sz="8" w:color="CCFFCC"/>
            </w:tcBorders>
            <w:shd w:val="clear" w:color="auto" w:fill="CCFFCC"/>
          </w:tcPr>
          <w:p>
            <w:pPr>
              <w:jc w:val="right"/>
              <w:spacing w:after="0" w:line="119" w:lineRule="exact"/>
              <w:rPr>
                <w:sz w:val="20"/>
                <w:szCs w:val="20"/>
                <w:color w:val="auto"/>
              </w:rPr>
            </w:pPr>
            <w:r>
              <w:rPr>
                <w:rFonts w:ascii="Arial" w:cs="Arial" w:eastAsia="Arial" w:hAnsi="Arial"/>
                <w:sz w:val="13"/>
                <w:szCs w:val="13"/>
                <w:color w:val="auto"/>
              </w:rPr>
              <w:t>2,777</w:t>
            </w:r>
          </w:p>
        </w:tc>
        <w:tc>
          <w:tcPr>
            <w:tcW w:w="10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color w:val="auto"/>
              </w:rPr>
              <w:t>1,840</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tcBorders>
              <w:right w:val="single" w:sz="8" w:color="CCFFCC"/>
            </w:tcBorders>
            <w:shd w:val="clear" w:color="auto" w:fill="CCFFCC"/>
          </w:tcPr>
          <w:p>
            <w:pPr>
              <w:jc w:val="right"/>
              <w:spacing w:after="0" w:line="119" w:lineRule="exact"/>
              <w:rPr>
                <w:sz w:val="20"/>
                <w:szCs w:val="20"/>
                <w:color w:val="auto"/>
              </w:rPr>
            </w:pPr>
            <w:r>
              <w:rPr>
                <w:rFonts w:ascii="Arial" w:cs="Arial" w:eastAsia="Arial" w:hAnsi="Arial"/>
                <w:sz w:val="13"/>
                <w:szCs w:val="13"/>
                <w:color w:val="auto"/>
              </w:rPr>
              <w:t>1,568</w:t>
            </w:r>
          </w:p>
        </w:tc>
        <w:tc>
          <w:tcPr>
            <w:tcW w:w="1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19" w:lineRule="exact"/>
              <w:rPr>
                <w:sz w:val="20"/>
                <w:szCs w:val="20"/>
                <w:color w:val="auto"/>
              </w:rPr>
            </w:pPr>
            <w:r>
              <w:rPr>
                <w:rFonts w:ascii="Arial" w:cs="Arial" w:eastAsia="Arial" w:hAnsi="Arial"/>
                <w:sz w:val="13"/>
                <w:szCs w:val="13"/>
                <w:color w:val="auto"/>
              </w:rPr>
              <w:t>1,409</w:t>
            </w:r>
          </w:p>
        </w:tc>
        <w:tc>
          <w:tcPr>
            <w:tcW w:w="1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00" w:type="dxa"/>
            <w:vAlign w:val="bottom"/>
            <w:tcBorders>
              <w:right w:val="single" w:sz="8" w:color="CCFFCC"/>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56"/>
        </w:trPr>
        <w:tc>
          <w:tcPr>
            <w:tcW w:w="13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3"/>
                <w:szCs w:val="13"/>
                <w:color w:val="auto"/>
              </w:rPr>
              <w:t>administrative</w:t>
            </w:r>
          </w:p>
        </w:tc>
        <w:tc>
          <w:tcPr>
            <w:tcW w:w="80" w:type="dxa"/>
            <w:vAlign w:val="bottom"/>
            <w:tcBorders>
              <w:bottom w:val="single" w:sz="8" w:color="auto"/>
            </w:tcBorders>
            <w:shd w:val="clear" w:color="auto" w:fill="CCFFCC"/>
          </w:tcPr>
          <w:p>
            <w:pPr>
              <w:spacing w:after="0"/>
              <w:rPr>
                <w:sz w:val="13"/>
                <w:szCs w:val="13"/>
                <w:color w:val="auto"/>
              </w:rPr>
            </w:pPr>
          </w:p>
        </w:tc>
        <w:tc>
          <w:tcPr>
            <w:tcW w:w="62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auto"/>
            </w:tcBorders>
            <w:shd w:val="clear" w:color="auto" w:fill="CCFFCC"/>
          </w:tcPr>
          <w:p>
            <w:pPr>
              <w:spacing w:after="0"/>
              <w:rPr>
                <w:sz w:val="13"/>
                <w:szCs w:val="13"/>
                <w:color w:val="auto"/>
              </w:rPr>
            </w:pPr>
          </w:p>
        </w:tc>
        <w:tc>
          <w:tcPr>
            <w:tcW w:w="48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left w:val="single" w:sz="8" w:color="CCFFCC"/>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6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20" w:type="dxa"/>
            <w:vAlign w:val="bottom"/>
            <w:tcBorders>
              <w:bottom w:val="single" w:sz="8" w:color="auto"/>
            </w:tcBorders>
            <w:shd w:val="clear" w:color="auto" w:fill="CCFFCC"/>
          </w:tcPr>
          <w:p>
            <w:pPr>
              <w:spacing w:after="0"/>
              <w:rPr>
                <w:sz w:val="13"/>
                <w:szCs w:val="13"/>
                <w:color w:val="auto"/>
              </w:rPr>
            </w:pPr>
          </w:p>
        </w:tc>
        <w:tc>
          <w:tcPr>
            <w:tcW w:w="140" w:type="dxa"/>
            <w:vAlign w:val="bottom"/>
            <w:tcBorders>
              <w:left w:val="single" w:sz="8" w:color="CCFFCC"/>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8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180" w:type="dxa"/>
            <w:vAlign w:val="bottom"/>
            <w:tcBorders>
              <w:bottom w:val="single" w:sz="8" w:color="auto"/>
            </w:tcBorders>
            <w:shd w:val="clear" w:color="auto" w:fill="CCFFCC"/>
          </w:tcPr>
          <w:p>
            <w:pPr>
              <w:spacing w:after="0"/>
              <w:rPr>
                <w:sz w:val="13"/>
                <w:szCs w:val="13"/>
                <w:color w:val="auto"/>
              </w:rPr>
            </w:pPr>
          </w:p>
        </w:tc>
        <w:tc>
          <w:tcPr>
            <w:tcW w:w="46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right w:val="single" w:sz="8" w:color="CCFFCC"/>
            </w:tcBorders>
            <w:shd w:val="clear" w:color="auto" w:fill="CCFFCC"/>
          </w:tcPr>
          <w:p>
            <w:pPr>
              <w:spacing w:after="0"/>
              <w:rPr>
                <w:sz w:val="13"/>
                <w:szCs w:val="13"/>
                <w:color w:val="auto"/>
              </w:rPr>
            </w:pPr>
          </w:p>
        </w:tc>
        <w:tc>
          <w:tcPr>
            <w:tcW w:w="200" w:type="dxa"/>
            <w:vAlign w:val="bottom"/>
            <w:tcBorders>
              <w:bottom w:val="single" w:sz="8" w:color="auto"/>
            </w:tcBorders>
            <w:shd w:val="clear" w:color="auto" w:fill="CCFFCC"/>
          </w:tcPr>
          <w:p>
            <w:pPr>
              <w:spacing w:after="0"/>
              <w:rPr>
                <w:sz w:val="13"/>
                <w:szCs w:val="13"/>
                <w:color w:val="auto"/>
              </w:rPr>
            </w:pPr>
          </w:p>
        </w:tc>
        <w:tc>
          <w:tcPr>
            <w:tcW w:w="540" w:type="dxa"/>
            <w:vAlign w:val="bottom"/>
            <w:tcBorders>
              <w:bottom w:val="single" w:sz="8" w:color="auto"/>
            </w:tcBorders>
            <w:shd w:val="clear" w:color="auto" w:fill="CCFFCC"/>
          </w:tcPr>
          <w:p>
            <w:pPr>
              <w:spacing w:after="0"/>
              <w:rPr>
                <w:sz w:val="13"/>
                <w:szCs w:val="13"/>
                <w:color w:val="auto"/>
              </w:rPr>
            </w:pPr>
          </w:p>
        </w:tc>
        <w:tc>
          <w:tcPr>
            <w:tcW w:w="100" w:type="dxa"/>
            <w:vAlign w:val="bottom"/>
            <w:tcBorders>
              <w:left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1" w:lineRule="exact"/>
              <w:rPr>
                <w:sz w:val="20"/>
                <w:szCs w:val="20"/>
                <w:color w:val="auto"/>
              </w:rPr>
            </w:pPr>
            <w:r>
              <w:rPr>
                <w:rFonts w:ascii="Arial" w:cs="Arial" w:eastAsia="Arial" w:hAnsi="Arial"/>
                <w:sz w:val="13"/>
                <w:szCs w:val="13"/>
                <w:b w:val="1"/>
                <w:bCs w:val="1"/>
                <w:color w:val="auto"/>
              </w:rPr>
              <w:t>Operating loss</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1" w:lineRule="exact"/>
              <w:rPr>
                <w:sz w:val="20"/>
                <w:szCs w:val="20"/>
                <w:color w:val="auto"/>
              </w:rPr>
            </w:pPr>
            <w:r>
              <w:rPr>
                <w:rFonts w:ascii="Arial" w:cs="Arial" w:eastAsia="Arial" w:hAnsi="Arial"/>
                <w:sz w:val="13"/>
                <w:szCs w:val="13"/>
                <w:b w:val="1"/>
                <w:bCs w:val="1"/>
                <w:color w:val="auto"/>
              </w:rPr>
              <w:t>(2,656)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(1,683)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(6,424)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rPr>
              <w:t>(6,495)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(5,306)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(7,288)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60"/>
              <w:spacing w:after="0" w:line="131" w:lineRule="exact"/>
              <w:rPr>
                <w:sz w:val="20"/>
                <w:szCs w:val="20"/>
                <w:color w:val="auto"/>
              </w:rPr>
            </w:pPr>
            <w:r>
              <w:rPr>
                <w:rFonts w:ascii="Arial" w:cs="Arial" w:eastAsia="Arial" w:hAnsi="Arial"/>
                <w:sz w:val="13"/>
                <w:szCs w:val="13"/>
                <w:b w:val="1"/>
                <w:bCs w:val="1"/>
                <w:color w:val="auto"/>
              </w:rPr>
              <w:t>(5,035)</w:t>
            </w:r>
          </w:p>
        </w:tc>
        <w:tc>
          <w:tcPr>
            <w:tcW w:w="0" w:type="dxa"/>
            <w:vAlign w:val="bottom"/>
          </w:tcPr>
          <w:p>
            <w:pPr>
              <w:spacing w:after="0"/>
              <w:rPr>
                <w:sz w:val="1"/>
                <w:szCs w:val="1"/>
                <w:color w:val="auto"/>
              </w:rPr>
            </w:pPr>
          </w:p>
        </w:tc>
      </w:tr>
      <w:tr>
        <w:trPr>
          <w:trHeight w:val="120"/>
        </w:trPr>
        <w:tc>
          <w:tcPr>
            <w:tcW w:w="1340" w:type="dxa"/>
            <w:vAlign w:val="bottom"/>
            <w:shd w:val="clear" w:color="auto" w:fill="CCFFCC"/>
          </w:tcPr>
          <w:p>
            <w:pPr>
              <w:spacing w:after="0" w:line="119" w:lineRule="exact"/>
              <w:rPr>
                <w:sz w:val="20"/>
                <w:szCs w:val="20"/>
                <w:color w:val="auto"/>
              </w:rPr>
            </w:pPr>
            <w:r>
              <w:rPr>
                <w:rFonts w:ascii="Arial" w:cs="Arial" w:eastAsia="Arial" w:hAnsi="Arial"/>
                <w:sz w:val="13"/>
                <w:szCs w:val="13"/>
                <w:color w:val="auto"/>
              </w:rPr>
              <w:t>Finance income</w:t>
            </w:r>
          </w:p>
        </w:tc>
        <w:tc>
          <w:tcPr>
            <w:tcW w:w="8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rPr>
              <w:t>(2,968)</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gridSpan w:val="2"/>
            <w:shd w:val="clear" w:color="auto" w:fill="CCFFCC"/>
          </w:tcPr>
          <w:p>
            <w:pPr>
              <w:ind w:left="280"/>
              <w:spacing w:after="0" w:line="119" w:lineRule="exact"/>
              <w:rPr>
                <w:sz w:val="20"/>
                <w:szCs w:val="20"/>
                <w:color w:val="auto"/>
              </w:rPr>
            </w:pPr>
            <w:r>
              <w:rPr>
                <w:rFonts w:ascii="Arial" w:cs="Arial" w:eastAsia="Arial" w:hAnsi="Arial"/>
                <w:sz w:val="13"/>
                <w:szCs w:val="13"/>
                <w:color w:val="auto"/>
              </w:rPr>
              <w:t>592</w:t>
            </w:r>
          </w:p>
        </w:tc>
        <w:tc>
          <w:tcPr>
            <w:tcW w:w="80" w:type="dxa"/>
            <w:vAlign w:val="bottom"/>
            <w:tcBorders>
              <w:left w:val="single" w:sz="8" w:color="CCFFCC"/>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(965)</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(3,412)</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(770)</w:t>
            </w: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(51)</w:t>
            </w:r>
          </w:p>
        </w:tc>
        <w:tc>
          <w:tcPr>
            <w:tcW w:w="20" w:type="dxa"/>
            <w:vAlign w:val="bottom"/>
            <w:shd w:val="clear" w:color="auto" w:fill="CCFFCC"/>
          </w:tcPr>
          <w:p>
            <w:pPr>
              <w:spacing w:after="0"/>
              <w:rPr>
                <w:sz w:val="10"/>
                <w:szCs w:val="10"/>
                <w:color w:val="auto"/>
              </w:rPr>
            </w:pPr>
          </w:p>
        </w:tc>
        <w:tc>
          <w:tcPr>
            <w:tcW w:w="100" w:type="dxa"/>
            <w:vAlign w:val="bottom"/>
            <w:tcBorders>
              <w:right w:val="single" w:sz="8" w:color="CCFFCC"/>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6"/>
        </w:trPr>
        <w:tc>
          <w:tcPr>
            <w:tcW w:w="13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3"/>
                <w:szCs w:val="13"/>
                <w:color w:val="auto"/>
              </w:rPr>
              <w:t>(expense), net</w:t>
            </w:r>
          </w:p>
        </w:tc>
        <w:tc>
          <w:tcPr>
            <w:tcW w:w="80" w:type="dxa"/>
            <w:vAlign w:val="bottom"/>
            <w:tcBorders>
              <w:bottom w:val="single" w:sz="8" w:color="auto"/>
            </w:tcBorders>
            <w:shd w:val="clear" w:color="auto" w:fill="CCFFCC"/>
          </w:tcPr>
          <w:p>
            <w:pPr>
              <w:spacing w:after="0"/>
              <w:rPr>
                <w:sz w:val="13"/>
                <w:szCs w:val="13"/>
                <w:color w:val="auto"/>
              </w:rPr>
            </w:pPr>
          </w:p>
        </w:tc>
        <w:tc>
          <w:tcPr>
            <w:tcW w:w="62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auto"/>
            </w:tcBorders>
            <w:shd w:val="clear" w:color="auto" w:fill="CCFFCC"/>
          </w:tcPr>
          <w:p>
            <w:pPr>
              <w:spacing w:after="0"/>
              <w:rPr>
                <w:sz w:val="13"/>
                <w:szCs w:val="13"/>
                <w:color w:val="auto"/>
              </w:rPr>
            </w:pPr>
          </w:p>
        </w:tc>
        <w:tc>
          <w:tcPr>
            <w:tcW w:w="48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left w:val="single" w:sz="8" w:color="CCFFCC"/>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6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20" w:type="dxa"/>
            <w:vAlign w:val="bottom"/>
            <w:tcBorders>
              <w:bottom w:val="single" w:sz="8" w:color="auto"/>
            </w:tcBorders>
            <w:shd w:val="clear" w:color="auto" w:fill="CCFFCC"/>
          </w:tcPr>
          <w:p>
            <w:pPr>
              <w:spacing w:after="0"/>
              <w:rPr>
                <w:sz w:val="13"/>
                <w:szCs w:val="13"/>
                <w:color w:val="auto"/>
              </w:rPr>
            </w:pPr>
          </w:p>
        </w:tc>
        <w:tc>
          <w:tcPr>
            <w:tcW w:w="140" w:type="dxa"/>
            <w:vAlign w:val="bottom"/>
            <w:tcBorders>
              <w:left w:val="single" w:sz="8" w:color="CCFFCC"/>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8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180" w:type="dxa"/>
            <w:vAlign w:val="bottom"/>
            <w:tcBorders>
              <w:bottom w:val="single" w:sz="8" w:color="auto"/>
            </w:tcBorders>
            <w:shd w:val="clear" w:color="auto" w:fill="CCFFCC"/>
          </w:tcPr>
          <w:p>
            <w:pPr>
              <w:spacing w:after="0"/>
              <w:rPr>
                <w:sz w:val="13"/>
                <w:szCs w:val="13"/>
                <w:color w:val="auto"/>
              </w:rPr>
            </w:pPr>
          </w:p>
        </w:tc>
        <w:tc>
          <w:tcPr>
            <w:tcW w:w="46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right w:val="single" w:sz="8" w:color="CCFFCC"/>
            </w:tcBorders>
            <w:shd w:val="clear" w:color="auto" w:fill="CCFFCC"/>
          </w:tcPr>
          <w:p>
            <w:pPr>
              <w:spacing w:after="0"/>
              <w:rPr>
                <w:sz w:val="13"/>
                <w:szCs w:val="13"/>
                <w:color w:val="auto"/>
              </w:rPr>
            </w:pPr>
          </w:p>
        </w:tc>
        <w:tc>
          <w:tcPr>
            <w:tcW w:w="200" w:type="dxa"/>
            <w:vAlign w:val="bottom"/>
            <w:tcBorders>
              <w:bottom w:val="single" w:sz="8" w:color="auto"/>
            </w:tcBorders>
            <w:shd w:val="clear" w:color="auto" w:fill="CCFFCC"/>
          </w:tcPr>
          <w:p>
            <w:pPr>
              <w:spacing w:after="0"/>
              <w:rPr>
                <w:sz w:val="13"/>
                <w:szCs w:val="13"/>
                <w:color w:val="auto"/>
              </w:rPr>
            </w:pPr>
          </w:p>
        </w:tc>
        <w:tc>
          <w:tcPr>
            <w:tcW w:w="540" w:type="dxa"/>
            <w:vAlign w:val="bottom"/>
            <w:tcBorders>
              <w:bottom w:val="single" w:sz="8" w:color="auto"/>
            </w:tcBorders>
            <w:shd w:val="clear" w:color="auto" w:fill="CCFFCC"/>
          </w:tcPr>
          <w:p>
            <w:pPr>
              <w:spacing w:after="0"/>
              <w:rPr>
                <w:sz w:val="13"/>
                <w:szCs w:val="13"/>
                <w:color w:val="auto"/>
              </w:rPr>
            </w:pPr>
          </w:p>
        </w:tc>
        <w:tc>
          <w:tcPr>
            <w:tcW w:w="100" w:type="dxa"/>
            <w:vAlign w:val="bottom"/>
            <w:tcBorders>
              <w:left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340" w:type="dxa"/>
            <w:vAlign w:val="bottom"/>
          </w:tcPr>
          <w:p>
            <w:pPr>
              <w:spacing w:after="0" w:line="110" w:lineRule="exact"/>
              <w:rPr>
                <w:sz w:val="20"/>
                <w:szCs w:val="20"/>
                <w:color w:val="auto"/>
              </w:rPr>
            </w:pPr>
            <w:r>
              <w:rPr>
                <w:rFonts w:ascii="Arial" w:cs="Arial" w:eastAsia="Arial" w:hAnsi="Arial"/>
                <w:sz w:val="12"/>
                <w:szCs w:val="12"/>
                <w:b w:val="1"/>
                <w:bCs w:val="1"/>
                <w:color w:val="auto"/>
              </w:rPr>
              <w:t>Loss before taxes on</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10" w:lineRule="exact"/>
              <w:rPr>
                <w:sz w:val="20"/>
                <w:szCs w:val="20"/>
                <w:color w:val="auto"/>
              </w:rPr>
            </w:pPr>
            <w:r>
              <w:rPr>
                <w:rFonts w:ascii="Arial" w:cs="Arial" w:eastAsia="Arial" w:hAnsi="Arial"/>
                <w:sz w:val="12"/>
                <w:szCs w:val="12"/>
                <w:color w:val="auto"/>
              </w:rPr>
              <w:t>(5,624)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60"/>
              <w:spacing w:after="0" w:line="110" w:lineRule="exact"/>
              <w:rPr>
                <w:sz w:val="20"/>
                <w:szCs w:val="20"/>
                <w:color w:val="auto"/>
              </w:rPr>
            </w:pPr>
            <w:r>
              <w:rPr>
                <w:rFonts w:ascii="Arial" w:cs="Arial" w:eastAsia="Arial" w:hAnsi="Arial"/>
                <w:sz w:val="12"/>
                <w:szCs w:val="12"/>
                <w:color w:val="auto"/>
              </w:rPr>
              <w:t>(1,091)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80"/>
              <w:spacing w:after="0" w:line="110" w:lineRule="exact"/>
              <w:rPr>
                <w:sz w:val="20"/>
                <w:szCs w:val="20"/>
                <w:color w:val="auto"/>
              </w:rPr>
            </w:pPr>
            <w:r>
              <w:rPr>
                <w:rFonts w:ascii="Arial" w:cs="Arial" w:eastAsia="Arial" w:hAnsi="Arial"/>
                <w:sz w:val="12"/>
                <w:szCs w:val="12"/>
                <w:color w:val="auto"/>
              </w:rPr>
              <w:t>(7,389)</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120"/>
              <w:spacing w:after="0" w:line="110" w:lineRule="exact"/>
              <w:rPr>
                <w:sz w:val="20"/>
                <w:szCs w:val="20"/>
                <w:color w:val="auto"/>
              </w:rPr>
            </w:pPr>
            <w:r>
              <w:rPr>
                <w:rFonts w:ascii="Arial" w:cs="Arial" w:eastAsia="Arial" w:hAnsi="Arial"/>
                <w:sz w:val="12"/>
                <w:szCs w:val="12"/>
                <w:b w:val="1"/>
                <w:bCs w:val="1"/>
                <w:color w:val="auto"/>
              </w:rPr>
              <w:t>(9,907)</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(6,076)</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(7,339)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60"/>
              <w:spacing w:after="0" w:line="110" w:lineRule="exact"/>
              <w:rPr>
                <w:sz w:val="20"/>
                <w:szCs w:val="20"/>
                <w:color w:val="auto"/>
              </w:rPr>
            </w:pPr>
            <w:r>
              <w:rPr>
                <w:rFonts w:ascii="Arial" w:cs="Arial" w:eastAsia="Arial" w:hAnsi="Arial"/>
                <w:sz w:val="12"/>
                <w:szCs w:val="12"/>
                <w:b w:val="1"/>
                <w:bCs w:val="1"/>
                <w:color w:val="auto"/>
              </w:rPr>
              <w:t>(4,969)</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340" w:type="dxa"/>
            <w:vAlign w:val="bottom"/>
            <w:shd w:val="clear" w:color="auto" w:fill="CCFFCC"/>
          </w:tcPr>
          <w:p>
            <w:pPr>
              <w:spacing w:after="0" w:line="119" w:lineRule="exact"/>
              <w:rPr>
                <w:sz w:val="20"/>
                <w:szCs w:val="20"/>
                <w:color w:val="auto"/>
              </w:rPr>
            </w:pPr>
            <w:r>
              <w:rPr>
                <w:rFonts w:ascii="Arial" w:cs="Arial" w:eastAsia="Arial" w:hAnsi="Arial"/>
                <w:sz w:val="13"/>
                <w:szCs w:val="13"/>
                <w:color w:val="auto"/>
              </w:rPr>
              <w:t>Income tax benefit</w:t>
            </w:r>
          </w:p>
        </w:tc>
        <w:tc>
          <w:tcPr>
            <w:tcW w:w="8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rPr>
              <w:t>(20)</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(18)</w:t>
            </w:r>
          </w:p>
        </w:tc>
        <w:tc>
          <w:tcPr>
            <w:tcW w:w="80" w:type="dxa"/>
            <w:vAlign w:val="bottom"/>
            <w:tcBorders>
              <w:left w:val="single" w:sz="8" w:color="CCFFCC"/>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(90)</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(35)</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(73)</w:t>
            </w: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19" w:lineRule="exact"/>
              <w:rPr>
                <w:sz w:val="20"/>
                <w:szCs w:val="20"/>
                <w:color w:val="auto"/>
              </w:rPr>
            </w:pPr>
            <w:r>
              <w:rPr>
                <w:rFonts w:ascii="Arial" w:cs="Arial" w:eastAsia="Arial" w:hAnsi="Arial"/>
                <w:sz w:val="13"/>
                <w:szCs w:val="13"/>
                <w:color w:val="auto"/>
              </w:rPr>
              <w:t>7</w:t>
            </w:r>
          </w:p>
        </w:tc>
        <w:tc>
          <w:tcPr>
            <w:tcW w:w="1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00" w:type="dxa"/>
            <w:vAlign w:val="bottom"/>
            <w:tcBorders>
              <w:right w:val="single" w:sz="8" w:color="CCFFCC"/>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6"/>
        </w:trPr>
        <w:tc>
          <w:tcPr>
            <w:tcW w:w="13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3"/>
                <w:szCs w:val="13"/>
                <w:color w:val="auto"/>
              </w:rPr>
              <w:t>(expense)</w:t>
            </w:r>
          </w:p>
        </w:tc>
        <w:tc>
          <w:tcPr>
            <w:tcW w:w="80" w:type="dxa"/>
            <w:vAlign w:val="bottom"/>
            <w:tcBorders>
              <w:bottom w:val="single" w:sz="8" w:color="auto"/>
            </w:tcBorders>
            <w:shd w:val="clear" w:color="auto" w:fill="CCFFCC"/>
          </w:tcPr>
          <w:p>
            <w:pPr>
              <w:spacing w:after="0"/>
              <w:rPr>
                <w:sz w:val="13"/>
                <w:szCs w:val="13"/>
                <w:color w:val="auto"/>
              </w:rPr>
            </w:pPr>
          </w:p>
        </w:tc>
        <w:tc>
          <w:tcPr>
            <w:tcW w:w="62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auto"/>
            </w:tcBorders>
            <w:shd w:val="clear" w:color="auto" w:fill="CCFFCC"/>
          </w:tcPr>
          <w:p>
            <w:pPr>
              <w:spacing w:after="0"/>
              <w:rPr>
                <w:sz w:val="13"/>
                <w:szCs w:val="13"/>
                <w:color w:val="auto"/>
              </w:rPr>
            </w:pPr>
          </w:p>
        </w:tc>
        <w:tc>
          <w:tcPr>
            <w:tcW w:w="48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left w:val="single" w:sz="8" w:color="CCFFCC"/>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6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20" w:type="dxa"/>
            <w:vAlign w:val="bottom"/>
            <w:tcBorders>
              <w:bottom w:val="single" w:sz="8" w:color="auto"/>
            </w:tcBorders>
            <w:shd w:val="clear" w:color="auto" w:fill="CCFFCC"/>
          </w:tcPr>
          <w:p>
            <w:pPr>
              <w:spacing w:after="0"/>
              <w:rPr>
                <w:sz w:val="13"/>
                <w:szCs w:val="13"/>
                <w:color w:val="auto"/>
              </w:rPr>
            </w:pPr>
          </w:p>
        </w:tc>
        <w:tc>
          <w:tcPr>
            <w:tcW w:w="140" w:type="dxa"/>
            <w:vAlign w:val="bottom"/>
            <w:tcBorders>
              <w:left w:val="single" w:sz="8" w:color="CCFFCC"/>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8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180" w:type="dxa"/>
            <w:vAlign w:val="bottom"/>
            <w:tcBorders>
              <w:bottom w:val="single" w:sz="8" w:color="auto"/>
            </w:tcBorders>
            <w:shd w:val="clear" w:color="auto" w:fill="CCFFCC"/>
          </w:tcPr>
          <w:p>
            <w:pPr>
              <w:spacing w:after="0"/>
              <w:rPr>
                <w:sz w:val="13"/>
                <w:szCs w:val="13"/>
                <w:color w:val="auto"/>
              </w:rPr>
            </w:pPr>
          </w:p>
        </w:tc>
        <w:tc>
          <w:tcPr>
            <w:tcW w:w="46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right w:val="single" w:sz="8" w:color="CCFFCC"/>
            </w:tcBorders>
            <w:shd w:val="clear" w:color="auto" w:fill="CCFFCC"/>
          </w:tcPr>
          <w:p>
            <w:pPr>
              <w:spacing w:after="0"/>
              <w:rPr>
                <w:sz w:val="13"/>
                <w:szCs w:val="13"/>
                <w:color w:val="auto"/>
              </w:rPr>
            </w:pPr>
          </w:p>
        </w:tc>
        <w:tc>
          <w:tcPr>
            <w:tcW w:w="200" w:type="dxa"/>
            <w:vAlign w:val="bottom"/>
            <w:tcBorders>
              <w:bottom w:val="single" w:sz="8" w:color="auto"/>
            </w:tcBorders>
            <w:shd w:val="clear" w:color="auto" w:fill="CCFFCC"/>
          </w:tcPr>
          <w:p>
            <w:pPr>
              <w:spacing w:after="0"/>
              <w:rPr>
                <w:sz w:val="13"/>
                <w:szCs w:val="13"/>
                <w:color w:val="auto"/>
              </w:rPr>
            </w:pPr>
          </w:p>
        </w:tc>
        <w:tc>
          <w:tcPr>
            <w:tcW w:w="540" w:type="dxa"/>
            <w:vAlign w:val="bottom"/>
            <w:tcBorders>
              <w:bottom w:val="single" w:sz="8" w:color="auto"/>
            </w:tcBorders>
            <w:shd w:val="clear" w:color="auto" w:fill="CCFFCC"/>
          </w:tcPr>
          <w:p>
            <w:pPr>
              <w:spacing w:after="0"/>
              <w:rPr>
                <w:sz w:val="13"/>
                <w:szCs w:val="13"/>
                <w:color w:val="auto"/>
              </w:rPr>
            </w:pPr>
          </w:p>
        </w:tc>
        <w:tc>
          <w:tcPr>
            <w:tcW w:w="100" w:type="dxa"/>
            <w:vAlign w:val="bottom"/>
            <w:tcBorders>
              <w:left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340" w:type="dxa"/>
            <w:vAlign w:val="bottom"/>
          </w:tcPr>
          <w:p>
            <w:pPr>
              <w:spacing w:after="0" w:line="110" w:lineRule="exact"/>
              <w:rPr>
                <w:sz w:val="20"/>
                <w:szCs w:val="20"/>
                <w:color w:val="auto"/>
              </w:rPr>
            </w:pPr>
            <w:r>
              <w:rPr>
                <w:rFonts w:ascii="Arial" w:cs="Arial" w:eastAsia="Arial" w:hAnsi="Arial"/>
                <w:sz w:val="12"/>
                <w:szCs w:val="12"/>
                <w:b w:val="1"/>
                <w:bCs w:val="1"/>
                <w:color w:val="auto"/>
              </w:rPr>
              <w:t>Net loss for the</w:t>
            </w:r>
          </w:p>
        </w:tc>
        <w:tc>
          <w:tcPr>
            <w:tcW w:w="80" w:type="dxa"/>
            <w:vAlign w:val="bottom"/>
          </w:tcPr>
          <w:p>
            <w:pPr>
              <w:spacing w:after="0"/>
              <w:rPr>
                <w:sz w:val="9"/>
                <w:szCs w:val="9"/>
                <w:color w:val="auto"/>
              </w:rPr>
            </w:pPr>
          </w:p>
        </w:tc>
        <w:tc>
          <w:tcPr>
            <w:tcW w:w="720" w:type="dxa"/>
            <w:vAlign w:val="bottom"/>
            <w:gridSpan w:val="2"/>
          </w:tcPr>
          <w:p>
            <w:pPr>
              <w:jc w:val="right"/>
              <w:ind w:right="80"/>
              <w:spacing w:after="0" w:line="110" w:lineRule="exact"/>
              <w:rPr>
                <w:sz w:val="20"/>
                <w:szCs w:val="20"/>
                <w:color w:val="auto"/>
              </w:rPr>
            </w:pPr>
            <w:r>
              <w:rPr>
                <w:rFonts w:ascii="Arial" w:cs="Arial" w:eastAsia="Arial" w:hAnsi="Arial"/>
                <w:sz w:val="12"/>
                <w:szCs w:val="12"/>
                <w:b w:val="1"/>
                <w:bCs w:val="1"/>
                <w:color w:val="auto"/>
              </w:rPr>
              <w:t>(5,644)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100"/>
              <w:spacing w:after="0" w:line="110" w:lineRule="exact"/>
              <w:rPr>
                <w:sz w:val="20"/>
                <w:szCs w:val="20"/>
                <w:color w:val="auto"/>
              </w:rPr>
            </w:pPr>
            <w:r>
              <w:rPr>
                <w:rFonts w:ascii="Arial" w:cs="Arial" w:eastAsia="Arial" w:hAnsi="Arial"/>
                <w:sz w:val="12"/>
                <w:szCs w:val="12"/>
                <w:b w:val="1"/>
                <w:bCs w:val="1"/>
                <w:color w:val="auto"/>
              </w:rPr>
              <w:t>(1,109)</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(7,479)</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120"/>
              <w:spacing w:after="0" w:line="110" w:lineRule="exact"/>
              <w:rPr>
                <w:sz w:val="20"/>
                <w:szCs w:val="20"/>
                <w:color w:val="auto"/>
              </w:rPr>
            </w:pPr>
            <w:r>
              <w:rPr>
                <w:rFonts w:ascii="Arial" w:cs="Arial" w:eastAsia="Arial" w:hAnsi="Arial"/>
                <w:sz w:val="12"/>
                <w:szCs w:val="12"/>
                <w:b w:val="1"/>
                <w:bCs w:val="1"/>
                <w:color w:val="auto"/>
              </w:rPr>
              <w:t>(9,942)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(6,149)</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(7,332)</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60"/>
              <w:spacing w:after="0" w:line="110" w:lineRule="exact"/>
              <w:rPr>
                <w:sz w:val="20"/>
                <w:szCs w:val="20"/>
                <w:color w:val="auto"/>
              </w:rPr>
            </w:pPr>
            <w:r>
              <w:rPr>
                <w:rFonts w:ascii="Arial" w:cs="Arial" w:eastAsia="Arial" w:hAnsi="Arial"/>
                <w:sz w:val="12"/>
                <w:szCs w:val="12"/>
                <w:b w:val="1"/>
                <w:bCs w:val="1"/>
                <w:color w:val="auto"/>
              </w:rPr>
              <w:t>(4,953)</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3"/>
                <w:szCs w:val="13"/>
                <w:b w:val="1"/>
                <w:bCs w:val="1"/>
                <w:color w:val="auto"/>
              </w:rPr>
              <w:t>period</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340" w:type="dxa"/>
            <w:vAlign w:val="bottom"/>
            <w:shd w:val="clear" w:color="auto" w:fill="CCFFCC"/>
          </w:tcPr>
          <w:p>
            <w:pPr>
              <w:spacing w:after="0" w:line="108" w:lineRule="exact"/>
              <w:rPr>
                <w:sz w:val="20"/>
                <w:szCs w:val="20"/>
                <w:color w:val="auto"/>
              </w:rPr>
            </w:pPr>
            <w:r>
              <w:rPr>
                <w:rFonts w:ascii="Arial" w:cs="Arial" w:eastAsia="Arial" w:hAnsi="Arial"/>
                <w:sz w:val="12"/>
                <w:szCs w:val="12"/>
                <w:b w:val="1"/>
                <w:bCs w:val="1"/>
                <w:color w:val="auto"/>
              </w:rPr>
              <w:t>Basic and diluted net</w:t>
            </w:r>
          </w:p>
        </w:tc>
        <w:tc>
          <w:tcPr>
            <w:tcW w:w="80" w:type="dxa"/>
            <w:vAlign w:val="bottom"/>
            <w:shd w:val="clear" w:color="auto" w:fill="CCFFCC"/>
          </w:tcPr>
          <w:p>
            <w:pPr>
              <w:spacing w:after="0"/>
              <w:rPr>
                <w:sz w:val="9"/>
                <w:szCs w:val="9"/>
                <w:color w:val="auto"/>
              </w:rPr>
            </w:pPr>
          </w:p>
        </w:tc>
        <w:tc>
          <w:tcPr>
            <w:tcW w:w="720" w:type="dxa"/>
            <w:vAlign w:val="bottom"/>
            <w:gridSpan w:val="2"/>
            <w:shd w:val="clear" w:color="auto" w:fill="CCFFCC"/>
          </w:tcPr>
          <w:p>
            <w:pPr>
              <w:jc w:val="right"/>
              <w:ind w:right="80"/>
              <w:spacing w:after="0" w:line="108" w:lineRule="exact"/>
              <w:rPr>
                <w:sz w:val="20"/>
                <w:szCs w:val="20"/>
                <w:color w:val="auto"/>
              </w:rPr>
            </w:pPr>
            <w:r>
              <w:rPr>
                <w:rFonts w:ascii="Arial" w:cs="Arial" w:eastAsia="Arial" w:hAnsi="Arial"/>
                <w:sz w:val="12"/>
                <w:szCs w:val="12"/>
                <w:b w:val="1"/>
                <w:bCs w:val="1"/>
                <w:color w:val="auto"/>
              </w:rPr>
              <w:t>(0.46)</w:t>
            </w: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gridSpan w:val="2"/>
            <w:shd w:val="clear" w:color="auto" w:fill="CCFFCC"/>
          </w:tcPr>
          <w:p>
            <w:pPr>
              <w:jc w:val="right"/>
              <w:ind w:right="100"/>
              <w:spacing w:after="0" w:line="108" w:lineRule="exact"/>
              <w:rPr>
                <w:sz w:val="20"/>
                <w:szCs w:val="20"/>
                <w:color w:val="auto"/>
              </w:rPr>
            </w:pPr>
            <w:r>
              <w:rPr>
                <w:rFonts w:ascii="Arial" w:cs="Arial" w:eastAsia="Arial" w:hAnsi="Arial"/>
                <w:sz w:val="12"/>
                <w:szCs w:val="12"/>
                <w:b w:val="1"/>
                <w:bCs w:val="1"/>
                <w:color w:val="auto"/>
              </w:rPr>
              <w:t>(0.19)</w:t>
            </w:r>
          </w:p>
        </w:tc>
        <w:tc>
          <w:tcPr>
            <w:tcW w:w="80" w:type="dxa"/>
            <w:vAlign w:val="bottom"/>
            <w:tcBorders>
              <w:left w:val="single" w:sz="8" w:color="CCFFCC"/>
            </w:tcBorders>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60" w:type="dxa"/>
            <w:vAlign w:val="bottom"/>
            <w:tcBorders>
              <w:right w:val="single" w:sz="8" w:color="CCFFCC"/>
            </w:tcBorders>
            <w:shd w:val="clear" w:color="auto" w:fill="CCFFCC"/>
          </w:tcPr>
          <w:p>
            <w:pPr>
              <w:jc w:val="right"/>
              <w:spacing w:after="0" w:line="108" w:lineRule="exact"/>
              <w:rPr>
                <w:sz w:val="20"/>
                <w:szCs w:val="20"/>
                <w:color w:val="auto"/>
              </w:rPr>
            </w:pPr>
            <w:r>
              <w:rPr>
                <w:rFonts w:ascii="Arial" w:cs="Arial" w:eastAsia="Arial" w:hAnsi="Arial"/>
                <w:sz w:val="12"/>
                <w:szCs w:val="12"/>
                <w:b w:val="1"/>
                <w:bCs w:val="1"/>
                <w:color w:val="auto"/>
              </w:rPr>
              <w:t>(1.17)</w:t>
            </w:r>
          </w:p>
        </w:tc>
        <w:tc>
          <w:tcPr>
            <w:tcW w:w="10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60" w:type="dxa"/>
            <w:vAlign w:val="bottom"/>
            <w:gridSpan w:val="2"/>
            <w:shd w:val="clear" w:color="auto" w:fill="CCFFCC"/>
          </w:tcPr>
          <w:p>
            <w:pPr>
              <w:jc w:val="right"/>
              <w:ind w:right="120"/>
              <w:spacing w:after="0" w:line="108" w:lineRule="exact"/>
              <w:rPr>
                <w:sz w:val="20"/>
                <w:szCs w:val="20"/>
                <w:color w:val="auto"/>
              </w:rPr>
            </w:pPr>
            <w:r>
              <w:rPr>
                <w:rFonts w:ascii="Arial" w:cs="Arial" w:eastAsia="Arial" w:hAnsi="Arial"/>
                <w:sz w:val="12"/>
                <w:szCs w:val="12"/>
                <w:b w:val="1"/>
                <w:bCs w:val="1"/>
                <w:color w:val="auto"/>
              </w:rPr>
              <w:t>(3.15)</w:t>
            </w:r>
          </w:p>
        </w:tc>
        <w:tc>
          <w:tcPr>
            <w:tcW w:w="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jc w:val="right"/>
              <w:spacing w:after="0" w:line="108" w:lineRule="exact"/>
              <w:rPr>
                <w:sz w:val="20"/>
                <w:szCs w:val="20"/>
                <w:color w:val="auto"/>
              </w:rPr>
            </w:pPr>
            <w:r>
              <w:rPr>
                <w:rFonts w:ascii="Arial" w:cs="Arial" w:eastAsia="Arial" w:hAnsi="Arial"/>
                <w:sz w:val="12"/>
                <w:szCs w:val="12"/>
                <w:b w:val="1"/>
                <w:bCs w:val="1"/>
                <w:color w:val="auto"/>
              </w:rPr>
              <w:t>(16.76)</w:t>
            </w:r>
          </w:p>
        </w:tc>
        <w:tc>
          <w:tcPr>
            <w:tcW w:w="10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460" w:type="dxa"/>
            <w:vAlign w:val="bottom"/>
            <w:shd w:val="clear" w:color="auto" w:fill="CCFFCC"/>
          </w:tcPr>
          <w:p>
            <w:pPr>
              <w:jc w:val="right"/>
              <w:spacing w:after="0" w:line="108" w:lineRule="exact"/>
              <w:rPr>
                <w:sz w:val="20"/>
                <w:szCs w:val="20"/>
                <w:color w:val="auto"/>
              </w:rPr>
            </w:pPr>
            <w:r>
              <w:rPr>
                <w:rFonts w:ascii="Arial" w:cs="Arial" w:eastAsia="Arial" w:hAnsi="Arial"/>
                <w:sz w:val="12"/>
                <w:szCs w:val="12"/>
                <w:b w:val="1"/>
                <w:bCs w:val="1"/>
                <w:color w:val="auto"/>
              </w:rPr>
              <w:t>(19.99)</w:t>
            </w:r>
          </w:p>
        </w:tc>
        <w:tc>
          <w:tcPr>
            <w:tcW w:w="1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100" w:type="dxa"/>
            <w:vAlign w:val="bottom"/>
            <w:tcBorders>
              <w:right w:val="single" w:sz="8" w:color="CCFFCC"/>
            </w:tcBorders>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40" w:type="dxa"/>
            <w:vAlign w:val="bottom"/>
            <w:gridSpan w:val="2"/>
            <w:shd w:val="clear" w:color="auto" w:fill="CCFFCC"/>
          </w:tcPr>
          <w:p>
            <w:pPr>
              <w:jc w:val="right"/>
              <w:ind w:right="60"/>
              <w:spacing w:after="0" w:line="108" w:lineRule="exact"/>
              <w:rPr>
                <w:sz w:val="20"/>
                <w:szCs w:val="20"/>
                <w:color w:val="auto"/>
              </w:rPr>
            </w:pPr>
            <w:r>
              <w:rPr>
                <w:rFonts w:ascii="Arial" w:cs="Arial" w:eastAsia="Arial" w:hAnsi="Arial"/>
                <w:sz w:val="12"/>
                <w:szCs w:val="12"/>
                <w:b w:val="1"/>
                <w:bCs w:val="1"/>
                <w:color w:val="auto"/>
              </w:rPr>
              <w:t>(13.50)</w:t>
            </w:r>
          </w:p>
        </w:tc>
        <w:tc>
          <w:tcPr>
            <w:tcW w:w="0" w:type="dxa"/>
            <w:vAlign w:val="bottom"/>
          </w:tcPr>
          <w:p>
            <w:pPr>
              <w:spacing w:after="0"/>
              <w:rPr>
                <w:sz w:val="1"/>
                <w:szCs w:val="1"/>
                <w:color w:val="auto"/>
              </w:rPr>
            </w:pPr>
          </w:p>
        </w:tc>
      </w:tr>
      <w:tr>
        <w:trPr>
          <w:trHeight w:val="138"/>
        </w:trPr>
        <w:tc>
          <w:tcPr>
            <w:tcW w:w="1340" w:type="dxa"/>
            <w:vAlign w:val="bottom"/>
            <w:shd w:val="clear" w:color="auto" w:fill="CCFFCC"/>
          </w:tcPr>
          <w:p>
            <w:pPr>
              <w:ind w:left="160"/>
              <w:spacing w:after="0" w:line="138" w:lineRule="exact"/>
              <w:rPr>
                <w:sz w:val="20"/>
                <w:szCs w:val="20"/>
                <w:color w:val="auto"/>
              </w:rPr>
            </w:pPr>
            <w:r>
              <w:rPr>
                <w:rFonts w:ascii="Arial" w:cs="Arial" w:eastAsia="Arial" w:hAnsi="Arial"/>
                <w:sz w:val="13"/>
                <w:szCs w:val="13"/>
                <w:b w:val="1"/>
                <w:bCs w:val="1"/>
                <w:color w:val="auto"/>
              </w:rPr>
              <w:t>loss per</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6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340" w:type="dxa"/>
            <w:vAlign w:val="bottom"/>
            <w:shd w:val="clear" w:color="auto" w:fill="CCFFCC"/>
          </w:tcPr>
          <w:p>
            <w:pPr>
              <w:ind w:left="160"/>
              <w:spacing w:after="0"/>
              <w:rPr>
                <w:sz w:val="20"/>
                <w:szCs w:val="20"/>
                <w:color w:val="auto"/>
              </w:rPr>
            </w:pPr>
            <w:r>
              <w:rPr>
                <w:rFonts w:ascii="Arial" w:cs="Arial" w:eastAsia="Arial" w:hAnsi="Arial"/>
                <w:sz w:val="13"/>
                <w:szCs w:val="13"/>
                <w:b w:val="1"/>
                <w:bCs w:val="1"/>
                <w:color w:val="auto"/>
              </w:rPr>
              <w:t>common share</w:t>
            </w: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0" w:type="dxa"/>
            <w:vAlign w:val="bottom"/>
            <w:tcBorders>
              <w:left w:val="single" w:sz="8" w:color="CCFFCC"/>
            </w:tcBorders>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6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8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4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100" w:type="dxa"/>
            <w:vAlign w:val="bottom"/>
            <w:tcBorders>
              <w:right w:val="single" w:sz="8" w:color="CCFFCC"/>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540" w:type="dxa"/>
            <w:vAlign w:val="bottom"/>
            <w:shd w:val="clear" w:color="auto" w:fill="CCFFCC"/>
          </w:tcPr>
          <w:p>
            <w:pPr>
              <w:spacing w:after="0"/>
              <w:rPr>
                <w:sz w:val="13"/>
                <w:szCs w:val="13"/>
                <w:color w:val="auto"/>
              </w:rPr>
            </w:pPr>
          </w:p>
        </w:tc>
        <w:tc>
          <w:tcPr>
            <w:tcW w:w="100" w:type="dxa"/>
            <w:vAlign w:val="bottom"/>
            <w:tcBorders>
              <w:left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340" w:type="dxa"/>
            <w:vAlign w:val="bottom"/>
          </w:tcPr>
          <w:p>
            <w:pPr>
              <w:spacing w:after="0" w:line="119" w:lineRule="exact"/>
              <w:rPr>
                <w:sz w:val="20"/>
                <w:szCs w:val="20"/>
                <w:color w:val="auto"/>
              </w:rPr>
            </w:pPr>
            <w:r>
              <w:rPr>
                <w:rFonts w:ascii="Arial" w:cs="Arial" w:eastAsia="Arial" w:hAnsi="Arial"/>
                <w:sz w:val="13"/>
                <w:szCs w:val="13"/>
                <w:color w:val="auto"/>
              </w:rPr>
              <w:t>Weighted average</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5"/>
              </w:rPr>
              <w:t>12,371,472</w:t>
            </w:r>
          </w:p>
        </w:tc>
        <w:tc>
          <w:tcPr>
            <w:tcW w:w="900" w:type="dxa"/>
            <w:vAlign w:val="bottom"/>
            <w:gridSpan w:val="5"/>
          </w:tcPr>
          <w:p>
            <w:pPr>
              <w:jc w:val="right"/>
              <w:ind w:right="100"/>
              <w:spacing w:after="0" w:line="119" w:lineRule="exact"/>
              <w:rPr>
                <w:sz w:val="20"/>
                <w:szCs w:val="20"/>
                <w:color w:val="auto"/>
              </w:rPr>
            </w:pPr>
            <w:r>
              <w:rPr>
                <w:rFonts w:ascii="Arial" w:cs="Arial" w:eastAsia="Arial" w:hAnsi="Arial"/>
                <w:sz w:val="13"/>
                <w:szCs w:val="13"/>
                <w:b w:val="1"/>
                <w:bCs w:val="1"/>
                <w:color w:val="auto"/>
              </w:rPr>
              <w:t>5,724,253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color w:val="auto"/>
                <w:w w:val="89"/>
              </w:rPr>
              <w:t>6,372,659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89"/>
              </w:rPr>
              <w:t>3,154,489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366,782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3"/>
              </w:rPr>
              <w:t>366,782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366,782</w:t>
            </w:r>
          </w:p>
        </w:tc>
        <w:tc>
          <w:tcPr>
            <w:tcW w:w="0" w:type="dxa"/>
            <w:vAlign w:val="bottom"/>
          </w:tcPr>
          <w:p>
            <w:pPr>
              <w:spacing w:after="0"/>
              <w:rPr>
                <w:sz w:val="1"/>
                <w:szCs w:val="1"/>
                <w:color w:val="auto"/>
              </w:rPr>
            </w:pPr>
          </w:p>
        </w:tc>
      </w:tr>
      <w:tr>
        <w:trPr>
          <w:trHeight w:val="138"/>
        </w:trPr>
        <w:tc>
          <w:tcPr>
            <w:tcW w:w="1340" w:type="dxa"/>
            <w:vAlign w:val="bottom"/>
          </w:tcPr>
          <w:p>
            <w:pPr>
              <w:ind w:left="160"/>
              <w:spacing w:after="0" w:line="138" w:lineRule="exact"/>
              <w:rPr>
                <w:sz w:val="20"/>
                <w:szCs w:val="20"/>
                <w:color w:val="auto"/>
              </w:rPr>
            </w:pPr>
            <w:r>
              <w:rPr>
                <w:rFonts w:ascii="Arial" w:cs="Arial" w:eastAsia="Arial" w:hAnsi="Arial"/>
                <w:sz w:val="13"/>
                <w:szCs w:val="13"/>
                <w:color w:val="auto"/>
              </w:rPr>
              <w:t>number of shares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Pr>
          <w:p>
            <w:pPr>
              <w:ind w:left="160"/>
              <w:spacing w:after="0" w:line="138" w:lineRule="exact"/>
              <w:rPr>
                <w:sz w:val="20"/>
                <w:szCs w:val="20"/>
                <w:color w:val="auto"/>
              </w:rPr>
            </w:pPr>
            <w:r>
              <w:rPr>
                <w:rFonts w:ascii="Arial" w:cs="Arial" w:eastAsia="Arial" w:hAnsi="Arial"/>
                <w:sz w:val="13"/>
                <w:szCs w:val="13"/>
                <w:color w:val="auto"/>
              </w:rPr>
              <w:t>used in computing</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Pr>
          <w:p>
            <w:pPr>
              <w:ind w:left="160"/>
              <w:spacing w:after="0" w:line="138" w:lineRule="exact"/>
              <w:rPr>
                <w:sz w:val="20"/>
                <w:szCs w:val="20"/>
                <w:color w:val="auto"/>
              </w:rPr>
            </w:pPr>
            <w:r>
              <w:rPr>
                <w:rFonts w:ascii="Arial" w:cs="Arial" w:eastAsia="Arial" w:hAnsi="Arial"/>
                <w:sz w:val="13"/>
                <w:szCs w:val="13"/>
                <w:color w:val="auto"/>
              </w:rPr>
              <w:t>basic and diluted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Pr>
          <w:p>
            <w:pPr>
              <w:ind w:left="160"/>
              <w:spacing w:after="0" w:line="138" w:lineRule="exact"/>
              <w:rPr>
                <w:sz w:val="20"/>
                <w:szCs w:val="20"/>
                <w:color w:val="auto"/>
              </w:rPr>
            </w:pPr>
            <w:r>
              <w:rPr>
                <w:rFonts w:ascii="Arial" w:cs="Arial" w:eastAsia="Arial" w:hAnsi="Arial"/>
                <w:sz w:val="13"/>
                <w:szCs w:val="13"/>
                <w:color w:val="auto"/>
              </w:rPr>
              <w:t>net loss per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40" w:type="dxa"/>
            <w:vAlign w:val="bottom"/>
          </w:tcPr>
          <w:p>
            <w:pPr>
              <w:ind w:left="160"/>
              <w:spacing w:after="0"/>
              <w:rPr>
                <w:sz w:val="20"/>
                <w:szCs w:val="20"/>
                <w:color w:val="auto"/>
              </w:rPr>
            </w:pPr>
            <w:r>
              <w:rPr>
                <w:rFonts w:ascii="Arial" w:cs="Arial" w:eastAsia="Arial" w:hAnsi="Arial"/>
                <w:sz w:val="13"/>
                <w:szCs w:val="13"/>
                <w:color w:val="auto"/>
              </w:rPr>
              <w:t>common share</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60" w:type="dxa"/>
            <w:vAlign w:val="bottom"/>
            <w:gridSpan w:val="15"/>
          </w:tcPr>
          <w:p>
            <w:pPr>
              <w:ind w:left="40"/>
              <w:spacing w:after="0"/>
              <w:rPr>
                <w:sz w:val="20"/>
                <w:szCs w:val="20"/>
                <w:color w:val="auto"/>
              </w:rPr>
            </w:pPr>
            <w:r>
              <w:rPr>
                <w:rFonts w:ascii="Arial" w:cs="Arial" w:eastAsia="Arial" w:hAnsi="Arial"/>
                <w:sz w:val="17"/>
                <w:szCs w:val="17"/>
                <w:b w:val="1"/>
                <w:bCs w:val="1"/>
                <w:color w:val="auto"/>
              </w:rPr>
              <w:t>Balance Sheet Data (U.S. dollars; in thousands):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94"/>
              </w:rPr>
              <w:t>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40"/>
              <w:spacing w:after="0" w:line="125" w:lineRule="exact"/>
              <w:rPr>
                <w:sz w:val="20"/>
                <w:szCs w:val="20"/>
                <w:color w:val="auto"/>
              </w:rPr>
            </w:pPr>
            <w:r>
              <w:rPr>
                <w:rFonts w:ascii="Arial" w:cs="Arial" w:eastAsia="Arial" w:hAnsi="Arial"/>
                <w:sz w:val="12"/>
                <w:szCs w:val="12"/>
                <w:b w:val="1"/>
                <w:bCs w:val="1"/>
                <w:color w:val="auto"/>
                <w:w w:val="93"/>
              </w:rPr>
              <w:t>March 31,</w:t>
            </w: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40" w:type="dxa"/>
            <w:vAlign w:val="bottom"/>
            <w:vMerge w:val="restart"/>
          </w:tcPr>
          <w:p>
            <w:pPr>
              <w:spacing w:after="0"/>
              <w:rPr>
                <w:sz w:val="20"/>
                <w:szCs w:val="20"/>
                <w:color w:val="auto"/>
              </w:rPr>
            </w:pPr>
            <w:r>
              <w:rPr>
                <w:rFonts w:ascii="Arial" w:cs="Arial" w:eastAsia="Arial" w:hAnsi="Arial"/>
                <w:sz w:val="13"/>
                <w:szCs w:val="13"/>
                <w:color w:val="auto"/>
              </w:rPr>
              <w:t>Total current assets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ind w:left="160"/>
              <w:spacing w:after="0" w:line="130" w:lineRule="exact"/>
              <w:rPr>
                <w:sz w:val="20"/>
                <w:szCs w:val="20"/>
                <w:color w:val="auto"/>
              </w:rPr>
            </w:pPr>
            <w:r>
              <w:rPr>
                <w:rFonts w:ascii="Arial" w:cs="Arial" w:eastAsia="Arial" w:hAnsi="Arial"/>
                <w:sz w:val="12"/>
                <w:szCs w:val="12"/>
                <w:b w:val="1"/>
                <w:bCs w:val="1"/>
                <w:color w:val="auto"/>
              </w:rPr>
              <w:t>2012</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5"/>
              <w:spacing w:after="0" w:line="130" w:lineRule="exact"/>
              <w:rPr>
                <w:sz w:val="20"/>
                <w:szCs w:val="20"/>
                <w:color w:val="auto"/>
              </w:rPr>
            </w:pPr>
            <w:r>
              <w:rPr>
                <w:rFonts w:ascii="Arial" w:cs="Arial" w:eastAsia="Arial" w:hAnsi="Arial"/>
                <w:sz w:val="12"/>
                <w:szCs w:val="12"/>
                <w:b w:val="1"/>
                <w:bCs w:val="1"/>
                <w:color w:val="auto"/>
              </w:rPr>
              <w:t>2011</w:t>
            </w: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5"/>
              <w:spacing w:after="0" w:line="130" w:lineRule="exact"/>
              <w:rPr>
                <w:sz w:val="20"/>
                <w:szCs w:val="20"/>
                <w:color w:val="auto"/>
              </w:rPr>
            </w:pPr>
            <w:r>
              <w:rPr>
                <w:rFonts w:ascii="Arial" w:cs="Arial" w:eastAsia="Arial" w:hAnsi="Arial"/>
                <w:sz w:val="12"/>
                <w:szCs w:val="12"/>
                <w:b w:val="1"/>
                <w:bCs w:val="1"/>
                <w:color w:val="auto"/>
              </w:rPr>
              <w:t>2010</w:t>
            </w: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5"/>
              <w:spacing w:after="0" w:line="130" w:lineRule="exact"/>
              <w:rPr>
                <w:sz w:val="20"/>
                <w:szCs w:val="20"/>
                <w:color w:val="auto"/>
              </w:rPr>
            </w:pPr>
            <w:r>
              <w:rPr>
                <w:rFonts w:ascii="Arial" w:cs="Arial" w:eastAsia="Arial" w:hAnsi="Arial"/>
                <w:sz w:val="12"/>
                <w:szCs w:val="12"/>
                <w:b w:val="1"/>
                <w:bCs w:val="1"/>
                <w:color w:val="auto"/>
              </w:rPr>
              <w:t>2009</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5"/>
              <w:spacing w:after="0" w:line="130" w:lineRule="exact"/>
              <w:rPr>
                <w:sz w:val="20"/>
                <w:szCs w:val="20"/>
                <w:color w:val="auto"/>
              </w:rPr>
            </w:pPr>
            <w:r>
              <w:rPr>
                <w:rFonts w:ascii="Arial" w:cs="Arial" w:eastAsia="Arial" w:hAnsi="Arial"/>
                <w:sz w:val="12"/>
                <w:szCs w:val="12"/>
                <w:b w:val="1"/>
                <w:bCs w:val="1"/>
                <w:color w:val="auto"/>
              </w:rPr>
              <w:t>2008</w:t>
            </w: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5"/>
              <w:spacing w:after="0" w:line="130" w:lineRule="exact"/>
              <w:rPr>
                <w:sz w:val="20"/>
                <w:szCs w:val="20"/>
                <w:color w:val="auto"/>
              </w:rPr>
            </w:pPr>
            <w:r>
              <w:rPr>
                <w:rFonts w:ascii="Arial" w:cs="Arial" w:eastAsia="Arial" w:hAnsi="Arial"/>
                <w:sz w:val="12"/>
                <w:szCs w:val="12"/>
                <w:b w:val="1"/>
                <w:bCs w:val="1"/>
                <w:color w:val="auto"/>
              </w:rPr>
              <w:t>2007</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20" w:type="dxa"/>
            <w:vAlign w:val="bottom"/>
          </w:tcPr>
          <w:p>
            <w:pPr>
              <w:jc w:val="right"/>
              <w:spacing w:after="0" w:line="131"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ind w:left="280"/>
              <w:spacing w:after="0" w:line="131" w:lineRule="exact"/>
              <w:rPr>
                <w:sz w:val="20"/>
                <w:szCs w:val="20"/>
                <w:color w:val="auto"/>
              </w:rPr>
            </w:pPr>
            <w:r>
              <w:rPr>
                <w:rFonts w:ascii="Arial" w:cs="Arial" w:eastAsia="Arial" w:hAnsi="Arial"/>
                <w:sz w:val="13"/>
                <w:szCs w:val="13"/>
                <w:color w:val="auto"/>
                <w:w w:val="79"/>
              </w:rPr>
              <w:t>3,926</w:t>
            </w: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tcPr>
          <w:p>
            <w:pPr>
              <w:jc w:val="right"/>
              <w:spacing w:after="0" w:line="131"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1,718</w:t>
            </w: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1" w:lineRule="exact"/>
              <w:rPr>
                <w:sz w:val="20"/>
                <w:szCs w:val="20"/>
                <w:color w:val="auto"/>
              </w:rPr>
            </w:pPr>
            <w:r>
              <w:rPr>
                <w:rFonts w:ascii="Arial" w:cs="Arial" w:eastAsia="Arial" w:hAnsi="Arial"/>
                <w:sz w:val="13"/>
                <w:szCs w:val="13"/>
                <w:color w:val="auto"/>
              </w:rPr>
              <w:t>5,675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tcPr>
          <w:p>
            <w:pPr>
              <w:jc w:val="right"/>
              <w:spacing w:after="0" w:line="131"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3,518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6,122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ind w:right="62"/>
              <w:spacing w:after="0" w:line="131"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8,580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shd w:val="clear" w:color="auto" w:fill="CCFFCC"/>
          </w:tcPr>
          <w:p>
            <w:pPr>
              <w:spacing w:after="0" w:line="138" w:lineRule="exact"/>
              <w:rPr>
                <w:sz w:val="20"/>
                <w:szCs w:val="20"/>
                <w:color w:val="auto"/>
              </w:rPr>
            </w:pPr>
            <w:r>
              <w:rPr>
                <w:rFonts w:ascii="Arial" w:cs="Arial" w:eastAsia="Arial" w:hAnsi="Arial"/>
                <w:sz w:val="13"/>
                <w:szCs w:val="13"/>
                <w:color w:val="auto"/>
              </w:rPr>
              <w:t>Long-term deposit</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spacing w:after="0" w:line="138" w:lineRule="exact"/>
              <w:rPr>
                <w:sz w:val="20"/>
                <w:szCs w:val="20"/>
                <w:color w:val="auto"/>
              </w:rPr>
            </w:pPr>
            <w:r>
              <w:rPr>
                <w:rFonts w:ascii="Arial" w:cs="Arial" w:eastAsia="Arial" w:hAnsi="Arial"/>
                <w:sz w:val="13"/>
                <w:szCs w:val="13"/>
                <w:color w:val="auto"/>
              </w:rPr>
              <w:t>8</w:t>
            </w: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8</w:t>
            </w: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color w:val="auto"/>
              </w:rPr>
              <w:t>9</w:t>
            </w:r>
          </w:p>
        </w:tc>
        <w:tc>
          <w:tcPr>
            <w:tcW w:w="140" w:type="dxa"/>
            <w:vAlign w:val="bottom"/>
            <w:tcBorders>
              <w:lef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12</w:t>
            </w: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12</w:t>
            </w: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color w:val="auto"/>
              </w:rPr>
              <w:t>3</w:t>
            </w:r>
          </w:p>
        </w:tc>
        <w:tc>
          <w:tcPr>
            <w:tcW w:w="100" w:type="dxa"/>
            <w:vAlign w:val="bottom"/>
            <w:tcBorders>
              <w:lef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140" w:type="dxa"/>
            <w:vAlign w:val="bottom"/>
            <w:gridSpan w:val="4"/>
          </w:tcPr>
          <w:p>
            <w:pPr>
              <w:spacing w:after="0" w:line="138" w:lineRule="exact"/>
              <w:rPr>
                <w:sz w:val="20"/>
                <w:szCs w:val="20"/>
                <w:color w:val="auto"/>
              </w:rPr>
            </w:pPr>
            <w:r>
              <w:rPr>
                <w:rFonts w:ascii="Arial" w:cs="Arial" w:eastAsia="Arial" w:hAnsi="Arial"/>
                <w:sz w:val="13"/>
                <w:szCs w:val="13"/>
                <w:color w:val="auto"/>
              </w:rPr>
              <w:t>Property and equipment, 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133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144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3"/>
                <w:szCs w:val="13"/>
                <w:color w:val="auto"/>
              </w:rPr>
              <w:t>178</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179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259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265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140" w:type="dxa"/>
            <w:vAlign w:val="bottom"/>
            <w:gridSpan w:val="4"/>
            <w:shd w:val="clear" w:color="auto" w:fill="CCFFCC"/>
          </w:tcPr>
          <w:p>
            <w:pPr>
              <w:spacing w:after="0" w:line="138" w:lineRule="exact"/>
              <w:rPr>
                <w:sz w:val="20"/>
                <w:szCs w:val="20"/>
                <w:color w:val="auto"/>
              </w:rPr>
            </w:pPr>
            <w:r>
              <w:rPr>
                <w:rFonts w:ascii="Arial" w:cs="Arial" w:eastAsia="Arial" w:hAnsi="Arial"/>
                <w:sz w:val="13"/>
                <w:szCs w:val="13"/>
                <w:color w:val="auto"/>
              </w:rPr>
              <w:t>Deferred tax assets – long-term</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25</w:t>
            </w: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color w:val="auto"/>
              </w:rPr>
              <w:t>27</w:t>
            </w:r>
          </w:p>
        </w:tc>
        <w:tc>
          <w:tcPr>
            <w:tcW w:w="140" w:type="dxa"/>
            <w:vAlign w:val="bottom"/>
            <w:tcBorders>
              <w:lef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80</w:t>
            </w: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50</w:t>
            </w: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color w:val="auto"/>
              </w:rPr>
              <w:t>16</w:t>
            </w:r>
          </w:p>
        </w:tc>
        <w:tc>
          <w:tcPr>
            <w:tcW w:w="100" w:type="dxa"/>
            <w:vAlign w:val="bottom"/>
            <w:tcBorders>
              <w:lef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340" w:type="dxa"/>
            <w:vAlign w:val="bottom"/>
          </w:tcPr>
          <w:p>
            <w:pPr>
              <w:spacing w:after="0" w:line="131" w:lineRule="exact"/>
              <w:rPr>
                <w:sz w:val="20"/>
                <w:szCs w:val="20"/>
                <w:color w:val="auto"/>
              </w:rPr>
            </w:pPr>
            <w:r>
              <w:rPr>
                <w:rFonts w:ascii="Arial" w:cs="Arial" w:eastAsia="Arial" w:hAnsi="Arial"/>
                <w:sz w:val="13"/>
                <w:szCs w:val="13"/>
                <w:b w:val="1"/>
                <w:bCs w:val="1"/>
                <w:color w:val="auto"/>
              </w:rPr>
              <w:t>Total assets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20" w:type="dxa"/>
            <w:vAlign w:val="bottom"/>
          </w:tcPr>
          <w:p>
            <w:pPr>
              <w:jc w:val="right"/>
              <w:spacing w:after="0" w:line="131" w:lineRule="exact"/>
              <w:rPr>
                <w:sz w:val="20"/>
                <w:szCs w:val="20"/>
                <w:color w:val="auto"/>
              </w:rPr>
            </w:pPr>
            <w:r>
              <w:rPr>
                <w:rFonts w:ascii="Arial" w:cs="Arial" w:eastAsia="Arial" w:hAnsi="Arial"/>
                <w:sz w:val="13"/>
                <w:szCs w:val="13"/>
                <w:b w:val="1"/>
                <w:bCs w:val="1"/>
                <w:color w:val="auto"/>
                <w:w w:val="82"/>
              </w:rPr>
              <w:t>$</w:t>
            </w:r>
          </w:p>
        </w:tc>
        <w:tc>
          <w:tcPr>
            <w:tcW w:w="580" w:type="dxa"/>
            <w:vAlign w:val="bottom"/>
            <w:gridSpan w:val="2"/>
          </w:tcPr>
          <w:p>
            <w:pPr>
              <w:ind w:left="280"/>
              <w:spacing w:after="0" w:line="131" w:lineRule="exact"/>
              <w:rPr>
                <w:sz w:val="20"/>
                <w:szCs w:val="20"/>
                <w:color w:val="auto"/>
              </w:rPr>
            </w:pPr>
            <w:r>
              <w:rPr>
                <w:rFonts w:ascii="Arial" w:cs="Arial" w:eastAsia="Arial" w:hAnsi="Arial"/>
                <w:sz w:val="13"/>
                <w:szCs w:val="13"/>
                <w:b w:val="1"/>
                <w:bCs w:val="1"/>
                <w:color w:val="auto"/>
                <w:w w:val="79"/>
              </w:rPr>
              <w:t>4,067</w:t>
            </w:r>
          </w:p>
        </w:tc>
        <w:tc>
          <w:tcPr>
            <w:tcW w:w="260" w:type="dxa"/>
            <w:vAlign w:val="bottom"/>
            <w:gridSpan w:val="4"/>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1,895</w:t>
            </w:r>
          </w:p>
        </w:tc>
        <w:tc>
          <w:tcPr>
            <w:tcW w:w="240" w:type="dxa"/>
            <w:vAlign w:val="bottom"/>
            <w:gridSpan w:val="4"/>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5,889</w:t>
            </w:r>
          </w:p>
        </w:tc>
        <w:tc>
          <w:tcPr>
            <w:tcW w:w="140" w:type="dxa"/>
            <w:vAlign w:val="bottom"/>
          </w:tcPr>
          <w:p>
            <w:pPr>
              <w:spacing w:after="0"/>
              <w:rPr>
                <w:sz w:val="11"/>
                <w:szCs w:val="11"/>
                <w:color w:val="auto"/>
              </w:rPr>
            </w:pPr>
          </w:p>
        </w:tc>
        <w:tc>
          <w:tcPr>
            <w:tcW w:w="220" w:type="dxa"/>
            <w:vAlign w:val="bottom"/>
            <w:gridSpan w:val="4"/>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3,789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gridSpan w:val="2"/>
          </w:tcPr>
          <w:p>
            <w:pPr>
              <w:jc w:val="right"/>
              <w:ind w:right="70"/>
              <w:spacing w:after="0" w:line="131" w:lineRule="exact"/>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6,443</w:t>
            </w:r>
          </w:p>
        </w:tc>
        <w:tc>
          <w:tcPr>
            <w:tcW w:w="320" w:type="dxa"/>
            <w:vAlign w:val="bottom"/>
            <w:gridSpan w:val="3"/>
          </w:tcPr>
          <w:p>
            <w:pPr>
              <w:jc w:val="right"/>
              <w:ind w:right="62"/>
              <w:spacing w:after="0" w:line="131"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8,865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340" w:type="dxa"/>
            <w:vAlign w:val="bottom"/>
            <w:shd w:val="clear" w:color="auto" w:fill="CCFFCC"/>
          </w:tcPr>
          <w:p>
            <w:pPr>
              <w:spacing w:after="0" w:line="128" w:lineRule="exact"/>
              <w:rPr>
                <w:sz w:val="20"/>
                <w:szCs w:val="20"/>
                <w:color w:val="auto"/>
              </w:rPr>
            </w:pPr>
            <w:r>
              <w:rPr>
                <w:rFonts w:ascii="Arial" w:cs="Arial" w:eastAsia="Arial" w:hAnsi="Arial"/>
                <w:sz w:val="13"/>
                <w:szCs w:val="13"/>
                <w:color w:val="auto"/>
              </w:rPr>
              <w:t>Total current liabilities</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ind w:left="280"/>
              <w:spacing w:after="0" w:line="128" w:lineRule="exact"/>
              <w:rPr>
                <w:sz w:val="20"/>
                <w:szCs w:val="20"/>
                <w:color w:val="auto"/>
              </w:rPr>
            </w:pPr>
            <w:r>
              <w:rPr>
                <w:rFonts w:ascii="Arial" w:cs="Arial" w:eastAsia="Arial" w:hAnsi="Arial"/>
                <w:sz w:val="13"/>
                <w:szCs w:val="13"/>
                <w:color w:val="auto"/>
                <w:w w:val="79"/>
              </w:rPr>
              <w:t>1,210</w:t>
            </w: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28" w:lineRule="exact"/>
              <w:rPr>
                <w:sz w:val="20"/>
                <w:szCs w:val="20"/>
                <w:color w:val="auto"/>
              </w:rPr>
            </w:pPr>
            <w:r>
              <w:rPr>
                <w:rFonts w:ascii="Arial" w:cs="Arial" w:eastAsia="Arial" w:hAnsi="Arial"/>
                <w:sz w:val="13"/>
                <w:szCs w:val="13"/>
                <w:color w:val="auto"/>
              </w:rPr>
              <w:t>723</w:t>
            </w: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8" w:lineRule="exact"/>
              <w:rPr>
                <w:sz w:val="20"/>
                <w:szCs w:val="20"/>
                <w:color w:val="auto"/>
              </w:rPr>
            </w:pPr>
            <w:r>
              <w:rPr>
                <w:rFonts w:ascii="Arial" w:cs="Arial" w:eastAsia="Arial" w:hAnsi="Arial"/>
                <w:sz w:val="13"/>
                <w:szCs w:val="13"/>
                <w:color w:val="auto"/>
              </w:rPr>
              <w:t>2,269</w:t>
            </w:r>
          </w:p>
        </w:tc>
        <w:tc>
          <w:tcPr>
            <w:tcW w:w="140" w:type="dxa"/>
            <w:vAlign w:val="bottom"/>
            <w:tcBorders>
              <w:lef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28" w:lineRule="exact"/>
              <w:rPr>
                <w:sz w:val="20"/>
                <w:szCs w:val="20"/>
                <w:color w:val="auto"/>
              </w:rPr>
            </w:pPr>
            <w:r>
              <w:rPr>
                <w:rFonts w:ascii="Arial" w:cs="Arial" w:eastAsia="Arial" w:hAnsi="Arial"/>
                <w:sz w:val="13"/>
                <w:szCs w:val="13"/>
                <w:color w:val="auto"/>
              </w:rPr>
              <w:t>4,719</w:t>
            </w: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100"/>
              <w:spacing w:after="0" w:line="128" w:lineRule="exact"/>
              <w:rPr>
                <w:sz w:val="20"/>
                <w:szCs w:val="20"/>
                <w:color w:val="auto"/>
              </w:rPr>
            </w:pPr>
            <w:r>
              <w:rPr>
                <w:rFonts w:ascii="Arial" w:cs="Arial" w:eastAsia="Arial" w:hAnsi="Arial"/>
                <w:sz w:val="13"/>
                <w:szCs w:val="13"/>
                <w:color w:val="auto"/>
              </w:rPr>
              <w:t>1,281</w:t>
            </w: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28" w:lineRule="exact"/>
              <w:rPr>
                <w:sz w:val="20"/>
                <w:szCs w:val="20"/>
                <w:color w:val="auto"/>
              </w:rPr>
            </w:pPr>
            <w:r>
              <w:rPr>
                <w:rFonts w:ascii="Arial" w:cs="Arial" w:eastAsia="Arial" w:hAnsi="Arial"/>
                <w:sz w:val="13"/>
                <w:szCs w:val="13"/>
                <w:color w:val="auto"/>
              </w:rPr>
              <w:t>696</w:t>
            </w:r>
          </w:p>
        </w:tc>
        <w:tc>
          <w:tcPr>
            <w:tcW w:w="100" w:type="dxa"/>
            <w:vAlign w:val="bottom"/>
            <w:tcBorders>
              <w:lef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420" w:type="dxa"/>
            <w:vAlign w:val="bottom"/>
            <w:gridSpan w:val="2"/>
          </w:tcPr>
          <w:p>
            <w:pPr>
              <w:spacing w:after="0" w:line="138" w:lineRule="exact"/>
              <w:rPr>
                <w:sz w:val="20"/>
                <w:szCs w:val="20"/>
                <w:color w:val="auto"/>
              </w:rPr>
            </w:pPr>
            <w:r>
              <w:rPr>
                <w:rFonts w:ascii="Arial" w:cs="Arial" w:eastAsia="Arial" w:hAnsi="Arial"/>
                <w:sz w:val="13"/>
                <w:szCs w:val="13"/>
                <w:color w:val="auto"/>
                <w:w w:val="99"/>
              </w:rPr>
              <w:t>Total long-term liabilities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80"/>
              <w:spacing w:after="0" w:line="138" w:lineRule="exact"/>
              <w:rPr>
                <w:sz w:val="20"/>
                <w:szCs w:val="20"/>
                <w:color w:val="auto"/>
              </w:rPr>
            </w:pPr>
            <w:r>
              <w:rPr>
                <w:rFonts w:ascii="Arial" w:cs="Arial" w:eastAsia="Arial" w:hAnsi="Arial"/>
                <w:sz w:val="13"/>
                <w:szCs w:val="13"/>
                <w:color w:val="auto"/>
                <w:w w:val="79"/>
              </w:rPr>
              <w:t>1,836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2,337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3"/>
                <w:szCs w:val="13"/>
                <w:color w:val="auto"/>
              </w:rPr>
              <w:t>3,859</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3,480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4,171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shd w:val="clear" w:color="auto" w:fill="CCFFCC"/>
          </w:tcPr>
          <w:p>
            <w:pPr>
              <w:spacing w:after="0" w:line="138" w:lineRule="exact"/>
              <w:rPr>
                <w:sz w:val="20"/>
                <w:szCs w:val="20"/>
                <w:color w:val="auto"/>
              </w:rPr>
            </w:pPr>
            <w:r>
              <w:rPr>
                <w:rFonts w:ascii="Arial" w:cs="Arial" w:eastAsia="Arial" w:hAnsi="Arial"/>
                <w:sz w:val="13"/>
                <w:szCs w:val="13"/>
                <w:color w:val="auto"/>
              </w:rPr>
              <w:t>Total temporary equity</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11,968</w:t>
            </w: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11,961</w:t>
            </w: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140" w:type="dxa"/>
            <w:vAlign w:val="bottom"/>
            <w:gridSpan w:val="4"/>
          </w:tcPr>
          <w:p>
            <w:pPr>
              <w:spacing w:after="0" w:line="138" w:lineRule="exact"/>
              <w:rPr>
                <w:sz w:val="20"/>
                <w:szCs w:val="20"/>
                <w:color w:val="auto"/>
              </w:rPr>
            </w:pPr>
            <w:r>
              <w:rPr>
                <w:rFonts w:ascii="Arial" w:cs="Arial" w:eastAsia="Arial" w:hAnsi="Arial"/>
                <w:sz w:val="13"/>
                <w:szCs w:val="13"/>
                <w:color w:val="auto"/>
              </w:rPr>
              <w:t>Total stockholders’ equity (deficit)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80"/>
              <w:spacing w:after="0" w:line="138" w:lineRule="exact"/>
              <w:rPr>
                <w:sz w:val="20"/>
                <w:szCs w:val="20"/>
                <w:color w:val="auto"/>
              </w:rPr>
            </w:pPr>
            <w:r>
              <w:rPr>
                <w:rFonts w:ascii="Arial" w:cs="Arial" w:eastAsia="Arial" w:hAnsi="Arial"/>
                <w:sz w:val="13"/>
                <w:szCs w:val="13"/>
                <w:color w:val="auto"/>
                <w:w w:val="79"/>
              </w:rPr>
              <w:t>1,021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(1,165)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(239)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(16,378)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(10,970)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8,103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140" w:type="dxa"/>
            <w:vAlign w:val="bottom"/>
            <w:gridSpan w:val="4"/>
            <w:shd w:val="clear" w:color="auto" w:fill="CCFFCC"/>
          </w:tcPr>
          <w:p>
            <w:pPr>
              <w:spacing w:after="0" w:line="110" w:lineRule="exact"/>
              <w:rPr>
                <w:sz w:val="20"/>
                <w:szCs w:val="20"/>
                <w:color w:val="auto"/>
              </w:rPr>
            </w:pPr>
            <w:r>
              <w:rPr>
                <w:rFonts w:ascii="Arial" w:cs="Arial" w:eastAsia="Arial" w:hAnsi="Arial"/>
                <w:sz w:val="12"/>
                <w:szCs w:val="12"/>
                <w:b w:val="1"/>
                <w:bCs w:val="1"/>
                <w:color w:val="auto"/>
              </w:rPr>
              <w:t>Total liabilities and stockholders’</w:t>
            </w:r>
          </w:p>
        </w:tc>
        <w:tc>
          <w:tcPr>
            <w:tcW w:w="200" w:type="dxa"/>
            <w:vAlign w:val="bottom"/>
            <w:gridSpan w:val="2"/>
            <w:shd w:val="clear" w:color="auto" w:fill="CCFFCC"/>
          </w:tcPr>
          <w:p>
            <w:pPr>
              <w:spacing w:after="0"/>
              <w:rPr>
                <w:sz w:val="9"/>
                <w:szCs w:val="9"/>
                <w:color w:val="auto"/>
              </w:rPr>
            </w:pPr>
          </w:p>
        </w:tc>
        <w:tc>
          <w:tcPr>
            <w:tcW w:w="120" w:type="dxa"/>
            <w:vAlign w:val="bottom"/>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w w:val="89"/>
              </w:rPr>
              <w:t>$</w:t>
            </w:r>
          </w:p>
        </w:tc>
        <w:tc>
          <w:tcPr>
            <w:tcW w:w="580" w:type="dxa"/>
            <w:vAlign w:val="bottom"/>
            <w:gridSpan w:val="2"/>
            <w:shd w:val="clear" w:color="auto" w:fill="CCFFCC"/>
          </w:tcPr>
          <w:p>
            <w:pPr>
              <w:ind w:left="280"/>
              <w:spacing w:after="0" w:line="110" w:lineRule="exact"/>
              <w:rPr>
                <w:sz w:val="20"/>
                <w:szCs w:val="20"/>
                <w:color w:val="auto"/>
              </w:rPr>
            </w:pPr>
            <w:r>
              <w:rPr>
                <w:rFonts w:ascii="Arial" w:cs="Arial" w:eastAsia="Arial" w:hAnsi="Arial"/>
                <w:sz w:val="12"/>
                <w:szCs w:val="12"/>
                <w:b w:val="1"/>
                <w:bCs w:val="1"/>
                <w:color w:val="auto"/>
                <w:w w:val="86"/>
              </w:rPr>
              <w:t>4,067</w:t>
            </w:r>
          </w:p>
        </w:tc>
        <w:tc>
          <w:tcPr>
            <w:tcW w:w="260" w:type="dxa"/>
            <w:vAlign w:val="bottom"/>
            <w:tcBorders>
              <w:left w:val="single" w:sz="8" w:color="CCFFCC"/>
            </w:tcBorders>
            <w:gridSpan w:val="4"/>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rPr>
              <w:t>$</w:t>
            </w:r>
          </w:p>
        </w:tc>
        <w:tc>
          <w:tcPr>
            <w:tcW w:w="660" w:type="dxa"/>
            <w:vAlign w:val="bottom"/>
            <w:gridSpan w:val="2"/>
            <w:shd w:val="clear" w:color="auto" w:fill="CCFFCC"/>
          </w:tcPr>
          <w:p>
            <w:pPr>
              <w:jc w:val="right"/>
              <w:ind w:right="100"/>
              <w:spacing w:after="0" w:line="110" w:lineRule="exact"/>
              <w:rPr>
                <w:sz w:val="20"/>
                <w:szCs w:val="20"/>
                <w:color w:val="auto"/>
              </w:rPr>
            </w:pPr>
            <w:r>
              <w:rPr>
                <w:rFonts w:ascii="Arial" w:cs="Arial" w:eastAsia="Arial" w:hAnsi="Arial"/>
                <w:sz w:val="12"/>
                <w:szCs w:val="12"/>
                <w:b w:val="1"/>
                <w:bCs w:val="1"/>
                <w:color w:val="auto"/>
              </w:rPr>
              <w:t>1,895</w:t>
            </w:r>
          </w:p>
        </w:tc>
        <w:tc>
          <w:tcPr>
            <w:tcW w:w="240" w:type="dxa"/>
            <w:vAlign w:val="bottom"/>
            <w:gridSpan w:val="4"/>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rPr>
              <w:t>$</w:t>
            </w:r>
          </w:p>
        </w:tc>
        <w:tc>
          <w:tcPr>
            <w:tcW w:w="520" w:type="dxa"/>
            <w:vAlign w:val="bottom"/>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rPr>
              <w:t>5,889</w:t>
            </w:r>
          </w:p>
        </w:tc>
        <w:tc>
          <w:tcPr>
            <w:tcW w:w="140" w:type="dxa"/>
            <w:vAlign w:val="bottom"/>
            <w:tcBorders>
              <w:left w:val="single" w:sz="8" w:color="CCFFCC"/>
            </w:tcBorders>
            <w:shd w:val="clear" w:color="auto" w:fill="CCFFCC"/>
          </w:tcPr>
          <w:p>
            <w:pPr>
              <w:spacing w:after="0"/>
              <w:rPr>
                <w:sz w:val="9"/>
                <w:szCs w:val="9"/>
                <w:color w:val="auto"/>
              </w:rPr>
            </w:pPr>
          </w:p>
        </w:tc>
        <w:tc>
          <w:tcPr>
            <w:tcW w:w="220" w:type="dxa"/>
            <w:vAlign w:val="bottom"/>
            <w:gridSpan w:val="4"/>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rPr>
              <w:t>$</w:t>
            </w:r>
          </w:p>
        </w:tc>
        <w:tc>
          <w:tcPr>
            <w:tcW w:w="680" w:type="dxa"/>
            <w:vAlign w:val="bottom"/>
            <w:gridSpan w:val="2"/>
            <w:shd w:val="clear" w:color="auto" w:fill="CCFFCC"/>
          </w:tcPr>
          <w:p>
            <w:pPr>
              <w:jc w:val="right"/>
              <w:ind w:right="100"/>
              <w:spacing w:after="0" w:line="110" w:lineRule="exact"/>
              <w:rPr>
                <w:sz w:val="20"/>
                <w:szCs w:val="20"/>
                <w:color w:val="auto"/>
              </w:rPr>
            </w:pPr>
            <w:r>
              <w:rPr>
                <w:rFonts w:ascii="Arial" w:cs="Arial" w:eastAsia="Arial" w:hAnsi="Arial"/>
                <w:sz w:val="12"/>
                <w:szCs w:val="12"/>
                <w:b w:val="1"/>
                <w:bCs w:val="1"/>
                <w:color w:val="auto"/>
              </w:rPr>
              <w:t>3,789</w:t>
            </w:r>
          </w:p>
        </w:tc>
        <w:tc>
          <w:tcPr>
            <w:tcW w:w="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240" w:type="dxa"/>
            <w:vAlign w:val="bottom"/>
            <w:gridSpan w:val="2"/>
            <w:shd w:val="clear" w:color="auto" w:fill="CCFFCC"/>
          </w:tcPr>
          <w:p>
            <w:pPr>
              <w:jc w:val="right"/>
              <w:ind w:right="70"/>
              <w:spacing w:after="0" w:line="110" w:lineRule="exact"/>
              <w:rPr>
                <w:sz w:val="20"/>
                <w:szCs w:val="20"/>
                <w:color w:val="auto"/>
              </w:rPr>
            </w:pPr>
            <w:r>
              <w:rPr>
                <w:rFonts w:ascii="Arial" w:cs="Arial" w:eastAsia="Arial" w:hAnsi="Arial"/>
                <w:sz w:val="12"/>
                <w:szCs w:val="12"/>
                <w:b w:val="1"/>
                <w:bCs w:val="1"/>
                <w:color w:val="auto"/>
              </w:rPr>
              <w:t>$</w:t>
            </w:r>
          </w:p>
        </w:tc>
        <w:tc>
          <w:tcPr>
            <w:tcW w:w="580" w:type="dxa"/>
            <w:vAlign w:val="bottom"/>
            <w:gridSpan w:val="2"/>
            <w:shd w:val="clear" w:color="auto" w:fill="CCFFCC"/>
          </w:tcPr>
          <w:p>
            <w:pPr>
              <w:jc w:val="right"/>
              <w:ind w:right="100"/>
              <w:spacing w:after="0" w:line="110" w:lineRule="exact"/>
              <w:rPr>
                <w:sz w:val="20"/>
                <w:szCs w:val="20"/>
                <w:color w:val="auto"/>
              </w:rPr>
            </w:pPr>
            <w:r>
              <w:rPr>
                <w:rFonts w:ascii="Arial" w:cs="Arial" w:eastAsia="Arial" w:hAnsi="Arial"/>
                <w:sz w:val="12"/>
                <w:szCs w:val="12"/>
                <w:b w:val="1"/>
                <w:bCs w:val="1"/>
                <w:color w:val="auto"/>
              </w:rPr>
              <w:t>6,443</w:t>
            </w:r>
          </w:p>
        </w:tc>
        <w:tc>
          <w:tcPr>
            <w:tcW w:w="320" w:type="dxa"/>
            <w:vAlign w:val="bottom"/>
            <w:gridSpan w:val="3"/>
            <w:shd w:val="clear" w:color="auto" w:fill="CCFFCC"/>
          </w:tcPr>
          <w:p>
            <w:pPr>
              <w:jc w:val="right"/>
              <w:ind w:right="62"/>
              <w:spacing w:after="0" w:line="110" w:lineRule="exact"/>
              <w:rPr>
                <w:sz w:val="20"/>
                <w:szCs w:val="20"/>
                <w:color w:val="auto"/>
              </w:rPr>
            </w:pPr>
            <w:r>
              <w:rPr>
                <w:rFonts w:ascii="Arial" w:cs="Arial" w:eastAsia="Arial" w:hAnsi="Arial"/>
                <w:sz w:val="12"/>
                <w:szCs w:val="12"/>
                <w:b w:val="1"/>
                <w:bCs w:val="1"/>
                <w:color w:val="auto"/>
              </w:rPr>
              <w:t>$</w:t>
            </w:r>
          </w:p>
        </w:tc>
        <w:tc>
          <w:tcPr>
            <w:tcW w:w="540" w:type="dxa"/>
            <w:vAlign w:val="bottom"/>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rPr>
              <w:t>8,865</w:t>
            </w:r>
          </w:p>
        </w:tc>
        <w:tc>
          <w:tcPr>
            <w:tcW w:w="100" w:type="dxa"/>
            <w:vAlign w:val="bottom"/>
            <w:tcBorders>
              <w:lef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3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3"/>
                <w:szCs w:val="13"/>
                <w:b w:val="1"/>
                <w:bCs w:val="1"/>
                <w:color w:val="auto"/>
              </w:rPr>
              <w:t>equity (deficit)</w:t>
            </w:r>
          </w:p>
        </w:tc>
        <w:tc>
          <w:tcPr>
            <w:tcW w:w="80" w:type="dxa"/>
            <w:vAlign w:val="bottom"/>
            <w:tcBorders>
              <w:bottom w:val="single" w:sz="8" w:color="CCFFCC"/>
            </w:tcBorders>
            <w:shd w:val="clear" w:color="auto" w:fill="CCFFCC"/>
          </w:tcPr>
          <w:p>
            <w:pPr>
              <w:spacing w:after="0"/>
              <w:rPr>
                <w:sz w:val="17"/>
                <w:szCs w:val="17"/>
                <w:color w:val="auto"/>
              </w:rPr>
            </w:pPr>
          </w:p>
        </w:tc>
        <w:tc>
          <w:tcPr>
            <w:tcW w:w="6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48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80" w:type="dxa"/>
            <w:vAlign w:val="bottom"/>
            <w:tcBorders>
              <w:left w:val="single" w:sz="8" w:color="CCFFCC"/>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560" w:type="dxa"/>
            <w:vAlign w:val="bottom"/>
            <w:tcBorders>
              <w:bottom w:val="single" w:sz="8" w:color="auto"/>
              <w:right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520" w:type="dxa"/>
            <w:vAlign w:val="bottom"/>
            <w:tcBorders>
              <w:bottom w:val="single" w:sz="8" w:color="auto"/>
            </w:tcBorders>
            <w:shd w:val="clear" w:color="auto" w:fill="CCFFCC"/>
          </w:tcPr>
          <w:p>
            <w:pPr>
              <w:spacing w:after="0"/>
              <w:rPr>
                <w:sz w:val="17"/>
                <w:szCs w:val="17"/>
                <w:color w:val="auto"/>
              </w:rPr>
            </w:pPr>
          </w:p>
        </w:tc>
        <w:tc>
          <w:tcPr>
            <w:tcW w:w="140" w:type="dxa"/>
            <w:vAlign w:val="bottom"/>
            <w:tcBorders>
              <w:left w:val="single" w:sz="8" w:color="CCFFCC"/>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580" w:type="dxa"/>
            <w:vAlign w:val="bottom"/>
            <w:tcBorders>
              <w:bottom w:val="single" w:sz="8" w:color="auto"/>
              <w:right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46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right w:val="single" w:sz="8" w:color="CCFFCC"/>
            </w:tcBorders>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spacing w:after="0"/>
              <w:rPr>
                <w:sz w:val="17"/>
                <w:szCs w:val="17"/>
                <w:color w:val="auto"/>
              </w:rPr>
            </w:pPr>
          </w:p>
        </w:tc>
        <w:tc>
          <w:tcPr>
            <w:tcW w:w="540" w:type="dxa"/>
            <w:vAlign w:val="bottom"/>
            <w:tcBorders>
              <w:bottom w:val="single" w:sz="8" w:color="auto"/>
            </w:tcBorders>
            <w:shd w:val="clear" w:color="auto" w:fill="CCFFCC"/>
          </w:tcPr>
          <w:p>
            <w:pPr>
              <w:spacing w:after="0"/>
              <w:rPr>
                <w:sz w:val="17"/>
                <w:szCs w:val="17"/>
                <w:color w:val="auto"/>
              </w:rPr>
            </w:pPr>
          </w:p>
        </w:tc>
        <w:tc>
          <w:tcPr>
            <w:tcW w:w="100" w:type="dxa"/>
            <w:vAlign w:val="bottom"/>
            <w:tcBorders>
              <w:left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 w:name="page40"/>
    <w:bookmarkEnd w:id="39"/>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59404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7545" cy="5940425"/>
                    </a:xfrm>
                    <a:prstGeom prst="rect">
                      <a:avLst/>
                    </a:prstGeom>
                    <a:noFill/>
                  </pic:spPr>
                </pic:pic>
              </a:graphicData>
            </a:graphic>
          </wp:anchor>
        </w:drawing>
        <w:t>TABLE OF CONTENTS</w:t>
      </w:r>
    </w:p>
    <w:p>
      <w:pPr>
        <w:spacing w:after="0" w:line="280"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SELECTED HISTORICAL FINANCIAL DATA OF INNOVATE/PROTECT</w:t>
      </w:r>
    </w:p>
    <w:p>
      <w:pPr>
        <w:spacing w:after="0" w:line="109" w:lineRule="exact"/>
        <w:rPr>
          <w:sz w:val="20"/>
          <w:szCs w:val="20"/>
          <w:color w:val="auto"/>
        </w:rPr>
      </w:pPr>
    </w:p>
    <w:p>
      <w:pPr>
        <w:jc w:val="both"/>
        <w:ind w:left="160" w:right="1239" w:firstLine="251"/>
        <w:spacing w:after="0" w:line="253" w:lineRule="auto"/>
        <w:rPr>
          <w:sz w:val="20"/>
          <w:szCs w:val="20"/>
          <w:color w:val="auto"/>
        </w:rPr>
      </w:pPr>
      <w:r>
        <w:rPr>
          <w:rFonts w:ascii="Arial" w:cs="Arial" w:eastAsia="Arial" w:hAnsi="Arial"/>
          <w:sz w:val="17"/>
          <w:szCs w:val="17"/>
          <w:color w:val="auto"/>
        </w:rPr>
        <w:t>The following table sets forth Innovate/Protect selected historical financial data as of December 31, 2011, which financial data is derived from Innovate/Protect’s audited financial statements, which are included elsewhere in this proxy statement/prospectus. The financial data for the three-month period ended March 31, 2012 is derived from Innovate/Protect’s unaudited financial statements which are included elsewhere in this proxy statement/prospectus.</w:t>
      </w:r>
    </w:p>
    <w:p>
      <w:pPr>
        <w:spacing w:after="0" w:line="78" w:lineRule="exact"/>
        <w:rPr>
          <w:sz w:val="20"/>
          <w:szCs w:val="20"/>
          <w:color w:val="auto"/>
        </w:rPr>
      </w:pPr>
    </w:p>
    <w:p>
      <w:pPr>
        <w:jc w:val="both"/>
        <w:ind w:left="160" w:right="1239" w:firstLine="251"/>
        <w:spacing w:after="0" w:line="253" w:lineRule="auto"/>
        <w:rPr>
          <w:sz w:val="20"/>
          <w:szCs w:val="20"/>
          <w:color w:val="auto"/>
        </w:rPr>
      </w:pPr>
      <w:r>
        <w:rPr>
          <w:rFonts w:ascii="Arial" w:cs="Arial" w:eastAsia="Arial" w:hAnsi="Arial"/>
          <w:sz w:val="17"/>
          <w:szCs w:val="17"/>
          <w:color w:val="auto"/>
        </w:rPr>
        <w:t>You should read the selected historical financial data below together with Innovate/Protect’s Management’s Discussion and Analysis of Financial Condition and Results of Operations and with the financial statements and notes thereto as of and for the period ended December 31, 2011 and for the three months ended March 31, 2012, each of which are included elsewhere in this proxy statement/prospectus.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Three Months</w:t>
            </w:r>
          </w:p>
        </w:tc>
        <w:tc>
          <w:tcPr>
            <w:tcW w:w="140" w:type="dxa"/>
            <w:vAlign w:val="bottom"/>
          </w:tcPr>
          <w:p>
            <w:pPr>
              <w:spacing w:after="0"/>
              <w:rPr>
                <w:sz w:val="13"/>
                <w:szCs w:val="13"/>
                <w:color w:val="auto"/>
              </w:rPr>
            </w:pPr>
          </w:p>
        </w:tc>
        <w:tc>
          <w:tcPr>
            <w:tcW w:w="2440" w:type="dxa"/>
            <w:vAlign w:val="bottom"/>
            <w:gridSpan w:val="4"/>
          </w:tcPr>
          <w:p>
            <w:pPr>
              <w:jc w:val="center"/>
              <w:ind w:right="1320"/>
              <w:spacing w:after="0"/>
              <w:rPr>
                <w:sz w:val="20"/>
                <w:szCs w:val="20"/>
                <w:color w:val="auto"/>
              </w:rPr>
            </w:pPr>
            <w:r>
              <w:rPr>
                <w:rFonts w:ascii="Arial" w:cs="Arial" w:eastAsia="Arial" w:hAnsi="Arial"/>
                <w:sz w:val="13"/>
                <w:szCs w:val="13"/>
                <w:b w:val="1"/>
                <w:bCs w:val="1"/>
                <w:color w:val="auto"/>
                <w:w w:val="91"/>
              </w:rPr>
              <w:t>From June 8, 2011</w:t>
            </w:r>
          </w:p>
        </w:tc>
        <w:tc>
          <w:tcPr>
            <w:tcW w:w="1100" w:type="dxa"/>
            <w:vAlign w:val="bottom"/>
          </w:tcPr>
          <w:p>
            <w:pPr>
              <w:spacing w:after="0"/>
              <w:rPr>
                <w:sz w:val="13"/>
                <w:szCs w:val="13"/>
                <w:color w:val="auto"/>
              </w:rPr>
            </w:pPr>
          </w:p>
        </w:tc>
      </w:tr>
      <w:tr>
        <w:trPr>
          <w:trHeight w:val="138"/>
        </w:trPr>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60" w:type="dxa"/>
            <w:vAlign w:val="bottom"/>
            <w:gridSpan w:val="3"/>
          </w:tcPr>
          <w:p>
            <w:pPr>
              <w:jc w:val="center"/>
              <w:ind w:right="40"/>
              <w:spacing w:after="0" w:line="138" w:lineRule="exact"/>
              <w:rPr>
                <w:sz w:val="20"/>
                <w:szCs w:val="20"/>
                <w:color w:val="auto"/>
              </w:rPr>
            </w:pPr>
            <w:r>
              <w:rPr>
                <w:rFonts w:ascii="Arial" w:cs="Arial" w:eastAsia="Arial" w:hAnsi="Arial"/>
                <w:sz w:val="13"/>
                <w:szCs w:val="13"/>
                <w:b w:val="1"/>
                <w:bCs w:val="1"/>
                <w:color w:val="auto"/>
                <w:w w:val="94"/>
              </w:rPr>
              <w:t>Ended March 31,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gridSpan w:val="3"/>
          </w:tcPr>
          <w:p>
            <w:pPr>
              <w:jc w:val="center"/>
              <w:ind w:right="1480"/>
              <w:spacing w:after="0" w:line="138" w:lineRule="exact"/>
              <w:rPr>
                <w:sz w:val="20"/>
                <w:szCs w:val="20"/>
                <w:color w:val="auto"/>
              </w:rPr>
            </w:pPr>
            <w:r>
              <w:rPr>
                <w:rFonts w:ascii="Arial" w:cs="Arial" w:eastAsia="Arial" w:hAnsi="Arial"/>
                <w:sz w:val="13"/>
                <w:szCs w:val="13"/>
                <w:b w:val="1"/>
                <w:bCs w:val="1"/>
                <w:color w:val="auto"/>
                <w:w w:val="93"/>
              </w:rPr>
              <w:t>(inception)</w:t>
            </w:r>
          </w:p>
        </w:tc>
        <w:tc>
          <w:tcPr>
            <w:tcW w:w="1100" w:type="dxa"/>
            <w:vAlign w:val="bottom"/>
          </w:tcPr>
          <w:p>
            <w:pPr>
              <w:spacing w:after="0"/>
              <w:rPr>
                <w:sz w:val="11"/>
                <w:szCs w:val="11"/>
                <w:color w:val="auto"/>
              </w:rPr>
            </w:pPr>
          </w:p>
        </w:tc>
      </w:tr>
      <w:tr>
        <w:trPr>
          <w:trHeight w:val="138"/>
        </w:trPr>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2012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gridSpan w:val="3"/>
          </w:tcPr>
          <w:p>
            <w:pPr>
              <w:jc w:val="center"/>
              <w:ind w:right="1480"/>
              <w:spacing w:after="0" w:line="138" w:lineRule="exact"/>
              <w:rPr>
                <w:sz w:val="20"/>
                <w:szCs w:val="20"/>
                <w:color w:val="auto"/>
              </w:rPr>
            </w:pPr>
            <w:r>
              <w:rPr>
                <w:rFonts w:ascii="Arial" w:cs="Arial" w:eastAsia="Arial" w:hAnsi="Arial"/>
                <w:sz w:val="13"/>
                <w:szCs w:val="13"/>
                <w:b w:val="1"/>
                <w:bCs w:val="1"/>
                <w:color w:val="auto"/>
                <w:w w:val="93"/>
              </w:rPr>
              <w:t>through</w:t>
            </w:r>
          </w:p>
        </w:tc>
        <w:tc>
          <w:tcPr>
            <w:tcW w:w="1100" w:type="dxa"/>
            <w:vAlign w:val="bottom"/>
          </w:tcPr>
          <w:p>
            <w:pPr>
              <w:spacing w:after="0"/>
              <w:rPr>
                <w:sz w:val="11"/>
                <w:szCs w:val="11"/>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4"/>
          </w:tcPr>
          <w:p>
            <w:pPr>
              <w:ind w:left="20"/>
              <w:spacing w:after="0"/>
              <w:rPr>
                <w:sz w:val="20"/>
                <w:szCs w:val="20"/>
                <w:color w:val="auto"/>
              </w:rPr>
            </w:pPr>
            <w:r>
              <w:rPr>
                <w:rFonts w:ascii="Arial" w:cs="Arial" w:eastAsia="Arial" w:hAnsi="Arial"/>
                <w:sz w:val="13"/>
                <w:szCs w:val="13"/>
                <w:b w:val="1"/>
                <w:bCs w:val="1"/>
                <w:color w:val="auto"/>
              </w:rPr>
              <w:t>December 31, 2011</w:t>
            </w:r>
          </w:p>
        </w:tc>
        <w:tc>
          <w:tcPr>
            <w:tcW w:w="1100" w:type="dxa"/>
            <w:vAlign w:val="bottom"/>
          </w:tcPr>
          <w:p>
            <w:pPr>
              <w:spacing w:after="0"/>
              <w:rPr>
                <w:sz w:val="13"/>
                <w:szCs w:val="13"/>
                <w:color w:val="auto"/>
              </w:rPr>
            </w:pPr>
          </w:p>
        </w:tc>
      </w:tr>
      <w:tr>
        <w:trPr>
          <w:trHeight w:val="193"/>
        </w:trPr>
        <w:tc>
          <w:tcPr>
            <w:tcW w:w="120" w:type="dxa"/>
            <w:vAlign w:val="bottom"/>
          </w:tcPr>
          <w:p>
            <w:pPr>
              <w:spacing w:after="0"/>
              <w:rPr>
                <w:sz w:val="16"/>
                <w:szCs w:val="16"/>
                <w:color w:val="auto"/>
              </w:rPr>
            </w:pPr>
          </w:p>
        </w:tc>
        <w:tc>
          <w:tcPr>
            <w:tcW w:w="5300" w:type="dxa"/>
            <w:vAlign w:val="bottom"/>
            <w:tcBorders>
              <w:right w:val="single" w:sz="8" w:color="CCFFCC"/>
            </w:tcBorders>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Revenue</w:t>
            </w:r>
          </w:p>
        </w:tc>
        <w:tc>
          <w:tcPr>
            <w:tcW w:w="100" w:type="dxa"/>
            <w:vAlign w:val="bottom"/>
            <w:tcBorders>
              <w:top w:val="single" w:sz="8" w:color="auto"/>
            </w:tcBorders>
            <w:shd w:val="clear" w:color="auto" w:fill="CCFFCC"/>
          </w:tcPr>
          <w:p>
            <w:pPr>
              <w:spacing w:after="0"/>
              <w:rPr>
                <w:sz w:val="16"/>
                <w:szCs w:val="16"/>
                <w:color w:val="auto"/>
              </w:rPr>
            </w:pPr>
          </w:p>
        </w:tc>
        <w:tc>
          <w:tcPr>
            <w:tcW w:w="960" w:type="dxa"/>
            <w:vAlign w:val="bottom"/>
            <w:tcBorders>
              <w:top w:val="single" w:sz="8" w:color="auto"/>
            </w:tcBorders>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940" w:type="dxa"/>
            <w:vAlign w:val="bottom"/>
            <w:tcBorders>
              <w:top w:val="single" w:sz="8" w:color="auto"/>
            </w:tcBorders>
            <w:gridSpan w:val="2"/>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120" w:type="dxa"/>
            <w:vAlign w:val="bottom"/>
          </w:tcPr>
          <w:p>
            <w:pPr>
              <w:spacing w:after="0"/>
              <w:rPr>
                <w:sz w:val="16"/>
                <w:szCs w:val="16"/>
                <w:color w:val="auto"/>
              </w:rPr>
            </w:pPr>
          </w:p>
        </w:tc>
        <w:tc>
          <w:tcPr>
            <w:tcW w:w="530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Operating Expenses: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5300" w:type="dxa"/>
            <w:vAlign w:val="bottom"/>
            <w:tcBorders>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Legal</w:t>
            </w:r>
          </w:p>
        </w:tc>
        <w:tc>
          <w:tcPr>
            <w:tcW w:w="100" w:type="dxa"/>
            <w:vAlign w:val="bottom"/>
            <w:shd w:val="clear" w:color="auto" w:fill="CCFFCC"/>
          </w:tcPr>
          <w:p>
            <w:pPr>
              <w:jc w:val="right"/>
              <w:ind w:right="5"/>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1,172</w:t>
            </w:r>
          </w:p>
        </w:tc>
        <w:tc>
          <w:tcPr>
            <w:tcW w:w="120" w:type="dxa"/>
            <w:vAlign w:val="bottom"/>
            <w:shd w:val="clear" w:color="auto" w:fill="CCFFCC"/>
          </w:tcPr>
          <w:p>
            <w:pPr>
              <w:spacing w:after="0"/>
              <w:rPr>
                <w:sz w:val="17"/>
                <w:szCs w:val="17"/>
                <w:color w:val="auto"/>
              </w:rPr>
            </w:pPr>
          </w:p>
        </w:tc>
        <w:tc>
          <w:tcPr>
            <w:tcW w:w="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1,102</w:t>
            </w:r>
          </w:p>
        </w:tc>
        <w:tc>
          <w:tcPr>
            <w:tcW w:w="140" w:type="dxa"/>
            <w:vAlign w:val="bottom"/>
            <w:shd w:val="clear" w:color="auto" w:fill="CCFFCC"/>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Compensation</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997</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tcBorders>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Amortization and depreciation</w:t>
            </w: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328</w:t>
            </w:r>
          </w:p>
        </w:tc>
        <w:tc>
          <w:tcPr>
            <w:tcW w:w="140" w:type="dxa"/>
            <w:vAlign w:val="bottom"/>
            <w:shd w:val="clear" w:color="auto" w:fill="CCFFCC"/>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213</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tcBorders>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Startup and capital acquisition costs</w:t>
            </w: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106</w:t>
            </w:r>
          </w:p>
        </w:tc>
        <w:tc>
          <w:tcPr>
            <w:tcW w:w="140" w:type="dxa"/>
            <w:vAlign w:val="bottom"/>
            <w:shd w:val="clear" w:color="auto" w:fill="CCFFCC"/>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4160" w:type="dxa"/>
            <w:vAlign w:val="bottom"/>
            <w:tcBorders>
              <w:right w:val="single" w:sz="8" w:color="auto"/>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10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(2,746)</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5300" w:type="dxa"/>
            <w:vAlign w:val="bottom"/>
            <w:tcBorders>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Finance income (expense), net</w:t>
            </w: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(8)</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4160" w:type="dxa"/>
            <w:vAlign w:val="bottom"/>
            <w:tcBorders>
              <w:right w:val="single" w:sz="8" w:color="auto"/>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Loss before taxes on income</w:t>
            </w:r>
          </w:p>
        </w:tc>
        <w:tc>
          <w:tcPr>
            <w:tcW w:w="10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5300" w:type="dxa"/>
            <w:vAlign w:val="bottom"/>
            <w:tcBorders>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Income tax benefit (expense)</w:t>
            </w: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4160" w:type="dxa"/>
            <w:vAlign w:val="bottom"/>
            <w:tcBorders>
              <w:right w:val="single" w:sz="8" w:color="auto"/>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Net loss for the period</w:t>
            </w:r>
          </w:p>
        </w:tc>
        <w:tc>
          <w:tcPr>
            <w:tcW w:w="100" w:type="dxa"/>
            <w:vAlign w:val="bottom"/>
          </w:tcPr>
          <w:p>
            <w:pPr>
              <w:jc w:val="right"/>
              <w:ind w:right="5"/>
              <w:spacing w:after="0"/>
              <w:rPr>
                <w:sz w:val="20"/>
                <w:szCs w:val="20"/>
                <w:color w:val="auto"/>
              </w:rPr>
            </w:pPr>
            <w:r>
              <w:rPr>
                <w:rFonts w:ascii="Arial" w:cs="Arial" w:eastAsia="Arial" w:hAnsi="Arial"/>
                <w:sz w:val="5"/>
                <w:szCs w:val="5"/>
                <w:b w:val="1"/>
                <w:bCs w:val="1"/>
                <w:color w:val="auto"/>
                <w:w w:val="70"/>
              </w:rPr>
              <w:t>$</w:t>
            </w: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20" w:type="dxa"/>
            <w:vAlign w:val="bottom"/>
          </w:tcPr>
          <w:p>
            <w:pPr>
              <w:spacing w:after="0"/>
              <w:rPr>
                <w:sz w:val="16"/>
                <w:szCs w:val="16"/>
                <w:color w:val="auto"/>
              </w:rPr>
            </w:pPr>
          </w:p>
        </w:tc>
        <w:tc>
          <w:tcPr>
            <w:tcW w:w="320" w:type="dxa"/>
            <w:vAlign w:val="bottom"/>
            <w:gridSpan w:val="2"/>
          </w:tcPr>
          <w:p>
            <w:pPr>
              <w:ind w:left="160"/>
              <w:spacing w:after="0" w:line="193" w:lineRule="exact"/>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1"/>
        </w:trPr>
        <w:tc>
          <w:tcPr>
            <w:tcW w:w="120" w:type="dxa"/>
            <w:vAlign w:val="bottom"/>
          </w:tcPr>
          <w:p>
            <w:pPr>
              <w:spacing w:after="0"/>
              <w:rPr>
                <w:sz w:val="18"/>
                <w:szCs w:val="18"/>
                <w:color w:val="auto"/>
              </w:rPr>
            </w:pPr>
          </w:p>
        </w:tc>
        <w:tc>
          <w:tcPr>
            <w:tcW w:w="5300" w:type="dxa"/>
            <w:vAlign w:val="bottom"/>
            <w:tcBorders>
              <w:right w:val="single" w:sz="8" w:color="CCFFCC"/>
            </w:tcBorders>
            <w:gridSpan w:val="2"/>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Basic and diluted net loss per common share</w:t>
            </w:r>
          </w:p>
        </w:tc>
        <w:tc>
          <w:tcPr>
            <w:tcW w:w="10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(0.43)</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(0.98)</w:t>
            </w:r>
          </w:p>
        </w:tc>
        <w:tc>
          <w:tcPr>
            <w:tcW w:w="140" w:type="dxa"/>
            <w:vAlign w:val="bottom"/>
            <w:shd w:val="clear" w:color="auto" w:fill="CCFFCC"/>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41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8"/>
        </w:trPr>
        <w:tc>
          <w:tcPr>
            <w:tcW w:w="120" w:type="dxa"/>
            <w:vAlign w:val="bottom"/>
          </w:tcPr>
          <w:p>
            <w:pPr>
              <w:spacing w:after="0"/>
              <w:rPr>
                <w:sz w:val="15"/>
                <w:szCs w:val="15"/>
                <w:color w:val="auto"/>
              </w:rPr>
            </w:pPr>
          </w:p>
        </w:tc>
        <w:tc>
          <w:tcPr>
            <w:tcW w:w="5300" w:type="dxa"/>
            <w:vAlign w:val="bottom"/>
            <w:gridSpan w:val="2"/>
          </w:tcPr>
          <w:p>
            <w:pPr>
              <w:spacing w:after="0" w:line="178" w:lineRule="exact"/>
              <w:rPr>
                <w:sz w:val="20"/>
                <w:szCs w:val="20"/>
                <w:color w:val="auto"/>
              </w:rPr>
            </w:pPr>
            <w:r>
              <w:rPr>
                <w:rFonts w:ascii="Arial" w:cs="Arial" w:eastAsia="Arial" w:hAnsi="Arial"/>
                <w:sz w:val="17"/>
                <w:szCs w:val="17"/>
                <w:color w:val="auto"/>
                <w:w w:val="90"/>
              </w:rPr>
              <w:t>Weighted average number of shares used in computing basic and diluted net</w:t>
            </w: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7"/>
                <w:szCs w:val="17"/>
                <w:color w:val="auto"/>
              </w:rPr>
              <w:t>4,365,117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Arial" w:cs="Arial" w:eastAsia="Arial" w:hAnsi="Arial"/>
                <w:sz w:val="17"/>
                <w:szCs w:val="17"/>
                <w:color w:val="auto"/>
              </w:rPr>
              <w:t>2,802,100</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0"/>
        </w:trPr>
        <w:tc>
          <w:tcPr>
            <w:tcW w:w="120" w:type="dxa"/>
            <w:vAlign w:val="bottom"/>
          </w:tcPr>
          <w:p>
            <w:pPr>
              <w:spacing w:after="0"/>
              <w:rPr>
                <w:sz w:val="17"/>
                <w:szCs w:val="17"/>
                <w:color w:val="auto"/>
              </w:rPr>
            </w:pPr>
          </w:p>
        </w:tc>
        <w:tc>
          <w:tcPr>
            <w:tcW w:w="5300" w:type="dxa"/>
            <w:vAlign w:val="bottom"/>
            <w:gridSpan w:val="2"/>
          </w:tcPr>
          <w:p>
            <w:pPr>
              <w:ind w:left="160"/>
              <w:spacing w:after="0"/>
              <w:rPr>
                <w:sz w:val="20"/>
                <w:szCs w:val="20"/>
                <w:color w:val="auto"/>
              </w:rPr>
            </w:pPr>
            <w:r>
              <w:rPr>
                <w:rFonts w:ascii="Arial" w:cs="Arial" w:eastAsia="Arial" w:hAnsi="Arial"/>
                <w:sz w:val="17"/>
                <w:szCs w:val="17"/>
                <w:color w:val="auto"/>
              </w:rPr>
              <w:t>loss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1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7"/>
                <w:szCs w:val="17"/>
                <w:color w:val="auto"/>
              </w:rPr>
              <w:t>per common share</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45"/>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3"/>
              </w:rPr>
              <w:t>As of March 31,</w:t>
            </w:r>
          </w:p>
        </w:tc>
        <w:tc>
          <w:tcPr>
            <w:tcW w:w="140" w:type="dxa"/>
            <w:vAlign w:val="bottom"/>
          </w:tcPr>
          <w:p>
            <w:pPr>
              <w:spacing w:after="0"/>
              <w:rPr>
                <w:sz w:val="12"/>
                <w:szCs w:val="12"/>
                <w:color w:val="auto"/>
              </w:rPr>
            </w:pPr>
          </w:p>
        </w:tc>
        <w:tc>
          <w:tcPr>
            <w:tcW w:w="2440" w:type="dxa"/>
            <w:vAlign w:val="bottom"/>
            <w:gridSpan w:val="4"/>
          </w:tcPr>
          <w:p>
            <w:pPr>
              <w:ind w:left="20"/>
              <w:spacing w:after="0" w:line="146" w:lineRule="exact"/>
              <w:rPr>
                <w:sz w:val="20"/>
                <w:szCs w:val="20"/>
                <w:color w:val="auto"/>
              </w:rPr>
            </w:pPr>
            <w:r>
              <w:rPr>
                <w:rFonts w:ascii="Arial" w:cs="Arial" w:eastAsia="Arial" w:hAnsi="Arial"/>
                <w:sz w:val="13"/>
                <w:szCs w:val="13"/>
                <w:b w:val="1"/>
                <w:bCs w:val="1"/>
                <w:color w:val="auto"/>
              </w:rPr>
              <w:t>December 31, 2011</w:t>
            </w:r>
          </w:p>
        </w:tc>
        <w:tc>
          <w:tcPr>
            <w:tcW w:w="1100" w:type="dxa"/>
            <w:vAlign w:val="bottom"/>
          </w:tcPr>
          <w:p>
            <w:pPr>
              <w:spacing w:after="0"/>
              <w:rPr>
                <w:sz w:val="12"/>
                <w:szCs w:val="12"/>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3"/>
        </w:trPr>
        <w:tc>
          <w:tcPr>
            <w:tcW w:w="120" w:type="dxa"/>
            <w:vAlign w:val="bottom"/>
          </w:tcPr>
          <w:p>
            <w:pPr>
              <w:spacing w:after="0"/>
              <w:rPr>
                <w:sz w:val="16"/>
                <w:szCs w:val="16"/>
                <w:color w:val="auto"/>
              </w:rPr>
            </w:pPr>
          </w:p>
        </w:tc>
        <w:tc>
          <w:tcPr>
            <w:tcW w:w="5300" w:type="dxa"/>
            <w:vAlign w:val="bottom"/>
            <w:tcBorders>
              <w:right w:val="single" w:sz="8" w:color="CCFFCC"/>
            </w:tcBorders>
            <w:gridSpan w:val="2"/>
            <w:shd w:val="clear" w:color="auto" w:fill="CCFFCC"/>
          </w:tcPr>
          <w:p>
            <w:pPr>
              <w:spacing w:after="0" w:line="193" w:lineRule="exact"/>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4,020</w:t>
            </w:r>
          </w:p>
        </w:tc>
        <w:tc>
          <w:tcPr>
            <w:tcW w:w="320" w:type="dxa"/>
            <w:vAlign w:val="bottom"/>
            <w:gridSpan w:val="2"/>
            <w:shd w:val="clear" w:color="auto" w:fill="CCFFCC"/>
          </w:tcPr>
          <w:p>
            <w:pPr>
              <w:ind w:left="160"/>
              <w:spacing w:after="0" w:line="193"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5,238</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tcBorders>
              <w:bottom w:val="single" w:sz="8" w:color="CCFFCC"/>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2,912</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8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3,068</w:t>
            </w:r>
          </w:p>
        </w:tc>
        <w:tc>
          <w:tcPr>
            <w:tcW w:w="140" w:type="dxa"/>
            <w:vAlign w:val="bottom"/>
            <w:tcBorders>
              <w:bottom w:val="single" w:sz="8" w:color="CCFFCC"/>
            </w:tcBorders>
            <w:shd w:val="clear" w:color="auto" w:fill="CCFFCC"/>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3"/>
        </w:trPr>
        <w:tc>
          <w:tcPr>
            <w:tcW w:w="12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100" w:type="dxa"/>
            <w:vAlign w:val="bottom"/>
          </w:tcPr>
          <w:p>
            <w:pPr>
              <w:spacing w:after="0"/>
              <w:rPr>
                <w:sz w:val="16"/>
                <w:szCs w:val="16"/>
                <w:color w:val="auto"/>
              </w:rPr>
            </w:pPr>
          </w:p>
        </w:tc>
        <w:tc>
          <w:tcPr>
            <w:tcW w:w="960" w:type="dxa"/>
            <w:vAlign w:val="bottom"/>
            <w:gridSpan w:val="2"/>
          </w:tcPr>
          <w:p>
            <w:pPr>
              <w:jc w:val="right"/>
              <w:ind w:right="120"/>
              <w:spacing w:after="0" w:line="193" w:lineRule="exact"/>
              <w:rPr>
                <w:sz w:val="20"/>
                <w:szCs w:val="20"/>
                <w:color w:val="auto"/>
              </w:rPr>
            </w:pPr>
            <w:r>
              <w:rPr>
                <w:rFonts w:ascii="Arial" w:cs="Arial" w:eastAsia="Arial" w:hAnsi="Arial"/>
                <w:sz w:val="17"/>
                <w:szCs w:val="17"/>
                <w:b w:val="1"/>
                <w:bCs w:val="1"/>
                <w:color w:val="auto"/>
              </w:rPr>
              <w:t>6,944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line="193" w:lineRule="exact"/>
              <w:rPr>
                <w:sz w:val="20"/>
                <w:szCs w:val="20"/>
                <w:color w:val="auto"/>
              </w:rPr>
            </w:pPr>
            <w:r>
              <w:rPr>
                <w:rFonts w:ascii="Arial" w:cs="Arial" w:eastAsia="Arial" w:hAnsi="Arial"/>
                <w:sz w:val="17"/>
                <w:szCs w:val="17"/>
                <w:b w:val="1"/>
                <w:bCs w:val="1"/>
                <w:color w:val="auto"/>
              </w:rPr>
              <w:t>8,314</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1"/>
        </w:trPr>
        <w:tc>
          <w:tcPr>
            <w:tcW w:w="120" w:type="dxa"/>
            <w:vAlign w:val="bottom"/>
          </w:tcPr>
          <w:p>
            <w:pPr>
              <w:spacing w:after="0"/>
              <w:rPr>
                <w:sz w:val="16"/>
                <w:szCs w:val="16"/>
                <w:color w:val="auto"/>
              </w:rPr>
            </w:pPr>
          </w:p>
        </w:tc>
        <w:tc>
          <w:tcPr>
            <w:tcW w:w="5300" w:type="dxa"/>
            <w:vAlign w:val="bottom"/>
            <w:tcBorders>
              <w:right w:val="single" w:sz="8" w:color="CCFFCC"/>
            </w:tcBorders>
            <w:gridSpan w:val="2"/>
            <w:shd w:val="clear" w:color="auto" w:fill="CCFFCC"/>
          </w:tcPr>
          <w:p>
            <w:pPr>
              <w:spacing w:after="0" w:line="191" w:lineRule="exact"/>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FFCC"/>
          </w:tcPr>
          <w:p>
            <w:pPr>
              <w:spacing w:after="0"/>
              <w:rPr>
                <w:sz w:val="16"/>
                <w:szCs w:val="16"/>
                <w:color w:val="auto"/>
              </w:rPr>
            </w:pPr>
          </w:p>
        </w:tc>
        <w:tc>
          <w:tcPr>
            <w:tcW w:w="96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7"/>
                <w:szCs w:val="17"/>
                <w:color w:val="auto"/>
              </w:rPr>
              <w:t>2,866</w:t>
            </w:r>
          </w:p>
        </w:tc>
        <w:tc>
          <w:tcPr>
            <w:tcW w:w="1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140"/>
              <w:spacing w:after="0" w:line="191" w:lineRule="exact"/>
              <w:rPr>
                <w:sz w:val="20"/>
                <w:szCs w:val="20"/>
                <w:color w:val="auto"/>
              </w:rPr>
            </w:pPr>
            <w:r>
              <w:rPr>
                <w:rFonts w:ascii="Arial" w:cs="Arial" w:eastAsia="Arial" w:hAnsi="Arial"/>
                <w:sz w:val="17"/>
                <w:szCs w:val="17"/>
                <w:color w:val="auto"/>
              </w:rPr>
              <w:t>2,449</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Note Payable-related party</w:t>
            </w: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1,200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1,200</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tcBorders>
              <w:bottom w:val="single" w:sz="8" w:color="CCFFCC"/>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1,117</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8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2,865</w:t>
            </w:r>
          </w:p>
        </w:tc>
        <w:tc>
          <w:tcPr>
            <w:tcW w:w="140" w:type="dxa"/>
            <w:vAlign w:val="bottom"/>
            <w:tcBorders>
              <w:bottom w:val="single" w:sz="8" w:color="CCFFCC"/>
            </w:tcBorders>
            <w:shd w:val="clear" w:color="auto" w:fill="CCFFCC"/>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3"/>
        </w:trPr>
        <w:tc>
          <w:tcPr>
            <w:tcW w:w="12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20"/>
              <w:spacing w:after="0" w:line="193" w:lineRule="exact"/>
              <w:rPr>
                <w:sz w:val="20"/>
                <w:szCs w:val="20"/>
                <w:color w:val="auto"/>
              </w:rPr>
            </w:pPr>
            <w:r>
              <w:rPr>
                <w:rFonts w:ascii="Arial" w:cs="Arial" w:eastAsia="Arial" w:hAnsi="Arial"/>
                <w:sz w:val="17"/>
                <w:szCs w:val="17"/>
                <w:b w:val="1"/>
                <w:bCs w:val="1"/>
                <w:color w:val="auto"/>
              </w:rPr>
              <w:t>6,944</w:t>
            </w:r>
          </w:p>
        </w:tc>
        <w:tc>
          <w:tcPr>
            <w:tcW w:w="320" w:type="dxa"/>
            <w:vAlign w:val="bottom"/>
            <w:gridSpan w:val="2"/>
          </w:tcPr>
          <w:p>
            <w:pPr>
              <w:ind w:left="160"/>
              <w:spacing w:after="0" w:line="193" w:lineRule="exact"/>
              <w:rPr>
                <w:sz w:val="20"/>
                <w:szCs w:val="20"/>
                <w:color w:val="auto"/>
              </w:rPr>
            </w:pPr>
            <w:r>
              <w:rPr>
                <w:rFonts w:ascii="Arial" w:cs="Arial" w:eastAsia="Arial" w:hAnsi="Arial"/>
                <w:sz w:val="17"/>
                <w:szCs w:val="17"/>
                <w:b w:val="1"/>
                <w:bCs w:val="1"/>
                <w:color w:val="auto"/>
              </w:rPr>
              <w:t>$</w:t>
            </w:r>
          </w:p>
        </w:tc>
        <w:tc>
          <w:tcPr>
            <w:tcW w:w="940" w:type="dxa"/>
            <w:vAlign w:val="bottom"/>
            <w:gridSpan w:val="2"/>
          </w:tcPr>
          <w:p>
            <w:pPr>
              <w:jc w:val="right"/>
              <w:ind w:right="140"/>
              <w:spacing w:after="0" w:line="193" w:lineRule="exact"/>
              <w:rPr>
                <w:sz w:val="20"/>
                <w:szCs w:val="20"/>
                <w:color w:val="auto"/>
              </w:rPr>
            </w:pPr>
            <w:r>
              <w:rPr>
                <w:rFonts w:ascii="Arial" w:cs="Arial" w:eastAsia="Arial" w:hAnsi="Arial"/>
                <w:sz w:val="17"/>
                <w:szCs w:val="17"/>
                <w:b w:val="1"/>
                <w:bCs w:val="1"/>
                <w:color w:val="auto"/>
              </w:rPr>
              <w:t>8,314</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9"/>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497"/>
        </w:trPr>
        <w:tc>
          <w:tcPr>
            <w:tcW w:w="5420" w:type="dxa"/>
            <w:vAlign w:val="bottom"/>
            <w:gridSpan w:val="3"/>
          </w:tcPr>
          <w:p>
            <w:pPr>
              <w:jc w:val="right"/>
              <w:ind w:right="90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2268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7545" cy="6226810"/>
                    </a:xfrm>
                    <a:prstGeom prst="rect">
                      <a:avLst/>
                    </a:prstGeom>
                    <a:noFill/>
                  </pic:spPr>
                </pic:pic>
              </a:graphicData>
            </a:graphic>
          </wp:anchor>
        </w:drawing>
        <w:t>TABLE OF CONTENTS</w:t>
      </w:r>
    </w:p>
    <w:p>
      <w:pPr>
        <w:spacing w:after="0" w:line="280" w:lineRule="exact"/>
        <w:rPr>
          <w:sz w:val="20"/>
          <w:szCs w:val="20"/>
          <w:color w:val="auto"/>
        </w:rPr>
      </w:pPr>
    </w:p>
    <w:p>
      <w:pPr>
        <w:ind w:left="1700"/>
        <w:spacing w:after="0"/>
        <w:rPr>
          <w:sz w:val="20"/>
          <w:szCs w:val="20"/>
          <w:color w:val="auto"/>
        </w:rPr>
      </w:pPr>
      <w:r>
        <w:rPr>
          <w:rFonts w:ascii="Arial" w:cs="Arial" w:eastAsia="Arial" w:hAnsi="Arial"/>
          <w:sz w:val="17"/>
          <w:szCs w:val="17"/>
          <w:b w:val="1"/>
          <w:bCs w:val="1"/>
          <w:color w:val="auto"/>
        </w:rPr>
        <w:t>SUMMARY UNAUDITED PRO FORMA COMBINED FINANCIAL DATA</w:t>
      </w:r>
    </w:p>
    <w:p>
      <w:pPr>
        <w:spacing w:after="0" w:line="10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The following summary unaudited pro forma combined financial data is intended to show how the Merger might have affected historical financial statements if the Merger had been completed on June 8, 2011, for the purposes of the statements of operations, and March 31, 2012, for the purposes of the balance sheet, and was prepared based on the historical financial statements and results of operations reported by Vringo and Innovate/Protect. The following should be read in conjunction with the section entitled “Unaudited Pro Forma Combined Financial Statements” beginning on page </w:t>
      </w:r>
      <w:r>
        <w:rPr>
          <w:rFonts w:ascii="Arial" w:cs="Arial" w:eastAsia="Arial" w:hAnsi="Arial"/>
          <w:sz w:val="15"/>
          <w:szCs w:val="15"/>
          <w:u w:val="single" w:color="auto"/>
          <w:color w:val="0000EE"/>
        </w:rPr>
        <w:t>189</w:t>
      </w:r>
      <w:r>
        <w:rPr>
          <w:rFonts w:ascii="Arial" w:cs="Arial" w:eastAsia="Arial" w:hAnsi="Arial"/>
          <w:sz w:val="15"/>
          <w:szCs w:val="15"/>
          <w:color w:val="auto"/>
        </w:rPr>
        <w:t xml:space="preserve"> and the audited historical financial statements of Vringo and Innovate/Protect and the notes thereto beginning on pages F-</w:t>
      </w:r>
      <w:r>
        <w:rPr>
          <w:rFonts w:ascii="Arial" w:cs="Arial" w:eastAsia="Arial" w:hAnsi="Arial"/>
          <w:sz w:val="15"/>
          <w:szCs w:val="15"/>
          <w:u w:val="single" w:color="auto"/>
          <w:color w:val="0000EE"/>
        </w:rPr>
        <w:t>1</w:t>
      </w:r>
      <w:r>
        <w:rPr>
          <w:rFonts w:ascii="Arial" w:cs="Arial" w:eastAsia="Arial" w:hAnsi="Arial"/>
          <w:sz w:val="15"/>
          <w:szCs w:val="15"/>
          <w:color w:val="auto"/>
        </w:rPr>
        <w:t xml:space="preserve"> and F-</w:t>
      </w:r>
      <w:r>
        <w:rPr>
          <w:rFonts w:ascii="Arial" w:cs="Arial" w:eastAsia="Arial" w:hAnsi="Arial"/>
          <w:sz w:val="15"/>
          <w:szCs w:val="15"/>
          <w:u w:val="single" w:color="auto"/>
          <w:color w:val="0000EE"/>
        </w:rPr>
        <w:t>52</w:t>
      </w:r>
      <w:r>
        <w:rPr>
          <w:rFonts w:ascii="Arial" w:cs="Arial" w:eastAsia="Arial" w:hAnsi="Arial"/>
          <w:sz w:val="15"/>
          <w:szCs w:val="15"/>
          <w:color w:val="auto"/>
        </w:rPr>
        <w:t xml:space="preserve">, respectively, the sections entitled “Vringo’s Management’s Discussion and Analysis of Financial Condition and Results of Operations” beginning on page </w:t>
      </w:r>
      <w:r>
        <w:rPr>
          <w:rFonts w:ascii="Arial" w:cs="Arial" w:eastAsia="Arial" w:hAnsi="Arial"/>
          <w:sz w:val="15"/>
          <w:szCs w:val="15"/>
          <w:u w:val="single" w:color="auto"/>
          <w:color w:val="0000EE"/>
        </w:rPr>
        <w:t>130</w:t>
      </w:r>
      <w:r>
        <w:rPr>
          <w:rFonts w:ascii="Arial" w:cs="Arial" w:eastAsia="Arial" w:hAnsi="Arial"/>
          <w:sz w:val="15"/>
          <w:szCs w:val="15"/>
          <w:color w:val="auto"/>
        </w:rPr>
        <w:t xml:space="preserve"> and “Innovate/Protect’s Management’s Discussion and Analysis of Financial Condition and Results of Operations” beginning on page </w:t>
      </w:r>
      <w:r>
        <w:rPr>
          <w:rFonts w:ascii="Arial" w:cs="Arial" w:eastAsia="Arial" w:hAnsi="Arial"/>
          <w:sz w:val="15"/>
          <w:szCs w:val="15"/>
          <w:u w:val="single" w:color="auto"/>
          <w:color w:val="0000EE"/>
        </w:rPr>
        <w:t>157</w:t>
      </w:r>
      <w:r>
        <w:rPr>
          <w:rFonts w:ascii="Arial" w:cs="Arial" w:eastAsia="Arial" w:hAnsi="Arial"/>
          <w:sz w:val="15"/>
          <w:szCs w:val="15"/>
          <w:color w:val="000000"/>
        </w:rPr>
        <w:t>, and the other information contained in this proxy statement/prospectus. The following information does not give effect to the</w:t>
      </w:r>
      <w:r>
        <w:rPr>
          <w:rFonts w:ascii="Arial" w:cs="Arial" w:eastAsia="Arial" w:hAnsi="Arial"/>
          <w:sz w:val="15"/>
          <w:szCs w:val="15"/>
          <w:color w:val="0000EE"/>
        </w:rPr>
        <w:t xml:space="preserve"> </w:t>
      </w:r>
      <w:r>
        <w:rPr>
          <w:rFonts w:ascii="Arial" w:cs="Arial" w:eastAsia="Arial" w:hAnsi="Arial"/>
          <w:sz w:val="15"/>
          <w:szCs w:val="15"/>
          <w:color w:val="000000"/>
        </w:rPr>
        <w:t>proposed reverse stock split of Vringo common stock described in Vringo Proposal No. 2.</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Accounting Treatment of the Merger</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8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6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80"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53"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4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summary unaudited pro forma combined balance sheet as of March 31, 2012 combines the historical balance sheets of Vringo and Innovate/Protect as of March 31, 2012 and gives pro forma effect to the Merger as if it had been completed on March 31, 2012.</w:t>
      </w:r>
    </w:p>
    <w:p>
      <w:pPr>
        <w:spacing w:after="0" w:line="200" w:lineRule="exact"/>
        <w:rPr>
          <w:sz w:val="20"/>
          <w:szCs w:val="20"/>
          <w:color w:val="auto"/>
        </w:rPr>
      </w:pPr>
    </w:p>
    <w:p>
      <w:pPr>
        <w:spacing w:after="0" w:line="30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1" w:name="page42"/>
    <w:bookmarkEnd w:id="41"/>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5766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7545" cy="6576695"/>
                    </a:xfrm>
                    <a:prstGeom prst="rect">
                      <a:avLst/>
                    </a:prstGeom>
                    <a:noFill/>
                  </pic:spPr>
                </pic:pic>
              </a:graphicData>
            </a:graphic>
          </wp:anchor>
        </w:drawing>
        <w:t>TABLE OF CONTENTS</w:t>
      </w:r>
    </w:p>
    <w:p>
      <w:pPr>
        <w:spacing w:after="0" w:line="184" w:lineRule="exact"/>
        <w:rPr>
          <w:sz w:val="20"/>
          <w:szCs w:val="20"/>
          <w:color w:val="auto"/>
        </w:rPr>
      </w:pPr>
    </w:p>
    <w:p>
      <w:pPr>
        <w:jc w:val="both"/>
        <w:ind w:left="160" w:right="1239" w:firstLine="251"/>
        <w:spacing w:after="0" w:line="251" w:lineRule="auto"/>
        <w:rPr>
          <w:sz w:val="20"/>
          <w:szCs w:val="20"/>
          <w:color w:val="auto"/>
        </w:rPr>
      </w:pPr>
      <w:r>
        <w:rPr>
          <w:rFonts w:ascii="Arial" w:cs="Arial" w:eastAsia="Arial" w:hAnsi="Arial"/>
          <w:sz w:val="17"/>
          <w:szCs w:val="17"/>
          <w:color w:val="auto"/>
        </w:rPr>
        <w:t>The summary unaudited pro forma statements of operations for the periods from June 8, 2011 through December 31, 2011 and from January 1, 2012 to March 31, 2012 combine the historical statements of operations of Vringo for the periods from June 8, 2011 to December 31, 2011 and from January 1, 2012 to March 31, 2012, and of Innovate/Protect from inception (June 8, 2011) to December 31, 2011 and from January 1, 2012 to March 31, 2012 and gives pro forma effect to the Merger as if it had been completed on June 8, 2011.</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historical financial data has been adjusted to give pro forma effect to events that are (i) directly attributable to the Merger,</w:t>
      </w:r>
    </w:p>
    <w:p>
      <w:pPr>
        <w:spacing w:after="0" w:line="40" w:lineRule="exact"/>
        <w:rPr>
          <w:sz w:val="20"/>
          <w:szCs w:val="20"/>
          <w:color w:val="auto"/>
        </w:rPr>
      </w:pPr>
    </w:p>
    <w:p>
      <w:pPr>
        <w:jc w:val="both"/>
        <w:ind w:left="160" w:right="1239" w:firstLine="7"/>
        <w:spacing w:after="0" w:line="248" w:lineRule="auto"/>
        <w:tabs>
          <w:tab w:leader="none" w:pos="437" w:val="left"/>
        </w:tabs>
        <w:numPr>
          <w:ilvl w:val="0"/>
          <w:numId w:val="54"/>
        </w:numPr>
        <w:rPr>
          <w:rFonts w:ascii="Arial" w:cs="Arial" w:eastAsia="Arial" w:hAnsi="Arial"/>
          <w:sz w:val="17"/>
          <w:szCs w:val="17"/>
          <w:color w:val="auto"/>
        </w:rPr>
      </w:pPr>
      <w:r>
        <w:rPr>
          <w:rFonts w:ascii="Arial" w:cs="Arial" w:eastAsia="Arial" w:hAnsi="Arial"/>
          <w:sz w:val="17"/>
          <w:szCs w:val="17"/>
          <w:color w:val="auto"/>
        </w:rPr>
        <w:t>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82" w:lineRule="exact"/>
        <w:rPr>
          <w:sz w:val="20"/>
          <w:szCs w:val="20"/>
          <w:color w:val="auto"/>
        </w:rPr>
      </w:pPr>
    </w:p>
    <w:p>
      <w:pPr>
        <w:jc w:val="both"/>
        <w:ind w:left="160" w:right="1239" w:firstLine="251"/>
        <w:spacing w:after="0" w:line="288" w:lineRule="auto"/>
        <w:rPr>
          <w:sz w:val="20"/>
          <w:szCs w:val="20"/>
          <w:color w:val="auto"/>
        </w:rPr>
      </w:pPr>
      <w:r>
        <w:rPr>
          <w:rFonts w:ascii="Arial" w:cs="Arial" w:eastAsia="Arial" w:hAnsi="Arial"/>
          <w:sz w:val="15"/>
          <w:szCs w:val="15"/>
          <w:color w:val="auto"/>
        </w:rPr>
        <w:t xml:space="preserve">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(see the section entitled “Unaudited Pro Forma Combined Financial Statements” beginning on page </w:t>
      </w:r>
      <w:r>
        <w:rPr>
          <w:rFonts w:ascii="Arial" w:cs="Arial" w:eastAsia="Arial" w:hAnsi="Arial"/>
          <w:sz w:val="15"/>
          <w:szCs w:val="15"/>
          <w:u w:val="single" w:color="auto"/>
          <w:color w:val="0000EE"/>
        </w:rPr>
        <w:t>189</w:t>
      </w:r>
      <w:r>
        <w:rPr>
          <w:rFonts w:ascii="Arial" w:cs="Arial" w:eastAsia="Arial" w:hAnsi="Arial"/>
          <w:sz w:val="15"/>
          <w:szCs w:val="15"/>
          <w:color w:val="auto"/>
        </w:rPr>
        <w:t>),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Unaudited Pro Forma Consolidated Statement of Operations, for the period from June 8, 2011 (date of inception of</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Innovate/Protect) through December 31, 2011: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4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8"/>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2"/>
              </w:rPr>
              <w:t>Innovate/Protect</w:t>
            </w:r>
          </w:p>
        </w:tc>
        <w:tc>
          <w:tcPr>
            <w:tcW w:w="12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b w:val="1"/>
                <w:bCs w:val="1"/>
                <w:color w:val="auto"/>
              </w:rPr>
              <w:t>Vringo</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2"/>
                <w:szCs w:val="12"/>
                <w:color w:val="auto"/>
              </w:rPr>
            </w:pPr>
          </w:p>
        </w:tc>
        <w:tc>
          <w:tcPr>
            <w:tcW w:w="50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w w:val="99"/>
              </w:rPr>
              <w:t>Notes</w:t>
            </w:r>
          </w:p>
        </w:tc>
        <w:tc>
          <w:tcPr>
            <w:tcW w:w="2200" w:type="dxa"/>
            <w:vAlign w:val="bottom"/>
            <w:gridSpan w:val="2"/>
          </w:tcPr>
          <w:p>
            <w:pPr>
              <w:jc w:val="center"/>
              <w:ind w:right="1300"/>
              <w:spacing w:after="0" w:line="148" w:lineRule="exact"/>
              <w:rPr>
                <w:sz w:val="20"/>
                <w:szCs w:val="20"/>
                <w:color w:val="auto"/>
              </w:rPr>
            </w:pPr>
            <w:r>
              <w:rPr>
                <w:rFonts w:ascii="Arial" w:cs="Arial" w:eastAsia="Arial" w:hAnsi="Arial"/>
                <w:sz w:val="13"/>
                <w:szCs w:val="13"/>
                <w:b w:val="1"/>
                <w:bCs w:val="1"/>
                <w:color w:val="auto"/>
                <w:w w:val="95"/>
              </w:rPr>
              <w:t>Pro Forma</w:t>
            </w:r>
          </w:p>
        </w:tc>
        <w:tc>
          <w:tcPr>
            <w:tcW w:w="1100" w:type="dxa"/>
            <w:vAlign w:val="bottom"/>
          </w:tcPr>
          <w:p>
            <w:pPr>
              <w:spacing w:after="0"/>
              <w:rPr>
                <w:sz w:val="12"/>
                <w:szCs w:val="12"/>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93"/>
              </w:rPr>
              <w:t>adjustments</w:t>
            </w: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consolidated</w:t>
            </w:r>
          </w:p>
        </w:tc>
        <w:tc>
          <w:tcPr>
            <w:tcW w:w="1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60" w:type="dxa"/>
            <w:vAlign w:val="bottom"/>
            <w:gridSpan w:val="10"/>
          </w:tcPr>
          <w:p>
            <w:pPr>
              <w:ind w:left="540"/>
              <w:spacing w:after="0"/>
              <w:rPr>
                <w:sz w:val="20"/>
                <w:szCs w:val="20"/>
                <w:color w:val="auto"/>
              </w:rPr>
            </w:pPr>
            <w:r>
              <w:rPr>
                <w:rFonts w:ascii="Arial" w:cs="Arial" w:eastAsia="Arial" w:hAnsi="Arial"/>
                <w:sz w:val="13"/>
                <w:szCs w:val="13"/>
                <w:b w:val="1"/>
                <w:bCs w:val="1"/>
                <w:color w:val="auto"/>
              </w:rPr>
              <w:t>($ — in thousands, except share and per share data)</w:t>
            </w:r>
          </w:p>
        </w:tc>
        <w:tc>
          <w:tcPr>
            <w:tcW w:w="1100" w:type="dxa"/>
            <w:vAlign w:val="bottom"/>
          </w:tcPr>
          <w:p>
            <w:pPr>
              <w:spacing w:after="0"/>
              <w:rPr>
                <w:sz w:val="16"/>
                <w:szCs w:val="16"/>
                <w:color w:val="auto"/>
              </w:rPr>
            </w:pPr>
          </w:p>
        </w:tc>
      </w:tr>
      <w:tr>
        <w:trPr>
          <w:trHeight w:val="206"/>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415</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415</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1,026</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1</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1,132</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Operating legal costs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1,102</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1,102</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997</w:t>
            </w:r>
          </w:p>
        </w:tc>
        <w:tc>
          <w:tcPr>
            <w:tcW w:w="120" w:type="dxa"/>
            <w:vAlign w:val="bottom"/>
            <w:tcBorders>
              <w:left w:val="single" w:sz="8" w:color="CCFFCC"/>
            </w:tcBorders>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(997)</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328</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(328)</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Startup and capital acquisition costs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120" w:type="dxa"/>
            <w:vAlign w:val="bottom"/>
            <w:tcBorders>
              <w:left w:val="single" w:sz="8" w:color="CCFFCC"/>
            </w:tcBorders>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(106)</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1,171</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1,171</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Marketing</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1,084</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1,084</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213</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1,610</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1,431</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3,254</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2,746</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3,971</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7,743</w:t>
            </w:r>
          </w:p>
        </w:tc>
        <w:tc>
          <w:tcPr>
            <w:tcW w:w="1380" w:type="dxa"/>
            <w:vAlign w:val="bottom"/>
            <w:tcBorders>
              <w:left w:val="single" w:sz="8" w:color="CCFFCC"/>
            </w:tcBorders>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58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(2,746)</w:t>
            </w:r>
          </w:p>
        </w:tc>
        <w:tc>
          <w:tcPr>
            <w:tcW w:w="840" w:type="dxa"/>
            <w:vAlign w:val="bottom"/>
            <w:gridSpan w:val="2"/>
          </w:tcPr>
          <w:p>
            <w:pPr>
              <w:jc w:val="right"/>
              <w:spacing w:after="0" w:line="193" w:lineRule="exact"/>
              <w:rPr>
                <w:sz w:val="20"/>
                <w:szCs w:val="20"/>
                <w:color w:val="auto"/>
              </w:rPr>
            </w:pPr>
            <w:r>
              <w:rPr>
                <w:rFonts w:ascii="Arial" w:cs="Arial" w:eastAsia="Arial" w:hAnsi="Arial"/>
                <w:sz w:val="17"/>
                <w:szCs w:val="17"/>
                <w:b w:val="1"/>
                <w:bCs w:val="1"/>
                <w:color w:val="auto"/>
              </w:rPr>
              <w:t>(3,556)</w:t>
            </w:r>
          </w:p>
        </w:tc>
        <w:tc>
          <w:tcPr>
            <w:tcW w:w="860" w:type="dxa"/>
            <w:vAlign w:val="bottom"/>
            <w:gridSpan w:val="3"/>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(7,328)</w:t>
            </w: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Non-operating income (expense)</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13</w:t>
            </w:r>
          </w:p>
        </w:tc>
        <w:tc>
          <w:tcPr>
            <w:tcW w:w="100" w:type="dxa"/>
            <w:vAlign w:val="bottom"/>
            <w:tcBorders>
              <w:left w:val="single" w:sz="8" w:color="CCFFCC"/>
            </w:tcBorders>
            <w:shd w:val="clear" w:color="auto" w:fill="CCFFCC"/>
          </w:tcPr>
          <w:p>
            <w:pPr>
              <w:spacing w:after="0"/>
              <w:rPr>
                <w:sz w:val="16"/>
                <w:szCs w:val="16"/>
                <w:color w:val="auto"/>
              </w:rPr>
            </w:pPr>
          </w:p>
        </w:tc>
        <w:tc>
          <w:tcPr>
            <w:tcW w:w="76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5</w:t>
            </w:r>
          </w:p>
        </w:tc>
        <w:tc>
          <w:tcPr>
            <w:tcW w:w="1380" w:type="dxa"/>
            <w:vAlign w:val="bottom"/>
            <w:tcBorders>
              <w:left w:val="single" w:sz="8" w:color="CCFFCC"/>
            </w:tcBorders>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w w:val="93"/>
              </w:rPr>
              <w:t>Interest and amortization of debt discount expense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(1,324)</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(1,324)</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Loss on revaluation of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(934)</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(934)</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Gain on restructuring of venture loan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963</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963</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Loss before income taxes: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(4,838)</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(8,618)</w:t>
            </w:r>
          </w:p>
        </w:tc>
        <w:tc>
          <w:tcPr>
            <w:tcW w:w="1380" w:type="dxa"/>
            <w:vAlign w:val="bottom"/>
            <w:tcBorders>
              <w:left w:val="single" w:sz="8" w:color="CCFFCC"/>
            </w:tcBorders>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580" w:type="dxa"/>
            <w:vAlign w:val="bottom"/>
            <w:gridSpan w:val="2"/>
          </w:tcPr>
          <w:p>
            <w:pPr>
              <w:spacing w:after="0" w:line="193" w:lineRule="exact"/>
              <w:rPr>
                <w:sz w:val="20"/>
                <w:szCs w:val="20"/>
                <w:color w:val="auto"/>
              </w:rPr>
            </w:pPr>
            <w:r>
              <w:rPr>
                <w:rFonts w:ascii="Arial" w:cs="Arial" w:eastAsia="Arial" w:hAnsi="Arial"/>
                <w:sz w:val="17"/>
                <w:szCs w:val="17"/>
                <w:color w:val="auto"/>
              </w:rPr>
              <w:t>Income taxes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line="193" w:lineRule="exact"/>
              <w:rPr>
                <w:sz w:val="20"/>
                <w:szCs w:val="20"/>
                <w:color w:val="auto"/>
              </w:rPr>
            </w:pPr>
            <w:r>
              <w:rPr>
                <w:rFonts w:ascii="Arial" w:cs="Arial" w:eastAsia="Arial" w:hAnsi="Arial"/>
                <w:sz w:val="17"/>
                <w:szCs w:val="17"/>
                <w:b w:val="1"/>
                <w:bCs w:val="1"/>
                <w:color w:val="auto"/>
              </w:rPr>
              <w:t>(61)</w:t>
            </w: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(61)</w:t>
            </w: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3"/>
        </w:trPr>
        <w:tc>
          <w:tcPr>
            <w:tcW w:w="120" w:type="dxa"/>
            <w:vAlign w:val="bottom"/>
          </w:tcPr>
          <w:p>
            <w:pPr>
              <w:spacing w:after="0"/>
              <w:rPr>
                <w:sz w:val="18"/>
                <w:szCs w:val="18"/>
                <w:color w:val="auto"/>
              </w:rPr>
            </w:pPr>
          </w:p>
        </w:tc>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(4,899)</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(8,679)</w:t>
            </w:r>
          </w:p>
        </w:tc>
        <w:tc>
          <w:tcPr>
            <w:tcW w:w="1380" w:type="dxa"/>
            <w:vAlign w:val="bottom"/>
            <w:tcBorders>
              <w:left w:val="single" w:sz="8" w:color="CCFFCC"/>
            </w:tcBorders>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1"/>
        </w:trPr>
        <w:tc>
          <w:tcPr>
            <w:tcW w:w="120" w:type="dxa"/>
            <w:vAlign w:val="bottom"/>
          </w:tcPr>
          <w:p>
            <w:pPr>
              <w:spacing w:after="0"/>
              <w:rPr>
                <w:sz w:val="16"/>
                <w:szCs w:val="16"/>
                <w:color w:val="auto"/>
              </w:rPr>
            </w:pPr>
          </w:p>
        </w:tc>
        <w:tc>
          <w:tcPr>
            <w:tcW w:w="3580" w:type="dxa"/>
            <w:vAlign w:val="bottom"/>
            <w:gridSpan w:val="2"/>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90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(0.98)</w:t>
            </w:r>
          </w:p>
        </w:tc>
        <w:tc>
          <w:tcPr>
            <w:tcW w:w="840" w:type="dxa"/>
            <w:vAlign w:val="bottom"/>
            <w:gridSpan w:val="2"/>
          </w:tcPr>
          <w:p>
            <w:pPr>
              <w:jc w:val="right"/>
              <w:spacing w:after="0" w:line="191" w:lineRule="exact"/>
              <w:rPr>
                <w:sz w:val="20"/>
                <w:szCs w:val="20"/>
                <w:color w:val="auto"/>
              </w:rPr>
            </w:pPr>
            <w:r>
              <w:rPr>
                <w:rFonts w:ascii="Arial" w:cs="Arial" w:eastAsia="Arial" w:hAnsi="Arial"/>
                <w:sz w:val="17"/>
                <w:szCs w:val="17"/>
                <w:b w:val="1"/>
                <w:bCs w:val="1"/>
                <w:color w:val="auto"/>
              </w:rPr>
              <w:t>(0.</w:t>
            </w:r>
            <w:r>
              <w:rPr>
                <w:rFonts w:ascii="Arial" w:cs="Arial" w:eastAsia="Arial" w:hAnsi="Arial"/>
                <w:sz w:val="17"/>
                <w:szCs w:val="17"/>
                <w:b w:val="1"/>
                <w:bCs w:val="1"/>
                <w:u w:val="single" w:color="auto"/>
                <w:color w:val="auto"/>
              </w:rPr>
              <w:t>70)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53"/>
              <w:spacing w:after="0" w:line="191" w:lineRule="exact"/>
              <w:rPr>
                <w:sz w:val="20"/>
                <w:szCs w:val="20"/>
                <w:color w:val="auto"/>
              </w:rPr>
            </w:pPr>
            <w:r>
              <w:rPr>
                <w:rFonts w:ascii="Arial" w:cs="Arial" w:eastAsia="Arial" w:hAnsi="Arial"/>
                <w:sz w:val="17"/>
                <w:szCs w:val="17"/>
                <w:color w:val="auto"/>
              </w:rPr>
              <w:t>3</w:t>
            </w:r>
          </w:p>
        </w:tc>
        <w:tc>
          <w:tcPr>
            <w:tcW w:w="82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(0.35)</w:t>
            </w: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8"/>
        </w:trPr>
        <w:tc>
          <w:tcPr>
            <w:tcW w:w="120" w:type="dxa"/>
            <w:vAlign w:val="bottom"/>
          </w:tcPr>
          <w:p>
            <w:pPr>
              <w:spacing w:after="0"/>
              <w:rPr>
                <w:sz w:val="15"/>
                <w:szCs w:val="15"/>
                <w:color w:val="auto"/>
              </w:rPr>
            </w:pPr>
          </w:p>
        </w:tc>
        <w:tc>
          <w:tcPr>
            <w:tcW w:w="3580" w:type="dxa"/>
            <w:vAlign w:val="bottom"/>
            <w:gridSpan w:val="2"/>
            <w:shd w:val="clear" w:color="auto" w:fill="CCFFCC"/>
          </w:tcPr>
          <w:p>
            <w:pPr>
              <w:spacing w:after="0" w:line="178" w:lineRule="exact"/>
              <w:rPr>
                <w:sz w:val="20"/>
                <w:szCs w:val="20"/>
                <w:color w:val="auto"/>
              </w:rPr>
            </w:pPr>
            <w:r>
              <w:rPr>
                <w:rFonts w:ascii="Arial" w:cs="Arial" w:eastAsia="Arial" w:hAnsi="Arial"/>
                <w:sz w:val="17"/>
                <w:szCs w:val="17"/>
                <w:color w:val="auto"/>
                <w:w w:val="93"/>
              </w:rPr>
              <w:t>Weighted average shares used in computing basic</w:t>
            </w:r>
          </w:p>
        </w:tc>
        <w:tc>
          <w:tcPr>
            <w:tcW w:w="90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rPr>
              <w:t>2,802,100</w:t>
            </w:r>
          </w:p>
        </w:tc>
        <w:tc>
          <w:tcPr>
            <w:tcW w:w="840" w:type="dxa"/>
            <w:vAlign w:val="bottom"/>
            <w:tcBorders>
              <w:left w:val="single" w:sz="8" w:color="CCFFCC"/>
            </w:tcBorders>
            <w:gridSpan w:val="2"/>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rPr>
              <w:t>6,965,927</w:t>
            </w:r>
          </w:p>
        </w:tc>
        <w:tc>
          <w:tcPr>
            <w:tcW w:w="100" w:type="dxa"/>
            <w:vAlign w:val="bottom"/>
            <w:tcBorders>
              <w:left w:val="single" w:sz="8" w:color="CCFFCC"/>
            </w:tcBorders>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560" w:type="dxa"/>
            <w:vAlign w:val="bottom"/>
            <w:tcBorders>
              <w:right w:val="single" w:sz="8" w:color="CCFFCC"/>
            </w:tcBorders>
            <w:gridSpan w:val="2"/>
            <w:shd w:val="clear" w:color="auto" w:fill="CCFFCC"/>
          </w:tcPr>
          <w:p>
            <w:pPr>
              <w:jc w:val="right"/>
              <w:ind w:right="153"/>
              <w:spacing w:after="0" w:line="178" w:lineRule="exact"/>
              <w:rPr>
                <w:sz w:val="20"/>
                <w:szCs w:val="20"/>
                <w:color w:val="auto"/>
              </w:rPr>
            </w:pPr>
            <w:r>
              <w:rPr>
                <w:rFonts w:ascii="Arial" w:cs="Arial" w:eastAsia="Arial" w:hAnsi="Arial"/>
                <w:sz w:val="17"/>
                <w:szCs w:val="17"/>
                <w:color w:val="auto"/>
              </w:rPr>
              <w:t>3</w:t>
            </w:r>
          </w:p>
        </w:tc>
        <w:tc>
          <w:tcPr>
            <w:tcW w:w="82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w w:val="93"/>
              </w:rPr>
              <w:t>25,079,096</w:t>
            </w:r>
          </w:p>
        </w:tc>
        <w:tc>
          <w:tcPr>
            <w:tcW w:w="1380" w:type="dxa"/>
            <w:vAlign w:val="bottom"/>
            <w:tcBorders>
              <w:left w:val="single" w:sz="8" w:color="CCFFCC"/>
            </w:tcBorders>
          </w:tcPr>
          <w:p>
            <w:pPr>
              <w:spacing w:after="0"/>
              <w:rPr>
                <w:sz w:val="15"/>
                <w:szCs w:val="15"/>
                <w:color w:val="auto"/>
              </w:rPr>
            </w:pPr>
          </w:p>
        </w:tc>
        <w:tc>
          <w:tcPr>
            <w:tcW w:w="1100" w:type="dxa"/>
            <w:vAlign w:val="bottom"/>
          </w:tcPr>
          <w:p>
            <w:pPr>
              <w:spacing w:after="0"/>
              <w:rPr>
                <w:sz w:val="15"/>
                <w:szCs w:val="15"/>
                <w:color w:val="auto"/>
              </w:rPr>
            </w:pPr>
          </w:p>
        </w:tc>
      </w:tr>
      <w:tr>
        <w:trPr>
          <w:trHeight w:val="253"/>
        </w:trPr>
        <w:tc>
          <w:tcPr>
            <w:tcW w:w="120" w:type="dxa"/>
            <w:vAlign w:val="bottom"/>
          </w:tcPr>
          <w:p>
            <w:pPr>
              <w:spacing w:after="0"/>
              <w:rPr>
                <w:sz w:val="21"/>
                <w:szCs w:val="21"/>
                <w:color w:val="auto"/>
              </w:rPr>
            </w:pPr>
          </w:p>
        </w:tc>
        <w:tc>
          <w:tcPr>
            <w:tcW w:w="35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and diluted net loss per common share</w:t>
            </w:r>
          </w:p>
        </w:tc>
        <w:tc>
          <w:tcPr>
            <w:tcW w:w="900" w:type="dxa"/>
            <w:vAlign w:val="bottom"/>
            <w:tcBorders>
              <w:bottom w:val="single" w:sz="8" w:color="auto"/>
            </w:tcBorders>
            <w:shd w:val="clear" w:color="auto" w:fill="CCFFCC"/>
          </w:tcPr>
          <w:p>
            <w:pPr>
              <w:spacing w:after="0"/>
              <w:rPr>
                <w:sz w:val="21"/>
                <w:szCs w:val="21"/>
                <w:color w:val="auto"/>
              </w:rPr>
            </w:pPr>
          </w:p>
        </w:tc>
        <w:tc>
          <w:tcPr>
            <w:tcW w:w="120" w:type="dxa"/>
            <w:vAlign w:val="bottom"/>
            <w:tcBorders>
              <w:left w:val="single" w:sz="8" w:color="CCFFCC"/>
              <w:bottom w:val="single" w:sz="8" w:color="CCFFCC"/>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spacing w:after="0"/>
              <w:rPr>
                <w:sz w:val="21"/>
                <w:szCs w:val="21"/>
                <w:color w:val="auto"/>
              </w:rPr>
            </w:pPr>
          </w:p>
        </w:tc>
        <w:tc>
          <w:tcPr>
            <w:tcW w:w="100" w:type="dxa"/>
            <w:vAlign w:val="bottom"/>
            <w:tcBorders>
              <w:left w:val="single" w:sz="8" w:color="CCFFCC"/>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right w:val="single" w:sz="8" w:color="CCFFCC"/>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spacing w:after="0"/>
              <w:rPr>
                <w:sz w:val="21"/>
                <w:szCs w:val="21"/>
                <w:color w:val="auto"/>
              </w:rPr>
            </w:pPr>
          </w:p>
        </w:tc>
        <w:tc>
          <w:tcPr>
            <w:tcW w:w="1380" w:type="dxa"/>
            <w:vAlign w:val="bottom"/>
            <w:tcBorders>
              <w:left w:val="single" w:sz="8" w:color="CCFFCC"/>
            </w:tcBorders>
          </w:tcPr>
          <w:p>
            <w:pPr>
              <w:spacing w:after="0"/>
              <w:rPr>
                <w:sz w:val="21"/>
                <w:szCs w:val="21"/>
                <w:color w:val="auto"/>
              </w:rPr>
            </w:pPr>
          </w:p>
        </w:tc>
        <w:tc>
          <w:tcPr>
            <w:tcW w:w="1100" w:type="dxa"/>
            <w:vAlign w:val="bottom"/>
          </w:tcPr>
          <w:p>
            <w:pPr>
              <w:spacing w:after="0"/>
              <w:rPr>
                <w:sz w:val="21"/>
                <w:szCs w:val="21"/>
                <w:color w:val="auto"/>
              </w:rPr>
            </w:pPr>
          </w:p>
        </w:tc>
      </w:tr>
      <w:tr>
        <w:trPr>
          <w:trHeight w:val="199"/>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497"/>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42" w:name="page43"/>
    <w:bookmarkEnd w:id="42"/>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57257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7545" cy="5725795"/>
                    </a:xfrm>
                    <a:prstGeom prst="rect">
                      <a:avLst/>
                    </a:prstGeom>
                    <a:noFill/>
                  </pic:spPr>
                </pic:pic>
              </a:graphicData>
            </a:graphic>
          </wp:anchor>
        </w:drawing>
        <w:t>TABLE OF CONTENTS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Notes to the Unaudited Pro Forma Consolidated Statements of Operations and Balance Sheet:</w:t>
      </w:r>
    </w:p>
    <w:p>
      <w:pPr>
        <w:spacing w:after="0" w:line="109" w:lineRule="exact"/>
        <w:rPr>
          <w:sz w:val="20"/>
          <w:szCs w:val="20"/>
          <w:color w:val="auto"/>
        </w:rPr>
      </w:pPr>
    </w:p>
    <w:p>
      <w:pPr>
        <w:ind w:left="380" w:right="1239" w:hanging="259"/>
        <w:spacing w:after="0" w:line="264" w:lineRule="auto"/>
        <w:tabs>
          <w:tab w:leader="none" w:pos="360" w:val="left"/>
        </w:tabs>
        <w:rPr>
          <w:sz w:val="20"/>
          <w:szCs w:val="20"/>
          <w:color w:val="auto"/>
        </w:rPr>
      </w:pPr>
      <w:r>
        <w:rPr>
          <w:rFonts w:ascii="Arial" w:cs="Arial" w:eastAsia="Arial" w:hAnsi="Arial"/>
          <w:sz w:val="17"/>
          <w:szCs w:val="17"/>
          <w:color w:val="auto"/>
        </w:rPr>
        <w:t>1.</w:t>
        <w:tab/>
        <w:t>This pro-forma adjustment represents additional amortization expense, recorded in connection with amortizable intangible assets acquired in the Merger, assuming the acquisition of Vringo occurred on June 8, 2011:</w:t>
      </w:r>
    </w:p>
    <w:tbl>
      <w:tblPr>
        <w:tblLayout w:type="fixed"/>
        <w:tblInd w:w="120" w:type="dxa"/>
        <w:tblCellMar>
          <w:top w:w="0" w:type="dxa"/>
          <w:left w:w="0" w:type="dxa"/>
          <w:bottom w:w="0" w:type="dxa"/>
          <w:right w:w="0" w:type="dxa"/>
        </w:tblCellMar>
      </w:tblPr>
      <w:tr>
        <w:trPr>
          <w:trHeight w:val="139"/>
        </w:trPr>
        <w:tc>
          <w:tcPr>
            <w:tcW w:w="3600" w:type="dxa"/>
            <w:vAlign w:val="bottom"/>
          </w:tcPr>
          <w:p>
            <w:pPr>
              <w:spacing w:after="0"/>
              <w:rPr>
                <w:sz w:val="12"/>
                <w:szCs w:val="12"/>
                <w:color w:val="auto"/>
              </w:rPr>
            </w:pPr>
          </w:p>
        </w:tc>
        <w:tc>
          <w:tcPr>
            <w:tcW w:w="15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Gross carrying amount</w:t>
            </w:r>
          </w:p>
        </w:tc>
        <w:tc>
          <w:tcPr>
            <w:tcW w:w="1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Life</w:t>
            </w:r>
          </w:p>
        </w:tc>
        <w:tc>
          <w:tcPr>
            <w:tcW w:w="140" w:type="dxa"/>
            <w:vAlign w:val="bottom"/>
          </w:tcPr>
          <w:p>
            <w:pPr>
              <w:spacing w:after="0"/>
              <w:rPr>
                <w:sz w:val="12"/>
                <w:szCs w:val="12"/>
                <w:color w:val="auto"/>
              </w:rPr>
            </w:pPr>
          </w:p>
        </w:tc>
        <w:tc>
          <w:tcPr>
            <w:tcW w:w="16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3"/>
              </w:rPr>
              <w:t>Period from June 8,</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2011 through</w:t>
            </w: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December 31, 2011</w:t>
            </w:r>
          </w:p>
        </w:tc>
        <w:tc>
          <w:tcPr>
            <w:tcW w:w="0" w:type="dxa"/>
            <w:vAlign w:val="bottom"/>
          </w:tcPr>
          <w:p>
            <w:pPr>
              <w:spacing w:after="0"/>
              <w:rPr>
                <w:sz w:val="1"/>
                <w:szCs w:val="1"/>
                <w:color w:val="auto"/>
              </w:rPr>
            </w:pPr>
          </w:p>
        </w:tc>
      </w:tr>
      <w:tr>
        <w:trPr>
          <w:trHeight w:val="183"/>
        </w:trPr>
        <w:tc>
          <w:tcPr>
            <w:tcW w:w="3600" w:type="dxa"/>
            <w:vAlign w:val="bottom"/>
            <w:vMerge w:val="restart"/>
          </w:tcPr>
          <w:p>
            <w:pPr>
              <w:spacing w:after="0"/>
              <w:rPr>
                <w:sz w:val="20"/>
                <w:szCs w:val="20"/>
                <w:color w:val="auto"/>
              </w:rPr>
            </w:pPr>
            <w:r>
              <w:rPr>
                <w:rFonts w:ascii="Arial" w:cs="Arial" w:eastAsia="Arial" w:hAnsi="Arial"/>
                <w:sz w:val="17"/>
                <w:szCs w:val="17"/>
                <w:b w:val="1"/>
                <w:bCs w:val="1"/>
                <w:color w:val="auto"/>
              </w:rPr>
              <w:t>Cost of revenue:</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(years)</w:t>
            </w:r>
          </w:p>
        </w:tc>
        <w:tc>
          <w:tcPr>
            <w:tcW w:w="14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11"/>
        </w:trPr>
        <w:tc>
          <w:tcPr>
            <w:tcW w:w="36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Technology</w:t>
            </w:r>
          </w:p>
        </w:tc>
        <w:tc>
          <w:tcPr>
            <w:tcW w:w="1500" w:type="dxa"/>
            <w:vAlign w:val="bottom"/>
            <w:tcBorders>
              <w:bottom w:val="single" w:sz="8" w:color="CCFFCC"/>
            </w:tcBorders>
            <w:shd w:val="clear" w:color="auto" w:fill="CCFFCC"/>
          </w:tcPr>
          <w:p>
            <w:pPr>
              <w:jc w:val="right"/>
              <w:ind w:right="88"/>
              <w:spacing w:after="0"/>
              <w:rPr>
                <w:sz w:val="20"/>
                <w:szCs w:val="20"/>
                <w:color w:val="auto"/>
              </w:rPr>
            </w:pPr>
            <w:r>
              <w:rPr>
                <w:rFonts w:ascii="Arial" w:cs="Arial" w:eastAsia="Arial" w:hAnsi="Arial"/>
                <w:sz w:val="17"/>
                <w:szCs w:val="17"/>
                <w:color w:val="auto"/>
              </w:rPr>
              <w:t>10,906</w:t>
            </w:r>
          </w:p>
        </w:tc>
        <w:tc>
          <w:tcPr>
            <w:tcW w:w="760" w:type="dxa"/>
            <w:vAlign w:val="bottom"/>
            <w:tcBorders>
              <w:bottom w:val="single" w:sz="8" w:color="CCFFCC"/>
            </w:tcBorders>
            <w:gridSpan w:val="2"/>
            <w:shd w:val="clear" w:color="auto" w:fill="CCFFCC"/>
          </w:tcPr>
          <w:p>
            <w:pPr>
              <w:jc w:val="right"/>
              <w:ind w:right="133"/>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FFCC"/>
            </w:tcBorders>
            <w:shd w:val="clear" w:color="auto" w:fill="CCFFCC"/>
          </w:tcPr>
          <w:p>
            <w:pPr>
              <w:spacing w:after="0"/>
              <w:rPr>
                <w:sz w:val="17"/>
                <w:szCs w:val="17"/>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1,026</w:t>
            </w:r>
          </w:p>
        </w:tc>
        <w:tc>
          <w:tcPr>
            <w:tcW w:w="2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1,026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160" w:right="1239" w:firstLine="251"/>
        <w:spacing w:after="0" w:line="256" w:lineRule="auto"/>
        <w:rPr>
          <w:sz w:val="20"/>
          <w:szCs w:val="20"/>
          <w:color w:val="auto"/>
        </w:rPr>
      </w:pPr>
      <w:r>
        <w:rPr>
          <w:rFonts w:ascii="Arial" w:cs="Arial" w:eastAsia="Arial" w:hAnsi="Arial"/>
          <w:sz w:val="17"/>
          <w:szCs w:val="17"/>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  Amortization and depreciation, startup and capital acquisition costs, were reclassified into general and administrative:</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Period from June 8, 2011</w:t>
            </w:r>
          </w:p>
        </w:tc>
      </w:tr>
      <w:tr>
        <w:trPr>
          <w:trHeight w:val="158"/>
        </w:trPr>
        <w:tc>
          <w:tcPr>
            <w:tcW w:w="532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through December 31, 2011</w:t>
            </w:r>
          </w:p>
        </w:tc>
      </w:tr>
      <w:tr>
        <w:trPr>
          <w:trHeight w:val="181"/>
        </w:trPr>
        <w:tc>
          <w:tcPr>
            <w:tcW w:w="53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r>
      <w:tr>
        <w:trPr>
          <w:trHeight w:val="213"/>
        </w:trPr>
        <w:tc>
          <w:tcPr>
            <w:tcW w:w="53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280" w:type="dxa"/>
            <w:vAlign w:val="bottom"/>
          </w:tcPr>
          <w:p>
            <w:pPr>
              <w:jc w:val="right"/>
              <w:spacing w:after="0"/>
              <w:rPr>
                <w:sz w:val="20"/>
                <w:szCs w:val="20"/>
                <w:color w:val="auto"/>
              </w:rPr>
            </w:pPr>
            <w:r>
              <w:rPr>
                <w:rFonts w:ascii="Arial" w:cs="Arial" w:eastAsia="Arial" w:hAnsi="Arial"/>
                <w:sz w:val="17"/>
                <w:szCs w:val="17"/>
                <w:color w:val="auto"/>
              </w:rPr>
              <w:t>1,431</w:t>
            </w:r>
          </w:p>
        </w:tc>
        <w:tc>
          <w:tcPr>
            <w:tcW w:w="340" w:type="dxa"/>
            <w:vAlign w:val="bottom"/>
          </w:tcPr>
          <w:p>
            <w:pPr>
              <w:spacing w:after="0"/>
              <w:rPr>
                <w:sz w:val="18"/>
                <w:szCs w:val="18"/>
                <w:color w:val="auto"/>
              </w:rPr>
            </w:pPr>
          </w:p>
        </w:tc>
      </w:tr>
      <w:tr>
        <w:trPr>
          <w:trHeight w:val="201"/>
        </w:trPr>
        <w:tc>
          <w:tcPr>
            <w:tcW w:w="5320" w:type="dxa"/>
            <w:vAlign w:val="bottom"/>
            <w:shd w:val="clear" w:color="auto" w:fill="CCFFCC"/>
          </w:tcPr>
          <w:p>
            <w:pPr>
              <w:spacing w:after="0"/>
              <w:rPr>
                <w:sz w:val="20"/>
                <w:szCs w:val="20"/>
                <w:color w:val="auto"/>
              </w:rPr>
            </w:pPr>
            <w:r>
              <w:rPr>
                <w:rFonts w:ascii="Arial" w:cs="Arial" w:eastAsia="Arial" w:hAnsi="Arial"/>
                <w:sz w:val="17"/>
                <w:szCs w:val="17"/>
                <w:color w:val="auto"/>
              </w:rPr>
              <w:t>Compensation</w:t>
            </w:r>
          </w:p>
        </w:tc>
        <w:tc>
          <w:tcPr>
            <w:tcW w:w="1620" w:type="dxa"/>
            <w:vAlign w:val="bottom"/>
            <w:gridSpan w:val="2"/>
            <w:shd w:val="clear" w:color="auto" w:fill="CCFFCC"/>
          </w:tcPr>
          <w:p>
            <w:pPr>
              <w:jc w:val="right"/>
              <w:ind w:right="280"/>
              <w:spacing w:after="0"/>
              <w:rPr>
                <w:sz w:val="20"/>
                <w:szCs w:val="20"/>
                <w:color w:val="auto"/>
              </w:rPr>
            </w:pPr>
            <w:r>
              <w:rPr>
                <w:rFonts w:ascii="Arial" w:cs="Arial" w:eastAsia="Arial" w:hAnsi="Arial"/>
                <w:sz w:val="17"/>
                <w:szCs w:val="17"/>
                <w:color w:val="auto"/>
              </w:rPr>
              <w:t>(997)</w:t>
            </w:r>
          </w:p>
        </w:tc>
      </w:tr>
      <w:tr>
        <w:trPr>
          <w:trHeight w:val="200"/>
        </w:trPr>
        <w:tc>
          <w:tcPr>
            <w:tcW w:w="5320" w:type="dxa"/>
            <w:vAlign w:val="bottom"/>
          </w:tcPr>
          <w:p>
            <w:pPr>
              <w:spacing w:after="0"/>
              <w:rPr>
                <w:sz w:val="20"/>
                <w:szCs w:val="20"/>
                <w:color w:val="auto"/>
              </w:rPr>
            </w:pPr>
            <w:r>
              <w:rPr>
                <w:rFonts w:ascii="Arial" w:cs="Arial" w:eastAsia="Arial" w:hAnsi="Arial"/>
                <w:sz w:val="17"/>
                <w:szCs w:val="17"/>
                <w:color w:val="auto"/>
              </w:rPr>
              <w:t>Amortization and depreciation</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(328)</w:t>
            </w:r>
          </w:p>
        </w:tc>
      </w:tr>
      <w:tr>
        <w:trPr>
          <w:trHeight w:val="200"/>
        </w:trPr>
        <w:tc>
          <w:tcPr>
            <w:tcW w:w="5320" w:type="dxa"/>
            <w:vAlign w:val="bottom"/>
            <w:shd w:val="clear" w:color="auto" w:fill="CCFFCC"/>
          </w:tcPr>
          <w:p>
            <w:pPr>
              <w:spacing w:after="0"/>
              <w:rPr>
                <w:sz w:val="20"/>
                <w:szCs w:val="20"/>
                <w:color w:val="auto"/>
              </w:rPr>
            </w:pPr>
            <w:r>
              <w:rPr>
                <w:rFonts w:ascii="Arial" w:cs="Arial" w:eastAsia="Arial" w:hAnsi="Arial"/>
                <w:sz w:val="17"/>
                <w:szCs w:val="17"/>
                <w:color w:val="auto"/>
              </w:rPr>
              <w:t>Startup and capital acquisition costs</w:t>
            </w:r>
          </w:p>
        </w:tc>
        <w:tc>
          <w:tcPr>
            <w:tcW w:w="1620" w:type="dxa"/>
            <w:vAlign w:val="bottom"/>
            <w:gridSpan w:val="2"/>
            <w:shd w:val="clear" w:color="auto" w:fill="CCFFCC"/>
          </w:tcPr>
          <w:p>
            <w:pPr>
              <w:jc w:val="right"/>
              <w:ind w:right="280"/>
              <w:spacing w:after="0"/>
              <w:rPr>
                <w:sz w:val="20"/>
                <w:szCs w:val="20"/>
                <w:color w:val="auto"/>
              </w:rPr>
            </w:pPr>
            <w:r>
              <w:rPr>
                <w:rFonts w:ascii="Arial" w:cs="Arial" w:eastAsia="Arial" w:hAnsi="Arial"/>
                <w:sz w:val="17"/>
                <w:szCs w:val="17"/>
                <w:color w:val="auto"/>
              </w:rPr>
              <w:t>(106)</w:t>
            </w:r>
          </w:p>
        </w:tc>
      </w:tr>
      <w:tr>
        <w:trPr>
          <w:trHeight w:val="20"/>
        </w:trPr>
        <w:tc>
          <w:tcPr>
            <w:tcW w:w="532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r>
      <w:tr>
        <w:trPr>
          <w:trHeight w:val="193"/>
        </w:trPr>
        <w:tc>
          <w:tcPr>
            <w:tcW w:w="5320" w:type="dxa"/>
            <w:vAlign w:val="bottom"/>
          </w:tcPr>
          <w:p>
            <w:pPr>
              <w:spacing w:after="0"/>
              <w:rPr>
                <w:sz w:val="16"/>
                <w:szCs w:val="16"/>
                <w:color w:val="auto"/>
              </w:rPr>
            </w:pPr>
          </w:p>
        </w:tc>
        <w:tc>
          <w:tcPr>
            <w:tcW w:w="1620" w:type="dxa"/>
            <w:vAlign w:val="bottom"/>
            <w:gridSpan w:val="2"/>
          </w:tcPr>
          <w:p>
            <w:pPr>
              <w:jc w:val="right"/>
              <w:ind w:right="340"/>
              <w:spacing w:after="0" w:line="193" w:lineRule="exact"/>
              <w:rPr>
                <w:sz w:val="20"/>
                <w:szCs w:val="20"/>
                <w:color w:val="auto"/>
              </w:rPr>
            </w:pPr>
            <w:r>
              <w:rPr>
                <w:rFonts w:ascii="Arial" w:cs="Arial" w:eastAsia="Arial" w:hAnsi="Arial"/>
                <w:sz w:val="17"/>
                <w:szCs w:val="17"/>
                <w:color w:val="auto"/>
              </w:rPr>
              <w:t>—</w:t>
            </w:r>
          </w:p>
        </w:tc>
      </w:tr>
      <w:tr>
        <w:trPr>
          <w:trHeight w:val="20"/>
        </w:trPr>
        <w:tc>
          <w:tcPr>
            <w:tcW w:w="5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left="380" w:right="1239" w:hanging="250"/>
        <w:spacing w:after="0" w:line="285" w:lineRule="auto"/>
        <w:tabs>
          <w:tab w:leader="none" w:pos="3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tbl>
      <w:tblPr>
        <w:tblLayout w:type="fixed"/>
        <w:tblInd w:w="0" w:type="dxa"/>
        <w:tblCellMar>
          <w:top w:w="0" w:type="dxa"/>
          <w:left w:w="0" w:type="dxa"/>
          <w:bottom w:w="0" w:type="dxa"/>
          <w:right w:w="0" w:type="dxa"/>
        </w:tblCellMar>
      </w:tblPr>
      <w:tr>
        <w:trPr>
          <w:trHeight w:val="142"/>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940" w:type="dxa"/>
            <w:vAlign w:val="bottom"/>
            <w:gridSpan w:val="3"/>
          </w:tcPr>
          <w:p>
            <w:pPr>
              <w:jc w:val="center"/>
              <w:ind w:right="1320"/>
              <w:spacing w:after="0" w:line="142" w:lineRule="exact"/>
              <w:rPr>
                <w:sz w:val="20"/>
                <w:szCs w:val="20"/>
                <w:color w:val="auto"/>
              </w:rPr>
            </w:pPr>
            <w:r>
              <w:rPr>
                <w:rFonts w:ascii="Arial" w:cs="Arial" w:eastAsia="Arial" w:hAnsi="Arial"/>
                <w:sz w:val="13"/>
                <w:szCs w:val="13"/>
                <w:b w:val="1"/>
                <w:bCs w:val="1"/>
                <w:color w:val="auto"/>
                <w:w w:val="92"/>
              </w:rPr>
              <w:t>Period from June 8, 2011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1"/>
              </w:rPr>
              <w:t>through December 31, 2011</w:t>
            </w:r>
          </w:p>
        </w:tc>
        <w:tc>
          <w:tcPr>
            <w:tcW w:w="1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940" w:type="dxa"/>
            <w:vAlign w:val="bottom"/>
            <w:gridSpan w:val="3"/>
          </w:tcPr>
          <w:p>
            <w:pPr>
              <w:jc w:val="center"/>
              <w:ind w:right="1320"/>
              <w:spacing w:after="0" w:line="148" w:lineRule="exact"/>
              <w:rPr>
                <w:sz w:val="20"/>
                <w:szCs w:val="20"/>
                <w:color w:val="auto"/>
              </w:rPr>
            </w:pPr>
            <w:r>
              <w:rPr>
                <w:rFonts w:ascii="Arial" w:cs="Arial" w:eastAsia="Arial" w:hAnsi="Arial"/>
                <w:sz w:val="13"/>
                <w:szCs w:val="13"/>
                <w:b w:val="1"/>
                <w:bCs w:val="1"/>
                <w:color w:val="auto"/>
                <w:w w:val="90"/>
              </w:rPr>
              <w:t>($ — in thousands, except</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6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Numerator:</w:t>
            </w:r>
          </w:p>
        </w:tc>
        <w:tc>
          <w:tcPr>
            <w:tcW w:w="2940" w:type="dxa"/>
            <w:vAlign w:val="bottom"/>
            <w:gridSpan w:val="3"/>
          </w:tcPr>
          <w:p>
            <w:pPr>
              <w:jc w:val="center"/>
              <w:ind w:right="1320"/>
              <w:spacing w:after="0"/>
              <w:rPr>
                <w:sz w:val="20"/>
                <w:szCs w:val="20"/>
                <w:color w:val="auto"/>
              </w:rPr>
            </w:pPr>
            <w:r>
              <w:rPr>
                <w:rFonts w:ascii="Arial" w:cs="Arial" w:eastAsia="Arial" w:hAnsi="Arial"/>
                <w:sz w:val="13"/>
                <w:szCs w:val="13"/>
                <w:b w:val="1"/>
                <w:bCs w:val="1"/>
                <w:color w:val="auto"/>
                <w:w w:val="92"/>
              </w:rPr>
              <w:t>share and per share data)</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600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6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attributable to common stock shares (basic and diluted):</w:t>
            </w: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(8,679)</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Denominator: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6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Weighted average of Vringo common stock shares, outstanding for the period:</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6,965,927</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000" w:type="dxa"/>
            <w:vAlign w:val="bottom"/>
            <w:gridSpan w:val="2"/>
          </w:tcPr>
          <w:p>
            <w:pPr>
              <w:spacing w:after="0" w:line="188" w:lineRule="exact"/>
              <w:rPr>
                <w:sz w:val="20"/>
                <w:szCs w:val="20"/>
                <w:color w:val="auto"/>
              </w:rPr>
            </w:pPr>
            <w:r>
              <w:rPr>
                <w:rFonts w:ascii="Arial" w:cs="Arial" w:eastAsia="Arial" w:hAnsi="Arial"/>
                <w:sz w:val="17"/>
                <w:szCs w:val="17"/>
                <w:color w:val="auto"/>
                <w:w w:val="94"/>
              </w:rPr>
              <w:t>Weighted average of Vringo common stock shares issued to former Innovate/Protect</w:t>
            </w:r>
          </w:p>
        </w:tc>
        <w:tc>
          <w:tcPr>
            <w:tcW w:w="1620" w:type="dxa"/>
            <w:vAlign w:val="bottom"/>
            <w:gridSpan w:val="2"/>
          </w:tcPr>
          <w:p>
            <w:pPr>
              <w:jc w:val="right"/>
              <w:ind w:right="200"/>
              <w:spacing w:after="0" w:line="188" w:lineRule="exact"/>
              <w:rPr>
                <w:sz w:val="20"/>
                <w:szCs w:val="20"/>
                <w:color w:val="auto"/>
              </w:rPr>
            </w:pPr>
            <w:r>
              <w:rPr>
                <w:rFonts w:ascii="Arial" w:cs="Arial" w:eastAsia="Arial" w:hAnsi="Arial"/>
                <w:sz w:val="17"/>
                <w:szCs w:val="17"/>
                <w:color w:val="auto"/>
              </w:rPr>
              <w:t>18,113,169</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stockholders, outstanding for the period:</w:t>
            </w:r>
          </w:p>
        </w:tc>
        <w:tc>
          <w:tcPr>
            <w:tcW w:w="1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600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color w:val="auto"/>
              </w:rPr>
              <w:t>Total common stock shares outstanding, after the Merger:</w:t>
            </w:r>
          </w:p>
        </w:tc>
        <w:tc>
          <w:tcPr>
            <w:tcW w:w="1620" w:type="dxa"/>
            <w:vAlign w:val="bottom"/>
            <w:gridSpan w:val="2"/>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25,079,096</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486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6000" w:type="dxa"/>
            <w:vAlign w:val="bottom"/>
            <w:gridSpan w:val="2"/>
          </w:tcPr>
          <w:p>
            <w:pPr>
              <w:spacing w:after="0" w:line="193" w:lineRule="exact"/>
              <w:rPr>
                <w:sz w:val="20"/>
                <w:szCs w:val="20"/>
                <w:color w:val="auto"/>
              </w:rPr>
            </w:pPr>
            <w:r>
              <w:rPr>
                <w:rFonts w:ascii="Arial" w:cs="Arial" w:eastAsia="Arial" w:hAnsi="Arial"/>
                <w:sz w:val="17"/>
                <w:szCs w:val="17"/>
                <w:color w:val="auto"/>
              </w:rPr>
              <w:t>Basic and diluted net losses per share of common stock:</w:t>
            </w:r>
          </w:p>
        </w:tc>
        <w:tc>
          <w:tcPr>
            <w:tcW w:w="16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(0.35)</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6120" w:type="dxa"/>
            <w:vAlign w:val="bottom"/>
            <w:gridSpan w:val="3"/>
          </w:tcPr>
          <w:p>
            <w:pPr>
              <w:jc w:val="right"/>
              <w:ind w:right="1600"/>
              <w:spacing w:after="0"/>
              <w:rPr>
                <w:sz w:val="20"/>
                <w:szCs w:val="20"/>
                <w:color w:val="auto"/>
              </w:rPr>
            </w:pPr>
            <w:r>
              <w:rPr>
                <w:rFonts w:ascii="Arial" w:cs="Arial" w:eastAsia="Arial" w:hAnsi="Arial"/>
                <w:sz w:val="17"/>
                <w:szCs w:val="17"/>
                <w:color w:val="auto"/>
              </w:rPr>
              <w:t>29</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43" w:name="page44"/>
    <w:bookmarkEnd w:id="43"/>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3966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7545" cy="3966845"/>
                    </a:xfrm>
                    <a:prstGeom prst="rect">
                      <a:avLst/>
                    </a:prstGeom>
                    <a:noFill/>
                  </pic:spPr>
                </pic:pic>
              </a:graphicData>
            </a:graphic>
          </wp:anchor>
        </w:drawing>
        <w:t>TABLE OF CONTENTS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Unaudited Pro Forma Consolidated Statement of Operations, for the three month period ended March 31, 2012: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8"/>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2"/>
              </w:rPr>
              <w:t>Innovate/Protect</w:t>
            </w:r>
          </w:p>
        </w:tc>
        <w:tc>
          <w:tcPr>
            <w:tcW w:w="100" w:type="dxa"/>
            <w:vAlign w:val="bottom"/>
          </w:tcPr>
          <w:p>
            <w:pPr>
              <w:spacing w:after="0"/>
              <w:rPr>
                <w:sz w:val="12"/>
                <w:szCs w:val="12"/>
                <w:color w:val="auto"/>
              </w:rPr>
            </w:pPr>
          </w:p>
        </w:tc>
        <w:tc>
          <w:tcPr>
            <w:tcW w:w="800" w:type="dxa"/>
            <w:vAlign w:val="bottom"/>
          </w:tcPr>
          <w:p>
            <w:pPr>
              <w:ind w:left="240"/>
              <w:spacing w:after="0" w:line="148" w:lineRule="exact"/>
              <w:rPr>
                <w:sz w:val="20"/>
                <w:szCs w:val="20"/>
                <w:color w:val="auto"/>
              </w:rPr>
            </w:pPr>
            <w:r>
              <w:rPr>
                <w:rFonts w:ascii="Arial" w:cs="Arial" w:eastAsia="Arial" w:hAnsi="Arial"/>
                <w:sz w:val="13"/>
                <w:szCs w:val="13"/>
                <w:b w:val="1"/>
                <w:bCs w:val="1"/>
                <w:color w:val="auto"/>
              </w:rPr>
              <w:t>Vringo</w:t>
            </w:r>
          </w:p>
        </w:tc>
        <w:tc>
          <w:tcPr>
            <w:tcW w:w="100" w:type="dxa"/>
            <w:vAlign w:val="bottom"/>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Pro Forma</w:t>
            </w:r>
          </w:p>
        </w:tc>
        <w:tc>
          <w:tcPr>
            <w:tcW w:w="40" w:type="dxa"/>
            <w:vAlign w:val="bottom"/>
          </w:tcPr>
          <w:p>
            <w:pPr>
              <w:spacing w:after="0"/>
              <w:rPr>
                <w:sz w:val="12"/>
                <w:szCs w:val="12"/>
                <w:color w:val="auto"/>
              </w:rPr>
            </w:pPr>
          </w:p>
        </w:tc>
        <w:tc>
          <w:tcPr>
            <w:tcW w:w="52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rPr>
              <w:t>Notes</w:t>
            </w:r>
          </w:p>
        </w:tc>
        <w:tc>
          <w:tcPr>
            <w:tcW w:w="2040" w:type="dxa"/>
            <w:vAlign w:val="bottom"/>
            <w:gridSpan w:val="2"/>
          </w:tcPr>
          <w:p>
            <w:pPr>
              <w:jc w:val="center"/>
              <w:ind w:right="1180"/>
              <w:spacing w:after="0" w:line="148" w:lineRule="exact"/>
              <w:rPr>
                <w:sz w:val="20"/>
                <w:szCs w:val="20"/>
                <w:color w:val="auto"/>
              </w:rPr>
            </w:pPr>
            <w:r>
              <w:rPr>
                <w:rFonts w:ascii="Arial" w:cs="Arial" w:eastAsia="Arial" w:hAnsi="Arial"/>
                <w:sz w:val="13"/>
                <w:szCs w:val="13"/>
                <w:b w:val="1"/>
                <w:bCs w:val="1"/>
                <w:color w:val="auto"/>
                <w:w w:val="95"/>
              </w:rPr>
              <w:t>Pro Forma</w:t>
            </w:r>
          </w:p>
        </w:tc>
        <w:tc>
          <w:tcPr>
            <w:tcW w:w="1100" w:type="dxa"/>
            <w:vAlign w:val="bottom"/>
          </w:tcPr>
          <w:p>
            <w:pPr>
              <w:spacing w:after="0"/>
              <w:rPr>
                <w:sz w:val="12"/>
                <w:szCs w:val="12"/>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adjustments</w:t>
            </w:r>
          </w:p>
        </w:tc>
        <w:tc>
          <w:tcPr>
            <w:tcW w:w="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consolidated</w:t>
            </w: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gridSpan w:val="10"/>
          </w:tcPr>
          <w:p>
            <w:pPr>
              <w:ind w:left="560"/>
              <w:spacing w:after="0"/>
              <w:rPr>
                <w:sz w:val="20"/>
                <w:szCs w:val="20"/>
                <w:color w:val="auto"/>
              </w:rPr>
            </w:pPr>
            <w:r>
              <w:rPr>
                <w:rFonts w:ascii="Arial" w:cs="Arial" w:eastAsia="Arial" w:hAnsi="Arial"/>
                <w:sz w:val="13"/>
                <w:szCs w:val="13"/>
                <w:b w:val="1"/>
                <w:bCs w:val="1"/>
                <w:color w:val="auto"/>
              </w:rPr>
              <w:t>($ — in thousands, except share and per share data)</w:t>
            </w:r>
          </w:p>
        </w:tc>
        <w:tc>
          <w:tcPr>
            <w:tcW w:w="1100" w:type="dxa"/>
            <w:vAlign w:val="bottom"/>
          </w:tcPr>
          <w:p>
            <w:pPr>
              <w:spacing w:after="0"/>
              <w:rPr>
                <w:sz w:val="16"/>
                <w:szCs w:val="16"/>
                <w:color w:val="auto"/>
              </w:rPr>
            </w:pPr>
          </w:p>
        </w:tc>
      </w:tr>
      <w:tr>
        <w:trPr>
          <w:trHeight w:val="206"/>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31</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454</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1</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485</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Operating legal costs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1,172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1,172</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378</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(378)</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(156)</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Research and development</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512</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512</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Marketing</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759</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759</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General and administrative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162</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1,460</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534</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2,156</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1,868</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2,762</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5,084</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(1,868)</w:t>
            </w:r>
          </w:p>
        </w:tc>
        <w:tc>
          <w:tcPr>
            <w:tcW w:w="100" w:type="dxa"/>
            <w:vAlign w:val="bottom"/>
            <w:tcBorders>
              <w:lef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(2,656)</w:t>
            </w:r>
          </w:p>
        </w:tc>
        <w:tc>
          <w:tcPr>
            <w:tcW w:w="88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shd w:val="clear" w:color="auto" w:fill="CCFFCC"/>
          </w:tcPr>
          <w:p>
            <w:pPr>
              <w:spacing w:after="0"/>
              <w:rPr>
                <w:sz w:val="16"/>
                <w:szCs w:val="16"/>
                <w:color w:val="auto"/>
              </w:rPr>
            </w:pPr>
          </w:p>
        </w:tc>
        <w:tc>
          <w:tcPr>
            <w:tcW w:w="520" w:type="dxa"/>
            <w:vAlign w:val="bottom"/>
            <w:tcBorders>
              <w:righ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(4,978)</w:t>
            </w:r>
          </w:p>
        </w:tc>
        <w:tc>
          <w:tcPr>
            <w:tcW w:w="1240" w:type="dxa"/>
            <w:vAlign w:val="bottom"/>
            <w:tcBorders>
              <w:left w:val="single" w:sz="8" w:color="CCFFCC"/>
            </w:tcBorders>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tcPr>
          <w:p>
            <w:pPr>
              <w:spacing w:after="0" w:line="193" w:lineRule="exact"/>
              <w:rPr>
                <w:sz w:val="20"/>
                <w:szCs w:val="20"/>
                <w:color w:val="auto"/>
              </w:rPr>
            </w:pPr>
            <w:r>
              <w:rPr>
                <w:rFonts w:ascii="Arial" w:cs="Arial" w:eastAsia="Arial" w:hAnsi="Arial"/>
                <w:sz w:val="17"/>
                <w:szCs w:val="17"/>
                <w:color w:val="auto"/>
              </w:rPr>
              <w:t>Non-operating income (expense)</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non-preferential reload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(1,091)</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(1,091)</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Loss on revaluation of warrants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(411)</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(411)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preferential reload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(1,476)</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(1,476)</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Loss before income taxes: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(5,624)</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(7,950)</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Income taxes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100" w:type="dxa"/>
            <w:vAlign w:val="bottom"/>
            <w:tcBorders>
              <w:lef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100" w:type="dxa"/>
            <w:vAlign w:val="bottom"/>
            <w:tcBorders>
              <w:left w:val="single" w:sz="8" w:color="CCFFCC"/>
            </w:tcBorders>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6"/>
                <w:szCs w:val="16"/>
                <w:color w:val="auto"/>
              </w:rPr>
            </w:pPr>
          </w:p>
        </w:tc>
        <w:tc>
          <w:tcPr>
            <w:tcW w:w="520" w:type="dxa"/>
            <w:vAlign w:val="bottom"/>
            <w:tcBorders>
              <w:righ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1240" w:type="dxa"/>
            <w:vAlign w:val="bottom"/>
            <w:tcBorders>
              <w:left w:val="single" w:sz="8" w:color="CCFFCC"/>
            </w:tcBorders>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(5,644)</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(7,970)</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1"/>
        </w:trPr>
        <w:tc>
          <w:tcPr>
            <w:tcW w:w="120" w:type="dxa"/>
            <w:vAlign w:val="bottom"/>
          </w:tcPr>
          <w:p>
            <w:pPr>
              <w:spacing w:after="0"/>
              <w:rPr>
                <w:sz w:val="18"/>
                <w:szCs w:val="18"/>
                <w:color w:val="auto"/>
              </w:rPr>
            </w:pPr>
          </w:p>
        </w:tc>
        <w:tc>
          <w:tcPr>
            <w:tcW w:w="366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9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(0.43)</w:t>
            </w:r>
          </w:p>
        </w:tc>
        <w:tc>
          <w:tcPr>
            <w:tcW w:w="100" w:type="dxa"/>
            <w:vAlign w:val="bottom"/>
            <w:tcBorders>
              <w:left w:val="single" w:sz="8" w:color="CCFFCC"/>
            </w:tcBorders>
            <w:shd w:val="clear" w:color="auto" w:fill="CCFFCC"/>
          </w:tcPr>
          <w:p>
            <w:pPr>
              <w:spacing w:after="0"/>
              <w:rPr>
                <w:sz w:val="18"/>
                <w:szCs w:val="18"/>
                <w:color w:val="auto"/>
              </w:rPr>
            </w:pPr>
          </w:p>
        </w:tc>
        <w:tc>
          <w:tcPr>
            <w:tcW w:w="8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(0.46)</w:t>
            </w:r>
          </w:p>
        </w:tc>
        <w:tc>
          <w:tcPr>
            <w:tcW w:w="100" w:type="dxa"/>
            <w:vAlign w:val="bottom"/>
            <w:tcBorders>
              <w:lef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Borders>
              <w:right w:val="single" w:sz="8" w:color="CCFFCC"/>
            </w:tcBorders>
            <w:gridSpan w:val="2"/>
            <w:shd w:val="clear" w:color="auto" w:fill="CCFFCC"/>
          </w:tcPr>
          <w:p>
            <w:pPr>
              <w:jc w:val="right"/>
              <w:ind w:right="153"/>
              <w:spacing w:after="0" w:line="191" w:lineRule="exact"/>
              <w:rPr>
                <w:sz w:val="20"/>
                <w:szCs w:val="20"/>
                <w:color w:val="auto"/>
              </w:rPr>
            </w:pPr>
            <w:r>
              <w:rPr>
                <w:rFonts w:ascii="Arial" w:cs="Arial" w:eastAsia="Arial" w:hAnsi="Arial"/>
                <w:sz w:val="17"/>
                <w:szCs w:val="17"/>
                <w:color w:val="auto"/>
              </w:rPr>
              <w:t>3</w:t>
            </w:r>
          </w:p>
        </w:tc>
        <w:tc>
          <w:tcPr>
            <w:tcW w:w="8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(0.26)</w:t>
            </w:r>
          </w:p>
        </w:tc>
        <w:tc>
          <w:tcPr>
            <w:tcW w:w="1240" w:type="dxa"/>
            <w:vAlign w:val="bottom"/>
            <w:tcBorders>
              <w:left w:val="single" w:sz="8" w:color="CCFFCC"/>
            </w:tcBorders>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5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8"/>
        </w:trPr>
        <w:tc>
          <w:tcPr>
            <w:tcW w:w="120" w:type="dxa"/>
            <w:vAlign w:val="bottom"/>
          </w:tcPr>
          <w:p>
            <w:pPr>
              <w:spacing w:after="0"/>
              <w:rPr>
                <w:sz w:val="15"/>
                <w:szCs w:val="15"/>
                <w:color w:val="auto"/>
              </w:rPr>
            </w:pPr>
          </w:p>
        </w:tc>
        <w:tc>
          <w:tcPr>
            <w:tcW w:w="3660" w:type="dxa"/>
            <w:vAlign w:val="bottom"/>
            <w:gridSpan w:val="2"/>
          </w:tcPr>
          <w:p>
            <w:pPr>
              <w:spacing w:after="0" w:line="178" w:lineRule="exact"/>
              <w:rPr>
                <w:sz w:val="20"/>
                <w:szCs w:val="20"/>
                <w:color w:val="auto"/>
              </w:rPr>
            </w:pPr>
            <w:r>
              <w:rPr>
                <w:rFonts w:ascii="Arial" w:cs="Arial" w:eastAsia="Arial" w:hAnsi="Arial"/>
                <w:sz w:val="17"/>
                <w:szCs w:val="17"/>
                <w:color w:val="auto"/>
                <w:w w:val="87"/>
              </w:rPr>
              <w:t>Weighted average shares used in computing basic and</w:t>
            </w:r>
          </w:p>
        </w:tc>
        <w:tc>
          <w:tcPr>
            <w:tcW w:w="9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rPr>
              <w:t>4,635,117</w:t>
            </w:r>
          </w:p>
        </w:tc>
        <w:tc>
          <w:tcPr>
            <w:tcW w:w="10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w w:val="93"/>
              </w:rPr>
              <w:t>12,371,472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53"/>
              <w:spacing w:after="0" w:line="178" w:lineRule="exact"/>
              <w:rPr>
                <w:sz w:val="20"/>
                <w:szCs w:val="20"/>
                <w:color w:val="auto"/>
              </w:rPr>
            </w:pPr>
            <w:r>
              <w:rPr>
                <w:rFonts w:ascii="Arial" w:cs="Arial" w:eastAsia="Arial" w:hAnsi="Arial"/>
                <w:sz w:val="17"/>
                <w:szCs w:val="17"/>
                <w:color w:val="auto"/>
              </w:rPr>
              <w:t>3</w:t>
            </w:r>
          </w:p>
        </w:tc>
        <w:tc>
          <w:tcPr>
            <w:tcW w:w="8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w w:val="91"/>
              </w:rPr>
              <w:t>30,484,641</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3"/>
        </w:trPr>
        <w:tc>
          <w:tcPr>
            <w:tcW w:w="1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7"/>
                <w:szCs w:val="17"/>
                <w:color w:val="auto"/>
              </w:rPr>
              <w:t>diluted net loss per common share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9"/>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497"/>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ind w:left="58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7563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7545" cy="7563485"/>
                    </a:xfrm>
                    <a:prstGeom prst="rect">
                      <a:avLst/>
                    </a:prstGeom>
                    <a:noFill/>
                  </pic:spPr>
                </pic:pic>
              </a:graphicData>
            </a:graphic>
          </wp:anchor>
        </w:drawing>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Unaudited Pro Forma Consolidated Balance Sheets, as of March 31, 2012: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3"/>
                <w:szCs w:val="13"/>
                <w:b w:val="1"/>
                <w:bCs w:val="1"/>
                <w:color w:val="auto"/>
              </w:rPr>
              <w:t>Historical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9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w w:val="92"/>
              </w:rPr>
              <w:t>Innovate/Protect</w:t>
            </w:r>
          </w:p>
        </w:tc>
        <w:tc>
          <w:tcPr>
            <w:tcW w:w="82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Vringo</w:t>
            </w:r>
          </w:p>
        </w:tc>
        <w:tc>
          <w:tcPr>
            <w:tcW w:w="7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2"/>
                <w:szCs w:val="12"/>
                <w:color w:val="auto"/>
              </w:rPr>
            </w:pPr>
          </w:p>
        </w:tc>
        <w:tc>
          <w:tcPr>
            <w:tcW w:w="50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Notes</w:t>
            </w: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Pro Forma</w:t>
            </w:r>
          </w:p>
        </w:tc>
      </w:tr>
      <w:tr>
        <w:trPr>
          <w:trHeight w:val="158"/>
        </w:trPr>
        <w:tc>
          <w:tcPr>
            <w:tcW w:w="9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adjustments</w:t>
            </w: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94"/>
              </w:rPr>
              <w:t>consolidated</w:t>
            </w:r>
          </w:p>
        </w:tc>
      </w:tr>
      <w:tr>
        <w:trPr>
          <w:trHeight w:val="188"/>
        </w:trPr>
        <w:tc>
          <w:tcPr>
            <w:tcW w:w="9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rPr>
              <w:t>($ — in thousands)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Cash and cash equivalents</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3,980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3,630</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7,610</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Accounts receivable</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152</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152</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144</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184</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current assets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4,020</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3,926</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7,946</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Long-term deposit</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8</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8</w:t>
            </w: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133</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145</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Intangible assets, net</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2,912</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2,912</w:t>
            </w: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Technology</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10,906</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10,906</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Goodwill</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56,335</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1,*</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56,335</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6,944</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4,067</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67,241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78,252</w:t>
            </w: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366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Liabilities and stockholders’ equity:</w:t>
            </w:r>
          </w:p>
        </w:tc>
        <w:tc>
          <w:tcPr>
            <w:tcW w:w="860" w:type="dxa"/>
            <w:vAlign w:val="bottom"/>
            <w:shd w:val="clear" w:color="auto" w:fill="CCFFCC"/>
          </w:tcPr>
          <w:p>
            <w:pPr>
              <w:spacing w:after="0"/>
              <w:rPr>
                <w:sz w:val="16"/>
                <w:szCs w:val="16"/>
                <w:color w:val="auto"/>
              </w:rPr>
            </w:pP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tcBorders>
              <w:right w:val="single" w:sz="8" w:color="CCFFCC"/>
            </w:tcBorders>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tcBorders>
              <w:left w:val="single" w:sz="8" w:color="CCFFCC"/>
            </w:tcBorders>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Current liabilities: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Deferred tax liabilities, net – short-term</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Accounts payable and accrued expenses</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525</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617</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852</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4</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1,994</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Accrued severance pay</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233</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233</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Accrued employee compensation</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341</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357</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698</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Current portion, note payable – related party</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2,000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2,000</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2,866</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1,210</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852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4,928</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Long-term liabilities</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Note payable – related party</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1,200</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1,200</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Derivative liabilities on account of warrants</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1,836</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21,733</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5</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25,839</w:t>
            </w: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4,106</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(1,836)</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long-term liabilities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1,200</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1,836</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24,003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27,039</w:t>
            </w:r>
          </w:p>
        </w:tc>
      </w:tr>
      <w:tr>
        <w:trPr>
          <w:trHeight w:val="188"/>
        </w:trPr>
        <w:tc>
          <w:tcPr>
            <w:tcW w:w="366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5"/>
              </w:rPr>
              <w:t>Preferred stock, Series A Convertible, $0.0001 par</w:t>
            </w:r>
          </w:p>
        </w:tc>
        <w:tc>
          <w:tcPr>
            <w:tcW w:w="86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1,761</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20" w:type="dxa"/>
            <w:vAlign w:val="bottom"/>
            <w:tcBorders>
              <w:right w:val="single" w:sz="8" w:color="CCFFCC"/>
            </w:tcBorders>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(1,761)</w:t>
            </w:r>
          </w:p>
        </w:tc>
        <w:tc>
          <w:tcPr>
            <w:tcW w:w="620" w:type="dxa"/>
            <w:vAlign w:val="bottom"/>
            <w:tcBorders>
              <w:left w:val="single" w:sz="8" w:color="CCFFCC"/>
              <w:right w:val="single" w:sz="8" w:color="CCFFCC"/>
            </w:tcBorders>
            <w:gridSpan w:val="2"/>
            <w:shd w:val="clear" w:color="auto" w:fill="CCFFCC"/>
          </w:tcPr>
          <w:p>
            <w:pPr>
              <w:jc w:val="right"/>
              <w:ind w:right="53"/>
              <w:spacing w:after="0" w:line="188" w:lineRule="exact"/>
              <w:rPr>
                <w:sz w:val="20"/>
                <w:szCs w:val="20"/>
                <w:color w:val="auto"/>
              </w:rPr>
            </w:pPr>
            <w:r>
              <w:rPr>
                <w:rFonts w:ascii="Arial" w:cs="Arial" w:eastAsia="Arial" w:hAnsi="Arial"/>
                <w:sz w:val="17"/>
                <w:szCs w:val="17"/>
                <w:color w:val="auto"/>
              </w:rPr>
              <w:t>6</w:t>
            </w:r>
          </w:p>
        </w:tc>
        <w:tc>
          <w:tcPr>
            <w:tcW w:w="8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value; 6,968 authorized and issued and 6,818</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3"/>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Stockholders’ equity (deficit)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366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Preferred stock, Series A Convertible, $0.01 par</w:t>
            </w:r>
          </w:p>
        </w:tc>
        <w:tc>
          <w:tcPr>
            <w:tcW w:w="1000" w:type="dxa"/>
            <w:vAlign w:val="bottom"/>
            <w:tcBorders>
              <w:right w:val="single" w:sz="8" w:color="CCFFCC"/>
            </w:tcBorders>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w:t>
            </w:r>
          </w:p>
        </w:tc>
        <w:tc>
          <w:tcPr>
            <w:tcW w:w="620" w:type="dxa"/>
            <w:vAlign w:val="bottom"/>
            <w:tcBorders>
              <w:left w:val="single" w:sz="8" w:color="CCFFCC"/>
              <w:right w:val="single" w:sz="8" w:color="CCFFCC"/>
            </w:tcBorders>
            <w:gridSpan w:val="2"/>
            <w:shd w:val="clear" w:color="auto" w:fill="CCFFCC"/>
          </w:tcPr>
          <w:p>
            <w:pPr>
              <w:jc w:val="right"/>
              <w:ind w:right="53"/>
              <w:spacing w:after="0" w:line="188" w:lineRule="exact"/>
              <w:rPr>
                <w:sz w:val="20"/>
                <w:szCs w:val="20"/>
                <w:color w:val="auto"/>
              </w:rPr>
            </w:pPr>
            <w:r>
              <w:rPr>
                <w:rFonts w:ascii="Arial" w:cs="Arial" w:eastAsia="Arial" w:hAnsi="Arial"/>
                <w:sz w:val="17"/>
                <w:szCs w:val="17"/>
                <w:color w:val="auto"/>
              </w:rPr>
              <w:t>6</w:t>
            </w:r>
          </w:p>
        </w:tc>
        <w:tc>
          <w:tcPr>
            <w:tcW w:w="8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value per share; 6,818 authorized, issued and</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3"/>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88"/>
        </w:trPr>
        <w:tc>
          <w:tcPr>
            <w:tcW w:w="3660" w:type="dxa"/>
            <w:vAlign w:val="bottom"/>
            <w:gridSpan w:val="2"/>
          </w:tcPr>
          <w:p>
            <w:pPr>
              <w:spacing w:after="0" w:line="188" w:lineRule="exact"/>
              <w:rPr>
                <w:sz w:val="20"/>
                <w:szCs w:val="20"/>
                <w:color w:val="auto"/>
              </w:rPr>
            </w:pPr>
            <w:r>
              <w:rPr>
                <w:rFonts w:ascii="Arial" w:cs="Arial" w:eastAsia="Arial" w:hAnsi="Arial"/>
                <w:sz w:val="17"/>
                <w:szCs w:val="17"/>
                <w:color w:val="auto"/>
              </w:rPr>
              <w:t>Common stock, $0.01 par value per share,</w:t>
            </w:r>
          </w:p>
        </w:tc>
        <w:tc>
          <w:tcPr>
            <w:tcW w:w="86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88" w:lineRule="exact"/>
              <w:rPr>
                <w:sz w:val="20"/>
                <w:szCs w:val="20"/>
                <w:color w:val="auto"/>
              </w:rPr>
            </w:pPr>
            <w:r>
              <w:rPr>
                <w:rFonts w:ascii="Arial" w:cs="Arial" w:eastAsia="Arial" w:hAnsi="Arial"/>
                <w:sz w:val="17"/>
                <w:szCs w:val="17"/>
                <w:b w:val="1"/>
                <w:bCs w:val="1"/>
                <w:color w:val="auto"/>
              </w:rPr>
              <w:t>139</w:t>
            </w:r>
          </w:p>
        </w:tc>
        <w:tc>
          <w:tcPr>
            <w:tcW w:w="70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w:t>
            </w:r>
          </w:p>
        </w:tc>
        <w:tc>
          <w:tcPr>
            <w:tcW w:w="620" w:type="dxa"/>
            <w:vAlign w:val="bottom"/>
            <w:gridSpan w:val="2"/>
          </w:tcPr>
          <w:p>
            <w:pPr>
              <w:jc w:val="right"/>
              <w:ind w:right="53"/>
              <w:spacing w:after="0" w:line="188" w:lineRule="exact"/>
              <w:rPr>
                <w:sz w:val="20"/>
                <w:szCs w:val="20"/>
                <w:color w:val="auto"/>
              </w:rPr>
            </w:pPr>
            <w:r>
              <w:rPr>
                <w:rFonts w:ascii="Arial" w:cs="Arial" w:eastAsia="Arial" w:hAnsi="Arial"/>
                <w:sz w:val="17"/>
                <w:szCs w:val="17"/>
                <w:color w:val="auto"/>
              </w:rPr>
              <w:t>7</w:t>
            </w:r>
          </w:p>
        </w:tc>
        <w:tc>
          <w:tcPr>
            <w:tcW w:w="82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320</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w w:val="93"/>
              </w:rPr>
              <w:t>150,000,000** authorized, 31,979,592 issued and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181</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7</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5,742</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44,072</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(15,237)</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8</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51,443</w:t>
            </w:r>
          </w:p>
        </w:tc>
      </w:tr>
      <w:tr>
        <w:trPr>
          <w:trHeight w:val="200"/>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6,734</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10,132</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Accumulated deficit</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(4,626)</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(43,190)</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(852)</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4</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(5,478)</w:t>
            </w: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43,190</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8</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stockholders’ equity (deficit)</w:t>
            </w:r>
          </w:p>
        </w:tc>
        <w:tc>
          <w:tcPr>
            <w:tcW w:w="8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1,117</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20" w:type="dxa"/>
            <w:vAlign w:val="bottom"/>
            <w:tcBorders>
              <w:right w:val="single" w:sz="8" w:color="CCFFCC"/>
            </w:tcBorders>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1,021</w:t>
            </w:r>
          </w:p>
        </w:tc>
        <w:tc>
          <w:tcPr>
            <w:tcW w:w="7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44,147</w:t>
            </w:r>
          </w:p>
        </w:tc>
        <w:tc>
          <w:tcPr>
            <w:tcW w:w="120" w:type="dxa"/>
            <w:vAlign w:val="bottom"/>
            <w:tcBorders>
              <w:left w:val="single" w:sz="8" w:color="CCFFCC"/>
            </w:tcBorders>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46,285</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liabilities and stockholders’ equity</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6,944</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4,067</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67,241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78,252</w:t>
            </w: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6"/>
        </w:trPr>
        <w:tc>
          <w:tcPr>
            <w:tcW w:w="90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45" w:lineRule="exact"/>
        <w:rPr>
          <w:sz w:val="20"/>
          <w:szCs w:val="20"/>
          <w:color w:val="auto"/>
        </w:rPr>
      </w:pPr>
    </w:p>
    <w:p>
      <w:pPr>
        <w:ind w:left="260" w:hanging="250"/>
        <w:spacing w:after="0"/>
        <w:tabs>
          <w:tab w:leader="none" w:pos="2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 xml:space="preserve">Refer to preliminary Purchase Price Allocation table on page </w:t>
      </w:r>
      <w:r>
        <w:rPr>
          <w:rFonts w:ascii="Arial" w:cs="Arial" w:eastAsia="Arial" w:hAnsi="Arial"/>
          <w:sz w:val="13"/>
          <w:szCs w:val="13"/>
          <w:u w:val="single" w:color="auto"/>
          <w:color w:val="0000EE"/>
        </w:rPr>
        <w:t>190</w:t>
      </w:r>
      <w:r>
        <w:rPr>
          <w:rFonts w:ascii="Arial" w:cs="Arial" w:eastAsia="Arial" w:hAnsi="Arial"/>
          <w:sz w:val="13"/>
          <w:szCs w:val="13"/>
          <w:color w:val="auto"/>
        </w:rPr>
        <w:t>.</w:t>
      </w:r>
    </w:p>
    <w:p>
      <w:pPr>
        <w:spacing w:after="0" w:line="114" w:lineRule="exact"/>
        <w:rPr>
          <w:sz w:val="20"/>
          <w:szCs w:val="20"/>
          <w:color w:val="auto"/>
        </w:rPr>
      </w:pPr>
    </w:p>
    <w:p>
      <w:pPr>
        <w:ind w:left="260" w:right="1239" w:hanging="250"/>
        <w:spacing w:after="0" w:line="296"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increase in common stock $0.01 par value per share, from 28,000,000 to 150,000,000, is expected to take place at the stockholders’ meeting to approve the merger.</w:t>
      </w:r>
    </w:p>
    <w:p>
      <w:pPr>
        <w:spacing w:after="0" w:line="200" w:lineRule="exact"/>
        <w:rPr>
          <w:sz w:val="20"/>
          <w:szCs w:val="20"/>
          <w:color w:val="auto"/>
        </w:rPr>
      </w:pPr>
    </w:p>
    <w:p>
      <w:pPr>
        <w:spacing w:after="0" w:line="26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 w:name="page46"/>
    <w:bookmarkEnd w:id="45"/>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107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7545" cy="6107430"/>
                    </a:xfrm>
                    <a:prstGeom prst="rect">
                      <a:avLst/>
                    </a:prstGeom>
                    <a:noFill/>
                  </pic:spPr>
                </pic:pic>
              </a:graphicData>
            </a:graphic>
          </wp:anchor>
        </w:drawing>
        <w:t>TABLE OF CONTENTS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Notes to the Unaudited Pro Forma Consolidated Statements of Operations and Balance Sheet:</w:t>
      </w:r>
    </w:p>
    <w:p>
      <w:pPr>
        <w:spacing w:after="0" w:line="109" w:lineRule="exact"/>
        <w:rPr>
          <w:sz w:val="20"/>
          <w:szCs w:val="20"/>
          <w:color w:val="auto"/>
        </w:rPr>
      </w:pPr>
    </w:p>
    <w:p>
      <w:pPr>
        <w:ind w:left="380" w:right="1239" w:hanging="250"/>
        <w:spacing w:after="0" w:line="264" w:lineRule="auto"/>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This pro-forma adjustment represents additional amortization expense, recorded in connection with amortizable intangible assets acquired in the Merger, assuming the acquisition of Vringo occurred on June 8, 2011:</w:t>
      </w:r>
    </w:p>
    <w:tbl>
      <w:tblPr>
        <w:tblLayout w:type="fixed"/>
        <w:tblInd w:w="120" w:type="dxa"/>
        <w:tblCellMar>
          <w:top w:w="0" w:type="dxa"/>
          <w:left w:w="0" w:type="dxa"/>
          <w:bottom w:w="0" w:type="dxa"/>
          <w:right w:w="0" w:type="dxa"/>
        </w:tblCellMar>
      </w:tblPr>
      <w:tr>
        <w:trPr>
          <w:trHeight w:val="13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ind w:left="80"/>
              <w:spacing w:after="0" w:line="139" w:lineRule="exact"/>
              <w:rPr>
                <w:sz w:val="20"/>
                <w:szCs w:val="20"/>
                <w:color w:val="auto"/>
              </w:rPr>
            </w:pPr>
            <w:r>
              <w:rPr>
                <w:rFonts w:ascii="Arial" w:cs="Arial" w:eastAsia="Arial" w:hAnsi="Arial"/>
                <w:sz w:val="13"/>
                <w:szCs w:val="13"/>
                <w:b w:val="1"/>
                <w:bCs w:val="1"/>
                <w:color w:val="auto"/>
                <w:w w:val="93"/>
              </w:rPr>
              <w:t>Gross carrying amount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12"/>
                <w:szCs w:val="12"/>
                <w:color w:val="auto"/>
              </w:rPr>
            </w:pPr>
          </w:p>
        </w:tc>
        <w:tc>
          <w:tcPr>
            <w:tcW w:w="17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2"/>
              </w:rPr>
              <w:t>Three month period ended</w:t>
            </w: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March 31, 2012</w:t>
            </w:r>
          </w:p>
        </w:tc>
        <w:tc>
          <w:tcPr>
            <w:tcW w:w="0" w:type="dxa"/>
            <w:vAlign w:val="bottom"/>
          </w:tcPr>
          <w:p>
            <w:pPr>
              <w:spacing w:after="0"/>
              <w:rPr>
                <w:sz w:val="1"/>
                <w:szCs w:val="1"/>
                <w:color w:val="auto"/>
              </w:rPr>
            </w:pPr>
          </w:p>
        </w:tc>
      </w:tr>
      <w:tr>
        <w:trPr>
          <w:trHeight w:val="183"/>
        </w:trPr>
        <w:tc>
          <w:tcPr>
            <w:tcW w:w="3300" w:type="dxa"/>
            <w:vAlign w:val="bottom"/>
            <w:vMerge w:val="restart"/>
          </w:tcPr>
          <w:p>
            <w:pPr>
              <w:spacing w:after="0"/>
              <w:rPr>
                <w:sz w:val="20"/>
                <w:szCs w:val="20"/>
                <w:color w:val="auto"/>
              </w:rPr>
            </w:pPr>
            <w:r>
              <w:rPr>
                <w:rFonts w:ascii="Arial" w:cs="Arial" w:eastAsia="Arial" w:hAnsi="Arial"/>
                <w:sz w:val="17"/>
                <w:szCs w:val="17"/>
                <w:b w:val="1"/>
                <w:bCs w:val="1"/>
                <w:color w:val="auto"/>
              </w:rPr>
              <w:t>Cost of revenue:</w:t>
            </w:r>
          </w:p>
        </w:tc>
        <w:tc>
          <w:tcPr>
            <w:tcW w:w="160" w:type="dxa"/>
            <w:vAlign w:val="bottom"/>
          </w:tcPr>
          <w:p>
            <w:pPr>
              <w:spacing w:after="0"/>
              <w:rPr>
                <w:sz w:val="15"/>
                <w:szCs w:val="15"/>
                <w:color w:val="auto"/>
              </w:rPr>
            </w:pPr>
          </w:p>
        </w:tc>
        <w:tc>
          <w:tcPr>
            <w:tcW w:w="1440" w:type="dxa"/>
            <w:vAlign w:val="bottom"/>
            <w:gridSpan w:val="3"/>
          </w:tcPr>
          <w:p>
            <w:pPr>
              <w:ind w:left="200"/>
              <w:spacing w:after="0"/>
              <w:rPr>
                <w:sz w:val="20"/>
                <w:szCs w:val="20"/>
                <w:color w:val="auto"/>
              </w:rPr>
            </w:pPr>
            <w:r>
              <w:rPr>
                <w:rFonts w:ascii="Arial" w:cs="Arial" w:eastAsia="Arial" w:hAnsi="Arial"/>
                <w:sz w:val="13"/>
                <w:szCs w:val="13"/>
                <w:b w:val="1"/>
                <w:bCs w:val="1"/>
                <w:color w:val="auto"/>
              </w:rPr>
              <w:t>($ — in thousands)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(years)</w:t>
            </w:r>
          </w:p>
        </w:tc>
        <w:tc>
          <w:tcPr>
            <w:tcW w:w="160" w:type="dxa"/>
            <w:vAlign w:val="bottom"/>
          </w:tcPr>
          <w:p>
            <w:pPr>
              <w:spacing w:after="0"/>
              <w:rPr>
                <w:sz w:val="15"/>
                <w:szCs w:val="15"/>
                <w:color w:val="auto"/>
              </w:rPr>
            </w:pPr>
          </w:p>
        </w:tc>
        <w:tc>
          <w:tcPr>
            <w:tcW w:w="1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11"/>
        </w:trPr>
        <w:tc>
          <w:tcPr>
            <w:tcW w:w="3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Technology</w:t>
            </w:r>
          </w:p>
        </w:tc>
        <w:tc>
          <w:tcPr>
            <w:tcW w:w="160" w:type="dxa"/>
            <w:vAlign w:val="bottom"/>
            <w:tcBorders>
              <w:bottom w:val="single" w:sz="8" w:color="CCFFCC"/>
            </w:tcBorders>
            <w:shd w:val="clear" w:color="auto" w:fill="CCFFCC"/>
          </w:tcPr>
          <w:p>
            <w:pPr>
              <w:spacing w:after="0"/>
              <w:rPr>
                <w:sz w:val="17"/>
                <w:szCs w:val="17"/>
                <w:color w:val="auto"/>
              </w:rPr>
            </w:pPr>
          </w:p>
        </w:tc>
        <w:tc>
          <w:tcPr>
            <w:tcW w:w="740" w:type="dxa"/>
            <w:vAlign w:val="bottom"/>
            <w:tcBorders>
              <w:bottom w:val="single" w:sz="8" w:color="CCFFCC"/>
            </w:tcBorders>
            <w:shd w:val="clear" w:color="auto" w:fill="CCFFCC"/>
          </w:tcPr>
          <w:p>
            <w:pPr>
              <w:spacing w:after="0"/>
              <w:rPr>
                <w:sz w:val="17"/>
                <w:szCs w:val="17"/>
                <w:color w:val="auto"/>
              </w:rPr>
            </w:pPr>
          </w:p>
        </w:tc>
        <w:tc>
          <w:tcPr>
            <w:tcW w:w="700" w:type="dxa"/>
            <w:vAlign w:val="bottom"/>
            <w:tcBorders>
              <w:bottom w:val="single" w:sz="8" w:color="CCFFCC"/>
            </w:tcBorders>
            <w:gridSpan w:val="2"/>
            <w:shd w:val="clear" w:color="auto" w:fill="CCFFCC"/>
          </w:tcPr>
          <w:p>
            <w:pPr>
              <w:jc w:val="right"/>
              <w:ind w:right="17"/>
              <w:spacing w:after="0"/>
              <w:rPr>
                <w:sz w:val="20"/>
                <w:szCs w:val="20"/>
                <w:color w:val="auto"/>
              </w:rPr>
            </w:pPr>
            <w:r>
              <w:rPr>
                <w:rFonts w:ascii="Arial" w:cs="Arial" w:eastAsia="Arial" w:hAnsi="Arial"/>
                <w:sz w:val="17"/>
                <w:szCs w:val="17"/>
                <w:color w:val="auto"/>
              </w:rPr>
              <w:t>10,906</w:t>
            </w:r>
          </w:p>
        </w:tc>
        <w:tc>
          <w:tcPr>
            <w:tcW w:w="800" w:type="dxa"/>
            <w:vAlign w:val="bottom"/>
            <w:tcBorders>
              <w:bottom w:val="single" w:sz="8" w:color="CCFFCC"/>
            </w:tcBorders>
            <w:gridSpan w:val="3"/>
            <w:shd w:val="clear" w:color="auto" w:fill="CCFFCC"/>
          </w:tcPr>
          <w:p>
            <w:pPr>
              <w:jc w:val="right"/>
              <w:ind w:right="113"/>
              <w:spacing w:after="0"/>
              <w:rPr>
                <w:sz w:val="20"/>
                <w:szCs w:val="20"/>
                <w:color w:val="auto"/>
              </w:rPr>
            </w:pPr>
            <w:r>
              <w:rPr>
                <w:rFonts w:ascii="Arial" w:cs="Arial" w:eastAsia="Arial" w:hAnsi="Arial"/>
                <w:sz w:val="17"/>
                <w:szCs w:val="17"/>
                <w:color w:val="auto"/>
              </w:rPr>
              <w:t>6</w:t>
            </w:r>
          </w:p>
        </w:tc>
        <w:tc>
          <w:tcPr>
            <w:tcW w:w="16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454</w:t>
            </w:r>
          </w:p>
        </w:tc>
        <w:tc>
          <w:tcPr>
            <w:tcW w:w="3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454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92"/>
              </w:rPr>
              <w:t>Gross carrying</w:t>
            </w:r>
          </w:p>
        </w:tc>
        <w:tc>
          <w:tcPr>
            <w:tcW w:w="160" w:type="dxa"/>
            <w:vAlign w:val="bottom"/>
          </w:tcPr>
          <w:p>
            <w:pPr>
              <w:spacing w:after="0"/>
              <w:rPr>
                <w:sz w:val="12"/>
                <w:szCs w:val="12"/>
                <w:color w:val="auto"/>
              </w:rPr>
            </w:pPr>
          </w:p>
        </w:tc>
        <w:tc>
          <w:tcPr>
            <w:tcW w:w="3260" w:type="dxa"/>
            <w:vAlign w:val="bottom"/>
            <w:gridSpan w:val="7"/>
          </w:tcPr>
          <w:p>
            <w:pPr>
              <w:ind w:left="280"/>
              <w:spacing w:after="0" w:line="148" w:lineRule="exact"/>
              <w:rPr>
                <w:sz w:val="20"/>
                <w:szCs w:val="20"/>
                <w:color w:val="auto"/>
              </w:rPr>
            </w:pPr>
            <w:r>
              <w:rPr>
                <w:rFonts w:ascii="Arial" w:cs="Arial" w:eastAsia="Arial" w:hAnsi="Arial"/>
                <w:sz w:val="13"/>
                <w:szCs w:val="13"/>
                <w:b w:val="1"/>
                <w:bCs w:val="1"/>
                <w:color w:val="auto"/>
              </w:rPr>
              <w:t>Amortization of intangible assets and liabilities</w:t>
            </w: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gridSpan w:val="6"/>
          </w:tcPr>
          <w:p>
            <w:pPr>
              <w:jc w:val="center"/>
              <w:ind w:right="1600"/>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Goodwill</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8"/>
              </w:rPr>
              <w:t>56,335</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8"/>
              </w:rPr>
              <w:t>Goodwill is reviewed for impairment at least</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6"/>
              </w:rPr>
              <w:t>annually in accordance with the provisions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ACS 350 “Intangibles, Goodwill and Other”</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8"/>
              </w:rPr>
              <w:t>Fair value of vested stock options granted to</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9"/>
              </w:rPr>
              <w:t>6,734</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(which also</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employees, management and consultants,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reflects the impact of partial acceleration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7"/>
              </w:rPr>
              <w:t>classified as equity in these consolidated pro</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vesting of outstanding options granted to</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forma financial statements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7"/>
              </w:rPr>
              <w:t>employees, management and consultants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3"/>
              </w:rPr>
              <w:t>Vringo triggered directly by the Merger) will be</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1"/>
              </w:rPr>
              <w:t>adjusted for options exercised. This adjustment</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6"/>
              </w:rPr>
              <w:t>will be recorded as internal reclassification in</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additional paid-in capital.</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6"/>
              </w:rPr>
              <w:t>Fair value of outstanding warrants granted by</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9"/>
              </w:rPr>
              <w:t>4,106</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to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4"/>
              </w:rPr>
              <w:t>Vringo prior to the Merger, classified as a long</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classified as a derivative liability will be</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3"/>
              </w:rPr>
              <w:t>term derivative liability, as these warrants bear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7"/>
              </w:rPr>
              <w:t>adjusted at the end of each reporting period.</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certain down-round protection clauses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6"/>
              </w:rPr>
              <w:t>Fair value of outstanding warrants granted by</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8"/>
              </w:rPr>
              <w:t>10,132</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to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3"/>
              </w:rPr>
              <w:t>Vringo prior to the Merger, classified as equity,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0"/>
              </w:rPr>
              <w:t>classified as equity will be adjusted for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in these consolidated pro forma financial</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2"/>
              </w:rPr>
              <w:t>exercised. This adjustment will be recorded as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statements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internal reclassification in additional paid-in</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7"/>
                <w:szCs w:val="17"/>
                <w:color w:val="auto"/>
                <w:w w:val="96"/>
              </w:rPr>
              <w:t>capital.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160" w:right="1239" w:firstLine="251"/>
        <w:spacing w:after="0" w:line="256" w:lineRule="auto"/>
        <w:rPr>
          <w:sz w:val="20"/>
          <w:szCs w:val="20"/>
          <w:color w:val="auto"/>
        </w:rPr>
      </w:pPr>
      <w:r>
        <w:rPr>
          <w:rFonts w:ascii="Arial" w:cs="Arial" w:eastAsia="Arial" w:hAnsi="Arial"/>
          <w:sz w:val="17"/>
          <w:szCs w:val="17"/>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  Amortization and depreciation and capital acquisition costs, were reclassified into general and administrative: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2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w w:val="93"/>
              </w:rPr>
              <w:t>Three month period ended</w:t>
            </w:r>
          </w:p>
        </w:tc>
        <w:tc>
          <w:tcPr>
            <w:tcW w:w="1100" w:type="dxa"/>
            <w:vAlign w:val="bottom"/>
          </w:tcPr>
          <w:p>
            <w:pPr>
              <w:spacing w:after="0"/>
              <w:rPr>
                <w:sz w:val="12"/>
                <w:szCs w:val="12"/>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March 31, 2012</w:t>
            </w:r>
          </w:p>
        </w:tc>
        <w:tc>
          <w:tcPr>
            <w:tcW w:w="20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1"/>
        </w:trPr>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620" w:type="dxa"/>
            <w:vAlign w:val="bottom"/>
            <w:gridSpan w:val="3"/>
          </w:tcPr>
          <w:p>
            <w:pPr>
              <w:jc w:val="center"/>
              <w:ind w:right="1980"/>
              <w:spacing w:after="0"/>
              <w:rPr>
                <w:sz w:val="20"/>
                <w:szCs w:val="20"/>
                <w:color w:val="auto"/>
              </w:rPr>
            </w:pPr>
            <w:r>
              <w:rPr>
                <w:rFonts w:ascii="Arial" w:cs="Arial" w:eastAsia="Arial" w:hAnsi="Arial"/>
                <w:sz w:val="13"/>
                <w:szCs w:val="13"/>
                <w:b w:val="1"/>
                <w:bCs w:val="1"/>
                <w:color w:val="auto"/>
                <w:w w:val="92"/>
              </w:rPr>
              <w:t>($ — in thousands)</w:t>
            </w:r>
          </w:p>
        </w:tc>
        <w:tc>
          <w:tcPr>
            <w:tcW w:w="1100" w:type="dxa"/>
            <w:vAlign w:val="bottom"/>
          </w:tcPr>
          <w:p>
            <w:pPr>
              <w:spacing w:after="0"/>
              <w:rPr>
                <w:sz w:val="15"/>
                <w:szCs w:val="15"/>
                <w:color w:val="auto"/>
              </w:rPr>
            </w:pPr>
          </w:p>
        </w:tc>
      </w:tr>
      <w:tr>
        <w:trPr>
          <w:trHeight w:val="213"/>
        </w:trPr>
        <w:tc>
          <w:tcPr>
            <w:tcW w:w="1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3800" w:type="dxa"/>
            <w:vAlign w:val="bottom"/>
            <w:gridSpan w:val="3"/>
          </w:tcPr>
          <w:p>
            <w:pPr>
              <w:jc w:val="right"/>
              <w:ind w:right="380"/>
              <w:spacing w:after="0"/>
              <w:rPr>
                <w:sz w:val="20"/>
                <w:szCs w:val="20"/>
                <w:color w:val="auto"/>
              </w:rPr>
            </w:pPr>
            <w:r>
              <w:rPr>
                <w:rFonts w:ascii="Arial" w:cs="Arial" w:eastAsia="Arial" w:hAnsi="Arial"/>
                <w:sz w:val="17"/>
                <w:szCs w:val="17"/>
                <w:color w:val="auto"/>
              </w:rPr>
              <w:t>534</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1"/>
        </w:trPr>
        <w:tc>
          <w:tcPr>
            <w:tcW w:w="120" w:type="dxa"/>
            <w:vAlign w:val="bottom"/>
          </w:tcPr>
          <w:p>
            <w:pPr>
              <w:spacing w:after="0"/>
              <w:rPr>
                <w:sz w:val="17"/>
                <w:szCs w:val="17"/>
                <w:color w:val="auto"/>
              </w:rPr>
            </w:pPr>
          </w:p>
        </w:tc>
        <w:tc>
          <w:tcPr>
            <w:tcW w:w="31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3800" w:type="dxa"/>
            <w:vAlign w:val="bottom"/>
            <w:gridSpan w:val="3"/>
            <w:shd w:val="clear" w:color="auto" w:fill="CCFFCC"/>
          </w:tcPr>
          <w:p>
            <w:pPr>
              <w:jc w:val="right"/>
              <w:ind w:right="340"/>
              <w:spacing w:after="0"/>
              <w:rPr>
                <w:sz w:val="20"/>
                <w:szCs w:val="20"/>
                <w:color w:val="auto"/>
              </w:rPr>
            </w:pPr>
            <w:r>
              <w:rPr>
                <w:rFonts w:ascii="Arial" w:cs="Arial" w:eastAsia="Arial" w:hAnsi="Arial"/>
                <w:sz w:val="17"/>
                <w:szCs w:val="17"/>
                <w:color w:val="auto"/>
              </w:rPr>
              <w:t>(378)</w:t>
            </w: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3800" w:type="dxa"/>
            <w:vAlign w:val="bottom"/>
            <w:gridSpan w:val="3"/>
          </w:tcPr>
          <w:p>
            <w:pPr>
              <w:jc w:val="right"/>
              <w:ind w:right="340"/>
              <w:spacing w:after="0"/>
              <w:rPr>
                <w:sz w:val="20"/>
                <w:szCs w:val="20"/>
                <w:color w:val="auto"/>
              </w:rPr>
            </w:pPr>
            <w:r>
              <w:rPr>
                <w:rFonts w:ascii="Arial" w:cs="Arial" w:eastAsia="Arial" w:hAnsi="Arial"/>
                <w:sz w:val="17"/>
                <w:szCs w:val="17"/>
                <w:color w:val="auto"/>
              </w:rPr>
              <w:t>(156)</w:t>
            </w: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0" w:type="dxa"/>
            <w:vAlign w:val="bottom"/>
            <w:shd w:val="clear" w:color="auto" w:fill="CCFFCC"/>
          </w:tcPr>
          <w:p>
            <w:pPr>
              <w:spacing w:after="0"/>
              <w:rPr>
                <w:sz w:val="17"/>
                <w:szCs w:val="17"/>
                <w:color w:val="auto"/>
              </w:rPr>
            </w:pPr>
          </w:p>
        </w:tc>
        <w:tc>
          <w:tcPr>
            <w:tcW w:w="2180" w:type="dxa"/>
            <w:vAlign w:val="bottom"/>
            <w:shd w:val="clear" w:color="auto" w:fill="CCFFCC"/>
          </w:tcPr>
          <w:p>
            <w:pPr>
              <w:spacing w:after="0"/>
              <w:rPr>
                <w:sz w:val="17"/>
                <w:szCs w:val="17"/>
                <w:color w:val="auto"/>
              </w:rPr>
            </w:pPr>
          </w:p>
        </w:tc>
        <w:tc>
          <w:tcPr>
            <w:tcW w:w="1620" w:type="dxa"/>
            <w:vAlign w:val="bottom"/>
            <w:gridSpan w:val="2"/>
            <w:shd w:val="clear" w:color="auto" w:fill="CCFFCC"/>
          </w:tcPr>
          <w:p>
            <w:pPr>
              <w:jc w:val="right"/>
              <w:ind w:right="380"/>
              <w:spacing w:after="0"/>
              <w:rPr>
                <w:sz w:val="20"/>
                <w:szCs w:val="20"/>
                <w:color w:val="auto"/>
              </w:rPr>
            </w:pPr>
            <w:r>
              <w:rPr>
                <w:rFonts w:ascii="Arial" w:cs="Arial" w:eastAsia="Arial" w:hAnsi="Arial"/>
                <w:sz w:val="17"/>
                <w:szCs w:val="17"/>
                <w:color w:val="auto"/>
              </w:rPr>
              <w:t>—</w:t>
            </w: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120" w:type="dxa"/>
            <w:vAlign w:val="bottom"/>
            <w:tcBorders>
              <w:bottom w:val="single" w:sz="8" w:color="auto"/>
            </w:tcBorders>
          </w:tcPr>
          <w:p>
            <w:pPr>
              <w:spacing w:after="0"/>
              <w:rPr>
                <w:sz w:val="17"/>
                <w:szCs w:val="17"/>
                <w:color w:val="auto"/>
              </w:rPr>
            </w:pPr>
          </w:p>
        </w:tc>
        <w:tc>
          <w:tcPr>
            <w:tcW w:w="1140" w:type="dxa"/>
            <w:vAlign w:val="bottom"/>
            <w:tcBorders>
              <w:top w:val="single" w:sz="8" w:color="CCFFCC"/>
              <w:bottom w:val="single" w:sz="8" w:color="auto"/>
            </w:tcBorders>
          </w:tcPr>
          <w:p>
            <w:pPr>
              <w:spacing w:after="0"/>
              <w:rPr>
                <w:sz w:val="17"/>
                <w:szCs w:val="17"/>
                <w:color w:val="auto"/>
              </w:rPr>
            </w:pPr>
          </w:p>
        </w:tc>
        <w:tc>
          <w:tcPr>
            <w:tcW w:w="2000" w:type="dxa"/>
            <w:vAlign w:val="bottom"/>
            <w:tcBorders>
              <w:top w:val="single" w:sz="8" w:color="CCFFCC"/>
              <w:bottom w:val="single" w:sz="8" w:color="auto"/>
            </w:tcBorders>
          </w:tcPr>
          <w:p>
            <w:pPr>
              <w:spacing w:after="0"/>
              <w:rPr>
                <w:sz w:val="17"/>
                <w:szCs w:val="17"/>
                <w:color w:val="auto"/>
              </w:rPr>
            </w:pPr>
          </w:p>
        </w:tc>
        <w:tc>
          <w:tcPr>
            <w:tcW w:w="2180" w:type="dxa"/>
            <w:vAlign w:val="bottom"/>
            <w:tcBorders>
              <w:top w:val="single" w:sz="8" w:color="CCFFCC"/>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CCFFCC"/>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497"/>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jc w:val="right"/>
              <w:ind w:right="836"/>
              <w:spacing w:after="0"/>
              <w:rPr>
                <w:sz w:val="20"/>
                <w:szCs w:val="20"/>
                <w:color w:val="auto"/>
              </w:rPr>
            </w:pPr>
            <w:r>
              <w:rPr>
                <w:rFonts w:ascii="Arial" w:cs="Arial" w:eastAsia="Arial" w:hAnsi="Arial"/>
                <w:sz w:val="17"/>
                <w:szCs w:val="17"/>
                <w:color w:val="auto"/>
              </w:rPr>
              <w:t>32</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21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0598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7545" cy="6059805"/>
                    </a:xfrm>
                    <a:prstGeom prst="rect">
                      <a:avLst/>
                    </a:prstGeom>
                    <a:noFill/>
                  </pic:spPr>
                </pic:pic>
              </a:graphicData>
            </a:graphic>
          </wp:anchor>
        </w:drawing>
        <w:t>TABLE OF CONTENTS</w:t>
      </w:r>
    </w:p>
    <w:p>
      <w:pPr>
        <w:spacing w:after="0" w:line="184" w:lineRule="exact"/>
        <w:rPr>
          <w:sz w:val="20"/>
          <w:szCs w:val="20"/>
          <w:color w:val="auto"/>
        </w:rPr>
      </w:pPr>
    </w:p>
    <w:p>
      <w:pPr>
        <w:jc w:val="both"/>
        <w:ind w:left="260" w:right="1239" w:hanging="250"/>
        <w:spacing w:after="0" w:line="285" w:lineRule="auto"/>
        <w:tabs>
          <w:tab w:leader="none" w:pos="2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three month period ended March 31,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tbl>
      <w:tblPr>
        <w:tblLayout w:type="fixed"/>
        <w:tblInd w:w="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162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2"/>
              </w:rPr>
              <w:t>Three month period ended</w:t>
            </w:r>
          </w:p>
        </w:tc>
        <w:tc>
          <w:tcPr>
            <w:tcW w:w="0" w:type="dxa"/>
            <w:vAlign w:val="bottom"/>
          </w:tcPr>
          <w:p>
            <w:pPr>
              <w:spacing w:after="0"/>
              <w:rPr>
                <w:sz w:val="1"/>
                <w:szCs w:val="1"/>
                <w:color w:val="auto"/>
              </w:rPr>
            </w:pPr>
          </w:p>
        </w:tc>
      </w:tr>
      <w:tr>
        <w:trPr>
          <w:trHeight w:val="158"/>
        </w:trPr>
        <w:tc>
          <w:tcPr>
            <w:tcW w:w="6000" w:type="dxa"/>
            <w:vAlign w:val="bottom"/>
          </w:tcPr>
          <w:p>
            <w:pPr>
              <w:spacing w:after="0"/>
              <w:rPr>
                <w:sz w:val="13"/>
                <w:szCs w:val="13"/>
                <w:color w:val="auto"/>
              </w:rPr>
            </w:pPr>
          </w:p>
        </w:tc>
        <w:tc>
          <w:tcPr>
            <w:tcW w:w="1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5"/>
              </w:rPr>
              <w:t>March 31, 2012</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6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0"/>
              </w:rPr>
              <w:t>($ — in thousands, except</w:t>
            </w:r>
          </w:p>
        </w:tc>
        <w:tc>
          <w:tcPr>
            <w:tcW w:w="0" w:type="dxa"/>
            <w:vAlign w:val="bottom"/>
          </w:tcPr>
          <w:p>
            <w:pPr>
              <w:spacing w:after="0"/>
              <w:rPr>
                <w:sz w:val="1"/>
                <w:szCs w:val="1"/>
                <w:color w:val="auto"/>
              </w:rPr>
            </w:pPr>
          </w:p>
        </w:tc>
      </w:tr>
      <w:tr>
        <w:trPr>
          <w:trHeight w:val="173"/>
        </w:trPr>
        <w:tc>
          <w:tcPr>
            <w:tcW w:w="6000" w:type="dxa"/>
            <w:vAlign w:val="bottom"/>
            <w:vMerge w:val="restart"/>
          </w:tcPr>
          <w:p>
            <w:pPr>
              <w:spacing w:after="0"/>
              <w:rPr>
                <w:sz w:val="20"/>
                <w:szCs w:val="20"/>
                <w:color w:val="auto"/>
              </w:rPr>
            </w:pPr>
            <w:r>
              <w:rPr>
                <w:rFonts w:ascii="Arial" w:cs="Arial" w:eastAsia="Arial" w:hAnsi="Arial"/>
                <w:sz w:val="17"/>
                <w:szCs w:val="17"/>
                <w:b w:val="1"/>
                <w:bCs w:val="1"/>
                <w:color w:val="auto"/>
              </w:rPr>
              <w:t>Numerator:</w:t>
            </w: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share and per share data)</w:t>
            </w:r>
          </w:p>
        </w:tc>
        <w:tc>
          <w:tcPr>
            <w:tcW w:w="0" w:type="dxa"/>
            <w:vAlign w:val="bottom"/>
          </w:tcPr>
          <w:p>
            <w:pPr>
              <w:spacing w:after="0"/>
              <w:rPr>
                <w:sz w:val="1"/>
                <w:szCs w:val="1"/>
                <w:color w:val="auto"/>
              </w:rPr>
            </w:pPr>
          </w:p>
        </w:tc>
      </w:tr>
      <w:tr>
        <w:trPr>
          <w:trHeight w:val="185"/>
        </w:trPr>
        <w:tc>
          <w:tcPr>
            <w:tcW w:w="60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00" w:type="dxa"/>
            <w:vAlign w:val="bottom"/>
            <w:shd w:val="clear" w:color="auto" w:fill="CCFFCC"/>
          </w:tcPr>
          <w:p>
            <w:pPr>
              <w:spacing w:after="0"/>
              <w:rPr>
                <w:sz w:val="20"/>
                <w:szCs w:val="20"/>
                <w:color w:val="auto"/>
              </w:rPr>
            </w:pPr>
            <w:r>
              <w:rPr>
                <w:rFonts w:ascii="Arial" w:cs="Arial" w:eastAsia="Arial" w:hAnsi="Arial"/>
                <w:sz w:val="17"/>
                <w:szCs w:val="17"/>
                <w:color w:val="auto"/>
              </w:rPr>
              <w:t>Net loss attributable to common stock shares (basic and diluted):</w:t>
            </w: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(7,970)</w:t>
            </w:r>
          </w:p>
        </w:tc>
        <w:tc>
          <w:tcPr>
            <w:tcW w:w="0" w:type="dxa"/>
            <w:vAlign w:val="bottom"/>
          </w:tcPr>
          <w:p>
            <w:pPr>
              <w:spacing w:after="0"/>
              <w:rPr>
                <w:sz w:val="1"/>
                <w:szCs w:val="1"/>
                <w:color w:val="auto"/>
              </w:rPr>
            </w:pPr>
          </w:p>
        </w:tc>
      </w:tr>
      <w:tr>
        <w:trPr>
          <w:trHeight w:val="200"/>
        </w:trPr>
        <w:tc>
          <w:tcPr>
            <w:tcW w:w="6000" w:type="dxa"/>
            <w:vAlign w:val="bottom"/>
          </w:tcPr>
          <w:p>
            <w:pPr>
              <w:spacing w:after="0"/>
              <w:rPr>
                <w:sz w:val="20"/>
                <w:szCs w:val="20"/>
                <w:color w:val="auto"/>
              </w:rPr>
            </w:pPr>
            <w:r>
              <w:rPr>
                <w:rFonts w:ascii="Arial" w:cs="Arial" w:eastAsia="Arial" w:hAnsi="Arial"/>
                <w:sz w:val="17"/>
                <w:szCs w:val="17"/>
                <w:b w:val="1"/>
                <w:bCs w:val="1"/>
                <w:color w:val="auto"/>
              </w:rPr>
              <w:t>Denominator: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0" w:type="dxa"/>
            <w:vAlign w:val="bottom"/>
            <w:shd w:val="clear" w:color="auto" w:fill="CCFFCC"/>
          </w:tcPr>
          <w:p>
            <w:pPr>
              <w:spacing w:after="0"/>
              <w:rPr>
                <w:sz w:val="20"/>
                <w:szCs w:val="20"/>
                <w:color w:val="auto"/>
              </w:rPr>
            </w:pPr>
            <w:r>
              <w:rPr>
                <w:rFonts w:ascii="Arial" w:cs="Arial" w:eastAsia="Arial" w:hAnsi="Arial"/>
                <w:sz w:val="17"/>
                <w:szCs w:val="17"/>
                <w:color w:val="auto"/>
              </w:rPr>
              <w:t>Weighted average of Vringo common stock shares, outstanding for the period:</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12,371,472</w:t>
            </w:r>
          </w:p>
        </w:tc>
        <w:tc>
          <w:tcPr>
            <w:tcW w:w="0" w:type="dxa"/>
            <w:vAlign w:val="bottom"/>
          </w:tcPr>
          <w:p>
            <w:pPr>
              <w:spacing w:after="0"/>
              <w:rPr>
                <w:sz w:val="1"/>
                <w:szCs w:val="1"/>
                <w:color w:val="auto"/>
              </w:rPr>
            </w:pPr>
          </w:p>
        </w:tc>
      </w:tr>
      <w:tr>
        <w:trPr>
          <w:trHeight w:val="188"/>
        </w:trPr>
        <w:tc>
          <w:tcPr>
            <w:tcW w:w="6000" w:type="dxa"/>
            <w:vAlign w:val="bottom"/>
          </w:tcPr>
          <w:p>
            <w:pPr>
              <w:spacing w:after="0" w:line="188" w:lineRule="exact"/>
              <w:rPr>
                <w:sz w:val="20"/>
                <w:szCs w:val="20"/>
                <w:color w:val="auto"/>
              </w:rPr>
            </w:pPr>
            <w:r>
              <w:rPr>
                <w:rFonts w:ascii="Arial" w:cs="Arial" w:eastAsia="Arial" w:hAnsi="Arial"/>
                <w:sz w:val="17"/>
                <w:szCs w:val="17"/>
                <w:color w:val="auto"/>
                <w:w w:val="94"/>
              </w:rPr>
              <w:t>Weighted average of Vringo common stock shares issued to former Innovate/Protect</w:t>
            </w:r>
          </w:p>
        </w:tc>
        <w:tc>
          <w:tcPr>
            <w:tcW w:w="1620" w:type="dxa"/>
            <w:vAlign w:val="bottom"/>
            <w:gridSpan w:val="2"/>
          </w:tcPr>
          <w:p>
            <w:pPr>
              <w:jc w:val="right"/>
              <w:ind w:right="200"/>
              <w:spacing w:after="0" w:line="188" w:lineRule="exact"/>
              <w:rPr>
                <w:sz w:val="20"/>
                <w:szCs w:val="20"/>
                <w:color w:val="auto"/>
              </w:rPr>
            </w:pPr>
            <w:r>
              <w:rPr>
                <w:rFonts w:ascii="Arial" w:cs="Arial" w:eastAsia="Arial" w:hAnsi="Arial"/>
                <w:sz w:val="17"/>
                <w:szCs w:val="17"/>
                <w:color w:val="auto"/>
              </w:rPr>
              <w:t>18,113,169</w:t>
            </w:r>
          </w:p>
        </w:tc>
        <w:tc>
          <w:tcPr>
            <w:tcW w:w="0" w:type="dxa"/>
            <w:vAlign w:val="bottom"/>
          </w:tcPr>
          <w:p>
            <w:pPr>
              <w:spacing w:after="0"/>
              <w:rPr>
                <w:sz w:val="1"/>
                <w:szCs w:val="1"/>
                <w:color w:val="auto"/>
              </w:rPr>
            </w:pPr>
          </w:p>
        </w:tc>
      </w:tr>
      <w:tr>
        <w:trPr>
          <w:trHeight w:val="213"/>
        </w:trPr>
        <w:tc>
          <w:tcPr>
            <w:tcW w:w="6000" w:type="dxa"/>
            <w:vAlign w:val="bottom"/>
          </w:tcPr>
          <w:p>
            <w:pPr>
              <w:ind w:left="160"/>
              <w:spacing w:after="0"/>
              <w:rPr>
                <w:sz w:val="20"/>
                <w:szCs w:val="20"/>
                <w:color w:val="auto"/>
              </w:rPr>
            </w:pPr>
            <w:r>
              <w:rPr>
                <w:rFonts w:ascii="Arial" w:cs="Arial" w:eastAsia="Arial" w:hAnsi="Arial"/>
                <w:sz w:val="17"/>
                <w:szCs w:val="17"/>
                <w:color w:val="auto"/>
              </w:rPr>
              <w:t>stockholders, outstanding for the period:</w:t>
            </w:r>
          </w:p>
        </w:tc>
        <w:tc>
          <w:tcPr>
            <w:tcW w:w="1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00" w:type="dxa"/>
            <w:vAlign w:val="bottom"/>
            <w:shd w:val="clear" w:color="auto" w:fill="CCFFCC"/>
          </w:tcPr>
          <w:p>
            <w:pPr>
              <w:spacing w:after="0" w:line="194" w:lineRule="exact"/>
              <w:rPr>
                <w:sz w:val="20"/>
                <w:szCs w:val="20"/>
                <w:color w:val="auto"/>
              </w:rPr>
            </w:pPr>
            <w:r>
              <w:rPr>
                <w:rFonts w:ascii="Arial" w:cs="Arial" w:eastAsia="Arial" w:hAnsi="Arial"/>
                <w:sz w:val="17"/>
                <w:szCs w:val="17"/>
                <w:color w:val="auto"/>
              </w:rPr>
              <w:t>Total common stock shares outstanding, after the Merger:</w:t>
            </w:r>
          </w:p>
        </w:tc>
        <w:tc>
          <w:tcPr>
            <w:tcW w:w="1620" w:type="dxa"/>
            <w:vAlign w:val="bottom"/>
            <w:gridSpan w:val="2"/>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30,484,641</w:t>
            </w:r>
          </w:p>
        </w:tc>
        <w:tc>
          <w:tcPr>
            <w:tcW w:w="0" w:type="dxa"/>
            <w:vAlign w:val="bottom"/>
          </w:tcPr>
          <w:p>
            <w:pPr>
              <w:spacing w:after="0"/>
              <w:rPr>
                <w:sz w:val="1"/>
                <w:szCs w:val="1"/>
                <w:color w:val="auto"/>
              </w:rPr>
            </w:pPr>
          </w:p>
        </w:tc>
      </w:tr>
      <w:tr>
        <w:trPr>
          <w:trHeight w:val="20"/>
        </w:trPr>
        <w:tc>
          <w:tcPr>
            <w:tcW w:w="600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00" w:type="dxa"/>
            <w:vAlign w:val="bottom"/>
          </w:tcPr>
          <w:p>
            <w:pPr>
              <w:spacing w:after="0" w:line="193" w:lineRule="exact"/>
              <w:rPr>
                <w:sz w:val="20"/>
                <w:szCs w:val="20"/>
                <w:color w:val="auto"/>
              </w:rPr>
            </w:pPr>
            <w:r>
              <w:rPr>
                <w:rFonts w:ascii="Arial" w:cs="Arial" w:eastAsia="Arial" w:hAnsi="Arial"/>
                <w:sz w:val="17"/>
                <w:szCs w:val="17"/>
                <w:color w:val="auto"/>
              </w:rPr>
              <w:t>Basic and diluted net losses per share of common stock:</w:t>
            </w:r>
          </w:p>
        </w:tc>
        <w:tc>
          <w:tcPr>
            <w:tcW w:w="16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260" w:right="1239" w:hanging="250"/>
        <w:spacing w:after="0" w:line="267" w:lineRule="auto"/>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This adjustment represents direct, incremental costs of this Merger, which were not yet reflected in the historical financial statements of either company. These costs include mainly legal, accounting and filing fees.</w:t>
      </w:r>
    </w:p>
    <w:p>
      <w:pPr>
        <w:spacing w:after="0" w:line="66" w:lineRule="exact"/>
        <w:rPr>
          <w:rFonts w:ascii="Arial" w:cs="Arial" w:eastAsia="Arial" w:hAnsi="Arial"/>
          <w:sz w:val="17"/>
          <w:szCs w:val="17"/>
          <w:color w:val="auto"/>
        </w:rPr>
      </w:pPr>
    </w:p>
    <w:p>
      <w:pPr>
        <w:jc w:val="both"/>
        <w:ind w:left="260" w:right="1239" w:hanging="250"/>
        <w:spacing w:after="0" w:line="285" w:lineRule="auto"/>
        <w:tabs>
          <w:tab w:leader="none" w:pos="2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According to the Merger Agreement, Vringo will grant former Innovate/Protect stockholders 16,809,838 warrants, at an exercise price of $1.76. 8,741,116 of these warrants bear down-round protection clauses; as a result, they will be classified as a long term derivative liability and recorded at fair value. Fair value, in the total amount of $21.7 million, was calculated using the Black-Scholes-Merton and the Monte-Carlo models, using the following assumptions: 77.96% expected volatility, a risk-free interest rate of 0.77%, estimated life of 5 years and no dividend yield. The fair value of our common stock, used for this valuation, was $3.39.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61" w:lineRule="exact"/>
        <w:rPr>
          <w:rFonts w:ascii="Arial" w:cs="Arial" w:eastAsia="Arial" w:hAnsi="Arial"/>
          <w:sz w:val="15"/>
          <w:szCs w:val="15"/>
          <w:color w:val="auto"/>
        </w:rPr>
      </w:pPr>
    </w:p>
    <w:p>
      <w:pPr>
        <w:jc w:val="both"/>
        <w:ind w:left="260" w:right="1239" w:hanging="250"/>
        <w:spacing w:after="0" w:line="251" w:lineRule="auto"/>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0" w:lineRule="exact"/>
        <w:rPr>
          <w:sz w:val="20"/>
          <w:szCs w:val="20"/>
          <w:color w:val="auto"/>
        </w:rPr>
      </w:pPr>
    </w:p>
    <w:p>
      <w:pPr>
        <w:jc w:val="both"/>
        <w:ind w:left="300" w:right="1239"/>
        <w:spacing w:after="0" w:line="266" w:lineRule="auto"/>
        <w:rPr>
          <w:sz w:val="20"/>
          <w:szCs w:val="20"/>
          <w:color w:val="auto"/>
        </w:rPr>
      </w:pPr>
      <w:r>
        <w:rPr>
          <w:rFonts w:ascii="Arial" w:cs="Arial" w:eastAsia="Arial" w:hAnsi="Arial"/>
          <w:sz w:val="16"/>
          <w:szCs w:val="16"/>
          <w:color w:val="auto"/>
        </w:rPr>
        <w:t>The 6,818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$1,761 thousand, was cancelled, as, according to GAAP, these pro forma consolidated financial statements will only include the 6,818 Series A Convertible Preferred stock, presented at par value.</w:t>
      </w:r>
    </w:p>
    <w:p>
      <w:pPr>
        <w:spacing w:after="0" w:line="200" w:lineRule="exact"/>
        <w:rPr>
          <w:sz w:val="20"/>
          <w:szCs w:val="20"/>
          <w:color w:val="auto"/>
        </w:rPr>
      </w:pPr>
    </w:p>
    <w:p>
      <w:pPr>
        <w:spacing w:after="0" w:line="28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24790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7545" cy="2479040"/>
                    </a:xfrm>
                    <a:prstGeom prst="rect">
                      <a:avLst/>
                    </a:prstGeom>
                    <a:noFill/>
                  </pic:spPr>
                </pic:pic>
              </a:graphicData>
            </a:graphic>
          </wp:anchor>
        </w:drawing>
        <w:t>TABLE OF CONTENTS</w:t>
      </w:r>
    </w:p>
    <w:p>
      <w:pPr>
        <w:spacing w:after="0" w:line="184" w:lineRule="exact"/>
        <w:rPr>
          <w:sz w:val="20"/>
          <w:szCs w:val="20"/>
          <w:color w:val="auto"/>
        </w:rPr>
      </w:pPr>
    </w:p>
    <w:p>
      <w:pPr>
        <w:jc w:val="both"/>
        <w:ind w:left="260" w:right="1239" w:hanging="250"/>
        <w:spacing w:after="0" w:line="256" w:lineRule="auto"/>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tbl>
      <w:tblPr>
        <w:tblLayout w:type="fixed"/>
        <w:tblInd w:w="0" w:type="dxa"/>
        <w:tblCellMar>
          <w:top w:w="0" w:type="dxa"/>
          <w:left w:w="0" w:type="dxa"/>
          <w:bottom w:w="0" w:type="dxa"/>
          <w:right w:w="0" w:type="dxa"/>
        </w:tblCellMar>
      </w:tblPr>
      <w:tr>
        <w:trPr>
          <w:trHeight w:val="144"/>
        </w:trPr>
        <w:tc>
          <w:tcPr>
            <w:tcW w:w="5320" w:type="dxa"/>
            <w:vAlign w:val="bottom"/>
          </w:tcPr>
          <w:p>
            <w:pPr>
              <w:spacing w:after="0"/>
              <w:rPr>
                <w:sz w:val="12"/>
                <w:szCs w:val="12"/>
                <w:color w:val="auto"/>
              </w:rPr>
            </w:pPr>
          </w:p>
        </w:tc>
        <w:tc>
          <w:tcPr>
            <w:tcW w:w="1620" w:type="dxa"/>
            <w:vAlign w:val="bottom"/>
            <w:gridSpan w:val="2"/>
          </w:tcPr>
          <w:p>
            <w:pPr>
              <w:jc w:val="right"/>
              <w:ind w:right="660"/>
              <w:spacing w:after="0" w:line="144" w:lineRule="exact"/>
              <w:rPr>
                <w:sz w:val="20"/>
                <w:szCs w:val="20"/>
                <w:color w:val="auto"/>
              </w:rPr>
            </w:pPr>
            <w:r>
              <w:rPr>
                <w:rFonts w:ascii="Arial" w:cs="Arial" w:eastAsia="Arial" w:hAnsi="Arial"/>
                <w:sz w:val="13"/>
                <w:szCs w:val="13"/>
                <w:b w:val="1"/>
                <w:bCs w:val="1"/>
                <w:color w:val="auto"/>
              </w:rPr>
              <w:t>As of</w:t>
            </w:r>
          </w:p>
        </w:tc>
      </w:tr>
      <w:tr>
        <w:trPr>
          <w:trHeight w:val="158"/>
        </w:trPr>
        <w:tc>
          <w:tcPr>
            <w:tcW w:w="5320" w:type="dxa"/>
            <w:vAlign w:val="bottom"/>
          </w:tcPr>
          <w:p>
            <w:pPr>
              <w:spacing w:after="0"/>
              <w:rPr>
                <w:sz w:val="13"/>
                <w:szCs w:val="13"/>
                <w:color w:val="auto"/>
              </w:rPr>
            </w:pPr>
          </w:p>
        </w:tc>
        <w:tc>
          <w:tcPr>
            <w:tcW w:w="16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March 31, 2012</w:t>
            </w:r>
          </w:p>
        </w:tc>
      </w:tr>
      <w:tr>
        <w:trPr>
          <w:trHeight w:val="193"/>
        </w:trPr>
        <w:tc>
          <w:tcPr>
            <w:tcW w:w="53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Vringo common stock outstanding as of March 31, 2012</w:t>
            </w:r>
          </w:p>
        </w:tc>
        <w:tc>
          <w:tcPr>
            <w:tcW w:w="16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13,866,423</w:t>
            </w:r>
          </w:p>
        </w:tc>
      </w:tr>
      <w:tr>
        <w:trPr>
          <w:trHeight w:val="200"/>
        </w:trPr>
        <w:tc>
          <w:tcPr>
            <w:tcW w:w="5320" w:type="dxa"/>
            <w:vAlign w:val="bottom"/>
          </w:tcPr>
          <w:p>
            <w:pPr>
              <w:spacing w:after="0"/>
              <w:rPr>
                <w:sz w:val="20"/>
                <w:szCs w:val="20"/>
                <w:color w:val="auto"/>
              </w:rPr>
            </w:pPr>
            <w:r>
              <w:rPr>
                <w:rFonts w:ascii="Arial" w:cs="Arial" w:eastAsia="Arial" w:hAnsi="Arial"/>
                <w:sz w:val="17"/>
                <w:szCs w:val="17"/>
                <w:color w:val="auto"/>
              </w:rPr>
              <w:t>Vringo common stock issued to former Innovate/Protect stockholders</w:t>
            </w: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18,113,169</w:t>
            </w:r>
          </w:p>
        </w:tc>
      </w:tr>
      <w:tr>
        <w:trPr>
          <w:trHeight w:val="20"/>
        </w:trPr>
        <w:tc>
          <w:tcPr>
            <w:tcW w:w="5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53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Total common stock outstanding, pursuant to the Merger</w:t>
            </w:r>
          </w:p>
        </w:tc>
        <w:tc>
          <w:tcPr>
            <w:tcW w:w="16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31,979,592</w:t>
            </w:r>
          </w:p>
        </w:tc>
      </w:tr>
      <w:tr>
        <w:trPr>
          <w:trHeight w:val="20"/>
        </w:trPr>
        <w:tc>
          <w:tcPr>
            <w:tcW w:w="532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88" w:lineRule="exact"/>
        <w:rPr>
          <w:sz w:val="20"/>
          <w:szCs w:val="20"/>
          <w:color w:val="auto"/>
        </w:rPr>
      </w:pPr>
    </w:p>
    <w:p>
      <w:pPr>
        <w:jc w:val="both"/>
        <w:ind w:left="260" w:right="1239" w:hanging="250"/>
        <w:spacing w:after="0" w:line="267" w:lineRule="auto"/>
        <w:tabs>
          <w:tab w:leader="none" w:pos="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$4,626 thousand, plus adjustments reflected in Note 4. Vringo’s historical deficit, in the total amount of $43,190 thousand, will be cancelled upon consolidation. Finally, an adjustment to additional paid-in capital, in the total amount of $15,237 thousand was recorded, in order to adjust the total consolidated equity, as per the abovementioned GAAP requirements.</w:t>
      </w: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MARKET PRICE DATA AND DIVIDEND INFORMATION</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Market Price</w:t>
      </w:r>
    </w:p>
    <w:p>
      <w:pPr>
        <w:spacing w:after="0" w:line="105" w:lineRule="exact"/>
        <w:rPr>
          <w:sz w:val="20"/>
          <w:szCs w:val="20"/>
          <w:color w:val="auto"/>
        </w:rPr>
      </w:pPr>
    </w:p>
    <w:p>
      <w:pPr>
        <w:ind w:left="40" w:right="1239" w:firstLine="251"/>
        <w:spacing w:after="0" w:line="252" w:lineRule="auto"/>
        <w:rPr>
          <w:sz w:val="20"/>
          <w:szCs w:val="20"/>
          <w:color w:val="auto"/>
        </w:rPr>
      </w:pPr>
      <w:r>
        <w:rPr>
          <w:rFonts w:ascii="Arial" w:cs="Arial" w:eastAsia="Arial" w:hAnsi="Arial"/>
          <w:sz w:val="16"/>
          <w:szCs w:val="16"/>
          <w:color w:val="auto"/>
        </w:rPr>
        <w:t>The table below sets forth, for the calendar quarters indicated, the high and low sales prices per share of Vringo common stock, which trades on the NYSE Amex under the symbol “VRNG.” Vringo’s fiscal year ends on December 31</w:t>
      </w:r>
      <w:r>
        <w:rPr>
          <w:rFonts w:ascii="Arial" w:cs="Arial" w:eastAsia="Arial" w:hAnsi="Arial"/>
          <w:sz w:val="26"/>
          <w:szCs w:val="26"/>
          <w:color w:val="auto"/>
          <w:vertAlign w:val="superscript"/>
        </w:rPr>
        <w:t>st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48374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7"/>
        </w:trPr>
        <w:tc>
          <w:tcPr>
            <w:tcW w:w="5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3"/>
                <w:szCs w:val="13"/>
                <w:b w:val="1"/>
                <w:bCs w:val="1"/>
                <w:color w:val="auto"/>
                <w:w w:val="98"/>
              </w:rPr>
              <w:t>Vringo Common Stock</w:t>
            </w:r>
          </w:p>
        </w:tc>
        <w:tc>
          <w:tcPr>
            <w:tcW w:w="0" w:type="dxa"/>
            <w:vAlign w:val="bottom"/>
          </w:tcPr>
          <w:p>
            <w:pPr>
              <w:spacing w:after="0"/>
              <w:rPr>
                <w:sz w:val="1"/>
                <w:szCs w:val="1"/>
                <w:color w:val="auto"/>
              </w:rPr>
            </w:pPr>
          </w:p>
        </w:tc>
      </w:tr>
      <w:tr>
        <w:trPr>
          <w:trHeight w:val="180"/>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Fiscal Year 2010</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High</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Low</w:t>
            </w:r>
          </w:p>
        </w:tc>
        <w:tc>
          <w:tcPr>
            <w:tcW w:w="0" w:type="dxa"/>
            <w:vAlign w:val="bottom"/>
          </w:tcPr>
          <w:p>
            <w:pPr>
              <w:spacing w:after="0"/>
              <w:rPr>
                <w:sz w:val="1"/>
                <w:szCs w:val="1"/>
                <w:color w:val="auto"/>
              </w:rPr>
            </w:pPr>
          </w:p>
        </w:tc>
      </w:tr>
      <w:tr>
        <w:trPr>
          <w:trHeight w:val="193"/>
        </w:trPr>
        <w:tc>
          <w:tcPr>
            <w:tcW w:w="5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60" w:type="dxa"/>
            <w:vAlign w:val="bottom"/>
            <w:shd w:val="clear" w:color="auto" w:fill="CCFFCC"/>
          </w:tcPr>
          <w:p>
            <w:pPr>
              <w:spacing w:after="0" w:line="239" w:lineRule="exact"/>
              <w:rPr>
                <w:sz w:val="20"/>
                <w:szCs w:val="20"/>
                <w:color w:val="auto"/>
              </w:rPr>
            </w:pPr>
            <w:r>
              <w:rPr>
                <w:rFonts w:ascii="Arial" w:cs="Arial" w:eastAsia="Arial" w:hAnsi="Arial"/>
                <w:sz w:val="17"/>
                <w:szCs w:val="17"/>
                <w:color w:val="auto"/>
              </w:rPr>
              <w:t>Third Quarter</w:t>
            </w:r>
            <w:r>
              <w:rPr>
                <w:rFonts w:ascii="Arial" w:cs="Arial" w:eastAsia="Arial" w:hAnsi="Arial"/>
                <w:sz w:val="27"/>
                <w:szCs w:val="27"/>
                <w:color w:val="auto"/>
                <w:vertAlign w:val="superscript"/>
              </w:rPr>
              <w:t>(1)</w:t>
            </w:r>
          </w:p>
        </w:tc>
        <w:tc>
          <w:tcPr>
            <w:tcW w:w="180" w:type="dxa"/>
            <w:vAlign w:val="bottom"/>
            <w:shd w:val="clear" w:color="auto" w:fill="CCFFC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FFCC"/>
          </w:tcPr>
          <w:p>
            <w:pPr>
              <w:jc w:val="right"/>
              <w:ind w:right="20"/>
              <w:spacing w:after="0"/>
              <w:rPr>
                <w:sz w:val="20"/>
                <w:szCs w:val="20"/>
                <w:color w:val="auto"/>
              </w:rPr>
            </w:pPr>
            <w:r>
              <w:rPr>
                <w:rFonts w:ascii="Arial" w:cs="Arial" w:eastAsia="Arial" w:hAnsi="Arial"/>
                <w:sz w:val="17"/>
                <w:szCs w:val="17"/>
                <w:color w:val="auto"/>
              </w:rPr>
              <w:t>3.60</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FFCC"/>
          </w:tcPr>
          <w:p>
            <w:pPr>
              <w:jc w:val="right"/>
              <w:ind w:right="38"/>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color w:val="auto"/>
              </w:rPr>
              <w:t>Fourth Quarter</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3.30</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0"/>
        </w:trPr>
        <w:tc>
          <w:tcPr>
            <w:tcW w:w="57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Fiscal Year 2011</w:t>
            </w:r>
          </w:p>
        </w:tc>
        <w:tc>
          <w:tcPr>
            <w:tcW w:w="18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color w:val="auto"/>
              </w:rPr>
              <w:t>First Quarter</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3.30</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0"/>
        </w:trPr>
        <w:tc>
          <w:tcPr>
            <w:tcW w:w="5760" w:type="dxa"/>
            <w:vAlign w:val="bottom"/>
            <w:shd w:val="clear" w:color="auto" w:fill="CCFFCC"/>
          </w:tcPr>
          <w:p>
            <w:pPr>
              <w:spacing w:after="0"/>
              <w:rPr>
                <w:sz w:val="20"/>
                <w:szCs w:val="20"/>
                <w:color w:val="auto"/>
              </w:rPr>
            </w:pPr>
            <w:r>
              <w:rPr>
                <w:rFonts w:ascii="Arial" w:cs="Arial" w:eastAsia="Arial" w:hAnsi="Arial"/>
                <w:sz w:val="17"/>
                <w:szCs w:val="17"/>
                <w:color w:val="auto"/>
              </w:rPr>
              <w:t>Second Quarter</w:t>
            </w:r>
          </w:p>
        </w:tc>
        <w:tc>
          <w:tcPr>
            <w:tcW w:w="180" w:type="dxa"/>
            <w:vAlign w:val="bottom"/>
            <w:shd w:val="clear" w:color="auto" w:fill="CCFFC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FFCC"/>
          </w:tcPr>
          <w:p>
            <w:pPr>
              <w:jc w:val="right"/>
              <w:ind w:right="20"/>
              <w:spacing w:after="0"/>
              <w:rPr>
                <w:sz w:val="20"/>
                <w:szCs w:val="20"/>
                <w:color w:val="auto"/>
              </w:rPr>
            </w:pPr>
            <w:r>
              <w:rPr>
                <w:rFonts w:ascii="Arial" w:cs="Arial" w:eastAsia="Arial" w:hAnsi="Arial"/>
                <w:sz w:val="17"/>
                <w:szCs w:val="17"/>
                <w:color w:val="auto"/>
              </w:rPr>
              <w:t>2.65</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FFCC"/>
          </w:tcPr>
          <w:p>
            <w:pPr>
              <w:jc w:val="right"/>
              <w:ind w:right="38"/>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color w:val="auto"/>
              </w:rPr>
              <w:t>Third Quarter</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2.63</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0"/>
        </w:trPr>
        <w:tc>
          <w:tcPr>
            <w:tcW w:w="5760" w:type="dxa"/>
            <w:vAlign w:val="bottom"/>
            <w:shd w:val="clear" w:color="auto" w:fill="CCFFCC"/>
          </w:tcPr>
          <w:p>
            <w:pPr>
              <w:spacing w:after="0"/>
              <w:rPr>
                <w:sz w:val="20"/>
                <w:szCs w:val="20"/>
                <w:color w:val="auto"/>
              </w:rPr>
            </w:pPr>
            <w:r>
              <w:rPr>
                <w:rFonts w:ascii="Arial" w:cs="Arial" w:eastAsia="Arial" w:hAnsi="Arial"/>
                <w:sz w:val="17"/>
                <w:szCs w:val="17"/>
                <w:color w:val="auto"/>
              </w:rPr>
              <w:t>Fourth Quarter</w:t>
            </w:r>
          </w:p>
        </w:tc>
        <w:tc>
          <w:tcPr>
            <w:tcW w:w="180" w:type="dxa"/>
            <w:vAlign w:val="bottom"/>
            <w:shd w:val="clear" w:color="auto" w:fill="CCFFC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FFCC"/>
          </w:tcPr>
          <w:p>
            <w:pPr>
              <w:jc w:val="right"/>
              <w:ind w:right="20"/>
              <w:spacing w:after="0"/>
              <w:rPr>
                <w:sz w:val="20"/>
                <w:szCs w:val="20"/>
                <w:color w:val="auto"/>
              </w:rPr>
            </w:pPr>
            <w:r>
              <w:rPr>
                <w:rFonts w:ascii="Arial" w:cs="Arial" w:eastAsia="Arial" w:hAnsi="Arial"/>
                <w:sz w:val="17"/>
                <w:szCs w:val="17"/>
                <w:color w:val="auto"/>
              </w:rPr>
              <w:t>1.89</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FFCC"/>
          </w:tcPr>
          <w:p>
            <w:pPr>
              <w:jc w:val="right"/>
              <w:ind w:right="38"/>
              <w:spacing w:after="0"/>
              <w:rPr>
                <w:sz w:val="20"/>
                <w:szCs w:val="20"/>
                <w:color w:val="auto"/>
              </w:rPr>
            </w:pPr>
            <w:r>
              <w:rPr>
                <w:rFonts w:ascii="Arial" w:cs="Arial" w:eastAsia="Arial" w:hAnsi="Arial"/>
                <w:sz w:val="17"/>
                <w:szCs w:val="17"/>
                <w:color w:val="auto"/>
              </w:rPr>
              <w:t>0.98</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b w:val="1"/>
                <w:bCs w:val="1"/>
                <w:color w:val="auto"/>
              </w:rPr>
              <w:t>Fiscal Year 2012</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60" w:type="dxa"/>
            <w:vAlign w:val="bottom"/>
            <w:shd w:val="clear" w:color="auto" w:fill="CCFFCC"/>
          </w:tcPr>
          <w:p>
            <w:pPr>
              <w:spacing w:after="0"/>
              <w:rPr>
                <w:sz w:val="20"/>
                <w:szCs w:val="20"/>
                <w:color w:val="auto"/>
              </w:rPr>
            </w:pPr>
            <w:r>
              <w:rPr>
                <w:rFonts w:ascii="Arial" w:cs="Arial" w:eastAsia="Arial" w:hAnsi="Arial"/>
                <w:sz w:val="17"/>
                <w:szCs w:val="17"/>
                <w:color w:val="auto"/>
              </w:rPr>
              <w:t>First Quarter</w:t>
            </w:r>
          </w:p>
        </w:tc>
        <w:tc>
          <w:tcPr>
            <w:tcW w:w="180" w:type="dxa"/>
            <w:vAlign w:val="bottom"/>
            <w:shd w:val="clear" w:color="auto" w:fill="CCFFC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FFCC"/>
          </w:tcPr>
          <w:p>
            <w:pPr>
              <w:jc w:val="right"/>
              <w:ind w:right="20"/>
              <w:spacing w:after="0"/>
              <w:rPr>
                <w:sz w:val="20"/>
                <w:szCs w:val="20"/>
                <w:color w:val="auto"/>
              </w:rPr>
            </w:pPr>
            <w:r>
              <w:rPr>
                <w:rFonts w:ascii="Arial" w:cs="Arial" w:eastAsia="Arial" w:hAnsi="Arial"/>
                <w:sz w:val="17"/>
                <w:szCs w:val="17"/>
                <w:color w:val="auto"/>
              </w:rPr>
              <w:t>1.84</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FFCC"/>
          </w:tcPr>
          <w:p>
            <w:pPr>
              <w:jc w:val="right"/>
              <w:ind w:right="38"/>
              <w:spacing w:after="0"/>
              <w:rPr>
                <w:sz w:val="20"/>
                <w:szCs w:val="20"/>
                <w:color w:val="auto"/>
              </w:rPr>
            </w:pPr>
            <w:r>
              <w:rPr>
                <w:rFonts w:ascii="Arial" w:cs="Arial" w:eastAsia="Arial" w:hAnsi="Arial"/>
                <w:sz w:val="17"/>
                <w:szCs w:val="17"/>
                <w:color w:val="auto"/>
              </w:rPr>
              <w:t>0.84</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7"/>
                <w:szCs w:val="17"/>
                <w:color w:val="auto"/>
              </w:rPr>
              <w:t>Second Quarter (through May 25, 2012)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4.51</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57277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00" w:right="3999" w:hanging="290"/>
        <w:spacing w:after="0" w:line="369" w:lineRule="auto"/>
        <w:tabs>
          <w:tab w:leader="none" w:pos="262" w:val="left"/>
        </w:tabs>
        <w:numPr>
          <w:ilvl w:val="0"/>
          <w:numId w:val="63"/>
        </w:numPr>
        <w:rPr>
          <w:rFonts w:ascii="Arial" w:cs="Arial" w:eastAsia="Arial" w:hAnsi="Arial"/>
          <w:sz w:val="17"/>
          <w:szCs w:val="17"/>
          <w:color w:val="auto"/>
        </w:rPr>
      </w:pPr>
      <w:r>
        <w:rPr>
          <w:rFonts w:ascii="Arial" w:cs="Arial" w:eastAsia="Arial" w:hAnsi="Arial"/>
          <w:sz w:val="17"/>
          <w:szCs w:val="17"/>
          <w:color w:val="auto"/>
        </w:rPr>
        <w:t>Vringo shares of common stock initiated trading on the NYSE Amex on June 22, 2010. The closing price as of May 25, 2012 was $3.39.</w:t>
      </w:r>
    </w:p>
    <w:p>
      <w:pPr>
        <w:ind w:left="300"/>
        <w:spacing w:after="0"/>
        <w:rPr>
          <w:rFonts w:ascii="Arial" w:cs="Arial" w:eastAsia="Arial" w:hAnsi="Arial"/>
          <w:sz w:val="17"/>
          <w:szCs w:val="17"/>
          <w:color w:val="auto"/>
        </w:rPr>
      </w:pPr>
      <w:r>
        <w:rPr>
          <w:rFonts w:ascii="Arial" w:cs="Arial" w:eastAsia="Arial" w:hAnsi="Arial"/>
          <w:sz w:val="17"/>
          <w:szCs w:val="17"/>
          <w:color w:val="auto"/>
        </w:rPr>
        <w:t>Innovate/Protect is a private company and shares of its capital stock are not publicly traded.</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Record Holders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May 25, 2012, Vringo had 21 stockholders of record.</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Dividends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has not declared or paid any cash dividend on its capital stock during the two most recent fiscal years. Any determination to pay dividends to holders of Vringo common stock in the future will be at the discretion of the Vringo board of directors and will depend upon many factors, including Vringo’s financial condition, results of operations, capital requirements and any other factors that the Vringo board of directors considers appropriate.</w:t>
      </w:r>
    </w:p>
    <w:p>
      <w:pPr>
        <w:spacing w:after="0" w:line="78"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On March 14, 2012, the trading day of the announcement of the Merger, the last reported sale price of Vringo’s common stock was $1.84, for an aggregate market value of Vringo of $25.5 million, or $48.7 million on a fully diluted basis. 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______________, 2012, the latest practicable date before the printing of this proxy statement/prospectus, the last reported sale price</w:t>
      </w:r>
    </w:p>
    <w:p>
      <w:pPr>
        <w:spacing w:after="0" w:line="28" w:lineRule="exact"/>
        <w:rPr>
          <w:sz w:val="20"/>
          <w:szCs w:val="20"/>
          <w:color w:val="auto"/>
        </w:rPr>
      </w:pPr>
    </w:p>
    <w:p>
      <w:pPr>
        <w:jc w:val="both"/>
        <w:ind w:left="40" w:right="1239"/>
        <w:spacing w:after="0" w:line="286" w:lineRule="auto"/>
        <w:rPr>
          <w:sz w:val="20"/>
          <w:szCs w:val="20"/>
          <w:color w:val="auto"/>
        </w:rPr>
      </w:pPr>
      <w:r>
        <w:rPr>
          <w:rFonts w:ascii="Arial" w:cs="Arial" w:eastAsia="Arial" w:hAnsi="Arial"/>
          <w:sz w:val="15"/>
          <w:szCs w:val="15"/>
          <w:color w:val="auto"/>
        </w:rPr>
        <w:t>of Vringo’s common stock was $___, for an aggregate market value of Vringo of $___, or $___ on a fully diluted basis. Assuming the issuance on such date of an aggregate of 18,113,169 shares of Vringo common stock based on a common stock Exchange Ratio of 3.0176, an aggregate of 6,673 shares of Vringo preferred stock, an aggregate of 16,809,838 of Vringo warrants and options to purchase an aggregate of 41,178 shares of Vringo common stock if the Merger was completed on such date, the market value attributable to the shares of Vringo common stock to be issued to Innovate/Protect’s stockholders in the aggregate, or approximately ___% of the outstanding shares of the combined company calculated on a fully diluted basis, would equal $___.</w:t>
      </w:r>
    </w:p>
    <w:p>
      <w:pPr>
        <w:spacing w:after="0" w:line="58"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following table sets forth information as of May 25, 2012, regarding the beneficial ownership of the combined company upon completion of the Merger by (i) each person known by the management of Vringo and Innovate/Protect that is expected to become the beneficial owner of 5% of the common stock of the combined company upon completion of the Merger, (ii) each director and named executive officer of the combined company, and (iii) all directors and named executive officers of the combined company as a group. Information with respect to beneficial ownership is based solely on a review of Vringo capital stock transfer</w:t>
      </w:r>
    </w:p>
    <w:p>
      <w:pPr>
        <w:spacing w:after="0" w:line="200" w:lineRule="exact"/>
        <w:rPr>
          <w:sz w:val="20"/>
          <w:szCs w:val="20"/>
          <w:color w:val="auto"/>
        </w:rPr>
      </w:pPr>
    </w:p>
    <w:p>
      <w:pPr>
        <w:spacing w:after="0" w:line="26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records and on publicly available filings made with the SEC by or on behalf of the stockholders listed below and on Innovate/Protect’s stock ledger. Unless otherwise indicated in the footnotes, the address for each listed stockholder is: c/o Innovate/Protect, Inc., 380 Madison Avenue, 22nd Floor, New York, New York 10017.</w:t>
      </w:r>
    </w:p>
    <w:p>
      <w:pPr>
        <w:spacing w:after="0" w:line="7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Percentage of beneficial ownership is calculated based on 14,060,424 shares of Vringo common stock outstanding as of May 25, 2012 and 12,592,661 shares of Innovate/Protect capital stock outstanding as of May 25, 2012 (which includes 6,673 shares of preferred stock and 5,919,661 shares of common stock). The percent of common stock of the combined company is based on 32,173,593 shares of common stock of the combined company outstanding upon completion of the Merger and assumes that the Exchange Ratio to be used in connection with the Merger is approximately 3.0176 shares of Vringo common stock for each share of Innovate/Protect capital stock (without giving effect to the proposed reverse stock split described elsewhere in this proxy statement/prospectus). Shares of Vringo common stock subject to stock options that are currently exercisable or exercisable within 60 days after May 25,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Shares of Innovate/Protect common stock subject to options or warrants that are currently exercisable or exercisable within 60 days of May 25,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Unless otherwise indicated, Vringo and Innovate/Protect believe that each of the persons named in this table has sole voting and investment power with respect to all shares shown as beneficially owned by them.</w:t>
      </w:r>
    </w:p>
    <w:p>
      <w:pPr>
        <w:spacing w:after="0" w:line="200" w:lineRule="exact"/>
        <w:rPr>
          <w:sz w:val="20"/>
          <w:szCs w:val="20"/>
          <w:color w:val="auto"/>
        </w:rPr>
      </w:pPr>
    </w:p>
    <w:p>
      <w:pPr>
        <w:spacing w:after="0" w:line="27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49"/>
        </w:trPr>
        <w:tc>
          <w:tcPr>
            <w:tcW w:w="2840" w:type="dxa"/>
            <w:vAlign w:val="bottom"/>
            <w:gridSpan w:val="4"/>
          </w:tcPr>
          <w:p>
            <w:pPr>
              <w:spacing w:after="0"/>
              <w:rPr>
                <w:sz w:val="20"/>
                <w:szCs w:val="20"/>
                <w:color w:val="auto"/>
              </w:rPr>
            </w:pPr>
            <w:r>
              <w:rPr>
                <w:rFonts w:ascii="Arial" w:cs="Arial" w:eastAsia="Arial" w:hAnsi="Arial"/>
                <w:sz w:val="13"/>
                <w:szCs w:val="13"/>
                <w:b w:val="1"/>
                <w:bCs w:val="1"/>
                <w:color w:val="0000EE"/>
              </w:rPr>
              <w:t>TABLE OF CONTENTS</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35"/>
        </w:trPr>
        <w:tc>
          <w:tcPr>
            <w:tcW w:w="2840" w:type="dxa"/>
            <w:vAlign w:val="bottom"/>
            <w:gridSpan w:val="4"/>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Amount of</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 of</w:t>
            </w: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Total Voting</w:t>
            </w:r>
          </w:p>
        </w:tc>
        <w:tc>
          <w:tcPr>
            <w:tcW w:w="1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Percent of</w:t>
            </w:r>
          </w:p>
        </w:tc>
        <w:tc>
          <w:tcPr>
            <w:tcW w:w="2420" w:type="dxa"/>
            <w:vAlign w:val="bottom"/>
          </w:tcPr>
          <w:p>
            <w:pPr>
              <w:spacing w:after="0"/>
              <w:rPr>
                <w:sz w:val="20"/>
                <w:szCs w:val="20"/>
                <w:color w:val="auto"/>
              </w:rPr>
            </w:pPr>
          </w:p>
        </w:tc>
      </w:tr>
      <w:tr>
        <w:trPr>
          <w:trHeight w:val="159"/>
        </w:trPr>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Beneficial</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Class</w:t>
            </w:r>
          </w:p>
        </w:tc>
        <w:tc>
          <w:tcPr>
            <w:tcW w:w="160" w:type="dxa"/>
            <w:vAlign w:val="bottom"/>
          </w:tcPr>
          <w:p>
            <w:pPr>
              <w:spacing w:after="0"/>
              <w:rPr>
                <w:sz w:val="13"/>
                <w:szCs w:val="13"/>
                <w:color w:val="auto"/>
              </w:rPr>
            </w:pPr>
          </w:p>
        </w:tc>
        <w:tc>
          <w:tcPr>
            <w:tcW w:w="1100" w:type="dxa"/>
            <w:vAlign w:val="bottom"/>
            <w:gridSpan w:val="2"/>
          </w:tcPr>
          <w:p>
            <w:pPr>
              <w:jc w:val="center"/>
              <w:spacing w:after="0" w:line="159" w:lineRule="exact"/>
              <w:rPr>
                <w:sz w:val="20"/>
                <w:szCs w:val="20"/>
                <w:color w:val="auto"/>
              </w:rPr>
            </w:pPr>
            <w:r>
              <w:rPr>
                <w:rFonts w:ascii="Arial" w:cs="Arial" w:eastAsia="Arial" w:hAnsi="Arial"/>
                <w:sz w:val="11"/>
                <w:szCs w:val="11"/>
                <w:b w:val="1"/>
                <w:bCs w:val="1"/>
                <w:color w:val="auto"/>
              </w:rPr>
              <w:t>Power</w:t>
            </w:r>
            <w:r>
              <w:rPr>
                <w:rFonts w:ascii="Arial" w:cs="Arial" w:eastAsia="Arial" w:hAnsi="Arial"/>
                <w:sz w:val="18"/>
                <w:szCs w:val="18"/>
                <w:b w:val="1"/>
                <w:bCs w:val="1"/>
                <w:color w:val="auto"/>
                <w:vertAlign w:val="superscript"/>
              </w:rPr>
              <w:t>(7)</w:t>
            </w:r>
          </w:p>
        </w:tc>
        <w:tc>
          <w:tcPr>
            <w:tcW w:w="14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Class</w:t>
            </w:r>
          </w:p>
        </w:tc>
        <w:tc>
          <w:tcPr>
            <w:tcW w:w="2420" w:type="dxa"/>
            <w:vAlign w:val="bottom"/>
          </w:tcPr>
          <w:p>
            <w:pPr>
              <w:spacing w:after="0"/>
              <w:rPr>
                <w:sz w:val="13"/>
                <w:szCs w:val="13"/>
                <w:color w:val="auto"/>
              </w:rPr>
            </w:pPr>
          </w:p>
        </w:tc>
      </w:tr>
      <w:tr>
        <w:trPr>
          <w:trHeight w:val="174"/>
        </w:trPr>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line="174" w:lineRule="exact"/>
              <w:rPr>
                <w:sz w:val="20"/>
                <w:szCs w:val="20"/>
                <w:color w:val="auto"/>
              </w:rPr>
            </w:pPr>
            <w:r>
              <w:rPr>
                <w:rFonts w:ascii="Arial" w:cs="Arial" w:eastAsia="Arial" w:hAnsi="Arial"/>
                <w:sz w:val="12"/>
                <w:szCs w:val="12"/>
                <w:b w:val="1"/>
                <w:bCs w:val="1"/>
                <w:color w:val="auto"/>
                <w:w w:val="91"/>
              </w:rPr>
              <w:t>Ownership</w:t>
            </w:r>
            <w:r>
              <w:rPr>
                <w:rFonts w:ascii="Arial" w:cs="Arial" w:eastAsia="Arial" w:hAnsi="Arial"/>
                <w:sz w:val="20"/>
                <w:szCs w:val="20"/>
                <w:b w:val="1"/>
                <w:bCs w:val="1"/>
                <w:color w:val="auto"/>
                <w:w w:val="91"/>
                <w:vertAlign w:val="superscript"/>
              </w:rPr>
              <w:t>(3)(4)(6)</w:t>
            </w:r>
          </w:p>
        </w:tc>
        <w:tc>
          <w:tcPr>
            <w:tcW w:w="1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20" w:type="dxa"/>
            <w:vAlign w:val="bottom"/>
          </w:tcPr>
          <w:p>
            <w:pPr>
              <w:spacing w:after="0"/>
              <w:rPr>
                <w:sz w:val="15"/>
                <w:szCs w:val="15"/>
                <w:color w:val="auto"/>
              </w:rPr>
            </w:pPr>
          </w:p>
        </w:tc>
      </w:tr>
      <w:tr>
        <w:trPr>
          <w:trHeight w:val="193"/>
        </w:trPr>
        <w:tc>
          <w:tcPr>
            <w:tcW w:w="2840" w:type="dxa"/>
            <w:vAlign w:val="bottom"/>
            <w:gridSpan w:val="4"/>
            <w:shd w:val="clear" w:color="auto" w:fill="CCFFCC"/>
          </w:tcPr>
          <w:p>
            <w:pPr>
              <w:spacing w:after="0" w:line="193" w:lineRule="exact"/>
              <w:rPr>
                <w:sz w:val="20"/>
                <w:szCs w:val="20"/>
                <w:color w:val="auto"/>
              </w:rPr>
            </w:pPr>
            <w:r>
              <w:rPr>
                <w:rFonts w:ascii="Arial" w:cs="Arial" w:eastAsia="Arial" w:hAnsi="Arial"/>
                <w:sz w:val="17"/>
                <w:szCs w:val="17"/>
                <w:b w:val="1"/>
                <w:bCs w:val="1"/>
                <w:i w:val="1"/>
                <w:iCs w:val="1"/>
                <w:color w:val="auto"/>
              </w:rPr>
              <w:t>5% Stockholders (Preferred)</w:t>
            </w:r>
          </w:p>
        </w:tc>
        <w:tc>
          <w:tcPr>
            <w:tcW w:w="1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226"/>
        </w:trPr>
        <w:tc>
          <w:tcPr>
            <w:tcW w:w="2840" w:type="dxa"/>
            <w:vAlign w:val="bottom"/>
            <w:gridSpan w:val="4"/>
          </w:tcPr>
          <w:p>
            <w:pPr>
              <w:spacing w:after="0" w:line="226" w:lineRule="exact"/>
              <w:rPr>
                <w:sz w:val="20"/>
                <w:szCs w:val="20"/>
                <w:color w:val="auto"/>
              </w:rPr>
            </w:pPr>
            <w:r>
              <w:rPr>
                <w:rFonts w:ascii="Arial" w:cs="Arial" w:eastAsia="Arial" w:hAnsi="Arial"/>
                <w:sz w:val="16"/>
                <w:szCs w:val="16"/>
                <w:color w:val="auto"/>
              </w:rPr>
              <w:t>Hudson Bay Master Fund Ltd.</w:t>
            </w:r>
            <w:r>
              <w:rPr>
                <w:rFonts w:ascii="Arial" w:cs="Arial" w:eastAsia="Arial" w:hAnsi="Arial"/>
                <w:sz w:val="26"/>
                <w:szCs w:val="26"/>
                <w:color w:val="auto"/>
                <w:vertAlign w:val="superscript"/>
              </w:rPr>
              <w:t>(5)</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6,181</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92.6%</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9"/>
                <w:szCs w:val="19"/>
                <w:color w:val="auto"/>
              </w:rPr>
            </w:pPr>
          </w:p>
        </w:tc>
      </w:tr>
      <w:tr>
        <w:trPr>
          <w:trHeight w:val="200"/>
        </w:trPr>
        <w:tc>
          <w:tcPr>
            <w:tcW w:w="2840" w:type="dxa"/>
            <w:vAlign w:val="bottom"/>
            <w:gridSpan w:val="4"/>
          </w:tcPr>
          <w:p>
            <w:pPr>
              <w:spacing w:after="0"/>
              <w:rPr>
                <w:sz w:val="20"/>
                <w:szCs w:val="20"/>
                <w:color w:val="auto"/>
              </w:rPr>
            </w:pPr>
            <w:r>
              <w:rPr>
                <w:rFonts w:ascii="Arial" w:cs="Arial" w:eastAsia="Arial" w:hAnsi="Arial"/>
                <w:sz w:val="17"/>
                <w:szCs w:val="17"/>
                <w:color w:val="auto"/>
              </w:rPr>
              <w:t>777 Third Avenue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tcPr>
          <w:p>
            <w:pPr>
              <w:spacing w:after="0"/>
              <w:rPr>
                <w:sz w:val="20"/>
                <w:szCs w:val="20"/>
                <w:color w:val="auto"/>
              </w:rPr>
            </w:pPr>
            <w:r>
              <w:rPr>
                <w:rFonts w:ascii="Arial" w:cs="Arial" w:eastAsia="Arial" w:hAnsi="Arial"/>
                <w:sz w:val="17"/>
                <w:szCs w:val="17"/>
                <w:color w:val="auto"/>
              </w:rPr>
              <w:t>New York, NY 10017</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6"/>
        </w:trPr>
        <w:tc>
          <w:tcPr>
            <w:tcW w:w="2840" w:type="dxa"/>
            <w:vAlign w:val="bottom"/>
            <w:gridSpan w:val="4"/>
            <w:shd w:val="clear" w:color="auto" w:fill="CCFFCC"/>
          </w:tcPr>
          <w:p>
            <w:pPr>
              <w:spacing w:after="0" w:line="226" w:lineRule="exact"/>
              <w:rPr>
                <w:sz w:val="20"/>
                <w:szCs w:val="20"/>
                <w:color w:val="auto"/>
              </w:rPr>
            </w:pPr>
            <w:r>
              <w:rPr>
                <w:rFonts w:ascii="Arial" w:cs="Arial" w:eastAsia="Arial" w:hAnsi="Arial"/>
                <w:sz w:val="16"/>
                <w:szCs w:val="16"/>
                <w:color w:val="auto"/>
              </w:rPr>
              <w:t>Sander Gerber</w:t>
            </w:r>
            <w:r>
              <w:rPr>
                <w:rFonts w:ascii="Arial" w:cs="Arial" w:eastAsia="Arial" w:hAnsi="Arial"/>
                <w:sz w:val="26"/>
                <w:szCs w:val="26"/>
                <w:color w:val="auto"/>
                <w:vertAlign w:val="superscript"/>
              </w:rPr>
              <w:t>(5)</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6,181</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92.6%</w:t>
            </w:r>
          </w:p>
        </w:tc>
        <w:tc>
          <w:tcPr>
            <w:tcW w:w="1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9"/>
                <w:szCs w:val="19"/>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c/o Hudson Bay Capital Management</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LP</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777 Third Avenue</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New York, NY 10017</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90"/>
        </w:trPr>
        <w:tc>
          <w:tcPr>
            <w:tcW w:w="2840" w:type="dxa"/>
            <w:vAlign w:val="bottom"/>
            <w:gridSpan w:val="4"/>
          </w:tcPr>
          <w:p>
            <w:pPr>
              <w:spacing w:after="0" w:line="189" w:lineRule="exact"/>
              <w:rPr>
                <w:sz w:val="20"/>
                <w:szCs w:val="20"/>
                <w:color w:val="auto"/>
              </w:rPr>
            </w:pPr>
            <w:r>
              <w:rPr>
                <w:rFonts w:ascii="Arial" w:cs="Arial" w:eastAsia="Arial" w:hAnsi="Arial"/>
                <w:sz w:val="17"/>
                <w:szCs w:val="17"/>
                <w:color w:val="auto"/>
              </w:rPr>
              <w:t>Iroquois Master Fund Ltd.</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344</w:t>
            </w:r>
          </w:p>
        </w:tc>
        <w:tc>
          <w:tcPr>
            <w:tcW w:w="94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5.2%</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36"/>
        </w:trPr>
        <w:tc>
          <w:tcPr>
            <w:tcW w:w="2840" w:type="dxa"/>
            <w:vAlign w:val="bottom"/>
            <w:gridSpan w:val="4"/>
          </w:tcPr>
          <w:p>
            <w:pPr>
              <w:spacing w:after="0" w:line="236" w:lineRule="exact"/>
              <w:rPr>
                <w:sz w:val="20"/>
                <w:szCs w:val="20"/>
                <w:color w:val="auto"/>
              </w:rPr>
            </w:pPr>
            <w:r>
              <w:rPr>
                <w:rFonts w:ascii="Arial" w:cs="Arial" w:eastAsia="Arial" w:hAnsi="Arial"/>
                <w:sz w:val="17"/>
                <w:szCs w:val="17"/>
                <w:color w:val="auto"/>
              </w:rPr>
              <w:t>641 Lexington Ave, 26</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13"/>
        </w:trPr>
        <w:tc>
          <w:tcPr>
            <w:tcW w:w="2840" w:type="dxa"/>
            <w:vAlign w:val="bottom"/>
            <w:gridSpan w:val="4"/>
          </w:tcPr>
          <w:p>
            <w:pPr>
              <w:spacing w:after="0"/>
              <w:rPr>
                <w:sz w:val="20"/>
                <w:szCs w:val="20"/>
                <w:color w:val="auto"/>
              </w:rPr>
            </w:pPr>
            <w:r>
              <w:rPr>
                <w:rFonts w:ascii="Arial" w:cs="Arial" w:eastAsia="Arial" w:hAnsi="Arial"/>
                <w:sz w:val="17"/>
                <w:szCs w:val="17"/>
                <w:color w:val="auto"/>
              </w:rPr>
              <w:t>New York, NY 10022</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2840" w:type="dxa"/>
            <w:vAlign w:val="bottom"/>
            <w:gridSpan w:val="4"/>
            <w:shd w:val="clear" w:color="auto" w:fill="CCFFCC"/>
          </w:tcPr>
          <w:p>
            <w:pPr>
              <w:spacing w:after="0" w:line="188" w:lineRule="exact"/>
              <w:rPr>
                <w:sz w:val="20"/>
                <w:szCs w:val="20"/>
                <w:color w:val="auto"/>
              </w:rPr>
            </w:pPr>
            <w:r>
              <w:rPr>
                <w:rFonts w:ascii="Arial" w:cs="Arial" w:eastAsia="Arial" w:hAnsi="Arial"/>
                <w:sz w:val="17"/>
                <w:szCs w:val="17"/>
                <w:b w:val="1"/>
                <w:bCs w:val="1"/>
                <w:i w:val="1"/>
                <w:iCs w:val="1"/>
                <w:color w:val="auto"/>
              </w:rPr>
              <w:t>5% Stockholders (Common)</w:t>
            </w:r>
          </w:p>
        </w:tc>
        <w:tc>
          <w:tcPr>
            <w:tcW w:w="1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b w:val="1"/>
                <w:bCs w:val="1"/>
                <w:i w:val="1"/>
                <w:iCs w:val="1"/>
                <w:color w:val="auto"/>
                <w:w w:val="93"/>
              </w:rPr>
              <w:t>(Excluding Named Executive Officers</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b w:val="1"/>
                <w:bCs w:val="1"/>
                <w:i w:val="1"/>
                <w:iCs w:val="1"/>
                <w:color w:val="auto"/>
              </w:rPr>
              <w:t>and Directors)</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226"/>
        </w:trPr>
        <w:tc>
          <w:tcPr>
            <w:tcW w:w="2840" w:type="dxa"/>
            <w:vAlign w:val="bottom"/>
            <w:gridSpan w:val="4"/>
          </w:tcPr>
          <w:p>
            <w:pPr>
              <w:spacing w:after="0" w:line="226" w:lineRule="exact"/>
              <w:rPr>
                <w:sz w:val="20"/>
                <w:szCs w:val="20"/>
                <w:color w:val="auto"/>
              </w:rPr>
            </w:pPr>
            <w:r>
              <w:rPr>
                <w:rFonts w:ascii="Arial" w:cs="Arial" w:eastAsia="Arial" w:hAnsi="Arial"/>
                <w:sz w:val="16"/>
                <w:szCs w:val="16"/>
                <w:color w:val="auto"/>
              </w:rPr>
              <w:t>Hudson Bay Master Fund Ltd.</w:t>
            </w:r>
            <w:r>
              <w:rPr>
                <w:rFonts w:ascii="Arial" w:cs="Arial" w:eastAsia="Arial" w:hAnsi="Arial"/>
                <w:sz w:val="26"/>
                <w:szCs w:val="26"/>
                <w:color w:val="auto"/>
                <w:vertAlign w:val="superscript"/>
              </w:rPr>
              <w:t>(5)</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3,548,875</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9.99%</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3,548,875</w:t>
            </w:r>
          </w:p>
        </w:tc>
        <w:tc>
          <w:tcPr>
            <w:tcW w:w="1360" w:type="dxa"/>
            <w:vAlign w:val="bottom"/>
            <w:gridSpan w:val="3"/>
          </w:tcPr>
          <w:p>
            <w:pPr>
              <w:jc w:val="right"/>
              <w:ind w:right="320"/>
              <w:spacing w:after="0"/>
              <w:rPr>
                <w:sz w:val="20"/>
                <w:szCs w:val="20"/>
                <w:color w:val="auto"/>
              </w:rPr>
            </w:pPr>
            <w:r>
              <w:rPr>
                <w:rFonts w:ascii="Arial" w:cs="Arial" w:eastAsia="Arial" w:hAnsi="Arial"/>
                <w:sz w:val="17"/>
                <w:szCs w:val="17"/>
                <w:color w:val="auto"/>
              </w:rPr>
              <w:t>9.99%</w:t>
            </w:r>
          </w:p>
        </w:tc>
        <w:tc>
          <w:tcPr>
            <w:tcW w:w="2420" w:type="dxa"/>
            <w:vAlign w:val="bottom"/>
          </w:tcPr>
          <w:p>
            <w:pPr>
              <w:spacing w:after="0"/>
              <w:rPr>
                <w:sz w:val="19"/>
                <w:szCs w:val="19"/>
                <w:color w:val="auto"/>
              </w:rPr>
            </w:pPr>
          </w:p>
        </w:tc>
      </w:tr>
      <w:tr>
        <w:trPr>
          <w:trHeight w:val="200"/>
        </w:trPr>
        <w:tc>
          <w:tcPr>
            <w:tcW w:w="2840" w:type="dxa"/>
            <w:vAlign w:val="bottom"/>
            <w:gridSpan w:val="4"/>
          </w:tcPr>
          <w:p>
            <w:pPr>
              <w:spacing w:after="0"/>
              <w:rPr>
                <w:sz w:val="20"/>
                <w:szCs w:val="20"/>
                <w:color w:val="auto"/>
              </w:rPr>
            </w:pPr>
            <w:r>
              <w:rPr>
                <w:rFonts w:ascii="Arial" w:cs="Arial" w:eastAsia="Arial" w:hAnsi="Arial"/>
                <w:sz w:val="17"/>
                <w:szCs w:val="17"/>
                <w:color w:val="auto"/>
              </w:rPr>
              <w:t>777 Third Avenue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tcPr>
          <w:p>
            <w:pPr>
              <w:spacing w:after="0"/>
              <w:rPr>
                <w:sz w:val="20"/>
                <w:szCs w:val="20"/>
                <w:color w:val="auto"/>
              </w:rPr>
            </w:pPr>
            <w:r>
              <w:rPr>
                <w:rFonts w:ascii="Arial" w:cs="Arial" w:eastAsia="Arial" w:hAnsi="Arial"/>
                <w:sz w:val="17"/>
                <w:szCs w:val="17"/>
                <w:color w:val="auto"/>
              </w:rPr>
              <w:t>New York, NY 10017</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6"/>
        </w:trPr>
        <w:tc>
          <w:tcPr>
            <w:tcW w:w="2840" w:type="dxa"/>
            <w:vAlign w:val="bottom"/>
            <w:gridSpan w:val="4"/>
            <w:shd w:val="clear" w:color="auto" w:fill="CCFFCC"/>
          </w:tcPr>
          <w:p>
            <w:pPr>
              <w:spacing w:after="0" w:line="226" w:lineRule="exact"/>
              <w:rPr>
                <w:sz w:val="20"/>
                <w:szCs w:val="20"/>
                <w:color w:val="auto"/>
              </w:rPr>
            </w:pPr>
            <w:r>
              <w:rPr>
                <w:rFonts w:ascii="Arial" w:cs="Arial" w:eastAsia="Arial" w:hAnsi="Arial"/>
                <w:sz w:val="16"/>
                <w:szCs w:val="16"/>
                <w:color w:val="auto"/>
              </w:rPr>
              <w:t>Sander Gerber</w:t>
            </w:r>
            <w:r>
              <w:rPr>
                <w:rFonts w:ascii="Arial" w:cs="Arial" w:eastAsia="Arial" w:hAnsi="Arial"/>
                <w:sz w:val="26"/>
                <w:szCs w:val="26"/>
                <w:color w:val="auto"/>
                <w:vertAlign w:val="superscript"/>
              </w:rPr>
              <w:t>(5)</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3,548,875</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9.99%</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3,548,875</w:t>
            </w:r>
          </w:p>
        </w:tc>
        <w:tc>
          <w:tcPr>
            <w:tcW w:w="1360" w:type="dxa"/>
            <w:vAlign w:val="bottom"/>
            <w:gridSpan w:val="3"/>
            <w:shd w:val="clear" w:color="auto" w:fill="CCFFCC"/>
          </w:tcPr>
          <w:p>
            <w:pPr>
              <w:jc w:val="right"/>
              <w:ind w:right="320"/>
              <w:spacing w:after="0"/>
              <w:rPr>
                <w:sz w:val="20"/>
                <w:szCs w:val="20"/>
                <w:color w:val="auto"/>
              </w:rPr>
            </w:pPr>
            <w:r>
              <w:rPr>
                <w:rFonts w:ascii="Arial" w:cs="Arial" w:eastAsia="Arial" w:hAnsi="Arial"/>
                <w:sz w:val="17"/>
                <w:szCs w:val="17"/>
                <w:color w:val="auto"/>
              </w:rPr>
              <w:t>9.99%</w:t>
            </w:r>
          </w:p>
        </w:tc>
        <w:tc>
          <w:tcPr>
            <w:tcW w:w="2420" w:type="dxa"/>
            <w:vAlign w:val="bottom"/>
          </w:tcPr>
          <w:p>
            <w:pPr>
              <w:spacing w:after="0"/>
              <w:rPr>
                <w:sz w:val="19"/>
                <w:szCs w:val="19"/>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c/o Hudson Bay Capital Management</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LP</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777 Third Avenue</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New York, NY 10017</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90"/>
        </w:trPr>
        <w:tc>
          <w:tcPr>
            <w:tcW w:w="2840" w:type="dxa"/>
            <w:vAlign w:val="bottom"/>
            <w:gridSpan w:val="4"/>
          </w:tcPr>
          <w:p>
            <w:pPr>
              <w:spacing w:after="0" w:line="189" w:lineRule="exact"/>
              <w:rPr>
                <w:sz w:val="20"/>
                <w:szCs w:val="20"/>
                <w:color w:val="auto"/>
              </w:rPr>
            </w:pPr>
            <w:r>
              <w:rPr>
                <w:rFonts w:ascii="Arial" w:cs="Arial" w:eastAsia="Arial" w:hAnsi="Arial"/>
                <w:sz w:val="17"/>
                <w:szCs w:val="17"/>
                <w:color w:val="auto"/>
              </w:rPr>
              <w:t>Iroquois Master Fund Ltd.</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2,219,446</w:t>
            </w:r>
          </w:p>
        </w:tc>
        <w:tc>
          <w:tcPr>
            <w:tcW w:w="94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6.7%</w:t>
            </w:r>
          </w:p>
        </w:tc>
        <w:tc>
          <w:tcPr>
            <w:tcW w:w="12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524,936</w:t>
            </w:r>
          </w:p>
        </w:tc>
        <w:tc>
          <w:tcPr>
            <w:tcW w:w="1360" w:type="dxa"/>
            <w:vAlign w:val="bottom"/>
            <w:gridSpan w:val="3"/>
          </w:tcPr>
          <w:p>
            <w:pPr>
              <w:jc w:val="right"/>
              <w:ind w:right="320"/>
              <w:spacing w:after="0" w:line="189" w:lineRule="exact"/>
              <w:rPr>
                <w:sz w:val="20"/>
                <w:szCs w:val="20"/>
                <w:color w:val="auto"/>
              </w:rPr>
            </w:pPr>
            <w:r>
              <w:rPr>
                <w:rFonts w:ascii="Arial" w:cs="Arial" w:eastAsia="Arial" w:hAnsi="Arial"/>
                <w:sz w:val="17"/>
                <w:szCs w:val="17"/>
                <w:color w:val="auto"/>
              </w:rPr>
              <w:t>1.6%</w:t>
            </w:r>
          </w:p>
        </w:tc>
        <w:tc>
          <w:tcPr>
            <w:tcW w:w="2420" w:type="dxa"/>
            <w:vAlign w:val="bottom"/>
          </w:tcPr>
          <w:p>
            <w:pPr>
              <w:spacing w:after="0"/>
              <w:rPr>
                <w:sz w:val="16"/>
                <w:szCs w:val="16"/>
                <w:color w:val="auto"/>
              </w:rPr>
            </w:pPr>
          </w:p>
        </w:tc>
      </w:tr>
      <w:tr>
        <w:trPr>
          <w:trHeight w:val="236"/>
        </w:trPr>
        <w:tc>
          <w:tcPr>
            <w:tcW w:w="2840" w:type="dxa"/>
            <w:vAlign w:val="bottom"/>
            <w:gridSpan w:val="4"/>
          </w:tcPr>
          <w:p>
            <w:pPr>
              <w:spacing w:after="0" w:line="236" w:lineRule="exact"/>
              <w:rPr>
                <w:sz w:val="20"/>
                <w:szCs w:val="20"/>
                <w:color w:val="auto"/>
              </w:rPr>
            </w:pPr>
            <w:r>
              <w:rPr>
                <w:rFonts w:ascii="Arial" w:cs="Arial" w:eastAsia="Arial" w:hAnsi="Arial"/>
                <w:sz w:val="17"/>
                <w:szCs w:val="17"/>
                <w:color w:val="auto"/>
              </w:rPr>
              <w:t>641 Lexington Ave, 26</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13"/>
        </w:trPr>
        <w:tc>
          <w:tcPr>
            <w:tcW w:w="2840" w:type="dxa"/>
            <w:vAlign w:val="bottom"/>
            <w:gridSpan w:val="4"/>
          </w:tcPr>
          <w:p>
            <w:pPr>
              <w:spacing w:after="0"/>
              <w:rPr>
                <w:sz w:val="20"/>
                <w:szCs w:val="20"/>
                <w:color w:val="auto"/>
              </w:rPr>
            </w:pPr>
            <w:r>
              <w:rPr>
                <w:rFonts w:ascii="Arial" w:cs="Arial" w:eastAsia="Arial" w:hAnsi="Arial"/>
                <w:sz w:val="17"/>
                <w:szCs w:val="17"/>
                <w:color w:val="auto"/>
              </w:rPr>
              <w:t>New York, NY 10022</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2840" w:type="dxa"/>
            <w:vAlign w:val="bottom"/>
            <w:gridSpan w:val="4"/>
            <w:shd w:val="clear" w:color="auto" w:fill="CCFFCC"/>
          </w:tcPr>
          <w:p>
            <w:pPr>
              <w:spacing w:after="0" w:line="188" w:lineRule="exact"/>
              <w:rPr>
                <w:sz w:val="20"/>
                <w:szCs w:val="20"/>
                <w:color w:val="auto"/>
              </w:rPr>
            </w:pPr>
            <w:r>
              <w:rPr>
                <w:rFonts w:ascii="Arial" w:cs="Arial" w:eastAsia="Arial" w:hAnsi="Arial"/>
                <w:sz w:val="17"/>
                <w:szCs w:val="17"/>
                <w:color w:val="auto"/>
              </w:rPr>
              <w:t>Frost Gamma Investments Trust</w:t>
            </w:r>
          </w:p>
        </w:tc>
        <w:tc>
          <w:tcPr>
            <w:tcW w:w="12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1,606,872</w:t>
            </w:r>
          </w:p>
        </w:tc>
        <w:tc>
          <w:tcPr>
            <w:tcW w:w="940" w:type="dxa"/>
            <w:vAlign w:val="bottom"/>
            <w:gridSpan w:val="3"/>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5.0%</w:t>
            </w:r>
          </w:p>
        </w:tc>
        <w:tc>
          <w:tcPr>
            <w:tcW w:w="1260" w:type="dxa"/>
            <w:vAlign w:val="bottom"/>
            <w:gridSpan w:val="3"/>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1,131,600</w:t>
            </w:r>
          </w:p>
        </w:tc>
        <w:tc>
          <w:tcPr>
            <w:tcW w:w="1360" w:type="dxa"/>
            <w:vAlign w:val="bottom"/>
            <w:gridSpan w:val="3"/>
            <w:shd w:val="clear" w:color="auto" w:fill="CCFFCC"/>
          </w:tcPr>
          <w:p>
            <w:pPr>
              <w:jc w:val="right"/>
              <w:ind w:right="320"/>
              <w:spacing w:after="0" w:line="188" w:lineRule="exact"/>
              <w:rPr>
                <w:sz w:val="20"/>
                <w:szCs w:val="20"/>
                <w:color w:val="auto"/>
              </w:rPr>
            </w:pPr>
            <w:r>
              <w:rPr>
                <w:rFonts w:ascii="Arial" w:cs="Arial" w:eastAsia="Arial" w:hAnsi="Arial"/>
                <w:sz w:val="17"/>
                <w:szCs w:val="17"/>
                <w:color w:val="auto"/>
              </w:rPr>
              <w:t>3.5%</w:t>
            </w:r>
          </w:p>
        </w:tc>
        <w:tc>
          <w:tcPr>
            <w:tcW w:w="2420" w:type="dxa"/>
            <w:vAlign w:val="bottom"/>
          </w:tcPr>
          <w:p>
            <w:pPr>
              <w:spacing w:after="0"/>
              <w:rPr>
                <w:sz w:val="16"/>
                <w:szCs w:val="16"/>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4400 Biscayne Boulevard</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Miami, FL 33137</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2840" w:type="dxa"/>
            <w:vAlign w:val="bottom"/>
            <w:gridSpan w:val="4"/>
          </w:tcPr>
          <w:p>
            <w:pPr>
              <w:spacing w:after="0" w:line="188" w:lineRule="exact"/>
              <w:rPr>
                <w:sz w:val="20"/>
                <w:szCs w:val="20"/>
                <w:color w:val="auto"/>
              </w:rPr>
            </w:pPr>
            <w:r>
              <w:rPr>
                <w:rFonts w:ascii="Arial" w:cs="Arial" w:eastAsia="Arial" w:hAnsi="Arial"/>
                <w:sz w:val="17"/>
                <w:szCs w:val="17"/>
                <w:color w:val="auto"/>
              </w:rPr>
              <w:t>Michael and Betsy Brauser TBE</w:t>
            </w:r>
          </w:p>
        </w:tc>
        <w:tc>
          <w:tcPr>
            <w:tcW w:w="1220" w:type="dxa"/>
            <w:vAlign w:val="bottom"/>
            <w:gridSpan w:val="2"/>
          </w:tcPr>
          <w:p>
            <w:pPr>
              <w:jc w:val="right"/>
              <w:ind w:right="80"/>
              <w:spacing w:after="0" w:line="188" w:lineRule="exact"/>
              <w:rPr>
                <w:sz w:val="20"/>
                <w:szCs w:val="20"/>
                <w:color w:val="auto"/>
              </w:rPr>
            </w:pPr>
            <w:r>
              <w:rPr>
                <w:rFonts w:ascii="Arial" w:cs="Arial" w:eastAsia="Arial" w:hAnsi="Arial"/>
                <w:sz w:val="17"/>
                <w:szCs w:val="17"/>
                <w:color w:val="auto"/>
              </w:rPr>
              <w:t>1,660,435</w:t>
            </w:r>
          </w:p>
        </w:tc>
        <w:tc>
          <w:tcPr>
            <w:tcW w:w="940" w:type="dxa"/>
            <w:vAlign w:val="bottom"/>
            <w:gridSpan w:val="3"/>
          </w:tcPr>
          <w:p>
            <w:pPr>
              <w:jc w:val="right"/>
              <w:ind w:right="140"/>
              <w:spacing w:after="0" w:line="188" w:lineRule="exact"/>
              <w:rPr>
                <w:sz w:val="20"/>
                <w:szCs w:val="20"/>
                <w:color w:val="auto"/>
              </w:rPr>
            </w:pPr>
            <w:r>
              <w:rPr>
                <w:rFonts w:ascii="Arial" w:cs="Arial" w:eastAsia="Arial" w:hAnsi="Arial"/>
                <w:sz w:val="17"/>
                <w:szCs w:val="17"/>
                <w:color w:val="auto"/>
              </w:rPr>
              <w:t>5.1%</w:t>
            </w:r>
          </w:p>
        </w:tc>
        <w:tc>
          <w:tcPr>
            <w:tcW w:w="1260" w:type="dxa"/>
            <w:vAlign w:val="bottom"/>
            <w:gridSpan w:val="3"/>
          </w:tcPr>
          <w:p>
            <w:pPr>
              <w:jc w:val="right"/>
              <w:ind w:right="80"/>
              <w:spacing w:after="0" w:line="188" w:lineRule="exact"/>
              <w:rPr>
                <w:sz w:val="20"/>
                <w:szCs w:val="20"/>
                <w:color w:val="auto"/>
              </w:rPr>
            </w:pPr>
            <w:r>
              <w:rPr>
                <w:rFonts w:ascii="Arial" w:cs="Arial" w:eastAsia="Arial" w:hAnsi="Arial"/>
                <w:sz w:val="17"/>
                <w:szCs w:val="17"/>
                <w:color w:val="auto"/>
              </w:rPr>
              <w:t>1,169,320</w:t>
            </w:r>
          </w:p>
        </w:tc>
        <w:tc>
          <w:tcPr>
            <w:tcW w:w="1360" w:type="dxa"/>
            <w:vAlign w:val="bottom"/>
            <w:gridSpan w:val="3"/>
          </w:tcPr>
          <w:p>
            <w:pPr>
              <w:jc w:val="right"/>
              <w:ind w:right="320"/>
              <w:spacing w:after="0" w:line="188" w:lineRule="exact"/>
              <w:rPr>
                <w:sz w:val="20"/>
                <w:szCs w:val="20"/>
                <w:color w:val="auto"/>
              </w:rPr>
            </w:pPr>
            <w:r>
              <w:rPr>
                <w:rFonts w:ascii="Arial" w:cs="Arial" w:eastAsia="Arial" w:hAnsi="Arial"/>
                <w:sz w:val="17"/>
                <w:szCs w:val="17"/>
                <w:color w:val="auto"/>
              </w:rPr>
              <w:t>3.6%</w:t>
            </w:r>
          </w:p>
        </w:tc>
        <w:tc>
          <w:tcPr>
            <w:tcW w:w="2420" w:type="dxa"/>
            <w:vAlign w:val="bottom"/>
          </w:tcPr>
          <w:p>
            <w:pPr>
              <w:spacing w:after="0"/>
              <w:rPr>
                <w:sz w:val="16"/>
                <w:szCs w:val="16"/>
                <w:color w:val="auto"/>
              </w:rPr>
            </w:pPr>
          </w:p>
        </w:tc>
      </w:tr>
      <w:tr>
        <w:trPr>
          <w:trHeight w:val="200"/>
        </w:trPr>
        <w:tc>
          <w:tcPr>
            <w:tcW w:w="2840" w:type="dxa"/>
            <w:vAlign w:val="bottom"/>
            <w:gridSpan w:val="4"/>
          </w:tcPr>
          <w:p>
            <w:pPr>
              <w:spacing w:after="0"/>
              <w:rPr>
                <w:sz w:val="20"/>
                <w:szCs w:val="20"/>
                <w:color w:val="auto"/>
              </w:rPr>
            </w:pPr>
            <w:r>
              <w:rPr>
                <w:rFonts w:ascii="Arial" w:cs="Arial" w:eastAsia="Arial" w:hAnsi="Arial"/>
                <w:sz w:val="17"/>
                <w:szCs w:val="17"/>
                <w:color w:val="auto"/>
              </w:rPr>
              <w:t>3164 NE 31st Avenue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tcPr>
          <w:p>
            <w:pPr>
              <w:spacing w:after="0"/>
              <w:rPr>
                <w:sz w:val="20"/>
                <w:szCs w:val="20"/>
                <w:color w:val="auto"/>
              </w:rPr>
            </w:pPr>
            <w:r>
              <w:rPr>
                <w:rFonts w:ascii="Arial" w:cs="Arial" w:eastAsia="Arial" w:hAnsi="Arial"/>
                <w:sz w:val="17"/>
                <w:szCs w:val="17"/>
                <w:color w:val="auto"/>
              </w:rPr>
              <w:t>Lighthouse Point, FL 33064</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2840" w:type="dxa"/>
            <w:vAlign w:val="bottom"/>
            <w:gridSpan w:val="4"/>
            <w:shd w:val="clear" w:color="auto" w:fill="CCFFCC"/>
          </w:tcPr>
          <w:p>
            <w:pPr>
              <w:spacing w:after="0" w:line="188" w:lineRule="exact"/>
              <w:rPr>
                <w:sz w:val="20"/>
                <w:szCs w:val="20"/>
                <w:color w:val="auto"/>
              </w:rPr>
            </w:pPr>
            <w:r>
              <w:rPr>
                <w:rFonts w:ascii="Arial" w:cs="Arial" w:eastAsia="Arial" w:hAnsi="Arial"/>
                <w:sz w:val="17"/>
                <w:szCs w:val="17"/>
                <w:color w:val="auto"/>
              </w:rPr>
              <w:t>Barry Honig</w:t>
            </w:r>
          </w:p>
        </w:tc>
        <w:tc>
          <w:tcPr>
            <w:tcW w:w="12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1,874,684</w:t>
            </w:r>
          </w:p>
        </w:tc>
        <w:tc>
          <w:tcPr>
            <w:tcW w:w="940" w:type="dxa"/>
            <w:vAlign w:val="bottom"/>
            <w:gridSpan w:val="3"/>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5.8%</w:t>
            </w:r>
          </w:p>
        </w:tc>
        <w:tc>
          <w:tcPr>
            <w:tcW w:w="1260" w:type="dxa"/>
            <w:vAlign w:val="bottom"/>
            <w:gridSpan w:val="3"/>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1,320,200</w:t>
            </w:r>
          </w:p>
        </w:tc>
        <w:tc>
          <w:tcPr>
            <w:tcW w:w="1360" w:type="dxa"/>
            <w:vAlign w:val="bottom"/>
            <w:gridSpan w:val="3"/>
            <w:shd w:val="clear" w:color="auto" w:fill="CCFFCC"/>
          </w:tcPr>
          <w:p>
            <w:pPr>
              <w:jc w:val="right"/>
              <w:ind w:right="320"/>
              <w:spacing w:after="0" w:line="188" w:lineRule="exact"/>
              <w:rPr>
                <w:sz w:val="20"/>
                <w:szCs w:val="20"/>
                <w:color w:val="auto"/>
              </w:rPr>
            </w:pPr>
            <w:r>
              <w:rPr>
                <w:rFonts w:ascii="Arial" w:cs="Arial" w:eastAsia="Arial" w:hAnsi="Arial"/>
                <w:sz w:val="17"/>
                <w:szCs w:val="17"/>
                <w:color w:val="auto"/>
              </w:rPr>
              <w:t>4.1%</w:t>
            </w:r>
          </w:p>
        </w:tc>
        <w:tc>
          <w:tcPr>
            <w:tcW w:w="2420" w:type="dxa"/>
            <w:vAlign w:val="bottom"/>
          </w:tcPr>
          <w:p>
            <w:pPr>
              <w:spacing w:after="0"/>
              <w:rPr>
                <w:sz w:val="16"/>
                <w:szCs w:val="16"/>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4400 Biscayne Boulevard, Suite 850</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Miami, FL 33137</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2840" w:type="dxa"/>
            <w:vAlign w:val="bottom"/>
            <w:gridSpan w:val="4"/>
          </w:tcPr>
          <w:p>
            <w:pPr>
              <w:spacing w:after="0" w:line="188" w:lineRule="exact"/>
              <w:rPr>
                <w:sz w:val="20"/>
                <w:szCs w:val="20"/>
                <w:color w:val="auto"/>
              </w:rPr>
            </w:pPr>
            <w:r>
              <w:rPr>
                <w:rFonts w:ascii="Arial" w:cs="Arial" w:eastAsia="Arial" w:hAnsi="Arial"/>
                <w:sz w:val="17"/>
                <w:szCs w:val="17"/>
                <w:b w:val="1"/>
                <w:bCs w:val="1"/>
                <w:i w:val="1"/>
                <w:iCs w:val="1"/>
                <w:color w:val="auto"/>
              </w:rPr>
              <w:t>Named Executive Officers and</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13"/>
        </w:trPr>
        <w:tc>
          <w:tcPr>
            <w:tcW w:w="2840" w:type="dxa"/>
            <w:vAlign w:val="bottom"/>
            <w:gridSpan w:val="4"/>
          </w:tcPr>
          <w:p>
            <w:pPr>
              <w:ind w:left="160"/>
              <w:spacing w:after="0"/>
              <w:rPr>
                <w:sz w:val="20"/>
                <w:szCs w:val="20"/>
                <w:color w:val="auto"/>
              </w:rPr>
            </w:pPr>
            <w:r>
              <w:rPr>
                <w:rFonts w:ascii="Arial" w:cs="Arial" w:eastAsia="Arial" w:hAnsi="Arial"/>
                <w:sz w:val="17"/>
                <w:szCs w:val="17"/>
                <w:b w:val="1"/>
                <w:bCs w:val="1"/>
                <w:i w:val="1"/>
                <w:iCs w:val="1"/>
                <w:color w:val="auto"/>
              </w:rPr>
              <w:t>Directors: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8"/>
        </w:trPr>
        <w:tc>
          <w:tcPr>
            <w:tcW w:w="2840" w:type="dxa"/>
            <w:vAlign w:val="bottom"/>
            <w:gridSpan w:val="4"/>
            <w:shd w:val="clear" w:color="auto" w:fill="CCFFCC"/>
          </w:tcPr>
          <w:p>
            <w:pPr>
              <w:spacing w:after="0" w:line="239" w:lineRule="exact"/>
              <w:rPr>
                <w:sz w:val="20"/>
                <w:szCs w:val="20"/>
                <w:color w:val="auto"/>
              </w:rPr>
            </w:pPr>
            <w:r>
              <w:rPr>
                <w:rFonts w:ascii="Arial" w:cs="Arial" w:eastAsia="Arial" w:hAnsi="Arial"/>
                <w:sz w:val="17"/>
                <w:szCs w:val="17"/>
                <w:color w:val="auto"/>
              </w:rPr>
              <w:t>Andrew D. Perlman</w:t>
            </w:r>
            <w:r>
              <w:rPr>
                <w:rFonts w:ascii="Arial" w:cs="Arial" w:eastAsia="Arial" w:hAnsi="Arial"/>
                <w:sz w:val="27"/>
                <w:szCs w:val="27"/>
                <w:color w:val="auto"/>
                <w:vertAlign w:val="superscript"/>
              </w:rPr>
              <w:t>(1)</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607,381</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1.8%</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66,666</w:t>
            </w:r>
          </w:p>
        </w:tc>
        <w:tc>
          <w:tcPr>
            <w:tcW w:w="1360" w:type="dxa"/>
            <w:vAlign w:val="bottom"/>
            <w:gridSpan w:val="3"/>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r>
      <w:tr>
        <w:trPr>
          <w:trHeight w:val="238"/>
        </w:trPr>
        <w:tc>
          <w:tcPr>
            <w:tcW w:w="2840" w:type="dxa"/>
            <w:vAlign w:val="bottom"/>
            <w:gridSpan w:val="4"/>
          </w:tcPr>
          <w:p>
            <w:pPr>
              <w:spacing w:after="0" w:line="239" w:lineRule="exact"/>
              <w:rPr>
                <w:sz w:val="20"/>
                <w:szCs w:val="20"/>
                <w:color w:val="auto"/>
              </w:rPr>
            </w:pPr>
            <w:r>
              <w:rPr>
                <w:rFonts w:ascii="Arial" w:cs="Arial" w:eastAsia="Arial" w:hAnsi="Arial"/>
                <w:sz w:val="17"/>
                <w:szCs w:val="17"/>
                <w:color w:val="auto"/>
              </w:rPr>
              <w:t>Andrew Kennedy Lang</w:t>
            </w:r>
            <w:r>
              <w:rPr>
                <w:rFonts w:ascii="Arial" w:cs="Arial" w:eastAsia="Arial" w:hAnsi="Arial"/>
                <w:sz w:val="27"/>
                <w:szCs w:val="27"/>
                <w:color w:val="auto"/>
                <w:vertAlign w:val="superscript"/>
              </w:rPr>
              <w:t>(2)</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8,034,360</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23.3%</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5,658,000</w:t>
            </w:r>
          </w:p>
        </w:tc>
        <w:tc>
          <w:tcPr>
            <w:tcW w:w="1360" w:type="dxa"/>
            <w:vAlign w:val="bottom"/>
            <w:gridSpan w:val="3"/>
          </w:tcPr>
          <w:p>
            <w:pPr>
              <w:jc w:val="right"/>
              <w:ind w:right="320"/>
              <w:spacing w:after="0"/>
              <w:rPr>
                <w:sz w:val="20"/>
                <w:szCs w:val="20"/>
                <w:color w:val="auto"/>
              </w:rPr>
            </w:pPr>
            <w:r>
              <w:rPr>
                <w:rFonts w:ascii="Arial" w:cs="Arial" w:eastAsia="Arial" w:hAnsi="Arial"/>
                <w:sz w:val="17"/>
                <w:szCs w:val="17"/>
                <w:color w:val="auto"/>
              </w:rPr>
              <w:t>17.6%</w:t>
            </w:r>
          </w:p>
        </w:tc>
        <w:tc>
          <w:tcPr>
            <w:tcW w:w="2420" w:type="dxa"/>
            <w:vAlign w:val="bottom"/>
          </w:tcPr>
          <w:p>
            <w:pPr>
              <w:spacing w:after="0"/>
              <w:rPr>
                <w:sz w:val="20"/>
                <w:szCs w:val="20"/>
                <w:color w:val="auto"/>
              </w:rPr>
            </w:pPr>
          </w:p>
        </w:tc>
      </w:tr>
      <w:tr>
        <w:trPr>
          <w:trHeight w:val="238"/>
        </w:trPr>
        <w:tc>
          <w:tcPr>
            <w:tcW w:w="2840" w:type="dxa"/>
            <w:vAlign w:val="bottom"/>
            <w:gridSpan w:val="4"/>
            <w:shd w:val="clear" w:color="auto" w:fill="CCFFCC"/>
          </w:tcPr>
          <w:p>
            <w:pPr>
              <w:spacing w:after="0" w:line="239" w:lineRule="exact"/>
              <w:rPr>
                <w:sz w:val="20"/>
                <w:szCs w:val="20"/>
                <w:color w:val="auto"/>
              </w:rPr>
            </w:pPr>
            <w:r>
              <w:rPr>
                <w:rFonts w:ascii="Arial" w:cs="Arial" w:eastAsia="Arial" w:hAnsi="Arial"/>
                <w:sz w:val="17"/>
                <w:szCs w:val="17"/>
                <w:color w:val="auto"/>
              </w:rPr>
              <w:t>Seth M. Siegel</w:t>
            </w:r>
            <w:r>
              <w:rPr>
                <w:rFonts w:ascii="Arial" w:cs="Arial" w:eastAsia="Arial" w:hAnsi="Arial"/>
                <w:sz w:val="27"/>
                <w:szCs w:val="27"/>
                <w:color w:val="auto"/>
                <w:vertAlign w:val="superscript"/>
              </w:rPr>
              <w:t>(1)</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619,289</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1.7%</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92,773</w:t>
            </w:r>
          </w:p>
        </w:tc>
        <w:tc>
          <w:tcPr>
            <w:tcW w:w="1360" w:type="dxa"/>
            <w:vAlign w:val="bottom"/>
            <w:gridSpan w:val="3"/>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r>
      <w:tr>
        <w:trPr>
          <w:trHeight w:val="238"/>
        </w:trPr>
        <w:tc>
          <w:tcPr>
            <w:tcW w:w="2840" w:type="dxa"/>
            <w:vAlign w:val="bottom"/>
            <w:gridSpan w:val="4"/>
          </w:tcPr>
          <w:p>
            <w:pPr>
              <w:spacing w:after="0" w:line="239" w:lineRule="exact"/>
              <w:rPr>
                <w:sz w:val="20"/>
                <w:szCs w:val="20"/>
                <w:color w:val="auto"/>
              </w:rPr>
            </w:pPr>
            <w:r>
              <w:rPr>
                <w:rFonts w:ascii="Arial" w:cs="Arial" w:eastAsia="Arial" w:hAnsi="Arial"/>
                <w:sz w:val="17"/>
                <w:szCs w:val="17"/>
                <w:color w:val="auto"/>
              </w:rPr>
              <w:t>Alexander R. Berger</w:t>
            </w:r>
            <w:r>
              <w:rPr>
                <w:rFonts w:ascii="Arial" w:cs="Arial" w:eastAsia="Arial" w:hAnsi="Arial"/>
                <w:sz w:val="27"/>
                <w:szCs w:val="27"/>
                <w:color w:val="auto"/>
                <w:vertAlign w:val="superscript"/>
              </w:rPr>
              <w:t>(2)</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2,678,120</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8.1%</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1,886,000</w:t>
            </w:r>
          </w:p>
        </w:tc>
        <w:tc>
          <w:tcPr>
            <w:tcW w:w="1360" w:type="dxa"/>
            <w:vAlign w:val="bottom"/>
            <w:gridSpan w:val="3"/>
          </w:tcPr>
          <w:p>
            <w:pPr>
              <w:jc w:val="right"/>
              <w:ind w:right="320"/>
              <w:spacing w:after="0"/>
              <w:rPr>
                <w:sz w:val="20"/>
                <w:szCs w:val="20"/>
                <w:color w:val="auto"/>
              </w:rPr>
            </w:pPr>
            <w:r>
              <w:rPr>
                <w:rFonts w:ascii="Arial" w:cs="Arial" w:eastAsia="Arial" w:hAnsi="Arial"/>
                <w:sz w:val="17"/>
                <w:szCs w:val="17"/>
                <w:color w:val="auto"/>
              </w:rPr>
              <w:t>5.9%</w:t>
            </w:r>
          </w:p>
        </w:tc>
        <w:tc>
          <w:tcPr>
            <w:tcW w:w="2420" w:type="dxa"/>
            <w:vAlign w:val="bottom"/>
          </w:tcPr>
          <w:p>
            <w:pPr>
              <w:spacing w:after="0"/>
              <w:rPr>
                <w:sz w:val="20"/>
                <w:szCs w:val="20"/>
                <w:color w:val="auto"/>
              </w:rPr>
            </w:pPr>
          </w:p>
        </w:tc>
      </w:tr>
      <w:tr>
        <w:trPr>
          <w:trHeight w:val="238"/>
        </w:trPr>
        <w:tc>
          <w:tcPr>
            <w:tcW w:w="2840" w:type="dxa"/>
            <w:vAlign w:val="bottom"/>
            <w:gridSpan w:val="4"/>
            <w:shd w:val="clear" w:color="auto" w:fill="CCFFCC"/>
          </w:tcPr>
          <w:p>
            <w:pPr>
              <w:spacing w:after="0" w:line="239" w:lineRule="exact"/>
              <w:rPr>
                <w:sz w:val="20"/>
                <w:szCs w:val="20"/>
                <w:color w:val="auto"/>
              </w:rPr>
            </w:pPr>
            <w:r>
              <w:rPr>
                <w:rFonts w:ascii="Arial" w:cs="Arial" w:eastAsia="Arial" w:hAnsi="Arial"/>
                <w:sz w:val="17"/>
                <w:szCs w:val="17"/>
                <w:color w:val="auto"/>
              </w:rPr>
              <w:t>John Engelman</w:t>
            </w:r>
            <w:r>
              <w:rPr>
                <w:rFonts w:ascii="Arial" w:cs="Arial" w:eastAsia="Arial" w:hAnsi="Arial"/>
                <w:sz w:val="27"/>
                <w:szCs w:val="27"/>
                <w:color w:val="auto"/>
                <w:vertAlign w:val="superscript"/>
              </w:rPr>
              <w:t>(2)</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201,533</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43,614</w:t>
            </w:r>
          </w:p>
        </w:tc>
        <w:tc>
          <w:tcPr>
            <w:tcW w:w="1360" w:type="dxa"/>
            <w:vAlign w:val="bottom"/>
            <w:gridSpan w:val="3"/>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r>
      <w:tr>
        <w:trPr>
          <w:trHeight w:val="238"/>
        </w:trPr>
        <w:tc>
          <w:tcPr>
            <w:tcW w:w="2840" w:type="dxa"/>
            <w:vAlign w:val="bottom"/>
            <w:gridSpan w:val="4"/>
          </w:tcPr>
          <w:p>
            <w:pPr>
              <w:spacing w:after="0" w:line="239" w:lineRule="exact"/>
              <w:rPr>
                <w:sz w:val="20"/>
                <w:szCs w:val="20"/>
                <w:color w:val="auto"/>
              </w:rPr>
            </w:pPr>
            <w:r>
              <w:rPr>
                <w:rFonts w:ascii="Arial" w:cs="Arial" w:eastAsia="Arial" w:hAnsi="Arial"/>
                <w:sz w:val="17"/>
                <w:szCs w:val="17"/>
                <w:color w:val="auto"/>
              </w:rPr>
              <w:t>Donald E. Stout</w:t>
            </w:r>
            <w:r>
              <w:rPr>
                <w:rFonts w:ascii="Arial" w:cs="Arial" w:eastAsia="Arial" w:hAnsi="Arial"/>
                <w:sz w:val="27"/>
                <w:szCs w:val="27"/>
                <w:color w:val="auto"/>
                <w:vertAlign w:val="superscript"/>
              </w:rPr>
              <w:t>(2)</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1,083,195</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3.3%</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733,814</w:t>
            </w:r>
          </w:p>
        </w:tc>
        <w:tc>
          <w:tcPr>
            <w:tcW w:w="1360" w:type="dxa"/>
            <w:vAlign w:val="bottom"/>
            <w:gridSpan w:val="3"/>
          </w:tcPr>
          <w:p>
            <w:pPr>
              <w:jc w:val="right"/>
              <w:ind w:right="320"/>
              <w:spacing w:after="0"/>
              <w:rPr>
                <w:sz w:val="20"/>
                <w:szCs w:val="20"/>
                <w:color w:val="auto"/>
              </w:rPr>
            </w:pPr>
            <w:r>
              <w:rPr>
                <w:rFonts w:ascii="Arial" w:cs="Arial" w:eastAsia="Arial" w:hAnsi="Arial"/>
                <w:sz w:val="17"/>
                <w:szCs w:val="17"/>
                <w:color w:val="auto"/>
              </w:rPr>
              <w:t>2.9%</w:t>
            </w:r>
          </w:p>
        </w:tc>
        <w:tc>
          <w:tcPr>
            <w:tcW w:w="2420" w:type="dxa"/>
            <w:vAlign w:val="bottom"/>
          </w:tcPr>
          <w:p>
            <w:pPr>
              <w:spacing w:after="0"/>
              <w:rPr>
                <w:sz w:val="20"/>
                <w:szCs w:val="20"/>
                <w:color w:val="auto"/>
              </w:rPr>
            </w:pPr>
          </w:p>
        </w:tc>
      </w:tr>
      <w:tr>
        <w:trPr>
          <w:trHeight w:val="238"/>
        </w:trPr>
        <w:tc>
          <w:tcPr>
            <w:tcW w:w="2840" w:type="dxa"/>
            <w:vAlign w:val="bottom"/>
            <w:gridSpan w:val="4"/>
            <w:shd w:val="clear" w:color="auto" w:fill="CCFFCC"/>
          </w:tcPr>
          <w:p>
            <w:pPr>
              <w:spacing w:after="0" w:line="239" w:lineRule="exact"/>
              <w:rPr>
                <w:sz w:val="20"/>
                <w:szCs w:val="20"/>
                <w:color w:val="auto"/>
              </w:rPr>
            </w:pPr>
            <w:r>
              <w:rPr>
                <w:rFonts w:ascii="Arial" w:cs="Arial" w:eastAsia="Arial" w:hAnsi="Arial"/>
                <w:sz w:val="17"/>
                <w:szCs w:val="17"/>
                <w:color w:val="auto"/>
              </w:rPr>
              <w:t>H. Van Sinclair</w:t>
            </w:r>
            <w:r>
              <w:rPr>
                <w:rFonts w:ascii="Arial" w:cs="Arial" w:eastAsia="Arial" w:hAnsi="Arial"/>
                <w:sz w:val="27"/>
                <w:szCs w:val="27"/>
                <w:color w:val="auto"/>
                <w:vertAlign w:val="superscript"/>
              </w:rPr>
              <w:t>(2)</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171,400</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120,704</w:t>
            </w:r>
          </w:p>
        </w:tc>
        <w:tc>
          <w:tcPr>
            <w:tcW w:w="1360" w:type="dxa"/>
            <w:vAlign w:val="bottom"/>
            <w:gridSpan w:val="3"/>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r>
      <w:tr>
        <w:trPr>
          <w:trHeight w:val="238"/>
        </w:trPr>
        <w:tc>
          <w:tcPr>
            <w:tcW w:w="2840" w:type="dxa"/>
            <w:vAlign w:val="bottom"/>
            <w:gridSpan w:val="4"/>
          </w:tcPr>
          <w:p>
            <w:pPr>
              <w:spacing w:after="0" w:line="239" w:lineRule="exact"/>
              <w:rPr>
                <w:sz w:val="20"/>
                <w:szCs w:val="20"/>
                <w:color w:val="auto"/>
              </w:rPr>
            </w:pPr>
            <w:r>
              <w:rPr>
                <w:rFonts w:ascii="Arial" w:cs="Arial" w:eastAsia="Arial" w:hAnsi="Arial"/>
                <w:sz w:val="17"/>
                <w:szCs w:val="17"/>
                <w:color w:val="auto"/>
              </w:rPr>
              <w:t>Ellen Cohl</w:t>
            </w:r>
            <w:r>
              <w:rPr>
                <w:rFonts w:ascii="Arial" w:cs="Arial" w:eastAsia="Arial" w:hAnsi="Arial"/>
                <w:sz w:val="27"/>
                <w:szCs w:val="27"/>
                <w:color w:val="auto"/>
                <w:vertAlign w:val="superscript"/>
              </w:rPr>
              <w:t>(1)</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231,750</w:t>
            </w:r>
          </w:p>
        </w:tc>
        <w:tc>
          <w:tcPr>
            <w:tcW w:w="94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35,000</w:t>
            </w:r>
          </w:p>
        </w:tc>
        <w:tc>
          <w:tcPr>
            <w:tcW w:w="136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81"/>
        </w:trPr>
        <w:tc>
          <w:tcPr>
            <w:tcW w:w="2840" w:type="dxa"/>
            <w:vAlign w:val="bottom"/>
            <w:gridSpan w:val="4"/>
            <w:shd w:val="clear" w:color="auto" w:fill="CCFFCC"/>
          </w:tcPr>
          <w:p>
            <w:pPr>
              <w:spacing w:after="0" w:line="180" w:lineRule="exact"/>
              <w:rPr>
                <w:sz w:val="20"/>
                <w:szCs w:val="20"/>
                <w:color w:val="auto"/>
              </w:rPr>
            </w:pPr>
            <w:r>
              <w:rPr>
                <w:rFonts w:ascii="Arial" w:cs="Arial" w:eastAsia="Arial" w:hAnsi="Arial"/>
                <w:sz w:val="17"/>
                <w:szCs w:val="17"/>
                <w:b w:val="1"/>
                <w:bCs w:val="1"/>
                <w:i w:val="1"/>
                <w:iCs w:val="1"/>
                <w:color w:val="auto"/>
                <w:w w:val="88"/>
              </w:rPr>
              <w:t>All executive officers and directors as a</w:t>
            </w:r>
          </w:p>
        </w:tc>
        <w:tc>
          <w:tcPr>
            <w:tcW w:w="1220" w:type="dxa"/>
            <w:vAlign w:val="bottom"/>
            <w:gridSpan w:val="2"/>
            <w:shd w:val="clear" w:color="auto" w:fill="CCFFCC"/>
          </w:tcPr>
          <w:p>
            <w:pPr>
              <w:jc w:val="right"/>
              <w:ind w:right="80"/>
              <w:spacing w:after="0" w:line="180" w:lineRule="exact"/>
              <w:rPr>
                <w:sz w:val="20"/>
                <w:szCs w:val="20"/>
                <w:color w:val="auto"/>
              </w:rPr>
            </w:pPr>
            <w:r>
              <w:rPr>
                <w:rFonts w:ascii="Arial" w:cs="Arial" w:eastAsia="Arial" w:hAnsi="Arial"/>
                <w:sz w:val="17"/>
                <w:szCs w:val="17"/>
                <w:color w:val="auto"/>
              </w:rPr>
              <w:t>13,627,028</w:t>
            </w:r>
          </w:p>
        </w:tc>
        <w:tc>
          <w:tcPr>
            <w:tcW w:w="940" w:type="dxa"/>
            <w:vAlign w:val="bottom"/>
            <w:gridSpan w:val="3"/>
            <w:shd w:val="clear" w:color="auto" w:fill="CCFFCC"/>
          </w:tcPr>
          <w:p>
            <w:pPr>
              <w:jc w:val="right"/>
              <w:ind w:right="140"/>
              <w:spacing w:after="0" w:line="180" w:lineRule="exact"/>
              <w:rPr>
                <w:sz w:val="20"/>
                <w:szCs w:val="20"/>
                <w:color w:val="auto"/>
              </w:rPr>
            </w:pPr>
            <w:r>
              <w:rPr>
                <w:rFonts w:ascii="Arial" w:cs="Arial" w:eastAsia="Arial" w:hAnsi="Arial"/>
                <w:sz w:val="17"/>
                <w:szCs w:val="17"/>
                <w:color w:val="auto"/>
              </w:rPr>
              <w:t>36.7%</w:t>
            </w:r>
          </w:p>
        </w:tc>
        <w:tc>
          <w:tcPr>
            <w:tcW w:w="1260" w:type="dxa"/>
            <w:vAlign w:val="bottom"/>
            <w:gridSpan w:val="3"/>
            <w:shd w:val="clear" w:color="auto" w:fill="CCFFCC"/>
          </w:tcPr>
          <w:p>
            <w:pPr>
              <w:jc w:val="right"/>
              <w:ind w:right="80"/>
              <w:spacing w:after="0" w:line="180" w:lineRule="exact"/>
              <w:rPr>
                <w:sz w:val="20"/>
                <w:szCs w:val="20"/>
                <w:color w:val="auto"/>
              </w:rPr>
            </w:pPr>
            <w:r>
              <w:rPr>
                <w:rFonts w:ascii="Arial" w:cs="Arial" w:eastAsia="Arial" w:hAnsi="Arial"/>
                <w:sz w:val="17"/>
                <w:szCs w:val="17"/>
                <w:color w:val="auto"/>
              </w:rPr>
              <w:t>8,636,571</w:t>
            </w:r>
          </w:p>
        </w:tc>
        <w:tc>
          <w:tcPr>
            <w:tcW w:w="1360" w:type="dxa"/>
            <w:vAlign w:val="bottom"/>
            <w:gridSpan w:val="3"/>
            <w:shd w:val="clear" w:color="auto" w:fill="CCFFCC"/>
          </w:tcPr>
          <w:p>
            <w:pPr>
              <w:jc w:val="right"/>
              <w:ind w:right="320"/>
              <w:spacing w:after="0" w:line="180" w:lineRule="exact"/>
              <w:rPr>
                <w:sz w:val="20"/>
                <w:szCs w:val="20"/>
                <w:color w:val="auto"/>
              </w:rPr>
            </w:pPr>
            <w:r>
              <w:rPr>
                <w:rFonts w:ascii="Arial" w:cs="Arial" w:eastAsia="Arial" w:hAnsi="Arial"/>
                <w:sz w:val="17"/>
                <w:szCs w:val="17"/>
                <w:color w:val="auto"/>
              </w:rPr>
              <w:t>26.9%</w:t>
            </w:r>
          </w:p>
        </w:tc>
        <w:tc>
          <w:tcPr>
            <w:tcW w:w="2420" w:type="dxa"/>
            <w:vAlign w:val="bottom"/>
          </w:tcPr>
          <w:p>
            <w:pPr>
              <w:spacing w:after="0"/>
              <w:rPr>
                <w:sz w:val="15"/>
                <w:szCs w:val="15"/>
                <w:color w:val="auto"/>
              </w:rPr>
            </w:pPr>
          </w:p>
        </w:tc>
      </w:tr>
      <w:tr>
        <w:trPr>
          <w:trHeight w:val="213"/>
        </w:trPr>
        <w:tc>
          <w:tcPr>
            <w:tcW w:w="2840" w:type="dxa"/>
            <w:vAlign w:val="bottom"/>
            <w:gridSpan w:val="4"/>
            <w:shd w:val="clear" w:color="auto" w:fill="CCFFCC"/>
          </w:tcPr>
          <w:p>
            <w:pPr>
              <w:ind w:left="160"/>
              <w:spacing w:after="0"/>
              <w:rPr>
                <w:sz w:val="20"/>
                <w:szCs w:val="20"/>
                <w:color w:val="auto"/>
              </w:rPr>
            </w:pPr>
            <w:r>
              <w:rPr>
                <w:rFonts w:ascii="Arial" w:cs="Arial" w:eastAsia="Arial" w:hAnsi="Arial"/>
                <w:sz w:val="17"/>
                <w:szCs w:val="17"/>
                <w:b w:val="1"/>
                <w:bCs w:val="1"/>
                <w:i w:val="1"/>
                <w:iCs w:val="1"/>
                <w:color w:val="auto"/>
              </w:rPr>
              <w:t>group (8 persons)</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714"/>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53"/>
              <w:spacing w:after="0"/>
              <w:rPr>
                <w:sz w:val="20"/>
                <w:szCs w:val="20"/>
                <w:color w:val="auto"/>
              </w:rPr>
            </w:pPr>
            <w:r>
              <w:rPr>
                <w:rFonts w:ascii="Arial" w:cs="Arial" w:eastAsia="Arial" w:hAnsi="Arial"/>
                <w:sz w:val="17"/>
                <w:szCs w:val="17"/>
                <w:color w:val="auto"/>
              </w:rPr>
              <w:t>37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-7295515</wp:posOffset>
            </wp:positionV>
            <wp:extent cx="48374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5727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Does not exceed 1% of the class</w:t>
      </w:r>
    </w:p>
    <w:p>
      <w:pPr>
        <w:spacing w:after="0" w:line="105" w:lineRule="exact"/>
        <w:rPr>
          <w:sz w:val="20"/>
          <w:szCs w:val="20"/>
          <w:color w:val="auto"/>
        </w:rPr>
      </w:pPr>
    </w:p>
    <w:p>
      <w:pPr>
        <w:ind w:left="260" w:hanging="250"/>
        <w:spacing w:after="0"/>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address of each listed stockholder is c/o Vringo Inc., 44 W. 28th Street New York, New York, 10001.</w:t>
      </w:r>
    </w:p>
    <w:p>
      <w:pPr>
        <w:spacing w:after="0" w:line="105"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address of each listed stockholder is c/o Innovate/Protect, Inc., 380 Madison Avenue, 22nd Floor, New York, New York 10017.</w:t>
      </w:r>
    </w:p>
    <w:p>
      <w:pPr>
        <w:spacing w:after="0" w:line="6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May 25, 2012.</w:t>
      </w:r>
    </w:p>
    <w:p>
      <w:pPr>
        <w:spacing w:after="0" w:line="66" w:lineRule="exact"/>
        <w:rPr>
          <w:rFonts w:ascii="Arial" w:cs="Arial" w:eastAsia="Arial" w:hAnsi="Arial"/>
          <w:sz w:val="17"/>
          <w:szCs w:val="17"/>
          <w:color w:val="auto"/>
        </w:rPr>
      </w:pPr>
    </w:p>
    <w:p>
      <w:pPr>
        <w:ind w:left="260" w:hanging="250"/>
        <w:spacing w:after="0"/>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Aggregates shares owned by Donald E. Stout and the Donald E. and Mary Stout Trust, which Mr. Stout controls.</w:t>
      </w:r>
    </w:p>
    <w:p>
      <w:pPr>
        <w:spacing w:after="0" w:line="105" w:lineRule="exact"/>
        <w:rPr>
          <w:rFonts w:ascii="Arial" w:cs="Arial" w:eastAsia="Arial" w:hAnsi="Arial"/>
          <w:sz w:val="17"/>
          <w:szCs w:val="17"/>
          <w:color w:val="auto"/>
        </w:rPr>
      </w:pPr>
    </w:p>
    <w:p>
      <w:pPr>
        <w:jc w:val="both"/>
        <w:ind w:left="260" w:right="1239" w:hanging="250"/>
        <w:spacing w:after="0" w:line="282" w:lineRule="auto"/>
        <w:tabs>
          <w:tab w:leader="none" w:pos="2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 addition to any shares of Vringo common stock that Hudson Bay and its affiliates will hold after the Merger, Hudson Bay Master Fund Ltd. will hold warrants exercisable for shares of common stock, and 6,181 shares of Vringo preferred stock convertible into shares of Vringo common stock. In accordance with the Certificate of Designations, Preferences and Rights of Series A Convertible Preferred Stock with respect to the Vringo preferred stock to be filed by Vringo prior to the consummation of the Merger and the terms of the Vringo warrants to be received in connection with the Merger, Hudson Bay may not convert any of the Vringo preferred stock or exercise its warrants to purchase Vringo common stock to the extent that after giving effect to such conversion or exercise, as the case may be, Hudson Bay (together with its affiliates) would have acquired, through conversion of Vringo preferred stock, exercise of Vringo warrants or otherwise, beneficial ownership of a number of shares of Vringo common Stock that exceeds 9.99% of the number of shares of Vringo common stock outstanding immediately after giving effect to such conversion, excluding for purposes of such determination, shares of Vringo common stock issuable upon conversion of the Vringo preferred stock or exercise of the Vringo warrants that have not been converted or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Vringo common stock.</w:t>
      </w:r>
    </w:p>
    <w:p>
      <w:pPr>
        <w:spacing w:after="0" w:line="67" w:lineRule="exact"/>
        <w:rPr>
          <w:rFonts w:ascii="Arial" w:cs="Arial" w:eastAsia="Arial" w:hAnsi="Arial"/>
          <w:sz w:val="15"/>
          <w:szCs w:val="15"/>
          <w:color w:val="auto"/>
        </w:rPr>
      </w:pPr>
    </w:p>
    <w:p>
      <w:pPr>
        <w:jc w:val="both"/>
        <w:ind w:left="260" w:right="1239" w:hanging="250"/>
        <w:spacing w:after="0" w:line="269" w:lineRule="auto"/>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65" w:lineRule="exact"/>
        <w:rPr>
          <w:rFonts w:ascii="Arial" w:cs="Arial" w:eastAsia="Arial" w:hAnsi="Arial"/>
          <w:sz w:val="16"/>
          <w:szCs w:val="16"/>
          <w:color w:val="auto"/>
        </w:rPr>
      </w:pPr>
    </w:p>
    <w:p>
      <w:pPr>
        <w:ind w:left="260" w:hanging="250"/>
        <w:spacing w:after="0"/>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Does not include options, warrants or other convertible securities held by the principal stockholders.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Because the market price of Vringo common stock is subject to fluctuation, the market value of the shares of Vringo common stock that holders of Innovate/Protect capital stock will receive in the Merger may increase or decrease. The foregoing information reflects only historical information.</w:t>
      </w:r>
    </w:p>
    <w:p>
      <w:pPr>
        <w:spacing w:after="0" w:line="76"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Following the completion of the Merger and successful reapplication to the NYSE Amex for initial inclusion of the Vringo common stock on the NYSE Amex, the common stock of Vringo, including the shares of Vringo common stock issued to Innovate/Protect stockholders in connection with the Merger, will continue to be listed on the NYSE Amex.</w:t>
      </w: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109" w:lineRule="exact"/>
        <w:rPr>
          <w:sz w:val="20"/>
          <w:szCs w:val="20"/>
          <w:color w:val="auto"/>
        </w:rPr>
      </w:pPr>
    </w:p>
    <w:p>
      <w:pPr>
        <w:jc w:val="both"/>
        <w:ind w:left="40" w:right="1239" w:firstLine="251"/>
        <w:spacing w:after="0" w:line="263" w:lineRule="auto"/>
        <w:rPr>
          <w:sz w:val="20"/>
          <w:szCs w:val="20"/>
          <w:color w:val="auto"/>
        </w:rPr>
      </w:pPr>
      <w:r>
        <w:rPr>
          <w:rFonts w:ascii="Arial" w:cs="Arial" w:eastAsia="Arial" w:hAnsi="Arial"/>
          <w:sz w:val="16"/>
          <w:szCs w:val="16"/>
          <w:color w:val="auto"/>
        </w:rPr>
        <w:t>This proxy statement/prospectus and the other documents referred to in this proxy statement/prospectus contain or may contain forward-looking statements of Vringo within the meaning of Section 21E of the Exchange Act, which is applicable to Vringo but not to Innovate/Protect because Vringo, unlike Innovate/Protect, is a public company subject to the reporting requirements of the Exchange Act. For this purpose, any statements contained herein, other than statements of historical fact, may be forward-looking statements under the provisions of the Private Securities Litigation Reform Act of 1995. Such statements can be identified by the fact that they do not relate strictly to historical or current facts. Statements that include words such as may, will, project, might, expect, believe, anticipate, intend, could, would, estimate, continue or pursue or the negative of these words or other words or expressions of similar meaning may identify forward-looking statements. These forward-looking statements are found at various places throughout this proxy statement/prospectus and the other documents referred to and relate to a variety of matters, including but not limited to (i) the timing and anticipated completion of the Merger, (ii) the benefits expected to result from the Merger, (iii) the anticipated business of the combined company following the completion of the Merger, and (iv) other statements that are not purely statements of historical fact. These forward-looking statements are made on the basis of the current beliefs, expectations, and assumptions of management are not guarantees of performance and are subject to significant risks and uncertainty. These forward-looking statements should, therefore, be considered in light of various important factors, including those set forth in this proxy statement/prospectus and those that are referred to in this proxy statement/prospectus. Important factors that could cause actual results to differ materially from those described in forward-looking statements contained herein include, but are not limited to:</w:t>
      </w:r>
    </w:p>
    <w:p>
      <w:pPr>
        <w:spacing w:after="0" w:line="81" w:lineRule="exact"/>
        <w:rPr>
          <w:sz w:val="20"/>
          <w:szCs w:val="20"/>
          <w:color w:val="auto"/>
        </w:rPr>
      </w:pPr>
    </w:p>
    <w:p>
      <w:pPr>
        <w:ind w:left="560" w:hanging="300"/>
        <w:spacing w:after="0"/>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expected timetable for completing the transaction;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potential value created by the Merger for Vringo’s and Innovate/Protect’s stockholders;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potential of the combined company’s technology platform;</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respective or combined ability to raise capital to fund the combined operations and business plan;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continued listing of Vringo’s or the combined company’s securities on the NYSE Amex;</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market acceptance of Vringo products;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collective ability to protect intellectual property rights;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competition from other providers and products;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ability to license and monetize the patents owned by Innovate/Protect, including the outcome of the Litigation against online search firms and other companies; and</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combined company’s management and board of directors.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addition to the risk factors identified elsewhere, various important risks and uncertainties affecting each of Vringo and Innovate/Protect may cause the actual results of the combined company to differ materially from the results indicated by the forward-looking statement in this proxy statement/prospectus, including without limitation:</w:t>
      </w:r>
    </w:p>
    <w:p>
      <w:pPr>
        <w:spacing w:after="0" w:line="76" w:lineRule="exact"/>
        <w:rPr>
          <w:sz w:val="20"/>
          <w:szCs w:val="20"/>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financial condition, financing requirements, prospects and cash flow of Vringo and Innovate/Protect;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expectations regarding potential growth;</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inability to have Vringo securities listed for trading on the NYSE Amex or another national securities exchange;</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loss of strategic relationships;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competitive position;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introduction and proliferation of competitive products;</w:t>
      </w:r>
    </w:p>
    <w:p>
      <w:pPr>
        <w:spacing w:after="0" w:line="200" w:lineRule="exact"/>
        <w:rPr>
          <w:sz w:val="20"/>
          <w:szCs w:val="20"/>
          <w:color w:val="auto"/>
        </w:rPr>
      </w:pPr>
    </w:p>
    <w:p>
      <w:pPr>
        <w:spacing w:after="0" w:line="31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changes in technology;</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inability to achieve sustained profitability;</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failure to implement short- or long-term growth strategies;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decrease in the market price for the securities;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cost of retaining and recruiting key personnel or the loss of such key personnel;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compliance with applicable laws;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ability to maintain or protect the validity of patents and other intellectual property;</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ability to obtain a positive verdict or settlement arrangement in Innovate/Protect’s initial Litigation;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ability to internally develop new inventions and intellectual property;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liquidity.</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You are cautioned not to place undue reliance on these forward-looking statements, which speak only as of the date of this proxy statement/prospectus or, in the case of documents referred to in this proxy statement/prospectus, as of the date of those documents. Vringo disclaims any obligation to publicly update or release any revisions to these forward-looking statements, whether as a result of new information, future events or otherwise, after the date of this proxy statement/prospectus or to reflect the occurrence of unanticipated events, except as required by law.</w:t>
      </w:r>
    </w:p>
    <w:p>
      <w:pPr>
        <w:spacing w:after="0" w:line="200" w:lineRule="exact"/>
        <w:rPr>
          <w:sz w:val="20"/>
          <w:szCs w:val="20"/>
          <w:color w:val="auto"/>
        </w:rPr>
      </w:pPr>
    </w:p>
    <w:p>
      <w:pPr>
        <w:spacing w:after="0" w:line="29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RISK FACTORS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i w:val="1"/>
          <w:iCs w:val="1"/>
          <w:color w:val="auto"/>
        </w:rPr>
        <w:t xml:space="preserve">In addition to the other information included and referred to in this proxy statement/prospectus, including the matters addressed in the section entitled “Cautionary Statement Regarding Forward-Looking Statements” beginning on page </w:t>
      </w:r>
      <w:r>
        <w:rPr>
          <w:rFonts w:ascii="Arial" w:cs="Arial" w:eastAsia="Arial" w:hAnsi="Arial"/>
          <w:sz w:val="16"/>
          <w:szCs w:val="16"/>
          <w:i w:val="1"/>
          <w:iCs w:val="1"/>
          <w:u w:val="single" w:color="auto"/>
          <w:color w:val="0000EE"/>
        </w:rPr>
        <w:t>39</w:t>
      </w:r>
      <w:r>
        <w:rPr>
          <w:rFonts w:ascii="Arial" w:cs="Arial" w:eastAsia="Arial" w:hAnsi="Arial"/>
          <w:sz w:val="16"/>
          <w:szCs w:val="16"/>
          <w:i w:val="1"/>
          <w:iCs w:val="1"/>
          <w:color w:val="auto"/>
        </w:rPr>
        <w:t>, you should carefully consider the following risk factors before deciding how to vote your shares of Vringo common stock at the Vringo annual meeting. These factors should be considered in conjunction with the other information included by Vringo in this proxy statement/prospectus. If any of the risks described below or referred to in this proxy statement/prospectus actually materialize, the business, financial condition, results of operations, or prospects of Vringo, Innovate/Protect, and/or the combined company, or the stock price of Vringo and/or the combined company, could be materially and adversely affected.</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the Merger</w:t>
      </w:r>
    </w:p>
    <w:p>
      <w:pPr>
        <w:spacing w:after="0" w:line="105"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issuance of Vringo’s securities to Innovate/Protect security holders in connection with the Merger will substantially dilute the voting power of current Vringo stockholders.</w:t>
      </w:r>
    </w:p>
    <w:p>
      <w:pPr>
        <w:spacing w:after="0" w:line="62"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i w:val="1"/>
          <w:iCs w:val="1"/>
          <w:color w:val="auto"/>
        </w:rPr>
        <w:t>Pursuant to the terms of the Merger Agreement, it is anticipated that Vringo will issue to Innovate/Protect common and preferred stockholders shares of Vringo common stock and Vringo preferred stock, and warrants to purchase shares of Vringo common stock. After such issuance (without taking into account any shares of Vringo common stock held by Innovate/Protect stockholders prior to the completion of the Merger), the stockholders of Innovate/Protect are expected to own approximately 56.30% of the outstanding common stock of the combined company (or 67.55% of the outstanding common stock of the combined company calculated on a fully diluted basis) and the stockholders of Vringo are expected to own approximately 43.70% of the outstanding common stock of the combined company (or 32.45% of the outstanding common stock of the combined company calculated on a fully diluted basis). Accordingly, the issuance of shares of Vringo common stock to Innovate/Protect stockholders in connection with the Merger will significantly reduce the relative voting power of each share of Vringo common stock held by current Vringo stockholders.</w:t>
      </w:r>
    </w:p>
    <w:p>
      <w:pPr>
        <w:spacing w:after="0" w:line="70" w:lineRule="exact"/>
        <w:rPr>
          <w:sz w:val="20"/>
          <w:szCs w:val="20"/>
          <w:color w:val="auto"/>
        </w:rPr>
      </w:pPr>
    </w:p>
    <w:p>
      <w:pPr>
        <w:jc w:val="both"/>
        <w:ind w:left="40" w:right="1239" w:firstLine="251"/>
        <w:spacing w:after="0" w:line="340" w:lineRule="auto"/>
        <w:rPr>
          <w:sz w:val="20"/>
          <w:szCs w:val="20"/>
          <w:color w:val="auto"/>
        </w:rPr>
      </w:pPr>
      <w:r>
        <w:rPr>
          <w:rFonts w:ascii="Arial" w:cs="Arial" w:eastAsia="Arial" w:hAnsi="Arial"/>
          <w:sz w:val="15"/>
          <w:szCs w:val="15"/>
          <w:b w:val="1"/>
          <w:bCs w:val="1"/>
          <w:color w:val="auto"/>
        </w:rPr>
        <w:t>The announcement and pendency of the Merger could have an adverse effect on the business prospects for Vringo and/or Innovate/Protect and on Vringo’s stock price and/or business, financial condition or results of operations.</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While there have been no significant adverse effects to date, the announcement and pendency of the Merger could disrupt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Vringo’s and/or Innovate/Protect’s prospective and current businesses in the following ways, among others:</w:t>
      </w:r>
    </w:p>
    <w:p>
      <w:pPr>
        <w:spacing w:after="0" w:line="93" w:lineRule="exact"/>
        <w:rPr>
          <w:sz w:val="20"/>
          <w:szCs w:val="20"/>
          <w:color w:val="auto"/>
        </w:rPr>
      </w:pPr>
    </w:p>
    <w:p>
      <w:pPr>
        <w:jc w:val="both"/>
        <w:ind w:left="560" w:right="1239" w:hanging="300"/>
        <w:spacing w:after="0" w:line="270" w:lineRule="auto"/>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third parties, including customers, suppliers and operators, may seek to terminate and/or renegotiate their relationships with Vringo or Innovate/Protect or decide not to conduct business with either Vringo or Innovate/Protect as a result of the Merger, whether pursuant to the terms of their existing agreements with Vringo and/or Innovate/Protect or otherwise. For example, Google, Inc. who was named as a defendant in the Litigation, may decline to conduct any business with Vringo or may seek to assert patent litigation claims against Vringo; and</w:t>
      </w:r>
    </w:p>
    <w:p>
      <w:pPr>
        <w:spacing w:after="0" w:line="67" w:lineRule="exact"/>
        <w:rPr>
          <w:rFonts w:ascii="Arial" w:cs="Arial" w:eastAsia="Arial" w:hAnsi="Arial"/>
          <w:sz w:val="16"/>
          <w:szCs w:val="16"/>
          <w:color w:val="auto"/>
        </w:rPr>
      </w:pPr>
    </w:p>
    <w:p>
      <w:pPr>
        <w:jc w:val="both"/>
        <w:ind w:left="560" w:right="1239" w:hanging="300"/>
        <w:spacing w:after="0" w:line="256" w:lineRule="auto"/>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attention of Vringo and/or Innovate/Protect management may be directed toward the completion of the Merger and related matters and may be diverted from the day-to-day business operations of their respective companies, including from other opportunities that might otherwise be beneficial to Vringo or Innovate/Protect.</w:t>
      </w:r>
    </w:p>
    <w:p>
      <w:pPr>
        <w:spacing w:after="0" w:line="7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Should they occur, any of these matters could adversely affect the stock price of Vringo or harm the financial condition, results of operations, or business prospects of Vringo, Innovate/Protect, and/or the combined company.</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Failure to complete the Merger or delays in completing the Merger could negatively impact Vringo’s business, financial condition, or results of operations or Vringo’s stock price.</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completion of the Merger is subject to a number of conditions and there can be no assurance that the conditions to the completion of the Merger will be satisfied at all or satisfied in a timely manner. If the Merger is not completed or delayed, Vringo will be subject to several risks, including:</w:t>
      </w:r>
    </w:p>
    <w:p>
      <w:pPr>
        <w:spacing w:after="0" w:line="76" w:lineRule="exact"/>
        <w:rPr>
          <w:sz w:val="20"/>
          <w:szCs w:val="20"/>
          <w:color w:val="auto"/>
        </w:rPr>
      </w:pPr>
    </w:p>
    <w:p>
      <w:pPr>
        <w:jc w:val="both"/>
        <w:ind w:left="560" w:right="1239" w:hanging="300"/>
        <w:spacing w:after="0" w:line="256" w:lineRule="auto"/>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current trading price of Vringo common stock may reflect a market assumption that the Merger will occur, meaning that a failure to complete the Merger or delays in completing the Merger could result in a decline in the price of Vringo common stock;</w:t>
      </w:r>
    </w:p>
    <w:p>
      <w:pPr>
        <w:spacing w:after="0" w:line="76" w:lineRule="exact"/>
        <w:rPr>
          <w:rFonts w:ascii="Arial" w:cs="Arial" w:eastAsia="Arial" w:hAnsi="Arial"/>
          <w:sz w:val="17"/>
          <w:szCs w:val="17"/>
          <w:color w:val="auto"/>
        </w:rPr>
      </w:pPr>
    </w:p>
    <w:p>
      <w:pPr>
        <w:jc w:val="both"/>
        <w:ind w:left="560" w:right="1239" w:hanging="300"/>
        <w:spacing w:after="0" w:line="280" w:lineRule="auto"/>
        <w:tabs>
          <w:tab w:leader="none" w:pos="5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certain executive officers and/or directors of Vringo or Innovate/Protect may seek other employment opportunities, and the departure of any of Vringo’s or Innovate/Protect’s executive officers and the possibility that Vringo would be unable to recruit and hire experienced executives could negatively impact Vringo’s future business;</w:t>
      </w:r>
    </w:p>
    <w:p>
      <w:pPr>
        <w:spacing w:after="0" w:line="57" w:lineRule="exact"/>
        <w:rPr>
          <w:rFonts w:ascii="Arial" w:cs="Arial" w:eastAsia="Arial" w:hAnsi="Arial"/>
          <w:sz w:val="16"/>
          <w:szCs w:val="16"/>
          <w:color w:val="auto"/>
        </w:rPr>
      </w:pPr>
    </w:p>
    <w:p>
      <w:pPr>
        <w:jc w:val="both"/>
        <w:ind w:left="560" w:right="1239" w:hanging="300"/>
        <w:spacing w:after="0" w:line="256" w:lineRule="auto"/>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Vringo board of directors will need to reevaluate Vringo’s strategic alternatives, such alternatives will include other merger and acquisition opportunities and/or additional financing necessary to ensure that Vringo will continue to operate as a going concern;</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Vringo may be delisted from the NYSE Amex for failure to comply with NYSE Amex requirements related to minimum stockholders’ equity;</w:t>
      </w:r>
    </w:p>
    <w:p>
      <w:pPr>
        <w:spacing w:after="0" w:line="66" w:lineRule="exact"/>
        <w:rPr>
          <w:rFonts w:ascii="Arial" w:cs="Arial" w:eastAsia="Arial" w:hAnsi="Arial"/>
          <w:sz w:val="17"/>
          <w:szCs w:val="17"/>
          <w:color w:val="auto"/>
        </w:rPr>
      </w:pPr>
    </w:p>
    <w:p>
      <w:pPr>
        <w:jc w:val="both"/>
        <w:ind w:left="560" w:right="1239" w:hanging="300"/>
        <w:spacing w:after="0" w:line="274" w:lineRule="auto"/>
        <w:tabs>
          <w:tab w:leader="none" w:pos="5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Under certain circumstances, if the Merger is terminated by either Vringo or Innovate/Protect in connection with or due to Vringo entering into an alternate transaction constituting a superior proposal, then Vringo is required to pay to Innovate/Protect a fee equal to 5% of the consideration paid to all security holders of Vringo in connection with such superior proposal in the same form as such consideration is paid to such security holders;</w:t>
      </w:r>
    </w:p>
    <w:p>
      <w:pPr>
        <w:spacing w:after="0" w:line="61"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Vringo is expected to incur substantial transaction costs in connection with the Merger whether or not the Merger is completed; and</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Vringo would not realize any of the anticipated benefits of having completed the Merger.</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If the Merger is not completed, these risks may materialize and materially and adversely affect Vringo’s business, financial condition, results of operations, and Vringo’s stock price.</w:t>
      </w:r>
    </w:p>
    <w:p>
      <w:pPr>
        <w:spacing w:after="0" w:line="62"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Any delay in completing the Merger may substantially reduce the benefits that Vringo expects to obtain from the Merger.</w:t>
      </w:r>
    </w:p>
    <w:p>
      <w:pPr>
        <w:spacing w:after="0" w:line="62"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In addition to obtaining the approval of the stockholders of each of Vringo and Innovate/Protect for the consummation of the Merger, the Merger is subject to a number of other conditions beyond the control of Vringo that may prevent, delay, or otherwise materially adversely affect its completion. Vringo cannot predict whether or when the conditions required to complete the Merger will be satisfied. The requirements for satisfying the closing conditions could delay the completion of the Merger for a significant period of time or prevent it from occurring. Any delay in completing the Merger may materially adversely affect the benefits that Vringo expects to achieve if the Merger and the integration of the companies’ respective businesses are completed within the expected timeframe.</w:t>
      </w:r>
    </w:p>
    <w:p>
      <w:pPr>
        <w:spacing w:after="0" w:line="80" w:lineRule="exact"/>
        <w:rPr>
          <w:sz w:val="20"/>
          <w:szCs w:val="20"/>
          <w:color w:val="auto"/>
        </w:rPr>
      </w:pPr>
    </w:p>
    <w:p>
      <w:pPr>
        <w:jc w:val="both"/>
        <w:ind w:left="40" w:right="1239" w:firstLine="251"/>
        <w:spacing w:after="0" w:line="309" w:lineRule="auto"/>
        <w:rPr>
          <w:sz w:val="20"/>
          <w:szCs w:val="20"/>
          <w:color w:val="auto"/>
        </w:rPr>
      </w:pPr>
      <w:r>
        <w:rPr>
          <w:rFonts w:ascii="Arial" w:cs="Arial" w:eastAsia="Arial" w:hAnsi="Arial"/>
          <w:sz w:val="15"/>
          <w:szCs w:val="15"/>
          <w:b w:val="1"/>
          <w:bCs w:val="1"/>
          <w:color w:val="auto"/>
        </w:rPr>
        <w:t>NYSE Amex considers the anticipated Merger a “reverse merger” and therefore has required that Vringo submit a new listing application, which requires certain actions on the part of the combined company which may not be successful and, if unsuccessful, could make it more difficult for holders of shares of the combined company to sell their shares.</w:t>
      </w:r>
    </w:p>
    <w:p>
      <w:pPr>
        <w:spacing w:after="0" w:line="3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NYSE Amex considers the Merger proposed in this proxy statement/prospectus a “reverse merger” and has required that Vringo submit a new listing application. NYSE Amex may not approve Vringo’s new listing application for the NYSE Amex on a timely basis, or at all. If this occurs and the Merger is still completed, you may have difficulty converting your investments into cash effectively.</w:t>
      </w:r>
    </w:p>
    <w:p>
      <w:pPr>
        <w:spacing w:after="0" w:line="200" w:lineRule="exact"/>
        <w:rPr>
          <w:sz w:val="20"/>
          <w:szCs w:val="20"/>
          <w:color w:val="auto"/>
        </w:rPr>
      </w:pPr>
    </w:p>
    <w:p>
      <w:pPr>
        <w:spacing w:after="0" w:line="29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Additionally, as part of the new listing application, Vringo may be required to submit, among other things, a plan for the combined company to conduct a reverse stock split. A reverse stock split would likely increase the per share trading price by an as yet undetermined multiple. The change in share price may affect the volatility and liquidity of the combined company’s stock, as well as the marketplace’s perception of the stock. As a result, the relative price of the combined company’s stock may decline and/or fluctuate more than in the past, and you may have trouble converting your investments in the combined company into cash effectively.</w:t>
      </w:r>
    </w:p>
    <w:p>
      <w:pPr>
        <w:spacing w:after="0" w:line="77"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Some of the directors and executive officers of Vringo have interests in the Merger that are different from, or in addition to, those of the other Vringo stockholders.</w:t>
      </w:r>
    </w:p>
    <w:p>
      <w:pPr>
        <w:spacing w:after="0" w:line="62"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When considering the recommendation by the Vringo board of directors that the Vringo stockholders vote “for” each of the Vringo Merger Proposals, Vringo’s stockholders should be aware that certain of the directors and executive officers of Vringo have arrangements that provide them with interests in the Merger that are different from, or in addition to, those of the stockholders of Vringo.</w:t>
      </w:r>
    </w:p>
    <w:p>
      <w:pPr>
        <w:spacing w:after="0" w:line="7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For instance, in connection with the Merger, (i) each of Seth M. Siegel, Andrew D. Perlman and John Engelman, each a current director of the Vringo board of directors, will continue to serve as a director of the combined company following the completion of the Merger, and the remaining directors of Vringo will resign, effective as of the completion of the Merger, (ii) Andrew D. Perlman and Ellen Cohl, currently executive officers of Vringo, will remain executive officers of the combined company following the completion of the Merger, (iii) upon the change of control in connection with the consummation of the Merger, there will be a one year acceleration of option vesting for option holders for option grants prior to the consummation of the Merger, except for Andrew D. Perlman who will be entitled to 50% acceleration for all of his unvested options granted to him prior to him becoming Chief Executive Officer of Vringo; and (iv)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74"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 xml:space="preserve">In addition, the directors and executive officers of Vringo also have certain rights to indemnification and to directors’ and officers’ liability insurance that will be provided by the combined company following the completion of the Merger. See the sections entitled “The Merger — Interests of Vringo Directors and Executive Officers in the Merger” beginning on page </w:t>
      </w:r>
      <w:r>
        <w:rPr>
          <w:rFonts w:ascii="Arial" w:cs="Arial" w:eastAsia="Arial" w:hAnsi="Arial"/>
          <w:sz w:val="16"/>
          <w:szCs w:val="16"/>
          <w:u w:val="single" w:color="auto"/>
          <w:color w:val="0000EE"/>
        </w:rPr>
        <w:t>82</w:t>
      </w:r>
      <w:r>
        <w:rPr>
          <w:rFonts w:ascii="Arial" w:cs="Arial" w:eastAsia="Arial" w:hAnsi="Arial"/>
          <w:sz w:val="16"/>
          <w:szCs w:val="16"/>
          <w:color w:val="auto"/>
        </w:rPr>
        <w:t>.</w:t>
      </w:r>
    </w:p>
    <w:p>
      <w:pPr>
        <w:spacing w:after="0" w:line="5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March 11, 2012, in connection with the appointment of Andrew D. Perlman as Chief Executive Officer, the Vringo board of directors approved an increase in Mr. Perlman’s salary to $250,000 per year and the payment of severance for one year in the event he is no longer the Chief Executive Officer in connection with a change of control. In addition, the Vringo board of directors approved the grant of options to purchase 450,000 shares at an exercise price of $1.65 per share. Vringo and Mr. Perlman expect to enter into an amendment to his employment agreement to memorialize the foregoing terms.</w:t>
      </w:r>
    </w:p>
    <w:p>
      <w:pPr>
        <w:spacing w:after="0" w:line="68"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Vringo board of directors was aware of and considered these interests, among other matters, in evaluating and negotiating the Merger Agreement and in recommending that Vringo stockholders approve the Vringo Merger Proposals.</w:t>
      </w:r>
    </w:p>
    <w:p>
      <w:pPr>
        <w:spacing w:after="0" w:line="39"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Merger Agreement contains provisions that could discourage or make it difficult for a third party to acquire Vringo prior to the completion of the Merger.</w:t>
      </w:r>
    </w:p>
    <w:p>
      <w:pPr>
        <w:spacing w:after="0" w:line="62"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 xml:space="preserve">The Merger Agreement contains provisions that make it difficult for Vringo to entertain a third-party proposal for an acquisition of Vringo. These provisions include the general prohibition on Vringo’s soliciting or engaging in discussions or negotiations regarding any alternative acquisition proposal. In addition, under certain circumstances, if the Merger is terminated by either Vringo or Innovate/Protect in connection with or due to Vringo entering into an alternate transaction constituting a superior proposal, then Vringo is required to pay to Innovate/Protect a fee equal to 5% of the consideration paid to all security holders of Vringo in connection with such superior proposal in the same form as such consideration is paid to such security holders. See the sections entitled “The Merger Agreement — No Solicitation,” “The Merger Agreement — Board Recommendations” and “The Merger Agreement — Termination Fees and Expenses” beginning on pages </w:t>
      </w:r>
      <w:r>
        <w:rPr>
          <w:rFonts w:ascii="Arial" w:cs="Arial" w:eastAsia="Arial" w:hAnsi="Arial"/>
          <w:sz w:val="15"/>
          <w:szCs w:val="15"/>
          <w:u w:val="single" w:color="auto"/>
          <w:color w:val="0000EE"/>
        </w:rPr>
        <w:t>95</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96</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98</w:t>
      </w:r>
      <w:r>
        <w:rPr>
          <w:rFonts w:ascii="Arial" w:cs="Arial" w:eastAsia="Arial" w:hAnsi="Arial"/>
          <w:sz w:val="15"/>
          <w:szCs w:val="15"/>
          <w:color w:val="auto"/>
        </w:rPr>
        <w:t>, respectively.</w:t>
      </w:r>
    </w:p>
    <w:p>
      <w:pPr>
        <w:spacing w:after="0" w:line="200" w:lineRule="exact"/>
        <w:rPr>
          <w:sz w:val="20"/>
          <w:szCs w:val="20"/>
          <w:color w:val="auto"/>
        </w:rPr>
      </w:pPr>
    </w:p>
    <w:p>
      <w:pPr>
        <w:spacing w:after="0" w:line="27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These provisions might discourage an otherwise interested third party from considering or proposing an acquisition of Vringo, even one that may be deemed of greater value than the Merger to Vringo stockholders.</w:t>
      </w:r>
    </w:p>
    <w:p>
      <w:pPr>
        <w:spacing w:after="0" w:line="62"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Innovate/Protect can terminate the Merger Agreement for any reason or no reason upon payment of a termination fee and Vringo will have no recourse against Innovate/Protect.</w:t>
      </w:r>
    </w:p>
    <w:p>
      <w:pPr>
        <w:spacing w:after="0" w:line="62"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Pursuant to the Merger Agreement, Innovate/Protect can terminate the Merger Agreement, at any time, for any reason or no reason, upon payment to Vringo of a termination fee equal to $5,000,000. Vringo will have no recourse against Innovate/Protect other than receiving such termination fee and would not realize any of the anticipated benefits of having completed the Merger.</w:t>
      </w:r>
    </w:p>
    <w:p>
      <w:pPr>
        <w:spacing w:after="0" w:line="36"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If the Merger does not qualify as a “reorganization” under Section 368(a) of the Code, the stockholders of Innovate/Protect may be required to pay substantial U.S. federal income taxes as a result of the Merger as would Innovate/Protect.</w:t>
      </w:r>
    </w:p>
    <w:p>
      <w:pPr>
        <w:spacing w:after="0" w:line="7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Vringo and Innovate/Protect intend that the Merger will qualify as a “reorganization” under Section 368(a) of the Code. Vringo and Innovate/Protect currently anticipate that the U.S. holders of shares of Innovate/Protect capital stock generally will not recognize taxable gain or loss as a result of the Merger. However, neither Vringo nor Innovate/Protect has requested, or intends to request, a ruling from the Internal Revenue Service (the “</w:t>
      </w:r>
      <w:r>
        <w:rPr>
          <w:rFonts w:ascii="Arial" w:cs="Arial" w:eastAsia="Arial" w:hAnsi="Arial"/>
          <w:sz w:val="15"/>
          <w:szCs w:val="15"/>
          <w:b w:val="1"/>
          <w:bCs w:val="1"/>
          <w:color w:val="auto"/>
        </w:rPr>
        <w:t>IRS</w:t>
      </w:r>
      <w:r>
        <w:rPr>
          <w:rFonts w:ascii="Arial" w:cs="Arial" w:eastAsia="Arial" w:hAnsi="Arial"/>
          <w:sz w:val="15"/>
          <w:szCs w:val="15"/>
          <w:color w:val="auto"/>
        </w:rPr>
        <w:t xml:space="preserve">”) with respect to the tax consequences of the Merger, and there can be no assurance that the companies’ position would be sustained if challenged by the IRS. Accordingly, if there is a final determination that the Merger does not qualify as a “reorganization” under Section 368(a) of the Code and is taxable for U.S. federal income tax purposes, Innovate/Protect stockholders generally would recognize taxable gain or loss on their receipt of equity securities of Vringo in connection with the Merger equal to the difference between such stockholder’s adjusted tax basis in their shares of Innovate/Protect capital stock and the fair market value of the equity securities of Vringo. Moreover, Innovate/Protect would recognize gain on the net appreciation in its assets since it would be deemed to have sold all of its assets in a taxable sale to Merger Sub. For a more complete discussion of the material U.S. federal income tax consequences of the Merger, see the section entitled “Material U.S. Federal Income Tax Consequences of the Merger” beginning on page </w:t>
      </w:r>
      <w:r>
        <w:rPr>
          <w:rFonts w:ascii="Arial" w:cs="Arial" w:eastAsia="Arial" w:hAnsi="Arial"/>
          <w:sz w:val="15"/>
          <w:szCs w:val="15"/>
          <w:u w:val="single" w:color="auto"/>
          <w:color w:val="0000EE"/>
        </w:rPr>
        <w:t>86</w:t>
      </w:r>
      <w:r>
        <w:rPr>
          <w:rFonts w:ascii="Arial" w:cs="Arial" w:eastAsia="Arial" w:hAnsi="Arial"/>
          <w:sz w:val="15"/>
          <w:szCs w:val="15"/>
          <w:color w:val="auto"/>
        </w:rPr>
        <w:t>.</w:t>
      </w:r>
    </w:p>
    <w:p>
      <w:pPr>
        <w:spacing w:after="0" w:line="53" w:lineRule="exact"/>
        <w:rPr>
          <w:sz w:val="20"/>
          <w:szCs w:val="20"/>
          <w:color w:val="auto"/>
        </w:rPr>
      </w:pPr>
    </w:p>
    <w:p>
      <w:pPr>
        <w:jc w:val="both"/>
        <w:ind w:left="40" w:right="1239" w:firstLine="251"/>
        <w:spacing w:after="0" w:line="309" w:lineRule="auto"/>
        <w:rPr>
          <w:sz w:val="20"/>
          <w:szCs w:val="20"/>
          <w:color w:val="auto"/>
        </w:rPr>
      </w:pPr>
      <w:r>
        <w:rPr>
          <w:rFonts w:ascii="Arial" w:cs="Arial" w:eastAsia="Arial" w:hAnsi="Arial"/>
          <w:sz w:val="15"/>
          <w:szCs w:val="15"/>
          <w:b w:val="1"/>
          <w:bCs w:val="1"/>
          <w:color w:val="auto"/>
        </w:rPr>
        <w:t>Litigation may be instituted against Vringo, members of the Vringo board of directors, Innovate/Protect, members of the Innovate/Protect board of directors, and Merger Sub challenging the Merger and adverse judgments in these lawsuits may prevent the Merger from becoming effective within the expected timeframe or at all.</w:t>
      </w:r>
    </w:p>
    <w:p>
      <w:pPr>
        <w:spacing w:after="0" w:line="39"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Vringo, members of the Vringo board of directors, Innovate/Protect, members of the Innovate/Protect board of directors, and Merger Sub may be named as defendants in class action lawsuits to be brought by Vringo of Innovate/Protect stockholders challenging the Merger. If the plaintiffs in these potential cases are successful, they may prevent the parties from completing the Merger in the expected timeframe, if at all. Even if the plaintiffs in these potential actions are not successful, the costs of defending against such claims could adversely affect the financial condition of Vringo or Innovate/Protect.</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the Combined Company if the Merger Is Completed</w:t>
      </w:r>
    </w:p>
    <w:p>
      <w:pPr>
        <w:spacing w:after="0" w:line="105" w:lineRule="exact"/>
        <w:rPr>
          <w:sz w:val="20"/>
          <w:szCs w:val="20"/>
          <w:color w:val="auto"/>
        </w:rPr>
      </w:pPr>
    </w:p>
    <w:p>
      <w:pPr>
        <w:jc w:val="both"/>
        <w:ind w:left="40" w:right="1239" w:firstLine="251"/>
        <w:spacing w:after="0" w:line="304" w:lineRule="auto"/>
        <w:rPr>
          <w:sz w:val="20"/>
          <w:szCs w:val="20"/>
          <w:color w:val="auto"/>
        </w:rPr>
      </w:pPr>
      <w:r>
        <w:rPr>
          <w:rFonts w:ascii="Arial" w:cs="Arial" w:eastAsia="Arial" w:hAnsi="Arial"/>
          <w:sz w:val="16"/>
          <w:szCs w:val="16"/>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3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success of the Merger will depend, in large part, on the ability of the combined company following the completion of the Merger to realize the anticipated benefits from combining the businesses of Vringo and Innovate/Protect.</w:t>
      </w:r>
    </w:p>
    <w:p>
      <w:pPr>
        <w:spacing w:after="0" w:line="43"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200" w:lineRule="exact"/>
        <w:rPr>
          <w:sz w:val="20"/>
          <w:szCs w:val="20"/>
          <w:color w:val="auto"/>
        </w:rPr>
      </w:pPr>
    </w:p>
    <w:p>
      <w:pPr>
        <w:spacing w:after="0" w:line="26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Potential difficulties that may be encountered in the integration process include the following:</w:t>
      </w:r>
    </w:p>
    <w:p>
      <w:pPr>
        <w:spacing w:after="0" w:line="105" w:lineRule="exact"/>
        <w:rPr>
          <w:sz w:val="20"/>
          <w:szCs w:val="20"/>
          <w:color w:val="auto"/>
        </w:rPr>
      </w:pPr>
    </w:p>
    <w:p>
      <w:pPr>
        <w:ind w:left="560" w:hanging="300"/>
        <w:spacing w:after="0"/>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using the combined company’s cash and other assets efficiently to develop the business of the combined company;</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appropriately managing the liabilities of the combined company;</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potential unknown or currently unquantifiable liabilities associated with the Merger and the operations of the combined company;</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potential unknown and unforeseen expenses, delays or regulatory conditions associated with the Merger; and</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performance shortfalls at one or both of the companies as a result of the diversion of management’s attention caused by completing the Merger and integrating the companies’ operations.</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may not realize the potential value and benefits created by the Merger.</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success of the Merger will depend, in part, on Vringo’s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48" w:lineRule="exact"/>
        <w:rPr>
          <w:sz w:val="20"/>
          <w:szCs w:val="20"/>
          <w:color w:val="auto"/>
        </w:rPr>
      </w:pPr>
    </w:p>
    <w:p>
      <w:pPr>
        <w:ind w:left="560" w:hanging="300"/>
        <w:spacing w:after="0"/>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failure to implement Vringo’s business plan for the combined business;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unanticipated issues in integrating the business of both companies;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potential lost sales and customers if any customer of Vringo decides not to do business with Vringo after the Merger;</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loss of key employees with knowledge of Vringo’s historical business and operations;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unanticipated changes in applicable laws and regulations; and</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other unanticipated issues, expenses, or liabilities that could impact, among other things, Vringo’s ability to realize any expected benefits on a timely basis, or at all.</w:t>
      </w:r>
    </w:p>
    <w:p>
      <w:pPr>
        <w:spacing w:after="0" w:line="66"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Vringo may not accomplish the integration of Innovate/Protect’s business smoothly, successfully, or within the anticipated costs or time frame. The diversion of the attention of management from Vringo’s current operations to the integration effort and any difficulties encountered in combining businesses could prevent Vringo from realizing the full expected potential value and benefits to result from the Merger and could adversely affect its business. In addition, the integration efforts could divert the focus and resources of the management of Vringo and Innovate/Protect from other strategic opportunities and operational matters during the integration process.</w:t>
      </w:r>
    </w:p>
    <w:p>
      <w:pPr>
        <w:spacing w:after="0" w:line="77" w:lineRule="exact"/>
        <w:rPr>
          <w:sz w:val="20"/>
          <w:szCs w:val="20"/>
          <w:color w:val="auto"/>
        </w:rPr>
      </w:pPr>
    </w:p>
    <w:p>
      <w:pPr>
        <w:jc w:val="both"/>
        <w:ind w:left="40" w:right="1239" w:firstLine="251"/>
        <w:spacing w:after="0" w:line="304" w:lineRule="auto"/>
        <w:rPr>
          <w:sz w:val="20"/>
          <w:szCs w:val="20"/>
          <w:color w:val="auto"/>
        </w:rPr>
      </w:pPr>
      <w:r>
        <w:rPr>
          <w:rFonts w:ascii="Arial" w:cs="Arial" w:eastAsia="Arial" w:hAnsi="Arial"/>
          <w:sz w:val="16"/>
          <w:szCs w:val="16"/>
          <w:b w:val="1"/>
          <w:bCs w:val="1"/>
          <w:color w:val="auto"/>
        </w:rPr>
        <w:t>The combined company will be dependent on certain key personnel, and the loss of these key personnel could have a material adverse effect on the combined company’s business, financial conditions and results of operations.</w:t>
      </w:r>
    </w:p>
    <w:p>
      <w:pPr>
        <w:spacing w:after="0" w:line="3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success and future prospects of the combined company largely depend on the skills, experience and efforts of its key personnel, including Andrew D. Perlman, Vringo’s current Chief Executive Officer and President, and Andrew Kennedy Lang, Innovate/Protect’s Chief Executive Officer, Chief Technology Officer and President. The loss of Messrs. Perlman or Lang or other executives of the combined company, or the combined company’s failure to retain other key personnel, would jeopardize the combined company’s ability to execute its strategic plan and materially harm its business.</w:t>
      </w:r>
    </w:p>
    <w:p>
      <w:pPr>
        <w:spacing w:after="0" w:line="200" w:lineRule="exact"/>
        <w:rPr>
          <w:sz w:val="20"/>
          <w:szCs w:val="20"/>
          <w:color w:val="auto"/>
        </w:rPr>
      </w:pPr>
    </w:p>
    <w:p>
      <w:pPr>
        <w:spacing w:after="0" w:line="29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Merger will result in changes to the Vringo board of directors and the combined company may pursue different strategies than either Vringo or Innovate/Protect may have pursued independently.</w:t>
      </w:r>
    </w:p>
    <w:p>
      <w:pPr>
        <w:spacing w:after="0" w:line="62"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If the parties complete the Merger, the composition of the Vringo board of directors will change in accordance with the Merger Agreement. Following the completion of the Merger, the combined company’s board of directors will consist of seven members, including Seth M. Siegel, as Chairman, Andrew D. Perlman, John Engelman, all of whom are currently members of the Vringo board of directors, and Andrew Kennedy Lang, Alexander R. Berger, Donald E. Stout and H. Van Sinclair, all of whom are currently members of the Innovate/Protect board of directors. Currently, it is anticipated that the combined company will maximize the economic benefits of its intellectual property portfolio, add significant talent in technological innovation and potentially enhance its opportunities for revenue generation through the monetization of the combined company’s assets. However, because the composition of the board of directors of the combined company will consist of directors from both Vringo and Innovate/Protect, the combined company may determine to pursue certain business strategies that neither Vringo nor Innovate/Protect would have pursued independently.</w:t>
      </w:r>
    </w:p>
    <w:p>
      <w:pPr>
        <w:spacing w:after="0" w:line="70"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Ownership of the combined company’s common stock may be highly concentrated, and it may prevent you and other stockholders from influencing significant corporate decisions and may result in conflicts of interest that could cause the combined company’s stock price to decline.</w:t>
      </w:r>
    </w:p>
    <w:p>
      <w:pPr>
        <w:spacing w:after="0" w:line="7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Upon completion of the Merger, Vringo’s and Innovate/Protect’s executive officers and directors continuing with the combined company and are expected to beneficially own or control approximately 40.6% of the combined company (see the sections entitled “Vringo Security Ownership of Certain Beneficial Owners and Management” beginning on page </w:t>
      </w:r>
      <w:r>
        <w:rPr>
          <w:rFonts w:ascii="Arial" w:cs="Arial" w:eastAsia="Arial" w:hAnsi="Arial"/>
          <w:sz w:val="15"/>
          <w:szCs w:val="15"/>
          <w:u w:val="single" w:color="auto"/>
          <w:color w:val="0000EE"/>
        </w:rPr>
        <w:t>179</w:t>
      </w:r>
      <w:r>
        <w:rPr>
          <w:rFonts w:ascii="Arial" w:cs="Arial" w:eastAsia="Arial" w:hAnsi="Arial"/>
          <w:sz w:val="15"/>
          <w:szCs w:val="15"/>
          <w:color w:val="auto"/>
        </w:rPr>
        <w:t xml:space="preserve">, “Innovate/Protect Security Ownership of Certain Beneficial Owners and Management” beginning on page </w:t>
      </w:r>
      <w:r>
        <w:rPr>
          <w:rFonts w:ascii="Arial" w:cs="Arial" w:eastAsia="Arial" w:hAnsi="Arial"/>
          <w:sz w:val="15"/>
          <w:szCs w:val="15"/>
          <w:u w:val="single" w:color="auto"/>
          <w:color w:val="0000EE"/>
        </w:rPr>
        <w:t>181</w:t>
      </w:r>
      <w:r>
        <w:rPr>
          <w:rFonts w:ascii="Arial" w:cs="Arial" w:eastAsia="Arial" w:hAnsi="Arial"/>
          <w:sz w:val="15"/>
          <w:szCs w:val="15"/>
          <w:color w:val="auto"/>
        </w:rPr>
        <w:t xml:space="preserve"> and “Security Ownership of Certain Beneficial Owners and Management of the Combined Company Following the Merger” beginning on page </w:t>
      </w:r>
      <w:r>
        <w:rPr>
          <w:rFonts w:ascii="Arial" w:cs="Arial" w:eastAsia="Arial" w:hAnsi="Arial"/>
          <w:sz w:val="15"/>
          <w:szCs w:val="15"/>
          <w:u w:val="single" w:color="auto"/>
          <w:color w:val="0000EE"/>
        </w:rPr>
        <w:t>183</w:t>
      </w:r>
      <w:r>
        <w:rPr>
          <w:rFonts w:ascii="Arial" w:cs="Arial" w:eastAsia="Arial" w:hAnsi="Arial"/>
          <w:sz w:val="15"/>
          <w:szCs w:val="15"/>
          <w:color w:val="auto"/>
        </w:rPr>
        <w:t xml:space="preserve"> for more information on the estimated ownership of the combined company following the Merger). Accordingly, these executive officers and directors, acting individually or as a group, will have substantial influence over the outcome of a corporate action of the combined company requiring stockholder approval, including the election of directors, any merger, consolidation or sale of all or substantially all of the combined company’s assets or any other significant corporate transaction. These stockholders may also exert influence in delaying or preventing a change in control of the combined company, even if such change in control would benefit the other stockholders of the combined company. In addition, the significant concentration of stock ownership may adversely affect the market value of the combined company’s common stock due to investors’ perception that conflicts of interest may exist or arise.</w:t>
      </w:r>
    </w:p>
    <w:p>
      <w:pPr>
        <w:spacing w:after="0" w:line="53" w:lineRule="exact"/>
        <w:rPr>
          <w:sz w:val="20"/>
          <w:szCs w:val="20"/>
          <w:color w:val="auto"/>
        </w:rPr>
      </w:pPr>
    </w:p>
    <w:p>
      <w:pPr>
        <w:jc w:val="both"/>
        <w:ind w:left="40" w:right="1239" w:firstLine="251"/>
        <w:spacing w:after="0" w:line="309" w:lineRule="auto"/>
        <w:rPr>
          <w:sz w:val="20"/>
          <w:szCs w:val="20"/>
          <w:color w:val="auto"/>
        </w:rPr>
      </w:pPr>
      <w:r>
        <w:rPr>
          <w:rFonts w:ascii="Arial" w:cs="Arial" w:eastAsia="Arial" w:hAnsi="Arial"/>
          <w:sz w:val="15"/>
          <w:szCs w:val="15"/>
          <w:b w:val="1"/>
          <w:bCs w:val="1"/>
          <w:color w:val="auto"/>
        </w:rPr>
        <w:t>The success of the combined company will depend in part on relationships with third parties, which relationships may be affected by third-party preferences or public attitudes about the Merger. Any adverse changes in these relationships could adversely affect the combined company’s business, financial condition, or results of operations.</w:t>
      </w:r>
    </w:p>
    <w:p>
      <w:pPr>
        <w:spacing w:after="0" w:line="39"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combined company’s success will be dependent on its ability to maintain and renew the business relationships of both Vringo and Innovate/Protect and to establish new business relationships. There can be no assurance that the management of the combined company will be able to maintain such business relationships, or enter into or maintain new business contracts and other business relationships, on acceptable terms, if at all. The failure to maintain important business relationships could have a material adverse effect on the business, financial condition, or results of operations of the combined company.</w:t>
      </w:r>
    </w:p>
    <w:p>
      <w:pPr>
        <w:spacing w:after="0" w:line="4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Future results of the combined company may differ materially from the unaudited pro forma financial statements presented in this proxy statement/prospectus and the financial forecasts prepared by Vringo and Innovate/Protect in connection with discussions concerning the Merger.</w:t>
      </w:r>
    </w:p>
    <w:p>
      <w:pPr>
        <w:spacing w:after="0" w:line="7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future results of the combined company may be materially different from those shown in the unaudited pro forma combined financial statements presented in this proxy statement/prospectus, which show only a combination of the historical results of Vringo and Innovate/Protect prepared by Vringo and Innovate/Protect in connection with discussions concerning the Merger. Vringo expects to incur significant costs associated with the completion of the Merger and combining the operations of the two companies. The exact magnitude of these costs are not yet known, but are estimated to be approximately $______ million.</w:t>
      </w:r>
    </w:p>
    <w:p>
      <w:pPr>
        <w:spacing w:after="0" w:line="200" w:lineRule="exact"/>
        <w:rPr>
          <w:sz w:val="20"/>
          <w:szCs w:val="20"/>
          <w:color w:val="auto"/>
        </w:rPr>
      </w:pPr>
    </w:p>
    <w:p>
      <w:pPr>
        <w:spacing w:after="0" w:line="26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335" w:lineRule="auto"/>
        <w:rPr>
          <w:sz w:val="20"/>
          <w:szCs w:val="20"/>
          <w:color w:val="auto"/>
        </w:rPr>
      </w:pPr>
      <w:r>
        <w:rPr>
          <w:rFonts w:ascii="Arial" w:cs="Arial" w:eastAsia="Arial" w:hAnsi="Arial"/>
          <w:sz w:val="15"/>
          <w:szCs w:val="15"/>
          <w:color w:val="auto"/>
        </w:rPr>
        <w:t>Furthermore, these costs may decrease the capital that the combined company could use for continued development of the combined company’s business in the future or may cause the combined company to seek to raise new capital sooner than expected.</w:t>
      </w:r>
    </w:p>
    <w:p>
      <w:pPr>
        <w:spacing w:after="0" w:line="16"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The combined company will require additional capital to support its present business plan and its anticipated business growth, and such capital may not be available on acceptable terms, or at all, which would adversely affect the combined company’s ability to operate.</w:t>
      </w:r>
    </w:p>
    <w:p>
      <w:pPr>
        <w:spacing w:after="0" w:line="7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combined company will require additional funds to further develop its business plan. Based on current operating plans of Vringo and Innovate/Protect, the current resources of the combined company are expected to be sufficient to fund its planned operations into the fourth quarter of 2012. 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the combined operations approximates $4.3 million and $11.8 million, for the twelve month periods ending March 31, 2013 and March 31, 2014, respectively. Any such financing that Vringo undertakes will likely be dilutive to Vringo’s current stockholders.</w:t>
      </w:r>
    </w:p>
    <w:p>
      <w:pPr>
        <w:spacing w:after="0" w:line="73"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will be guaranteed by each of the Vringo entities and secured by a first priority lien on all assets of the Vringo entities. Although the combined company will have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25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combined company intends to continue to make investments to support its business growth, including patent or other intellectual property asset creation. In addition, the combined company may also need additional funds to respond to business opportunities and challenges, including its ongoing operating expenses, protecting its assets, satisfying debt payment obligations, developing new lines of business and enhancing its operating infrastructure. While the combined company will need to seek additional funding, it may not be able to obtain financing on acceptable terms, or at all. In addition, the terms of the combined company’s financings may be dilutive to, or otherwise adversely affect, holders of its common stock. The combined company may also seek additional funds through arrangements with collaborators or other third parties. The combined company may not be able to negotiate arrangements on acceptable terms, if at all. If the combined company is unable to obtain additional funding on a timely basis, it may be required to curtail or terminate some or all of its business plans.</w:t>
      </w:r>
    </w:p>
    <w:p>
      <w:pPr>
        <w:spacing w:after="0" w:line="200" w:lineRule="exact"/>
        <w:rPr>
          <w:sz w:val="20"/>
          <w:szCs w:val="20"/>
          <w:color w:val="auto"/>
        </w:rPr>
      </w:pPr>
    </w:p>
    <w:p>
      <w:pPr>
        <w:spacing w:after="0" w:line="27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The Vringo preferred stock to be issued to the holders of Innovate/Protect preferred stock will have the powers, designations, preferences and other rights as will be set forth in a Certificate of Designations, Preferences and Rights of Series A Convertible Preferred Stock in the form attached to this proxy statement/prospectus as Annex E which is to be filed by Vringo prior to closing. The rights of the holders of Vringo preferred stock could adversely affect the combined company’s ability to raise additional funds, in particular,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 As of May 31,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58"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combined company’s business and financial condition could be constrained by the debt incurred in connection with the Merger.</w:t>
      </w:r>
    </w:p>
    <w:p>
      <w:pPr>
        <w:spacing w:after="0" w:line="6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Innovate/Protect is obligated under a senior secured note payable to Hudson Bay with an outstanding balance of $3,200,000 as of December 31, 2011.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Lycos’s patents) to secure its obligations under the senior secured note.</w:t>
      </w:r>
    </w:p>
    <w:p>
      <w:pPr>
        <w:spacing w:after="0" w:line="59"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In addition, 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as described above.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w:t>
      </w:r>
    </w:p>
    <w:p>
      <w:pPr>
        <w:spacing w:after="0" w:line="200" w:lineRule="exact"/>
        <w:rPr>
          <w:sz w:val="20"/>
          <w:szCs w:val="20"/>
          <w:color w:val="auto"/>
        </w:rPr>
      </w:pPr>
    </w:p>
    <w:p>
      <w:pPr>
        <w:spacing w:after="0" w:line="28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 (a) the termination of the Merger Agreement pursuant to its terms, (b) any default under or acceleration prior to maturity of any indebtedness of any Vringo entity,</w:t>
      </w:r>
    </w:p>
    <w:p>
      <w:pPr>
        <w:spacing w:after="0" w:line="1" w:lineRule="exact"/>
        <w:rPr>
          <w:sz w:val="20"/>
          <w:szCs w:val="20"/>
          <w:color w:val="auto"/>
        </w:rPr>
      </w:pPr>
    </w:p>
    <w:p>
      <w:pPr>
        <w:jc w:val="both"/>
        <w:ind w:left="40" w:right="1239" w:firstLine="7"/>
        <w:spacing w:after="0" w:line="291" w:lineRule="auto"/>
        <w:tabs>
          <w:tab w:leader="none" w:pos="285"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connection with the Merger, Vringo will guaranty the senior secured note and any financing drawn down under new facility. This could have a material adverse effect on the financial condition of Vringo following the Merger, including limiting Vringo’s ability to incur additional indebtedness, limiting its available funds for future operations and making Vringo vulnerable to economic or industry downturns.</w:t>
      </w:r>
    </w:p>
    <w:p>
      <w:pPr>
        <w:spacing w:after="0" w:line="74"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price of Vringo common stock after the Merger is completed may be affected by factors different from those currently affecting the shares of Vringo.</w:t>
      </w:r>
    </w:p>
    <w:p>
      <w:pPr>
        <w:spacing w:after="0" w:line="62"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Upon completion of the Merger, holders of Innovate/Protect capital stock will become holders of Vringo common stock and preferred stock. The business of Vringo differs from the business of Innovate/Protect and, accordingly, the results of operations of the combined company and the trading price of Vringo common stock following the completion of the Merger may be significantly affected by factors different from those currently affecting the independent results of operations of Vringo because the combined company will be conducting activities not undertaken by Vringo prior to the completion of the Merger. For a discussion of the businesses of Vringo and Innovate/Protect and of certain factors to consider in connection with those businesses, see the sections entitled “Vringo’s Business,” “Vringo’s Management’s Discussion and Analysis of Financial Condition and Results of Operations,” “Innovate/Protect’s Business,” “Innovate/Protect’s Management’s Discussion and Analysis of Financial Condition and Results of Operations,” and the financial statements of Vringo and Innovate/Protect, including the notes thereto, which are included elsewhere in this proxy statement/prospectus, and the other information contained in this proxy statement/prospectus.</w:t>
      </w:r>
    </w:p>
    <w:p>
      <w:pPr>
        <w:spacing w:after="0" w:line="53"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Material weaknesses may exist when the combined company reports on the effectiveness of its internal control over financial reporting for purposes of its reporting requirements.</w:t>
      </w:r>
    </w:p>
    <w:p>
      <w:pPr>
        <w:spacing w:after="0" w:line="62"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Prior to the filing of the registration statement of which this proxy statement/prospectus forms a part, Innovate/Protect was not subject to Sarbanes-Oxley Act of 2002 (“</w:t>
      </w:r>
      <w:r>
        <w:rPr>
          <w:rFonts w:ascii="Arial" w:cs="Arial" w:eastAsia="Arial" w:hAnsi="Arial"/>
          <w:sz w:val="16"/>
          <w:szCs w:val="16"/>
          <w:b w:val="1"/>
          <w:bCs w:val="1"/>
          <w:color w:val="auto"/>
        </w:rPr>
        <w:t>Sarbanes-Oxley</w:t>
      </w:r>
      <w:r>
        <w:rPr>
          <w:rFonts w:ascii="Arial" w:cs="Arial" w:eastAsia="Arial" w:hAnsi="Arial"/>
          <w:sz w:val="16"/>
          <w:szCs w:val="16"/>
          <w:color w:val="auto"/>
        </w:rPr>
        <w:t>”).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within the expected timeframe, the combined company will be required to provide management’s report on internal control over financial reporting in its Annual Report on Form 10-K for the year ending December 31, 2012, as required by Section 404 of Sarbanes-Oxley. Material weaknesses may exist when the combined company reports on the effectiveness of its internal control over financial reporting for purposes of its reporting requirements under the Exchange Act or Section 404 of Sarbanes-Oxley following the completion of the Merger. The existence of one or more material weaknesses would preclude a conclusion that the combined company maintains effective internal control over financial reporting. Such a conclusion would be required to be disclosed in the combined company’s future Annual Reports on Form 10-K and could impact the accuracy and timing of its financial reporting and the reliability of its internal control over financial reporting, which could harm the combined company’s reputation and cause the market price of its common stock to drop.</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does not expect the combined company to pay cash dividends on its common stock.</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anticipates that the combined company will retain its earnings, if any, for future growth and therefore does not anticipate paying cash dividends on its common stock in the future. Investors seeking cash dividends should not invest in the combined company’s common stock for that purpose.</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Anti-takeover provisions in the combined company’s charter and bylaws may prevent or frustrate attempts by stockholders to change the board of directors or current management and could make a third-party acquisition of the combined company difficult.</w:t>
      </w:r>
    </w:p>
    <w:p>
      <w:pPr>
        <w:spacing w:after="0" w:line="7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combined company’s certificate of incorporation and bylaws will contain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the combined company’s common stock.</w:t>
      </w:r>
    </w:p>
    <w:p>
      <w:pPr>
        <w:spacing w:after="0" w:line="74"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Because the lack of a public market for Innovate/Protect’s capital stock makes it difficult to evaluate the fairness of the Merger, Innovate/Protect’s stockholders may receive consideration in the Merger that is greater than or less than the fair market value of Innovate/Protect’s capital stock.</w:t>
      </w:r>
    </w:p>
    <w:p>
      <w:pPr>
        <w:spacing w:after="0" w:line="73"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outstanding capital stock of Innovate/Protect is privately held and is not traded in any public market. The lack of a public market makes it difficult to determine the fair market value of Innovate/Protect. Since the percentage of Vringo common stock, preferred stock and warrants to be issued to Innovate/Protect’s stockholders was determined based on negotiations between the parties, it is possible that the value of the Vringo common stock, preferred stock and warrants to be issued in connection with the Merger will be greater than the fair market value of Innovate/Protect. Alternatively, it is possible that the value of the shares of Vringo common stock, preferred stock and warrants to be issued in connection with the Merger will be less than the fair market value of Innovate/Protect.</w:t>
      </w:r>
    </w:p>
    <w:p>
      <w:pPr>
        <w:spacing w:after="0" w:line="80" w:lineRule="exact"/>
        <w:rPr>
          <w:sz w:val="20"/>
          <w:szCs w:val="20"/>
          <w:color w:val="auto"/>
        </w:rPr>
      </w:pPr>
    </w:p>
    <w:p>
      <w:pPr>
        <w:jc w:val="both"/>
        <w:ind w:left="40" w:right="1239" w:firstLine="251"/>
        <w:spacing w:after="0" w:line="304" w:lineRule="auto"/>
        <w:rPr>
          <w:sz w:val="20"/>
          <w:szCs w:val="20"/>
          <w:color w:val="auto"/>
        </w:rPr>
      </w:pPr>
      <w:r>
        <w:rPr>
          <w:rFonts w:ascii="Arial" w:cs="Arial" w:eastAsia="Arial" w:hAnsi="Arial"/>
          <w:sz w:val="16"/>
          <w:szCs w:val="16"/>
          <w:b w:val="1"/>
          <w:bCs w:val="1"/>
          <w:color w:val="auto"/>
        </w:rPr>
        <w:t>If any of the events described in “Risks Related to Vringo’s Business” or “Risks Related to Innovate/Protect’s Business” occur, those events could cause the potential benefits of the Merger not to be realized.</w:t>
      </w:r>
    </w:p>
    <w:p>
      <w:pPr>
        <w:spacing w:after="0" w:line="3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Following the completion of the Merger, current Vringo executive officers and certain Innovate/Protect executive officers and certain Innovate/Protect and Vringo directors will direct the business and operations of the combined company. Additionally, Innovate/Protect’s business is expected to be an important part of the business of the combined company following the Merger. As a result, the risks described below in the section entitled “Risks Related to Innovate/Protect’s Business” beginning on page </w:t>
      </w:r>
      <w:r>
        <w:rPr>
          <w:rFonts w:ascii="Arial" w:cs="Arial" w:eastAsia="Arial" w:hAnsi="Arial"/>
          <w:sz w:val="16"/>
          <w:szCs w:val="16"/>
          <w:u w:val="single" w:color="auto"/>
          <w:color w:val="0000EE"/>
        </w:rPr>
        <w:t>58</w:t>
      </w:r>
      <w:r>
        <w:rPr>
          <w:rFonts w:ascii="Arial" w:cs="Arial" w:eastAsia="Arial" w:hAnsi="Arial"/>
          <w:sz w:val="16"/>
          <w:szCs w:val="16"/>
          <w:color w:val="auto"/>
        </w:rPr>
        <w:t xml:space="preserve"> are among the significant risks to the combined company if the Merger is completed. To the extent any of the events in the risks described below in either the section entitled “Risks Related to Vringo’s Business” or “Risks Related to Innovate/Protect’s Business” occur, those events could cause the potential benefits of the Merger not to be realized and the market price of the combined company’s common stock to decline.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Vringo’s Business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i w:val="1"/>
          <w:iCs w:val="1"/>
          <w:color w:val="auto"/>
        </w:rPr>
        <w:t>Vringo is currently, and after the completion of the Merger the combined company will continue to be, subject to the risks described below.</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may not be able to consummate the Merger with Innovate/Protect.</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consummation of the Merger with Innovate/Protect is subject to stockholders approval and other closing conditions. Vringo has expended significant effort and management attention to the proposed transaction. There is no assurance that the Merger will be approved. For example, Vringo’s stockholders may not approve the Merger. If the Merger is not consummated for any reason, Vringo’s business and operations, as well as the market price of its stock and warrants may be adversely affected.</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To date, Vringo has generated only losses, which are expected to continue for the foreseeable future.</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200" w:lineRule="exact"/>
        <w:rPr>
          <w:sz w:val="20"/>
          <w:szCs w:val="20"/>
          <w:color w:val="auto"/>
        </w:rPr>
      </w:pPr>
    </w:p>
    <w:p>
      <w:pPr>
        <w:spacing w:after="0" w:line="30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58"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Vringo is a development stage company with no significant source of income and there is a significant doubt about Vringo’s ability to continue its activities as a going concern.</w:t>
      </w:r>
    </w:p>
    <w:p>
      <w:pPr>
        <w:spacing w:after="0" w:line="62"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60"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Vringo believes that current cash levels will be sufficient to support its activity into the first quarter of 2013. The continuation of its business is dependent upon the successful consummation of the Merger with Innovate/Protect, or similar merger or acquisition, financing and upon the further development of Vringo’s products. 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the combined operations approximates $4.3 million and $11.8 million, for the twelve month periods ending March 31, 2013 and March 31, 2014, respectively. Any such financing that Vringo undertakes will likely be dilutive to Vringo’s current stockholders.</w:t>
      </w:r>
    </w:p>
    <w:p>
      <w:pPr>
        <w:spacing w:after="0" w:line="56"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exercise of a substantial number of warrants or options by Vringo’s security holders may have an adverse effect on the market price of Vringo common stock.</w:t>
      </w:r>
    </w:p>
    <w:p>
      <w:pPr>
        <w:spacing w:after="0" w:line="6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Should Vringo’s currently outstanding warrants be exercised, there will be an additional 7,706,591 shares of common stock eligible for trading in the public market. In addition, Vringo currently has options outstanding to purchase 4,623,863 shares of common stock, granted as of the reporting date,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May 25, 2012, is $3.17 per share.</w:t>
      </w:r>
    </w:p>
    <w:p>
      <w:pPr>
        <w:spacing w:after="0" w:line="6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Under the terms of the Merger Agreement, Vringo will issue Innovate/Protect stockholders warrants to purchase 15,959,838 shares of Vringo common stock at an exercise price of $1.76 per share, each subject to equitable adjustment in the event of a reverse stock split. In addition, the issued and outstanding warrant to</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purchase 250,000 shares of Innovate/Protect’s common stock that is outstanding and unexercised immediately prior to the Merger will be exchanged for 250,000 shares of Vringo common stock and 850,000 warrant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As a result of an approval of the Merger with Innovate/Protect, the total number of warrants and options held by Vringo’s security holders will be increased by 16,851,016 and the former stockholders of Innovate/Protect (without taking into account any shares of Vringo common stock held by Innovate/Protect stockholders prior to the completion of the Merger)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61"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Future sales of Vringo’s shares of common stock by its stockholders could cause the market price of Vringo common stock to drop significantly, even if Vringo’s business is performing well.</w:t>
      </w:r>
    </w:p>
    <w:p>
      <w:pPr>
        <w:spacing w:after="0" w:line="62"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As of May 25, 2012, Vringo has 14,060,424 shares of common stock issued and outstanding,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On March 30, 2012, Vringo filed with the SEC a Registration Statement on Form S-3 to register shares of common stock underlying the 2,672,756 new warrants issued in February 2012 (including 11,834 warrants issued to Vringo’s placement agent) and on May 17, 2012 Vringo filed with the SEC a Registration Statement on Form S-8 to register the shares of common stock underlying 4,623,863 options currently outstanding under Vringo’s 2006 Stock Option Plan.</w:t>
      </w:r>
    </w:p>
    <w:p>
      <w:pPr>
        <w:spacing w:after="0" w:line="60"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Under the terms of the Merger Agreement, Vringo will issue Innovate/Protect stockholders 17,863,169 of its common stock shares and Series A Convertible Preferred stock, initially convertible into 20,136,445 of Vringo shares of common stock. In addition, the outstanding warrant to purchase 250,000 shares of Innovate/Protect’s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Upon the consummation of the Merger, the number of outstanding shares of common stock (calculated on a fully diluted basis) held by Vringo’s security holders will significantly increase.</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If Vringo is unable to adequately protect its intellectual property, Vringo may not be able to compete effectively.</w:t>
      </w:r>
    </w:p>
    <w:p>
      <w:pPr>
        <w:spacing w:after="0" w:line="121"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w:t>
      </w:r>
    </w:p>
    <w:p>
      <w:pPr>
        <w:spacing w:after="0" w:line="200" w:lineRule="exact"/>
        <w:rPr>
          <w:sz w:val="20"/>
          <w:szCs w:val="20"/>
          <w:color w:val="auto"/>
        </w:rPr>
      </w:pPr>
    </w:p>
    <w:p>
      <w:pPr>
        <w:spacing w:after="0" w:line="26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6" w:lineRule="auto"/>
        <w:rPr>
          <w:sz w:val="20"/>
          <w:szCs w:val="20"/>
          <w:color w:val="auto"/>
        </w:rPr>
      </w:pPr>
      <w:r>
        <w:rPr>
          <w:rFonts w:ascii="Arial" w:cs="Arial" w:eastAsia="Arial" w:hAnsi="Arial"/>
          <w:sz w:val="16"/>
          <w:szCs w:val="16"/>
          <w:color w:val="auto"/>
        </w:rPr>
        <w:t>cost-effective in every country in which Vringo’s services are made available. There may be instances where 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73"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80"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possibility of extensive delays in the patent issuance process could effectively reduce the term during which a marketed product is protected by patents.</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67"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62"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7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w:t>
      </w:r>
    </w:p>
    <w:p>
      <w:pPr>
        <w:spacing w:after="0" w:line="200" w:lineRule="exact"/>
        <w:rPr>
          <w:sz w:val="20"/>
          <w:szCs w:val="20"/>
          <w:color w:val="auto"/>
        </w:rPr>
      </w:pPr>
    </w:p>
    <w:p>
      <w:pPr>
        <w:spacing w:after="0" w:line="29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4" w:lineRule="auto"/>
        <w:rPr>
          <w:sz w:val="20"/>
          <w:szCs w:val="20"/>
          <w:color w:val="auto"/>
        </w:rPr>
      </w:pPr>
      <w:r>
        <w:rPr>
          <w:rFonts w:ascii="Arial" w:cs="Arial" w:eastAsia="Arial" w:hAnsi="Arial"/>
          <w:sz w:val="16"/>
          <w:szCs w:val="16"/>
          <w:color w:val="auto"/>
        </w:rPr>
        <w:t>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72"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7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53"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If Vringo is unsuccessful in entering into and maintaining content license agreements, its revenues will be negatively affected.</w:t>
      </w:r>
    </w:p>
    <w:p>
      <w:pPr>
        <w:spacing w:after="0" w:line="62"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may not be able to generate revenues from certain of its prepaid mobile customers.</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is dependent on mobile carriers and other partners to make timely payments to Vringo.</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will receive its revenue from mobile carriers and other distribution partners who may delay payment to Vringo, dispute amounts owed to Vringo, or in some cases refuse to pay Vringo at all. Many of</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335" w:lineRule="auto"/>
        <w:rPr>
          <w:sz w:val="20"/>
          <w:szCs w:val="20"/>
          <w:color w:val="auto"/>
        </w:rPr>
      </w:pPr>
      <w:r>
        <w:rPr>
          <w:rFonts w:ascii="Arial" w:cs="Arial" w:eastAsia="Arial" w:hAnsi="Arial"/>
          <w:sz w:val="15"/>
          <w:szCs w:val="15"/>
          <w:color w:val="auto"/>
        </w:rPr>
        <w:t>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Vringo may not be able to continue to maintain its application on all of the operating systems that it currently supports.</w:t>
      </w:r>
    </w:p>
    <w:p>
      <w:pPr>
        <w:spacing w:after="0" w:line="132"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w:t>
      </w:r>
    </w:p>
    <w:p>
      <w:pPr>
        <w:spacing w:after="0" w:line="1" w:lineRule="exact"/>
        <w:rPr>
          <w:sz w:val="20"/>
          <w:szCs w:val="20"/>
          <w:color w:val="auto"/>
        </w:rPr>
      </w:pPr>
    </w:p>
    <w:p>
      <w:pPr>
        <w:jc w:val="both"/>
        <w:ind w:left="40" w:right="1239"/>
        <w:spacing w:after="0"/>
        <w:rPr>
          <w:sz w:val="20"/>
          <w:szCs w:val="20"/>
          <w:color w:val="auto"/>
        </w:rPr>
      </w:pPr>
      <w:r>
        <w:rPr>
          <w:rFonts w:ascii="Arial" w:cs="Arial" w:eastAsia="Arial" w:hAnsi="Arial"/>
          <w:sz w:val="15"/>
          <w:szCs w:val="15"/>
          <w:color w:val="auto"/>
        </w:rPr>
        <w:t>subscribers to Vringo’s video ringtone platform. Vringo’s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platform, which represents less than 5% of Vringo’s revenue for the three months ended March 31, 2012, is heavily reliant upon Vringo’s Android devices users. Currently, over 96% of</w:t>
      </w:r>
    </w:p>
    <w:p>
      <w:pPr>
        <w:spacing w:after="0" w:line="15" w:lineRule="exact"/>
        <w:rPr>
          <w:sz w:val="20"/>
          <w:szCs w:val="20"/>
          <w:color w:val="auto"/>
        </w:rPr>
      </w:pPr>
    </w:p>
    <w:p>
      <w:pPr>
        <w:jc w:val="both"/>
        <w:ind w:left="40" w:right="1239"/>
        <w:spacing w:after="0" w:line="247" w:lineRule="auto"/>
        <w:rPr>
          <w:sz w:val="20"/>
          <w:szCs w:val="20"/>
          <w:color w:val="auto"/>
        </w:rPr>
      </w:pPr>
      <w:r>
        <w:rPr>
          <w:rFonts w:ascii="Arial" w:cs="Arial" w:eastAsia="Arial" w:hAnsi="Arial"/>
          <w:sz w:val="16"/>
          <w:szCs w:val="16"/>
          <w:color w:val="auto"/>
        </w:rPr>
        <w:t>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operates in the digital content market where piracy of content is widespread.</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Major network failures could have an adverse effect on Vringo’s business.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71"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62"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Vringo’s business depends upon its ability to keep pace with the latest technological changes and Vringo’s failure to do so could make Vringo less competitive in its industry.</w:t>
      </w:r>
    </w:p>
    <w:p>
      <w:pPr>
        <w:spacing w:after="0" w:line="62"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Vringo’s Facetones</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application depends upon Vringo’s continued access to Facebook® photos.</w:t>
      </w:r>
    </w:p>
    <w:p>
      <w:pPr>
        <w:spacing w:after="0" w:line="3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application creates automated video slideshow using friends’ photos from social media web sites,</w:t>
      </w:r>
    </w:p>
    <w:p>
      <w:pPr>
        <w:jc w:val="both"/>
        <w:ind w:left="40" w:right="1239"/>
        <w:spacing w:after="0" w:line="257" w:lineRule="auto"/>
        <w:rPr>
          <w:sz w:val="20"/>
          <w:szCs w:val="20"/>
          <w:color w:val="auto"/>
        </w:rPr>
      </w:pPr>
      <w:r>
        <w:rPr>
          <w:rFonts w:ascii="Arial" w:cs="Arial" w:eastAsia="Arial" w:hAnsi="Arial"/>
          <w:sz w:val="15"/>
          <w:szCs w:val="15"/>
          <w:color w:val="auto"/>
        </w:rPr>
        <w:t>primarily from Facebook®, the world’s leading social media site.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5"/>
          <w:szCs w:val="15"/>
          <w:color w:val="auto"/>
        </w:rPr>
        <w:t>entered into an agreement with Facebook®, which clarifies Vringo’s permitted use of the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mark and domain name.</w:t>
      </w:r>
    </w:p>
    <w:p>
      <w:pPr>
        <w:spacing w:after="0" w:line="88" w:lineRule="exact"/>
        <w:rPr>
          <w:sz w:val="20"/>
          <w:szCs w:val="20"/>
          <w:color w:val="auto"/>
        </w:rPr>
      </w:pPr>
    </w:p>
    <w:p>
      <w:pPr>
        <w:jc w:val="both"/>
        <w:ind w:left="40" w:right="1239" w:firstLine="251"/>
        <w:spacing w:after="0" w:line="212" w:lineRule="auto"/>
        <w:rPr>
          <w:sz w:val="20"/>
          <w:szCs w:val="20"/>
          <w:color w:val="auto"/>
        </w:rPr>
      </w:pPr>
      <w:r>
        <w:rPr>
          <w:rFonts w:ascii="Arial" w:cs="Arial" w:eastAsia="Arial" w:hAnsi="Arial"/>
          <w:sz w:val="17"/>
          <w:szCs w:val="17"/>
          <w:b w:val="1"/>
          <w:bCs w:val="1"/>
          <w:color w:val="auto"/>
        </w:rPr>
        <w:t>If Vringo’s Facetones</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trademark is challenged by another party, Vringo’s revenue from this application may be adversely affected.</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February 2012, Vringo entered into an agreement with Facebook, Inc., an online social network, relating to the use of</w:t>
      </w:r>
    </w:p>
    <w:p>
      <w:pPr>
        <w:spacing w:after="0" w:line="43" w:lineRule="exact"/>
        <w:rPr>
          <w:sz w:val="20"/>
          <w:szCs w:val="20"/>
          <w:color w:val="auto"/>
        </w:rPr>
      </w:pPr>
    </w:p>
    <w:p>
      <w:pPr>
        <w:jc w:val="both"/>
        <w:ind w:left="40" w:right="1239"/>
        <w:spacing w:after="0" w:line="244" w:lineRule="auto"/>
        <w:rPr>
          <w:sz w:val="20"/>
          <w:szCs w:val="20"/>
          <w:color w:val="auto"/>
        </w:rPr>
      </w:pPr>
      <w:r>
        <w:rPr>
          <w:rFonts w:ascii="Arial" w:cs="Arial" w:eastAsia="Arial" w:hAnsi="Arial"/>
          <w:sz w:val="16"/>
          <w:szCs w:val="16"/>
          <w:color w:val="auto"/>
        </w:rPr>
        <w:t>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mark and domain name (collectively, the “</w:t>
      </w:r>
      <w:r>
        <w:rPr>
          <w:rFonts w:ascii="Arial" w:cs="Arial" w:eastAsia="Arial" w:hAnsi="Arial"/>
          <w:sz w:val="16"/>
          <w:szCs w:val="16"/>
          <w:b w:val="1"/>
          <w:bCs w:val="1"/>
          <w:color w:val="auto"/>
        </w:rPr>
        <w:t>Facetones Mark</w:t>
      </w:r>
      <w:r>
        <w:rPr>
          <w:rFonts w:ascii="Arial" w:cs="Arial" w:eastAsia="Arial" w:hAnsi="Arial"/>
          <w:sz w:val="16"/>
          <w:szCs w:val="16"/>
          <w:color w:val="auto"/>
        </w:rPr>
        <w:t>”).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Regulation concerning consumer privacy may adversely affect Vringo’s business.</w:t>
      </w:r>
    </w:p>
    <w:p>
      <w:pPr>
        <w:spacing w:after="0" w:line="109"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200" w:lineRule="exact"/>
        <w:rPr>
          <w:sz w:val="20"/>
          <w:szCs w:val="20"/>
          <w:color w:val="auto"/>
        </w:rPr>
      </w:pPr>
    </w:p>
    <w:p>
      <w:pPr>
        <w:spacing w:after="0" w:line="28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Vringo’s ability to raise capital through equity or equity-linked transactions may be limited.</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In order for Vringo to raise capital through equity or equity-linked transactions, stockholder approval is required to enable Vringo to issue more than 19.99% of Vringo’s outstanding shares of common stock pursuant to the rules and regulations of the NYSE Amex. Should stockholders not approve such issuances, Vringo’s sole means to raise capital would be through debt, which could have a material adverse effect on Vringo’s balance sheet and overall financial condition.</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Vringo’s liquidity is largely dependent on its common stock being traded on a major exchange.</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Vringo’s common stock and warrants are listed on the NYSE Amex, a national securities exchange, which imposes continued listing requirements with respect to listed shares. On April 26, 2012, the NYSE Amex notified Vringo that it had resolved the continued listing deficiency referenced in the NYSE Amex's letter dated May 24, 2011, which stated that Vringo was not in compliance with Section 1003(a) (iv) of the NYSE Amex's continued listing standards. The NYSE Amex's conclusion was based on a review of available information, including Vringo’s filings with the SEC. Vringo’s continued listing eligibility will be assessed on an ongoing basis. While the NYSE Amex has not initiated delisting proceedings in the past, there is no assurance that it will not do so in the future.</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If the NYSE Amex delists Vringo’s securities from trading, Vringo could face significant consequences, including:</w:t>
      </w:r>
    </w:p>
    <w:p>
      <w:pPr>
        <w:spacing w:after="0" w:line="105" w:lineRule="exact"/>
        <w:rPr>
          <w:sz w:val="20"/>
          <w:szCs w:val="20"/>
          <w:color w:val="auto"/>
        </w:rPr>
      </w:pPr>
    </w:p>
    <w:p>
      <w:pPr>
        <w:ind w:left="560" w:hanging="300"/>
        <w:spacing w:after="0"/>
        <w:tabs>
          <w:tab w:leader="none" w:pos="5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limited availability for market quotations for its securities;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reduced liquidity with respect to its securities;</w:t>
      </w:r>
    </w:p>
    <w:p>
      <w:pPr>
        <w:spacing w:after="0" w:line="105"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spacing w:after="0" w:line="76" w:lineRule="exact"/>
        <w:rPr>
          <w:rFonts w:ascii="Arial" w:cs="Arial" w:eastAsia="Arial" w:hAnsi="Arial"/>
          <w:sz w:val="17"/>
          <w:szCs w:val="17"/>
          <w:color w:val="auto"/>
        </w:rPr>
      </w:pPr>
    </w:p>
    <w:p>
      <w:pPr>
        <w:ind w:left="560" w:hanging="300"/>
        <w:spacing w:after="0"/>
        <w:tabs>
          <w:tab w:leader="none" w:pos="5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limited amount of news and analyst coverage;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decreased ability to issue additional securities or obtain additional financing in the future.</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addition, Vringo would no longer be subject to the NYSE Amex rules, including rules requiring Vringo to have a certain number of independent directors and to meet other corporate governance standards.</w:t>
      </w:r>
    </w:p>
    <w:p>
      <w:pPr>
        <w:spacing w:after="0" w:line="62"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62"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77"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Vringo may not be able to enforce covenants not-to-compete under current Israeli law, which may result in added competition.</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200" w:lineRule="exact"/>
        <w:rPr>
          <w:sz w:val="20"/>
          <w:szCs w:val="20"/>
          <w:color w:val="auto"/>
        </w:rPr>
      </w:pPr>
    </w:p>
    <w:p>
      <w:pPr>
        <w:spacing w:after="0" w:line="29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73"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57" w:lineRule="exact"/>
        <w:rPr>
          <w:sz w:val="20"/>
          <w:szCs w:val="20"/>
          <w:color w:val="auto"/>
        </w:rPr>
      </w:pPr>
    </w:p>
    <w:p>
      <w:pPr>
        <w:jc w:val="both"/>
        <w:ind w:left="40" w:right="1239" w:firstLine="251"/>
        <w:spacing w:after="0" w:line="340" w:lineRule="auto"/>
        <w:rPr>
          <w:sz w:val="20"/>
          <w:szCs w:val="20"/>
          <w:color w:val="auto"/>
        </w:rPr>
      </w:pPr>
      <w:r>
        <w:rPr>
          <w:rFonts w:ascii="Arial" w:cs="Arial" w:eastAsia="Arial" w:hAnsi="Arial"/>
          <w:sz w:val="15"/>
          <w:szCs w:val="15"/>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7"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Innovate/Protect’s Business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Innovate/Protect’s limited operating history makes it difficult to evaluate its current business and future prospects.</w:t>
      </w:r>
    </w:p>
    <w:p>
      <w:pPr>
        <w:spacing w:after="0" w:line="13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7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66" w:lineRule="exact"/>
        <w:rPr>
          <w:sz w:val="20"/>
          <w:szCs w:val="20"/>
          <w:color w:val="auto"/>
        </w:rPr>
      </w:pPr>
    </w:p>
    <w:p>
      <w:pPr>
        <w:ind w:left="560" w:hanging="300"/>
        <w:spacing w:after="0"/>
        <w:tabs>
          <w:tab w:leader="none" w:pos="5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implement or execute its current business plan, or demonstrate that its business plan is sound; and/or</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raise sufficient funds in the capital markets to effectuate its business plan.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If Innovate/Protect cannot execute any one of the foregoing or similar matters relating to its operations, its business may fail.</w:t>
      </w:r>
    </w:p>
    <w:p>
      <w:pPr>
        <w:spacing w:after="0" w:line="124"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At Innovate/Protect’s formation in June 2011, Innovate/Protect acquired a portfolio of patent assets from Lycos that Innovate/Protect plans to license or otherwise monetize. If Innovate/Protect’s efforts to generate</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revenue from such assets fail, Innovate/Protect will have incurred significant losses and may be unable to acquire additional assets.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If this occurs, Innovate/Protect’s business would likely fail.</w:t>
      </w:r>
    </w:p>
    <w:p>
      <w:pPr>
        <w:spacing w:after="0" w:line="8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7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73"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70" w:lineRule="exact"/>
        <w:rPr>
          <w:sz w:val="20"/>
          <w:szCs w:val="20"/>
          <w:color w:val="auto"/>
        </w:rPr>
      </w:pPr>
    </w:p>
    <w:p>
      <w:pPr>
        <w:jc w:val="both"/>
        <w:ind w:left="40" w:right="1239" w:firstLine="251"/>
        <w:spacing w:after="0" w:line="268" w:lineRule="auto"/>
        <w:rPr>
          <w:sz w:val="20"/>
          <w:szCs w:val="20"/>
          <w:color w:val="auto"/>
        </w:rPr>
      </w:pPr>
      <w:r>
        <w:rPr>
          <w:rFonts w:ascii="Arial" w:cs="Arial" w:eastAsia="Arial" w:hAnsi="Arial"/>
          <w:sz w:val="16"/>
          <w:szCs w:val="16"/>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69"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200" w:lineRule="exact"/>
        <w:rPr>
          <w:sz w:val="20"/>
          <w:szCs w:val="20"/>
          <w:color w:val="auto"/>
        </w:rPr>
      </w:pPr>
    </w:p>
    <w:p>
      <w:pPr>
        <w:spacing w:after="0" w:line="27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20"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84"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78"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44"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7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Members of Innovate/Protect’s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Innovate/Protect’s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7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78" w:lineRule="exact"/>
        <w:rPr>
          <w:sz w:val="20"/>
          <w:szCs w:val="20"/>
          <w:color w:val="auto"/>
        </w:rPr>
      </w:pPr>
    </w:p>
    <w:p>
      <w:pPr>
        <w:ind w:left="560" w:right="1239" w:hanging="300"/>
        <w:spacing w:after="0" w:line="267" w:lineRule="auto"/>
        <w:tabs>
          <w:tab w:leader="none" w:pos="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patent applications Innovate/Protect may file may not result in issued patents or may take longer than Innovate/Protect expects to result in issued patents;</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Innovate/Protect may be subject to interference proceedings;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Innovate/Protect may be subject to opposition proceedings in the U.S. or foreign countries;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patents that are issued to Innovate/Protect may not provide meaningful protection;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Innovate/Protect may not be able to develop additional proprietary technologies that are patentable;</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other companies may challenge patents issued to Innovate/Protect;</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other companies may have independently developed and/or patented (or may in the future independently develop and patent) similar or alternative technologies, or duplicate Innovate/Protect’s technologies;</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hanging="300"/>
        <w:spacing w:after="0"/>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other companies may design around technologies Innovate/Protect has developed;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enforcement of Innovate/Protect’s patents would be complex, uncertain and very expensive.</w:t>
      </w:r>
    </w:p>
    <w:p>
      <w:pPr>
        <w:spacing w:after="0" w:line="10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57"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72"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New legislation, regulations or court rulings related to enforcing patents could harm Innovate/Protect’s business and operating results.</w:t>
      </w:r>
    </w:p>
    <w:p>
      <w:pPr>
        <w:spacing w:after="0" w:line="62"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5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6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58"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Innovate/Protect’s acquisitions of patent assets may be time consuming, complex and costly, which could adversely affect Innovate/Protect’s operating results.</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6" w:lineRule="auto"/>
        <w:rPr>
          <w:sz w:val="20"/>
          <w:szCs w:val="20"/>
          <w:color w:val="auto"/>
        </w:rPr>
      </w:pPr>
      <w:r>
        <w:rPr>
          <w:rFonts w:ascii="Arial" w:cs="Arial" w:eastAsia="Arial" w:hAnsi="Arial"/>
          <w:sz w:val="16"/>
          <w:szCs w:val="16"/>
          <w:color w:val="auto"/>
        </w:rPr>
        <w:t>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7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8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76"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73"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4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73"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8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Despite Innovate/Protect’s efforts to protect its intellectual property rights, any of the following or similar occurrences may reduce the value of Innovate/Protect’s intellectual property:</w:t>
      </w:r>
    </w:p>
    <w:p>
      <w:pPr>
        <w:spacing w:after="0" w:line="66" w:lineRule="exact"/>
        <w:rPr>
          <w:sz w:val="20"/>
          <w:szCs w:val="20"/>
          <w:color w:val="auto"/>
        </w:rPr>
      </w:pPr>
    </w:p>
    <w:p>
      <w:pPr>
        <w:ind w:left="560" w:right="1239" w:hanging="300"/>
        <w:spacing w:after="0" w:line="267" w:lineRule="auto"/>
        <w:tabs>
          <w:tab w:leader="none" w:pos="5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Innovate/Protect’s applications for patents, trademarks and copyrights may not be granted and, if granted, may be challenged or invalidated;</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issued trademarks, copyrights, or patents may not provide Innovate/Protect with any competitive advantages versus potentially infringing parties;</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Innovate/Protect’s efforts to protect its intellectual property rights may not be effective in preventing misappropriation of Innovate/Protect’s technology; or</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Innovate/Protect’s efforts may not prevent the development and design by others of products or technologies similar to or competitive with, or superior to those Innovate/Protect acquires and/or prosecutes.</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74" w:lineRule="exact"/>
        <w:rPr>
          <w:sz w:val="20"/>
          <w:szCs w:val="20"/>
          <w:color w:val="auto"/>
        </w:rPr>
      </w:pPr>
    </w:p>
    <w:p>
      <w:pPr>
        <w:jc w:val="both"/>
        <w:ind w:left="40" w:right="1239" w:firstLine="251"/>
        <w:spacing w:after="0" w:line="304" w:lineRule="auto"/>
        <w:rPr>
          <w:sz w:val="20"/>
          <w:szCs w:val="20"/>
          <w:color w:val="auto"/>
        </w:rPr>
      </w:pPr>
      <w:r>
        <w:rPr>
          <w:rFonts w:ascii="Arial" w:cs="Arial" w:eastAsia="Arial" w:hAnsi="Arial"/>
          <w:sz w:val="16"/>
          <w:szCs w:val="16"/>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3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THE MERGER</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Structure of the Merger</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 accordance with the Merger Agreement and the DGCL, at the effective time, Innovate/Protect will merge with and into Merger Sub, a wholly-owned subsidiary of Vringo formed solely for the purpose of carrying out the Merger, with Merger Sub continuing as the surviving corporation and a wholly-owned subsidiary of Vringo. In connection with the Merger, each share of Innovate/Protect capital stock outstanding as of immediately prior to the effective time will be converted into the right to receive shares of Vringo common stock and Vringo preferred stock, as applicable, and warrants, all in accordance with the terms and conditions of the Merger Agreement. The Merger will become effective when a certificate of merger is filed with the Secretary of State of the State of Delaware or at such other time as agreed to by the parties and specified in the certificate of merger. If the Vringo stockholders approve the Vringo Merger Proposals, then Vringo expects the Merger to be completed as soon as practicable following the Vringo annual meeting.</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What Innovate/Protect Stockholders Will Receive in the Merger</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Upon completion of the Merger, each Innovate/Protect common stock stockholder will have the right to receive, for each share of the outstanding common stock of Innovate/Protect they hold, a number of shares of Vringo common stock multiplied by the Common Stock Exchange Ratio, which shall initially be 3.0176, which is subject to adjustment in the event of a reverse stock split to provide the holders of shares of Innovate/Protect capital stock with the same economic benefit as contemplated by the Merger Agreement prior to any such reverse stock split. Each share of Innovate/Protect preferred stock will automatically be converted into the right to receive the same number of shares of Vringo preferred stock, which 6,673 shares, as of May 25, 2012, shall be initially convertible into an aggregate of 20,136,445 shares of Vringo common stock (or at a current conversion rate of 3,017.6).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As a result, immediately following the completion of the Merger (without taking into account any shares of Vringo common stock held by Innovate/Protect stockholders prior to the completion of the Merger), the former stockholders of Innovate/Protect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Fractional Shares</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 xml:space="preserve">No fractional shares of Vringo common stock or Vringo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 For an additional discussion of what Innovate/Protect stockholders will receive in connection with the Merger, see the section entitled “The Merger Agreement — Merger Consideration” beginning on page </w:t>
      </w:r>
      <w:r>
        <w:rPr>
          <w:rFonts w:ascii="Arial" w:cs="Arial" w:eastAsia="Arial" w:hAnsi="Arial"/>
          <w:sz w:val="17"/>
          <w:szCs w:val="17"/>
          <w:u w:val="single" w:color="auto"/>
          <w:color w:val="0000EE"/>
        </w:rPr>
        <w:t>90</w:t>
      </w:r>
      <w:r>
        <w:rPr>
          <w:rFonts w:ascii="Arial" w:cs="Arial" w:eastAsia="Arial" w:hAnsi="Arial"/>
          <w:sz w:val="17"/>
          <w:szCs w:val="17"/>
          <w:color w:val="auto"/>
        </w:rPr>
        <w:t>.</w:t>
      </w:r>
    </w:p>
    <w:p>
      <w:pPr>
        <w:spacing w:after="0" w:line="200" w:lineRule="exact"/>
        <w:rPr>
          <w:sz w:val="20"/>
          <w:szCs w:val="20"/>
          <w:color w:val="auto"/>
        </w:rPr>
      </w:pPr>
    </w:p>
    <w:p>
      <w:pPr>
        <w:spacing w:after="0" w:line="29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Ownership of the Combined Company after the Completion of the Merger</w:t>
      </w:r>
    </w:p>
    <w:p>
      <w:pPr>
        <w:spacing w:after="0" w:line="109"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Upon completion of the Merger and regardless of the exact Exchange Ratio (or any reverse stock split), the Innovate/Protect stockholders and warrantholder are expected to receive shares of Vringo common stock and preferred stock and warrants representing an aggregate of approximately 67.55% of the outstanding shares of common stock of the combined company calculated on a fully diluted basis. Vringo stockholders will continue to own their existing shares of Vringo common stock, which will not be affected by the Merger, and, unless they hold shares of Innovate/Protect capital stock, will not receive any additional shares of Vringo common stock in connection with the Merger. As a result, immediately upon completion of the Merger, such shares will represent an aggregate of approximately 32.45% of the outstanding shares of common stock of the combined company calculated on a fully diluted basis. For example, if you are a Vringo stockholder and hold 5% of the outstanding shares of Vringo common stock calculated on a fully diluted basis immediately prior to the completion of the Merger and do not also hold shares of Innovate/Protect capital stock, then upon completion of the Merger you will hold an aggregate of approximately 1.62% of the outstanding shares of common stock of the combined company calculated on a fully diluted basis as of immediately following the completion of the Merger. If you are an Innovate/Protect stockholder and hold 5% of the outstanding shares of Innovate/Protect capital stock calculated on a fully diluted basis immediately prior to the completion of the Merger and do not also hold shares of Vringo common stock, then upon completion of the Merger you will hold an aggregate of approximately 2.38% of the outstanding shares of common stock of the combined company, calculated on a fully diluted basis as of immediately following the completion of the Merger.</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Treatment of Innovate/Protect Stock Options and Warrants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Stock Options</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As of May 25, 2012, the outstanding and unexercised Innovate/Protect stock options to purchase 13,646 shares of Innovate/Protect common stock will be converted into and become options to purchase an aggregate of 41,178 shares of Vringo common stock at an exercise price of $0.994 per share.</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____________, 2012, the latest practicable date before the printing of this proxy statement/prospectus, there were</w:t>
      </w:r>
    </w:p>
    <w:p>
      <w:pPr>
        <w:spacing w:after="0" w:line="29" w:lineRule="exact"/>
        <w:rPr>
          <w:sz w:val="20"/>
          <w:szCs w:val="20"/>
          <w:color w:val="auto"/>
        </w:rPr>
      </w:pPr>
    </w:p>
    <w:p>
      <w:pPr>
        <w:jc w:val="both"/>
        <w:ind w:left="40" w:right="1239"/>
        <w:spacing w:after="0" w:line="317" w:lineRule="auto"/>
        <w:rPr>
          <w:sz w:val="20"/>
          <w:szCs w:val="20"/>
          <w:color w:val="auto"/>
        </w:rPr>
      </w:pPr>
      <w:r>
        <w:rPr>
          <w:rFonts w:ascii="Arial" w:cs="Arial" w:eastAsia="Arial" w:hAnsi="Arial"/>
          <w:sz w:val="15"/>
          <w:szCs w:val="15"/>
          <w:color w:val="auto"/>
        </w:rPr>
        <w:t xml:space="preserve">outstanding options to purchase 13,646 shares of Innovate/Protect capital stock. For an additional discussion of the treatment of Innovate/Protect stock options, see the section entitled “The Merger Agreement — Merger Consideration” beginning on page </w:t>
      </w:r>
      <w:r>
        <w:rPr>
          <w:rFonts w:ascii="Arial" w:cs="Arial" w:eastAsia="Arial" w:hAnsi="Arial"/>
          <w:sz w:val="15"/>
          <w:szCs w:val="15"/>
          <w:u w:val="single" w:color="auto"/>
          <w:color w:val="0000EE"/>
        </w:rPr>
        <w:t>90</w:t>
      </w:r>
      <w:r>
        <w:rPr>
          <w:rFonts w:ascii="Arial" w:cs="Arial" w:eastAsia="Arial" w:hAnsi="Arial"/>
          <w:sz w:val="15"/>
          <w:szCs w:val="15"/>
          <w:color w:val="auto"/>
        </w:rPr>
        <w: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Warrants</w:t>
      </w:r>
    </w:p>
    <w:p>
      <w:pPr>
        <w:spacing w:after="0" w:line="105"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____________, 2012, the latest practicable date before the printing of this proxy statement/prospectus, there was 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outstanding warrant to purchase 250,000 shares of Innovate/Protect capital stock. For</w:t>
      </w:r>
    </w:p>
    <w:p>
      <w:pPr>
        <w:spacing w:after="0" w:line="200" w:lineRule="exact"/>
        <w:rPr>
          <w:sz w:val="20"/>
          <w:szCs w:val="20"/>
          <w:color w:val="auto"/>
        </w:rPr>
      </w:pPr>
    </w:p>
    <w:p>
      <w:pPr>
        <w:spacing w:after="0" w:line="31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 xml:space="preserve">an additional discussion of the treatment of Innovate/Protect warrants, see the section entitled “The Merger Agreement — Merger Consideration” beginning on page </w:t>
      </w:r>
      <w:r>
        <w:rPr>
          <w:rFonts w:ascii="Arial" w:cs="Arial" w:eastAsia="Arial" w:hAnsi="Arial"/>
          <w:sz w:val="17"/>
          <w:szCs w:val="17"/>
          <w:u w:val="single" w:color="auto"/>
          <w:color w:val="0000EE"/>
        </w:rPr>
        <w:t>90</w:t>
      </w:r>
      <w:r>
        <w:rPr>
          <w:rFonts w:ascii="Arial" w:cs="Arial" w:eastAsia="Arial" w:hAnsi="Arial"/>
          <w:sz w:val="17"/>
          <w:szCs w:val="17"/>
          <w:color w:val="auto"/>
        </w:rPr>
        <w: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Background of the Merger</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terms of the merger are the result of negotiations that took place between executives and board members of Vringo, executives and board members of Innovate/Protect, partners of Hudson Bay Capital Management LP (“</w:t>
      </w:r>
      <w:r>
        <w:rPr>
          <w:rFonts w:ascii="Arial" w:cs="Arial" w:eastAsia="Arial" w:hAnsi="Arial"/>
          <w:sz w:val="17"/>
          <w:szCs w:val="17"/>
          <w:b w:val="1"/>
          <w:bCs w:val="1"/>
          <w:color w:val="auto"/>
        </w:rPr>
        <w:t>Hudson Bay Capital</w:t>
      </w:r>
      <w:r>
        <w:rPr>
          <w:rFonts w:ascii="Arial" w:cs="Arial" w:eastAsia="Arial" w:hAnsi="Arial"/>
          <w:sz w:val="17"/>
          <w:szCs w:val="17"/>
          <w:color w:val="auto"/>
        </w:rPr>
        <w:t>”), the investment manager for Innovate/Protect’s controlling shareholder, Hudson Bay.</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Vringo’s Background</w:t>
      </w:r>
    </w:p>
    <w:p>
      <w:pPr>
        <w:spacing w:after="0" w:line="105"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Vringo was incorporated in January 2006 and is still a development stage company. Vringo’s principal executive offices are located in New York, New York and its subsidiary, Vringo (Israel) Ltd., is located in Beit Shemesh, Israel. On June 25, 2010, Vringo successfully completed its initial public offering on the NYSE Amex. During the period from February 2011 through the entry into the Merger Agreement, Vringo has explored a number of potential mergers to maximize shareholder value.</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Innovate/Protect’s Background</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Innovate/Protect was incorporated under the laws of the state of Delaware on June 8, 2011 as Labrador Search Corporation. On September 6, 2011, Labrador Search Corporation changed its name to Innovate/Protect, Inc. Innovate/Protect is a holding company, which owns 100% of the issued and outstanding common stock of I/P Engine, Inc. (“</w:t>
      </w:r>
      <w:r>
        <w:rPr>
          <w:rFonts w:ascii="Arial" w:cs="Arial" w:eastAsia="Arial" w:hAnsi="Arial"/>
          <w:sz w:val="16"/>
          <w:szCs w:val="16"/>
          <w:b w:val="1"/>
          <w:bCs w:val="1"/>
          <w:color w:val="auto"/>
        </w:rPr>
        <w:t>I/P Engine</w:t>
      </w:r>
      <w:r>
        <w:rPr>
          <w:rFonts w:ascii="Arial" w:cs="Arial" w:eastAsia="Arial" w:hAnsi="Arial"/>
          <w:sz w:val="16"/>
          <w:szCs w:val="16"/>
          <w:color w:val="auto"/>
        </w:rPr>
        <w:t>”) and I/P Labs, Inc. (“</w:t>
      </w:r>
      <w:r>
        <w:rPr>
          <w:rFonts w:ascii="Arial" w:cs="Arial" w:eastAsia="Arial" w:hAnsi="Arial"/>
          <w:sz w:val="16"/>
          <w:szCs w:val="16"/>
          <w:b w:val="1"/>
          <w:bCs w:val="1"/>
          <w:color w:val="auto"/>
        </w:rPr>
        <w:t>I/P Labs</w:t>
      </w:r>
      <w:r>
        <w:rPr>
          <w:rFonts w:ascii="Arial" w:cs="Arial" w:eastAsia="Arial" w:hAnsi="Arial"/>
          <w:sz w:val="16"/>
          <w:szCs w:val="16"/>
          <w:color w:val="auto"/>
        </w:rPr>
        <w:t>” and together with I/P Engine, the “</w:t>
      </w:r>
      <w:r>
        <w:rPr>
          <w:rFonts w:ascii="Arial" w:cs="Arial" w:eastAsia="Arial" w:hAnsi="Arial"/>
          <w:sz w:val="16"/>
          <w:szCs w:val="16"/>
          <w:b w:val="1"/>
          <w:bCs w:val="1"/>
          <w:color w:val="auto"/>
        </w:rPr>
        <w:t>I/P Subsidiaries</w:t>
      </w:r>
      <w:r>
        <w:rPr>
          <w:rFonts w:ascii="Arial" w:cs="Arial" w:eastAsia="Arial" w:hAnsi="Arial"/>
          <w:sz w:val="16"/>
          <w:szCs w:val="16"/>
          <w:color w:val="auto"/>
        </w:rPr>
        <w:t>”).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Innovate/Protect’s principal offices are located in New York City.</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Contemporaneously with the formation of Innovate/Protect, on June 22, 2011, Innovate/Protect consummated a private placement transaction with Hudson Bay whereby Hudson Bay purchased 6,968 shares of Innovate/Protect’s Series A Convertible Preferred Stock for $1,800,000 and a $3,200,000 Senior Secured Note.</w:t>
      </w:r>
    </w:p>
    <w:p>
      <w:pPr>
        <w:spacing w:after="0" w:line="76"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Innovate/Protect has raised an aggregate of $5,145,229 through the sale of its common stock to investors other than Hudson Bay pursuant to private placement transactions. On August 31, 2011, Innovate/Protect closed a private placement of 1,250,000 shares of its common stock to an aggregate of five accredited investors for an aggregate purchase price of $1,250,000. On October 26, 2011, Innovate/Protect conducted the final closing of a private placement of an aggregate 1,000,000 shares of its common stock to an aggregate of 32 accredited investors for an aggregate purchase price of $3,000,000. On December 30, 2011, Innovate/Protect conducted the final closing of a private placement of an aggregate 225,758 shares of its common stock to an aggregate of six accredited investors for an aggregate purchase price of $745,001.</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History of Events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On December 22, 2011, Sander Gerber, Chief Executive Officer of Hudson Bay Capital and a Vringo stockholder, met with John Engelman, a director of Vringo, and at the suggestion of Alexander R. Berger, the Chief Operating Officer and a director of Innovate/Protect, briefly discussed a potential merger between Vringo and Innovate/Protect. Mr. Gerber originally became a Vringo stockholder through his pension plan prior to Vringo's initial public offering, at the suggestion of then Chief Executive Officer, Jonathan Medved, with whom Mr. Gerber was acquainted socially. Mr. Gerber, through his pension plan, initially acquired 28,748 shares of Vringo common stock, representing approximately 0.2% of the outstanding shares (as of May 25, 2012), and has not engaged in any personal transactions in Vringo common stock since then.</w:t>
      </w:r>
    </w:p>
    <w:p>
      <w:pPr>
        <w:spacing w:after="0" w:line="7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On December 23, 2011, Mr. Engelman provided an introduction between Yoav Roth, a partner of Hudson Bay Capital, the Investment Manager of Hudson Bay, and then-Chairman of Innovate/Protect, and Andrew Perlman, then-President and a director of Vringo.</w:t>
      </w:r>
    </w:p>
    <w:p>
      <w:pPr>
        <w:spacing w:after="0" w:line="200" w:lineRule="exact"/>
        <w:rPr>
          <w:sz w:val="20"/>
          <w:szCs w:val="20"/>
          <w:color w:val="auto"/>
        </w:rPr>
      </w:pPr>
    </w:p>
    <w:p>
      <w:pPr>
        <w:spacing w:after="0" w:line="30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January 3, 2012, an introductory meeting took place between Messrs. Roth, Berger and Perlman at Hudson Bay Capital’s offices. The history of Innovate/Protect, mission statement of Innovate/Protect, patent portfolio and outstanding litigation were discussed. Mr. Perlman provided an overview of Vringo’s business, organization and current capital structure. As a result of the meeting, Messrs. Perlman, Roth and Berger decided that they would have internal discussions with other members of their respective boards and management regarding next steps and the potential for a future merger.</w:t>
      </w:r>
    </w:p>
    <w:p>
      <w:pPr>
        <w:spacing w:after="0" w:line="6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On January 4, 2012, Vringo’s board of directors held a call and discussed a number of potential merger scenarios. In addition to Innovate/Protect, Vringo considered five potential merger scenarios that had been proposed to Vringo. The Vringo board believed that two of the proposed merger scenarios were serious proposals worthy of consideration. Both of these potential merger proposals were in relation to operating companies, one company that primarily supplies infrastructure to mobile operators and another company that is a mobile content and mobile social network company. Under each of the scenario alternatives, the Vringo stockholders would have been the minority stockholders. The board of directors authorized Mr. Perlman to negotiate the terms of a potential deal with Innovate/Protect on a non-exclusive basis.</w:t>
      </w:r>
    </w:p>
    <w:p>
      <w:pPr>
        <w:spacing w:after="0" w:line="7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January 6, 2012, Messrs. Berger and Perlman met at Vringo’s offices to begin discussions on potential merger terms. They were joined by Clifford Weinstein, Vringo’s Executive Vice President, and Andrew K. Lang, the Chief Executive Officer and a director of Innovate/Protect. The framework of a potential stock-for-stock merger was discussed and Mr. Perlman was tasked with presenting Innovate/Protect with a term sheet. The parties did not discuss the merger consideration. Mr. Berger provided Mr. Perlman with Innovate/Protect’s most recent financial statements.</w:t>
      </w:r>
    </w:p>
    <w:p>
      <w:pPr>
        <w:spacing w:after="0" w:line="68"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On January 9, 2012, Mr. Perlman sent headline terms (or principal deal terms) for an opening offer on a draft term sheet to Messrs. Roth and Berger. Mr. Perlman proposed that Vringo and Innovate/Protect would effect a business combination in a stock-for-stock merger where, in exchange for all outstanding securities of Innovate/Protect, Vringo would issue 20 million shares of common stock, 10 million warrants exercisable at $2.00 per share, five million warrants exercisable at $2.50 per share, and five million warrants exercisable at $3.50 per share. Mr. Perlman advanced the concept that certain series of the warrants would only be issued if the combined company’s common stock traded above certain levels within a certain amount of time following the merger. Mr. Perlman’s proposal did not indicate the expiration date for the warrants. On January 9, 2012, Vringo common stock had a closing price of $0.96 per share. Therefore, the common stock portion of the proposed consideration had a value equal to approximately $19.2 million. The parties did not discuss how each party would value the warrants. Thereafter, Mr. Perlman had a call with Mr. Berger where Mr. Berger agreed that he would provide comments and additional points that would be negotiated, including the duration of the warrants and treatment of Innovate/Protect’s outstanding debt to Hudson Bay. Mr. Berger held informal discussions with each member of the Innovate/Protect board of directors and shared the headline terms provided by Mr. Perlman, which included the general background and history of Vringo, merger consideration offered by Vringo, and that Vringo would appoint four of the seven directors to the combined company’s board of directors.</w:t>
      </w:r>
    </w:p>
    <w:p>
      <w:pPr>
        <w:spacing w:after="0" w:line="60"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From January 10 through January 12, 2012, a number of additional telephone calls were held while Mr. Perlman was traveling in Asia to discuss additional outstanding deal points, including a timeline for the proposed merger that identified milestones such as executing a letter of intent, completing due diligence, executing a definitive agreement, filing a preliminary proxy statement, and scheduling a meeting of Vringo’s stockholders to approve the proposed transaction. With respect to the economic terms of the proposed transaction, Mr. Berger initially counter proposed during negotiations that Vringo would issue 60 million shares, but and ultimately indicated that Innovate/Protect would not be able to engage any offer that was not at a premium to Innovate/Protect’s valuation in its most recent round of financing, which was approximately $42 million. At that point, the 30-day volume weighted average price of Vringo common stock was $1.02, and therefore approximately 40 million shares of Vringo stock would be required. Mr. Berger did not negotiate for a specific premium or range that was above Innovate/Protect’s most recent valuation for the common stock portion of the merger consideration.</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On January 13, 2012, when Mr. Perlman returned to New York, Messrs. Perlman, Roth and Berger discussed top line deal terms and decided to proceed with planning items relating to the potential merger of</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4" w:lineRule="auto"/>
        <w:rPr>
          <w:sz w:val="20"/>
          <w:szCs w:val="20"/>
          <w:color w:val="auto"/>
        </w:rPr>
      </w:pPr>
      <w:r>
        <w:rPr>
          <w:rFonts w:ascii="Arial" w:cs="Arial" w:eastAsia="Arial" w:hAnsi="Arial"/>
          <w:sz w:val="15"/>
          <w:szCs w:val="15"/>
          <w:color w:val="auto"/>
        </w:rPr>
        <w:t>Innovate/Protect and Vringo. A number of meetings and calls occurred between Messrs. Perlman, Weinstein, Roth, Berger and Lang, and external counsel and accounting firms, Mintz Levin Cohn Ferris Glovsky &amp; Popeo, P.C. (“Mintz”), Somekh Chaikin, a member firm of KPMG International (“KPMG”), and Schulte Roth &amp; Zabel LLP. While top line deal terms, including that Vringo would issue approximately 40 million shares of common stock, plus warrants to purchase common stock, to Innovate/Protect as merger consideration, appeared agreeable to both sides, details regarding the valuation of warrants to purchase common stock that would be issued to Innovate/Protect stockholders, and the features of the preferred stock that would be issued to Hudson Bay as merger consideration remained outstanding. Specifically, the parties’ discussion focused on the expiration of the warrants and the protective features that would be included in the preferred stock. On January 13, 2012, Vringo’s common stock had a closing price of $0.96 per share. Therefore, the common stock portion of the proposed consideration had a value equal to approximately $39.2 million. On January 18, 2012, Seth M. Siegel, the Chairman of Vringo’s board of directors and Messrs. Engelman and Perlman met with Messrs. Lang and Berger to discuss Innovate/Protect’s business model.</w:t>
      </w:r>
    </w:p>
    <w:p>
      <w:pPr>
        <w:spacing w:after="0" w:line="60"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Later in the day on January 18, 2012, Mr. Berger sent Mr. Perlman a term sheet which stated that Vringo would issue preferred stock convertible into 21.7 million shares of common stock in exchange for the outstanding Innovate/Protect preferred stock and 18.3 million shares of common stock in exchange for the outstanding Innovate/Protect common stock. On January 18, 2012, Vringo’s common stock had a closing price of $0.94 per share. Therefore, the common stock portion of the proposed consideration had a value equal to approximately $37.6 million. In addition, Vringo would issue four million warrants exercisable at $0.94 per share for five years (the “Series A Warrants”), and 12 million warrants exercisable at $2.00 per share for five years (the “Series B Warrants”). Additionally, Vringo would assume Innovate/Protect’s outstanding indebtedness to Hudson Bay, but Hudson Bay’s option to redeem $2 million of the $3.2 million outstanding would be removed, and replaced with an option for Hudson Bay to redeem (a) up to 50% of the outstanding principal amount when the combined company had over $10 million of cash or cash equivalents, and (b) the entire outstanding principal amount when the combined company had over $15 million of cash or cash equivalents. In addition, Hudson Bay would be allowed to require the combined company to use up to 20% of cash raised by any debt or equity sale to prepay the debt. The term sheet also stated that the combined company’s board of directors would include Messrs. Siegel, Engelman and Perlman from the current Vringo board of directors, and Messrs. Berger and Lang, Donald E. Stout and H. Van Sinclair from the current Innovate/Protect board of directors.</w:t>
      </w:r>
    </w:p>
    <w:p>
      <w:pPr>
        <w:spacing w:after="0" w:line="60"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On January 19, 2012, the Vringo board of directors held a call to review the terms of the Innovate/Protect merger as well as other strategic alternatives. Vringo continued to discuss the alternative transactions that had been discussed at the previous meeting. The board of directors concluded that Vringo should move forward with the merger between Innovate/Protect and Vringo, as well as leaving open other potential transactions that might maintain or enhance stockholder value. At that point, Vringo had received proposed term sheets from the two alternatives previously discussed and performed preliminary due diligence on one of them.</w:t>
      </w:r>
    </w:p>
    <w:p>
      <w:pPr>
        <w:spacing w:after="0" w:line="53"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On January 22, 2012, Mr. Perlman responded to Mr. Berger’s term sheet with a revised term sheet that agreed with the amounts of preferred stock and common stock issuable, as well as the quantities of warrants issuable, but added a feature that the Series A Warrants would be exercisable for one year instead of five years, and redeemable if the combined company’s common stock traded above 150% of the exercise price for 20 consecutive days, and that the Series B Warrants would be redeemable if the combined company’s stock traded above 125% of the exercise price for 20 consecutive days. On January 20, 2012, the trading day immediately preceding January 22, 2012, Vringo’s common stock had a closing price of $0.90 per share. Therefore, the common stock portion of the proposed consideration had a value equal to approximately $36 million.</w:t>
      </w:r>
    </w:p>
    <w:p>
      <w:pPr>
        <w:spacing w:after="0" w:line="5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On January 23, 2012, Messrs. Roth, Berger, Perlman and Weinstein met to discuss outstanding items on the term sheet, including the features of the preferred stock that would be issued to Hudson Bay as merger consideration. In particular, the parties discussed Mr. Roth’s comments that the preferred stock to be issued to Hudson Bay would contain the following provisions: (i) special rights upon changes of control, fundamental transactions, and liquidation events, (ii) covenants with respect to the combined company’s cash burn, (iii) covenants that treated the preferred holder as an equity holder in the event of a rights offering by the</w:t>
      </w:r>
    </w:p>
    <w:p>
      <w:pPr>
        <w:spacing w:after="0" w:line="200" w:lineRule="exact"/>
        <w:rPr>
          <w:sz w:val="20"/>
          <w:szCs w:val="20"/>
          <w:color w:val="auto"/>
        </w:rPr>
      </w:pPr>
    </w:p>
    <w:p>
      <w:pPr>
        <w:spacing w:after="0" w:line="26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70" w:lineRule="auto"/>
        <w:rPr>
          <w:sz w:val="20"/>
          <w:szCs w:val="20"/>
          <w:color w:val="auto"/>
        </w:rPr>
      </w:pPr>
      <w:r>
        <w:rPr>
          <w:rFonts w:ascii="Arial" w:cs="Arial" w:eastAsia="Arial" w:hAnsi="Arial"/>
          <w:sz w:val="16"/>
          <w:szCs w:val="16"/>
          <w:color w:val="auto"/>
        </w:rPr>
        <w:t>combined company, (iv) a covenant that the company would not incur indebtedness or any other instrument senior to the preferred for 18 months, and (v) full-ratchet anti-dilution protection for the first two years and weighted-average anti-dilution thereafter. Mr. Perlman responded that (i) standard change of control provisions were acceptable, (ii) a cash burn covenant was not acceptable, (iii) covenants for purchase rights protections were acceptable, (iv) the parties could discuss restrictions on indebtedness at a later point, and (v) anti-dilution provisions on the preferred were not acceptable.</w:t>
      </w:r>
    </w:p>
    <w:p>
      <w:pPr>
        <w:spacing w:after="0" w:line="68"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On January 25, 2012, Messrs. Berger, Lang, Perlman and Weinstein met to discuss the capital market strategy should a deal be completed. As part of that strategy discussion, the parties met with an analyst from an investment bank for informal advice.</w:t>
      </w:r>
    </w:p>
    <w:p>
      <w:pPr>
        <w:spacing w:after="0" w:line="2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From January 26 to 28, 2012, the parties engaged in further discussions regarding the features of the warrants that would be issued to Innovate/Protect stockholders as merger consideration, plans for the budget priorities of the combined company, and covenants for uses of cash between the execution of the merger agreement and closing. Specifically, the parties agreed to compromise with respect to anti-dilution protection in the warrants where some warrants would have anti-dilution protection and others would not. The parties had not discussed the number of shares of common stock that would be issued. On January 27, 2012, Vringo’s common stock closed at $1.01 per share. Therefore, the common stock portion of the proposed consideration had a value equal to approximately $40.4 million.</w:t>
      </w:r>
    </w:p>
    <w:p>
      <w:pPr>
        <w:spacing w:after="0" w:line="71"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 xml:space="preserve">On January 29, 2012, the Vringo board of directors held a conference call to discuss the Innovate/Protect merger, additional strategic alternatives, as well as the ongoing deal negotiations with another party. Of the alternatives previously discussed, the Vringo board only believed that there was one serious alternative proposal. That alternative was an operating company that supplies infrastructure and services to mobile operators. The Vringo stockholders would have been the minority stockholders post-deal. The alternative proposal would have also required an additional capital raise of at least $6 million prior to closing. The relative percentage of Vringo ownership of the combined entity post-deal on a fully diluted basis was materially similar to the Innovate/Protect merger, however, based on a number of comparable public companies, the board of directors concluded that the alternative proposal would not be in the best interests of stockholders as the combined entity would not command the same valuation,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number of shares outstanding post-merger multiplied by share price, in the public markets as the transaction with Innovate/Protect.</w:t>
      </w:r>
    </w:p>
    <w:p>
      <w:pPr>
        <w:spacing w:after="0" w:line="74"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 xml:space="preserve">On January 30, 2012, the news media reported that Facebook, Inc. intended to file a Form S-1 registration statement with the U.S. Securities and Exchange Commission for its initial public offering, and the website </w:t>
      </w:r>
      <w:r>
        <w:rPr>
          <w:rFonts w:ascii="Arial" w:cs="Arial" w:eastAsia="Arial" w:hAnsi="Arial"/>
          <w:sz w:val="17"/>
          <w:szCs w:val="17"/>
          <w:i w:val="1"/>
          <w:iCs w:val="1"/>
          <w:color w:val="auto"/>
        </w:rPr>
        <w:t>Seeking Alpha</w:t>
      </w:r>
      <w:r>
        <w:rPr>
          <w:rFonts w:ascii="Arial" w:cs="Arial" w:eastAsia="Arial" w:hAnsi="Arial"/>
          <w:sz w:val="17"/>
          <w:szCs w:val="17"/>
          <w:color w:val="auto"/>
        </w:rPr>
        <w:t xml:space="preserve"> published an article entitled “Why Wait for IPO When You Can Buy Facebook’s Friends Today” featuring Vringo. Subsequent to these events, the price of Vringo shares closed at $1.16 per share, $0.165 above the average of the preceding 30 days’ closing prices, which was $0.995. Volume increased to 1,068,133 shares, over 9.5 times the average trading volume for the preceding 30 days, which was 107,230 shares per day.</w:t>
      </w:r>
    </w:p>
    <w:p>
      <w:pPr>
        <w:spacing w:after="0" w:line="81"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On January 31, 2012, Mr. Berger and Ms. Cohl participated in a teleconference with KPMG, which performed the financial due diligence of Innovate/Protect for Vringo. KPMG requested that Innovate/Protect provide (i) its most recent financial statements, (ii) its trial balance for fiscal year 2011, (iii) minutes from the meetings of the board of directors, (iv) a breakdown of the accrued liabilities for fiscal year 2011, (v) the budget estimates, and (vi) copies of outstanding securities. During the teleconference, KPMG asked Mr. Berger to walk him through these documents, and Mr. Berger did so. Mr. Berger and Mr. Perlman did not discuss the economic terms of the merger at this time. On January 31, 2012, Vringo common stock had a closing price of $1.40 per share. Therefore, the common stock portion of the proposed consideration had a value equal to approximately $56 million.</w:t>
      </w:r>
    </w:p>
    <w:p>
      <w:pPr>
        <w:spacing w:after="0" w:line="55"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On February 2, 2012, the Vringo board of directors held a conference call to discuss the current increase in the company’s market capitalization. The board chose to explore its ability to raise capital while continuing its merger talks.</w:t>
      </w:r>
    </w:p>
    <w:p>
      <w:pPr>
        <w:spacing w:after="0" w:line="4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On February 3, 2012, Messrs. Berger and Perlman traveled to Washington, DC for legal due diligence. They were accompanied by Vringo’s intellectual property counsel from Mintz. Mr. Berger and Mr. Perlman did not discuss the economic terms of the merger at this time. Vringo’s common stock had a closing price of</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$1.76 per share. Therefore, the common stock portion of the proposed consideration had a value equal to approximately $70.4 million. Later in the day, the Innovate/Protect board of directors held a conference call of their own to discuss the terms of the proposed transaction with Vringo.</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February 5, 2012, the Vringo board of directors held a conference call to discuss its options given the high trading volume of its stock and its increase in price. Upon the recommendation of management, the board of directors agreed that the best way to ensure value for its stockholders would be to terminate all merger discussions in order to negotiate with its warrantholders and improve the financial condition of the company.</w:t>
      </w:r>
    </w:p>
    <w:p>
      <w:pPr>
        <w:spacing w:after="0" w:line="78"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On February 6, 2012, Mr. Perlman contacted Messrs. Berger and Roth and stated that due to conditions in the capital markets, Vringo’s board of directors has chosen to cease negotiations with Innovate/Protect with respect to a potential merger. Subsequent to their telephone conversations Mr. Perlman notified Messrs. Berger and Roth in writing via e-mail that negotiations would cease.</w:t>
      </w:r>
    </w:p>
    <w:p>
      <w:pPr>
        <w:spacing w:after="0" w:line="40"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On February 6, 2012, Vringo attained one million downloads of its flagship </w:t>
      </w:r>
      <w:r>
        <w:rPr>
          <w:rFonts w:ascii="Arial" w:cs="Arial" w:eastAsia="Arial" w:hAnsi="Arial"/>
          <w:sz w:val="16"/>
          <w:szCs w:val="16"/>
          <w:i w:val="1"/>
          <w:iCs w:val="1"/>
          <w:color w:val="auto"/>
        </w:rPr>
        <w:t>Facetones</w:t>
      </w:r>
      <w:r>
        <w:rPr>
          <w:rFonts w:ascii="Arial" w:cs="Arial" w:eastAsia="Arial" w:hAnsi="Arial"/>
          <w:sz w:val="16"/>
          <w:szCs w:val="16"/>
          <w:color w:val="auto"/>
        </w:rPr>
        <w:t xml:space="preserve"> application. Following the release of this news, Vringo’s common stock traded over 4.8 million shares. Messrs. Perlman and Weinstein proceeded to discuss with certain holders of its $0.936 warrants to exercise their warrants by offering them new five-year warrants exercisable for $1.76 per share. As a result of these warrant exercises, Vringo raised $3.6 million through the exercise of 3,828,993 warrants. New warrants to purchase 2,660,922 shares of common stock were issued between February 6 and February 9, 2012. As a result of an improved capitalization structure, cash balance and trading volume, Vringo was approached by a number of third parties with respect to a potential transaction. These third parties were operating companies in the mobile content, applications and services industries and were of varying size. In addition to a merger, Vringo considered raising additional capital and growing the business on a stand-alone basis.</w:t>
      </w:r>
    </w:p>
    <w:p>
      <w:pPr>
        <w:spacing w:after="0" w:line="6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February 10, 2012, Mr. Berger called Mr. Perlman to discuss reengaging in potential merger talks. On a conference call later in the day, Messrs. Perlman and Weinstein discussed with Messrs. Lang and Berger that as a result of Vringo’s increased cash position, higher share price and trading volume, a number of alternatives had become available to the company and it was unclear if they could proceed at that point.</w:t>
      </w:r>
    </w:p>
    <w:p>
      <w:pPr>
        <w:spacing w:after="0" w:line="7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February 13, 2012, Messrs. Perlman and Berger spoke by telephone and decided that simultaneous meetings between (i) Messrs. Perlman, Weinstein and Berger and (ii) Josh Wolff, who was travelling in New York, and Mr. Lang, would better inform the parties’ decision on whether to re-engage in merger discussions. Messrs. Wolff and Lang discussed the potential strategic directions for the existing Vringo technology business. While this meeting occurred, Messrs. Perlman and Weinstein received an update on Innovate/Protect’s progress from Mr. Berger.</w:t>
      </w:r>
    </w:p>
    <w:p>
      <w:pPr>
        <w:spacing w:after="0" w:line="80"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On February 15, 2012, Messrs. Roth, Lang and Berger invited Messrs. Perlman and Weinstein to Hudson Bay Capital’s offices to discuss new deal terms. Mr. Perlman indicated the number of shares it would issue to Innovate/Protect would be reduced from its previous offer. Mr. Berger indicated that in the period of time in which negotiations had been terminated, the value of Innovate/Protect had increased due to a number of factors, including: (i) Innovate/Protect had received a scheduling order in the Litigation, (ii) David Cohen had joined Innovate/Protect as special counsel, and (iii) Innovate/Protect had been approached by at least one other company interested in acquiring it. As a result of the meeting, the parties agreed to re-engage in merger discussions. Mr. Berger sent Mr. Perlman a new draft term sheet. This term sheet differed from the most recent term sheet prior to the termination of merger discussions in that, rather than have Vringo issue a fixed number of shares (previously, 40 million), Vringo would issue a number of shares of common stock and shares of convertible preferred stock to the existing holders of such securities equal to the quotient of (i) $45,000,000 divided by (ii) if a definitive agreement is executed after February 21, 2012, a to be determined discount factor multiplied by the average of each of the thirty (30) daily volume weighted average prices of Vringo common stock (as reported by Bloomberg on the HP screen) for the period immediately preceding the execution and delivery of the definitive agreement (the “Vringo VWAP Price”); provided that in no event would the number of shares issued be (i) less than 31 million or (ii) greater than 38.250 million. Further, rather than Vringo issue a fixed number of warrants (previously, four million warrants exercisable at $0.94 per share and 12 million warrants exercisable at $2.00 per share), Vringo would issue warrants to purchase common stock at an exercise price of $1.76 per share, where the number of warrants issued would</w:t>
      </w:r>
    </w:p>
    <w:p>
      <w:pPr>
        <w:spacing w:after="0" w:line="200" w:lineRule="exact"/>
        <w:rPr>
          <w:sz w:val="20"/>
          <w:szCs w:val="20"/>
          <w:color w:val="auto"/>
        </w:rPr>
      </w:pPr>
    </w:p>
    <w:p>
      <w:pPr>
        <w:spacing w:after="0" w:line="27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70" w:lineRule="auto"/>
        <w:rPr>
          <w:sz w:val="20"/>
          <w:szCs w:val="20"/>
          <w:color w:val="auto"/>
        </w:rPr>
      </w:pPr>
      <w:r>
        <w:rPr>
          <w:rFonts w:ascii="Arial" w:cs="Arial" w:eastAsia="Arial" w:hAnsi="Arial"/>
          <w:sz w:val="16"/>
          <w:szCs w:val="16"/>
          <w:color w:val="auto"/>
        </w:rPr>
        <w:t>be equal to 42% of the sum of the shares of common stock underlying the convertible preferred stock and shares of common stock issued. The warrants would be in substantially the same form as the warrants recently issued by Vringo that are exercisable at $1.76 for five years. The warrants would be issued in two series, identical in all respects, except that one series, which shall account for 60% of the total, shall contain a “most favored nations” clause, which provided that the exercise price would be adjusted if Vringo issued warrants with a lower exercise price in the future.</w:t>
      </w:r>
    </w:p>
    <w:p>
      <w:pPr>
        <w:spacing w:after="0" w:line="68"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Further negotiations continued through February 18, 2012 when a confidential non-binding term sheet between the parties was agreed upon pending approval by the Vringo and Innovate/Protect board of directors. The term sheet agreed upon on February 18, 2012 differed from the term sheet sent by Mr. Berger to Mr. Perlman on February 15, 2012, in the following material respect: 52%, instead of 60%, of the total number of warrants issued would contain a “most favored nations” clause.</w:t>
      </w:r>
    </w:p>
    <w:p>
      <w:pPr>
        <w:spacing w:after="0" w:line="4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On February 18, 2012, Messrs. Lang, Berger, Perlman and Weinstein met at Vringo’s offices to discuss plans for the merger, including mutual due diligence.</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On February 21, 2012, Messrs. Berger and Perlman addressed additional concerns regarding the term sheet. Specifically, the term sheet contemplated a reverse triangular merger, which Vringo’s tax counsel advised could adversely affect the tax-free treatment of the consideration to be received by Innovate/Protect’s stockholders.</w:t>
      </w:r>
    </w:p>
    <w:p>
      <w:pPr>
        <w:spacing w:after="0" w:line="76"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On February 22, 2012, Messrs. Berger and Weinstein met and discussed strategies for the joint business. Specifically, the parties discussed Vringo’s global platform for the creation and distribution of mobile applications, and its relationships with carrier partners, handset makers and content partners, and how Mr. Lang could most easily be integrated into Vringo’s development activities in Israel. The parties discussed the collective experiences of Messrs. Siegel, Engelman and Perlman in licensing intellectual property, with a focus on trademarks and copyrights, as well as the collective experiences of Messrs. Stout and Cohen in intellectual property litigation with a focus on patents. The parties generally resolved that the core competencies of the company’s executive team and board of directors included innovation, licensing, and protection of intellectual property.</w:t>
      </w:r>
    </w:p>
    <w:p>
      <w:pPr>
        <w:spacing w:after="0" w:line="5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On February 23, 2012, Vringo’s board of directors held a board meeting to approve the terms set forth in the proposed confidential non-binding term sheet. The board also received an update on the company’s capital market strategy and alternatives that the company could explore at that point. At that point, Vringo’s management believed that the alternative offers seemed less likely to close because one of the target companies required a significant amount of time to prepare its financial statements in accordance with U.S. GAAP and the other target company would require too much additional outside capital to give the transaction a reasonable chance of closing. In addition, based on management’s preliminary analysis, none of such alternatives provided more value to Vringo’s stockholders than the current offer from Innovate/Protect. The Vringo board concluded that the merger with Innovate/Protect was the best possible outcome for its stockholders and as a result gave Mr. Perlman the authorization to move forward under the terms of the deal.</w:t>
      </w:r>
    </w:p>
    <w:p>
      <w:pPr>
        <w:spacing w:after="0" w:line="6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On February 23, 2012, Innovate/Protect’s board of directors adopted a resolution by written consent to establish an independent committee to conduct due diligence and report to the full board of directors of Innovate/Protect. Innovate/Protect established the special committee to consist of the four directors that would survive the merger, Messrs. Lang, Berger, Stout and Sinclair, with Mr. Berger serving as chair. The board authorized Mr. Berger to select and retain independent advisors as necessary to assist in analyzing the potential transaction with Vringo. Mr. Roth did not serve on the special committee because he would not continue on the board of directors following the merger, and did not want to be aware of any non-public details of Vringo’s business following the public announcement of the merger.</w:t>
      </w:r>
    </w:p>
    <w:p>
      <w:pPr>
        <w:spacing w:after="0" w:line="71"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From February 24 – 28, 2012, the parties engaged in mutual due diligence, drafted and negotiated the definitive merger agreement and related documents. During this period, the material issues negotiated included the definition of a material adverse effect and the restrictions that the parties would place on one another between the execution of the definitive agreement and the closing of the merger. The parties conducted mutual due diligence and reviewed the representations and warranties that each would make to the other, including, representations and warranties regarding organization, subsidiaries, capital structure, required filings, financial</w:t>
      </w:r>
    </w:p>
    <w:p>
      <w:pPr>
        <w:spacing w:after="0" w:line="200" w:lineRule="exact"/>
        <w:rPr>
          <w:sz w:val="20"/>
          <w:szCs w:val="20"/>
          <w:color w:val="auto"/>
        </w:rPr>
      </w:pPr>
    </w:p>
    <w:p>
      <w:pPr>
        <w:spacing w:after="0" w:line="29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70" w:lineRule="auto"/>
        <w:rPr>
          <w:sz w:val="20"/>
          <w:szCs w:val="20"/>
          <w:color w:val="auto"/>
        </w:rPr>
      </w:pPr>
      <w:r>
        <w:rPr>
          <w:rFonts w:ascii="Arial" w:cs="Arial" w:eastAsia="Arial" w:hAnsi="Arial"/>
          <w:sz w:val="16"/>
          <w:szCs w:val="16"/>
          <w:color w:val="auto"/>
        </w:rPr>
        <w:t>statements, board approval, absence of undisclosed liabilities, absence of certain changes or events, agreements, contracts, commitments, material permits, employees, taxes, intellectual property, disclosure, certain business practices, books and records, employee benefit plans, tangible assets, leases, and insurance. Additionally, the companies agreed that upon the execution of the definitive agreement, they would immediately cease and cause to be terminated any existing activities, discussions or negotiations with any persons conducted previously with respect to an alternative acquisition proposal.</w:t>
      </w:r>
    </w:p>
    <w:p>
      <w:pPr>
        <w:spacing w:after="0" w:line="6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February 29, 2012, Messrs. Berger, Cohen, Perlman and Weinstein traveled to Washington, D.C. for meetings, which included meetings with Mr. Stout and Mr. Sinclair, and with counsel. The purpose of the trip to Washington, D.C. was for Messrs. Perlman and Weinstein to meet Messrs. Stout and Sinclair. No material negotiations regarding the price or terms of the transaction took place.</w:t>
      </w:r>
    </w:p>
    <w:p>
      <w:pPr>
        <w:spacing w:after="0" w:line="7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On March 5, 2012, Mr. Perlman held a call with Vringo’s director Philip Serlin and separately an in person meeting with Geoffrey Skolnik to update them on the progress of the transaction.</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March 7, 2012, Mr. Perlman held a call with Messrs. Engelman and Siegel to update them on the progress of the transaction.</w:t>
      </w:r>
    </w:p>
    <w:p>
      <w:pPr>
        <w:spacing w:after="0" w:line="12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March 7, 2012, the Vringo board of directors held a conference call to discuss outstanding issues relating to the definitive agreement, including break-up fees. In addition, the Vringo board of directors provided the authorization to retain Etico Capital to render an opinion as to whether the Merger consideration was fair, from a financial point of view, to the stockholders of Vringo. Vringo’s board of directors retained Etico Capital on March 7, 2012.</w:t>
      </w:r>
    </w:p>
    <w:p>
      <w:pPr>
        <w:spacing w:after="0" w:line="7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On March 8, 2012, Messrs. Berger, Roth, Gerber, Engelman and Perlman met at Hudson Bay Capital’s offices to discuss number of outstanding issues. The parties discussed that the term sheet had established February 21, 2012 as the outside date for the current formula, and that market fluctuations in Vringo’s stock had distorted the originally agreed-upon formula. The parties recognized that the number of shares issuable pursuant to the term sheet formula on February 21, 2012 was 36,976,981. Messrs. Perlman and Engelman informed Messrs. Berger, Roth and Gerber that Vringo had elected to issue 1.7 million options to purchase common stock at the then current market price of $1.65, in the aggregate, to members of its executive management team and board of directors as compensation for past performance and changes in roles and duties among senior management. The parties determined that rather than mirror the issuance to Innovate/Protect stockholders as warrants, Vringo would issue 38 million shares to Innovate/Protect which was within the range contemplated by the term sheet.</w:t>
      </w:r>
    </w:p>
    <w:p>
      <w:pPr>
        <w:spacing w:after="0" w:line="6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As noted above, the parties did not negotiate the merger consideration (e.g., price) from February 23, 2012 until March 8, 2012, when the final amounts were agreed upon.</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Drafting of the definitive merger agreement and related documents continued through March 8 and 9, 2012.</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On Sunday, March 11, 2012, the Vringo board of directors held a telephonic board meeting where it reviewed a presentation and the draft fairness opinion provided by Etico Capital and considered the approval of the final terms and conditions of the merger agreement. The fairness opinion was based on the assumptions, qualifications and limitations set forth in their written fairness opinion, the merger consideration to be issued by Vringo in connection with the merger was fair, from a financial point of view, to the stockholders of Vringo (other than those who own, or whose affiliates own, securities of Innovate/Protect, regarding which Etico Capital expressed no view). The Vringo board of directors approved and adopted, by a unanimous vote, the merger agreement and the merger and declared the merger agreement and the merger to be advisable, fair to, and in the best interests of Vringo and its stockholders and recommended that the Vringo stockholders vote in favor of the merger agreement and the merger.</w:t>
      </w:r>
    </w:p>
    <w:p>
      <w:pPr>
        <w:spacing w:after="0" w:line="6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Monday, March 12, 2012, Etico Capital delivered its final fairness opinion which was circulated to the Vringo board of directors. Messrs. Berger, Perlman and Weinstein met at Mintz’s offices, each with counsel, to complete all outstanding items. Vringo’s counsel and Mr. Perlman consulted with Mr. Engelman on a number of issues throughout the day with Ms. Cohl participating in a number of calls. The day concluded with the parties signing the definitive merger agreement and the related documents, which the parties</w:t>
      </w:r>
    </w:p>
    <w:p>
      <w:pPr>
        <w:spacing w:after="0" w:line="200" w:lineRule="exact"/>
        <w:rPr>
          <w:sz w:val="20"/>
          <w:szCs w:val="20"/>
          <w:color w:val="auto"/>
        </w:rPr>
      </w:pPr>
    </w:p>
    <w:p>
      <w:pPr>
        <w:spacing w:after="0" w:line="29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announced via a joint press release, followed by a joint conference call to answer initial questions from investors and analysts on March 14, 2012.</w:t>
      </w:r>
    </w:p>
    <w:p>
      <w:pPr>
        <w:spacing w:after="0" w:line="66"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On April 4, 2012, Vringo, Merger Sub and Innovate/Protect consented and agreed to modify the requirement that the registration statement containing the proxy statement be filed with the SEC from 15 business days from the date of the Merger Agreement to 19 business days from the date of the Merger Agreement. In addition, the parties agreed to clarify that the exchange ratios and shares issuable in connection with the Merger shall be equitably adjusted to reflect the reverse stock split, if any, and the aggregate number of shares of Vringo common stock and the aggregate number of warrants (and the aggregate number of shares of Vringo common stock that may be purchased upon exercise thereof) to be issued in exchange for the Innovate/Protect warrant shall each be ratably adjusted to give effect to any partial exercise of the Innovate/Protect warrant prior to the effective time of the Merger.</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Recommendations of the Vringo Board of Directors and its Reasons for the Merger</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Vringo board of directors, after considering the factors described below, (i) has determined that the Merger Agreement and the transactions contemplated thereby, including the Merger, are advisable and fair to, and in the best interests of, Vringo and its stockholders, (ii) has approved the Merger Agreement and each of the amendments to Vringo’s Certificate, and (iii) recommends that the Vringo stockholders vote FOR the Vringo Merger Proposals. The board of directors made its recommendation to the Vringo stockholders after considering the factors described in this proxy statement/prospectus. The Vringo board of directors consulted with Vringo’s senior management in evaluating the Merger. In addition, the Vringo board of directors considered a number of factors that they believed supported their respective decisions to take the foregoing actions, including, but not limited to, the following:</w:t>
      </w:r>
    </w:p>
    <w:p>
      <w:pPr>
        <w:spacing w:after="0" w:line="82" w:lineRule="exact"/>
        <w:rPr>
          <w:sz w:val="20"/>
          <w:szCs w:val="20"/>
          <w:color w:val="auto"/>
        </w:rPr>
      </w:pPr>
    </w:p>
    <w:p>
      <w:pPr>
        <w:jc w:val="both"/>
        <w:ind w:left="560" w:right="1239" w:hanging="300"/>
        <w:spacing w:after="0" w:line="256"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belief that the combination of Vringo’s and Innovate/Protect’s businesses would create more value for the Vringo stockholders in the long-term than Vringo could create as a stand-alone business given the challenges in its business and those presented by a volatile economy;</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fact that Vringo has not managed to create a revenue stream of significance nor does management believe that Vringo will be able to create a revenue of significance in the short-term;</w:t>
      </w:r>
    </w:p>
    <w:p>
      <w:pPr>
        <w:spacing w:after="0" w:line="66" w:lineRule="exact"/>
        <w:rPr>
          <w:rFonts w:ascii="Arial" w:cs="Arial" w:eastAsia="Arial" w:hAnsi="Arial"/>
          <w:sz w:val="17"/>
          <w:szCs w:val="17"/>
          <w:color w:val="auto"/>
        </w:rPr>
      </w:pPr>
    </w:p>
    <w:p>
      <w:pPr>
        <w:ind w:left="560" w:right="1239" w:hanging="300"/>
        <w:spacing w:after="0" w:line="335" w:lineRule="auto"/>
        <w:tabs>
          <w:tab w:leader="none" w:pos="5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ability to create long-term value for Vringo stockholders would require the need for Vringo to raise additional capital which the Vringo board believed would be dilutive to its stockholders and impair the value of Vringo common stock;</w:t>
      </w:r>
    </w:p>
    <w:p>
      <w:pPr>
        <w:spacing w:after="0" w:line="19" w:lineRule="exact"/>
        <w:rPr>
          <w:rFonts w:ascii="Arial" w:cs="Arial" w:eastAsia="Arial" w:hAnsi="Arial"/>
          <w:sz w:val="15"/>
          <w:szCs w:val="15"/>
          <w:color w:val="auto"/>
        </w:rPr>
      </w:pPr>
    </w:p>
    <w:p>
      <w:pPr>
        <w:jc w:val="both"/>
        <w:ind w:left="560" w:right="1239" w:hanging="300"/>
        <w:spacing w:after="0" w:line="253"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Vringo board of directors’ consideration of strategic alternatives to the Merger in the form of a potential equity fundraising, a sale of the business or other merger scenarios considered by the Vringo board in the mobile applications, mobile infrastructure, online video, mobile gaming and mobile social networking industries or continuing to operate Vringo on a stand-alone basis;</w:t>
      </w:r>
    </w:p>
    <w:p>
      <w:pPr>
        <w:spacing w:after="0" w:line="77" w:lineRule="exact"/>
        <w:rPr>
          <w:rFonts w:ascii="Arial" w:cs="Arial" w:eastAsia="Arial" w:hAnsi="Arial"/>
          <w:sz w:val="17"/>
          <w:szCs w:val="17"/>
          <w:color w:val="auto"/>
        </w:rPr>
      </w:pPr>
    </w:p>
    <w:p>
      <w:pPr>
        <w:ind w:left="560" w:hanging="300"/>
        <w:spacing w:after="0"/>
        <w:tabs>
          <w:tab w:leader="none" w:pos="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opportunity for the Vringo stockholders to participate in the potential future value of the combined company;</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consideration of Vringo short- and long-term performance on a stand-alone basis;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belief that the Merger is more favorable to the Vringo stockholders than the alternatives to the Merger;</w:t>
      </w:r>
    </w:p>
    <w:p>
      <w:pPr>
        <w:spacing w:after="0" w:line="105" w:lineRule="exact"/>
        <w:rPr>
          <w:rFonts w:ascii="Arial" w:cs="Arial" w:eastAsia="Arial" w:hAnsi="Arial"/>
          <w:sz w:val="17"/>
          <w:szCs w:val="17"/>
          <w:color w:val="auto"/>
        </w:rPr>
      </w:pPr>
    </w:p>
    <w:p>
      <w:pPr>
        <w:jc w:val="both"/>
        <w:ind w:left="560" w:right="1239" w:hanging="300"/>
        <w:spacing w:after="0" w:line="253"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terms and conditions of the Merger Agreement, including, but not limited to, the closing condition with respect to the Litigation which states that Innovate/Protect has not settled, discharged or released any of its claims relating to the Litigation or assigned or granted any security interest in any of those claims and that there has been no dismissal of the Litigation;</w:t>
      </w:r>
    </w:p>
    <w:p>
      <w:pPr>
        <w:spacing w:after="0" w:line="77" w:lineRule="exact"/>
        <w:rPr>
          <w:rFonts w:ascii="Arial" w:cs="Arial" w:eastAsia="Arial" w:hAnsi="Arial"/>
          <w:sz w:val="17"/>
          <w:szCs w:val="17"/>
          <w:color w:val="auto"/>
        </w:rPr>
      </w:pPr>
    </w:p>
    <w:p>
      <w:pPr>
        <w:ind w:left="560" w:hanging="300"/>
        <w:spacing w:after="0"/>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fairness opinion of Etico Capital;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likelihood that the Merger will be completed on a timely basis; and</w:t>
      </w:r>
    </w:p>
    <w:p>
      <w:pPr>
        <w:spacing w:after="0" w:line="200" w:lineRule="exact"/>
        <w:rPr>
          <w:sz w:val="20"/>
          <w:szCs w:val="20"/>
          <w:color w:val="auto"/>
        </w:rPr>
      </w:pPr>
    </w:p>
    <w:p>
      <w:pPr>
        <w:spacing w:after="0" w:line="33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hanging="300"/>
        <w:spacing w:after="0" w:line="256" w:lineRule="auto"/>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fact that the Common Stock Exchange Ratio will not fluctuate based upon changes in the price of Vringo common stock or the value of Innovate/Protect capital stock prior to the completion of the Merger, which protects the Vringo stockholders from any materially negative trends in the price of Vringo common stock.</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Vringo board of directors also considered a number of potentially negative factors in its deliberations concerning the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Merger, including:</w:t>
      </w:r>
    </w:p>
    <w:p>
      <w:pPr>
        <w:spacing w:after="0" w:line="93" w:lineRule="exact"/>
        <w:rPr>
          <w:sz w:val="20"/>
          <w:szCs w:val="20"/>
          <w:color w:val="auto"/>
        </w:rPr>
      </w:pPr>
    </w:p>
    <w:p>
      <w:pPr>
        <w:ind w:left="560" w:hanging="300"/>
        <w:spacing w:after="0"/>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general challenges associated with successfully integrating two companies;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failure to integrate successfully the businesses of Vringo and Innovate/Protect in the expected timeframe could adversely affect the combined company’s future results following the completion of the Merger;</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risk that Innovate/Protect will be unable to achieve a positive verdict or settlement in the Litigation;</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possible volatility, at least in the short term, of the trading price of Vringo common stock resulting from the public announcement of the Merger;</w:t>
      </w:r>
    </w:p>
    <w:p>
      <w:pPr>
        <w:spacing w:after="0" w:line="66" w:lineRule="exact"/>
        <w:rPr>
          <w:rFonts w:ascii="Arial" w:cs="Arial" w:eastAsia="Arial" w:hAnsi="Arial"/>
          <w:sz w:val="17"/>
          <w:szCs w:val="17"/>
          <w:color w:val="auto"/>
        </w:rPr>
      </w:pPr>
    </w:p>
    <w:p>
      <w:pPr>
        <w:ind w:left="560" w:right="1239" w:hanging="300"/>
        <w:spacing w:after="0" w:line="299" w:lineRule="auto"/>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announcement and pendency of the Merger could have an adverse effect on Vringo’s stock price and/or the business, financial condition, results of operations, or business prospects for Vringo and/or Innovate/Protect;</w:t>
      </w:r>
    </w:p>
    <w:p>
      <w:pPr>
        <w:spacing w:after="0" w:line="42" w:lineRule="exact"/>
        <w:rPr>
          <w:rFonts w:ascii="Arial" w:cs="Arial" w:eastAsia="Arial" w:hAnsi="Arial"/>
          <w:sz w:val="16"/>
          <w:szCs w:val="16"/>
          <w:color w:val="auto"/>
        </w:rPr>
      </w:pPr>
    </w:p>
    <w:p>
      <w:pPr>
        <w:ind w:left="560" w:hanging="300"/>
        <w:spacing w:after="0"/>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potential loss of key employees critical to the ongoing success of the combined company’s business;</w:t>
      </w:r>
    </w:p>
    <w:p>
      <w:pPr>
        <w:spacing w:after="0" w:line="105" w:lineRule="exact"/>
        <w:rPr>
          <w:rFonts w:ascii="Arial" w:cs="Arial" w:eastAsia="Arial" w:hAnsi="Arial"/>
          <w:sz w:val="17"/>
          <w:szCs w:val="17"/>
          <w:color w:val="auto"/>
        </w:rPr>
      </w:pPr>
    </w:p>
    <w:p>
      <w:pPr>
        <w:ind w:left="560" w:right="1239" w:hanging="300"/>
        <w:spacing w:after="0" w:line="335" w:lineRule="auto"/>
        <w:tabs>
          <w:tab w:leader="none" w:pos="5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 xml:space="preserve">the interests of Vringo directors and executive officers in the Merger, including the matters described under the section entitled “The Merger — Interests of Vringo Directors and Executive Officers in the Merger” beginning on page </w:t>
      </w:r>
      <w:r>
        <w:rPr>
          <w:rFonts w:ascii="Arial" w:cs="Arial" w:eastAsia="Arial" w:hAnsi="Arial"/>
          <w:sz w:val="15"/>
          <w:szCs w:val="15"/>
          <w:u w:val="single" w:color="auto"/>
          <w:color w:val="0000EE"/>
        </w:rPr>
        <w:t>82</w:t>
      </w:r>
      <w:r>
        <w:rPr>
          <w:rFonts w:ascii="Arial" w:cs="Arial" w:eastAsia="Arial" w:hAnsi="Arial"/>
          <w:sz w:val="15"/>
          <w:szCs w:val="15"/>
          <w:color w:val="auto"/>
        </w:rPr>
        <w:t>;</w:t>
      </w:r>
    </w:p>
    <w:p>
      <w:pPr>
        <w:spacing w:after="0" w:line="19" w:lineRule="exact"/>
        <w:rPr>
          <w:rFonts w:ascii="Arial" w:cs="Arial" w:eastAsia="Arial" w:hAnsi="Arial"/>
          <w:sz w:val="15"/>
          <w:szCs w:val="15"/>
          <w:color w:val="auto"/>
        </w:rPr>
      </w:pPr>
    </w:p>
    <w:p>
      <w:pPr>
        <w:ind w:left="560" w:right="1239" w:hanging="300"/>
        <w:spacing w:after="0" w:line="267" w:lineRule="auto"/>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impact of certain deal protection measures contained in the Merger Agreement on Vringo, its business and operation, including the restrictions on Vringo’s ability to solicit better offers;</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risk that conditions to the completion of the Merger will not be satisfied and that the Merger may not be completed in a timely manner or at all;</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ability of Innovate/Protect’s current stockholders and board members to significantly influence the combined company’s business following the completion of the Merger;</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ability of Innovate/Protect to terminate the Merger Agreement for any reason;</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requirement that Vringo receive approval from NYSE Amex for the listing of Vringo’s common stock to be issued in connection with the Merger; and</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the other risks described above under the section entitled “Risk Factors” beginning on page </w:t>
      </w:r>
      <w:r>
        <w:rPr>
          <w:rFonts w:ascii="Arial" w:cs="Arial" w:eastAsia="Arial" w:hAnsi="Arial"/>
          <w:sz w:val="17"/>
          <w:szCs w:val="17"/>
          <w:u w:val="single" w:color="auto"/>
          <w:color w:val="0000EE"/>
        </w:rPr>
        <w:t>41</w:t>
      </w:r>
      <w:r>
        <w:rPr>
          <w:rFonts w:ascii="Arial" w:cs="Arial" w:eastAsia="Arial" w:hAnsi="Arial"/>
          <w:sz w:val="17"/>
          <w:szCs w:val="17"/>
          <w:color w:val="auto"/>
        </w:rPr>
        <w:t>.</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This discussion of the information and factors considered by the Vringo board of directors is not intended to be exhaustive but is intended to summarize all material factors considered by the Vringo board of directors in connection with its approval and recommendation of the Merger and the other related transactions described in this proxy statement/prospectus. In view of the wide variety of factors considered, Vringo board of directors has not found it practicable to quantify or otherwise assign relative weights to the specific factors considered. However, the Vringo board of directors concluded that the potential benefits of the Merger outweighed the potential negative factors and that, overall, the Merger had greater potential benefits for the Vringo stockholders than other strategic alternatives, including continuing to operate Vringo as a stand-alone publicly traded company on the NYSE Amex. Therefore, after taking into account all of the factors set forth above, the Vringo board of directors determined that the Merger Agreement and the transactions contemplated thereby, including the Merger, are advisable and fair to, and in the best interests of, Vringo and its stockholders and that Vringo should enter into the Merger Agreement and take all actions necessary to complete the Merger.</w:t>
      </w: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Opinion of Etico Capital to the Vringo Board of Directors</w:t>
      </w:r>
    </w:p>
    <w:p>
      <w:pPr>
        <w:spacing w:after="0" w:line="109"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 board of directors of Vringo engaged Etico Capital to provide a fairness opinion to the board of directors. The board of directors selected Etico Capital based on the reputation and investment banking experience of Etico Capital and its principals. Etico Capital provides investment banking services, including merger and acquisition advisory services, to a wide range of companies in various industries. On March 11, 2012, Etico Capital provided the Vringo board of directors with a presentation and a draft of the fairness opinion. On March 12, 2012, Etico Capital delivered its final written opinion to the Vringo board of directors that, as of such date, and based upon and subject to the various assumptions and limitations set forth in its written opinion, the Merger consideration to be issued is fair, from a financial point of view, to holders of Vringo common stock (other than those who own, or whose affiliates own, securities of Innovate/Protect, regarding which Etico Capital expressed no view).</w:t>
      </w:r>
    </w:p>
    <w:p>
      <w:pPr>
        <w:spacing w:after="0" w:line="56"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b w:val="1"/>
          <w:bCs w:val="1"/>
          <w:color w:val="auto"/>
        </w:rPr>
        <w:t xml:space="preserve">The full text of the written opinion, dated as of March 12, 2012, of Etico Capital is attached as </w:t>
      </w:r>
      <w:r>
        <w:rPr>
          <w:rFonts w:ascii="Arial" w:cs="Arial" w:eastAsia="Arial" w:hAnsi="Arial"/>
          <w:sz w:val="15"/>
          <w:szCs w:val="15"/>
          <w:b w:val="1"/>
          <w:bCs w:val="1"/>
          <w:u w:val="single" w:color="auto"/>
          <w:color w:val="auto"/>
        </w:rPr>
        <w:t>Annex H</w:t>
      </w:r>
      <w:r>
        <w:rPr>
          <w:rFonts w:ascii="Arial" w:cs="Arial" w:eastAsia="Arial" w:hAnsi="Arial"/>
          <w:sz w:val="15"/>
          <w:szCs w:val="15"/>
          <w:b w:val="1"/>
          <w:bCs w:val="1"/>
          <w:color w:val="auto"/>
        </w:rPr>
        <w:t xml:space="preserve"> to this proxy statement/prospectus. The opinion sets forth, among other things, the assumptions made, matters considered and limitations on the review undertaken by Etico Capital. Holders of Vringo common stock are urged to, and should, read the Etico Capital opinion carefully and in its entirety. The Etico Capital opinion is directed to the Vringo board of directors and addresses only the fairness of the Merger consideration from a financial point of view to holders of Vringo common stock (other than those who own, or whose affiliates own, securities of Innovate/Protect, regarding which Etico Capital expressed no view) as of the date of the opinion. The Etico Capital opinion does not address any other aspect of the Merger and does not constitute a recommendation to any holder of Vringo common stock as to how to vote on the Vringo Merger Proposals at the annual meeting. Etico Capital’s opinion does not address the underlying business decision to enter into the Merger Agreement or the Merger, nor does it evaluate alternative opportunities, alternative transaction structures or other financial or strategic alternatives. The summary of the Etico Capital opinion set forth in this proxy statement/prospectus is qualified in its entirety by reference to the full text of such opinion.</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connection with rendering its opinion and performing its related financial analysis, Etico Capital, among other things:</w:t>
      </w:r>
    </w:p>
    <w:p>
      <w:pPr>
        <w:spacing w:after="0" w:line="117" w:lineRule="exact"/>
        <w:rPr>
          <w:sz w:val="20"/>
          <w:szCs w:val="20"/>
          <w:color w:val="auto"/>
        </w:rPr>
      </w:pPr>
    </w:p>
    <w:p>
      <w:pPr>
        <w:ind w:left="560" w:right="1239" w:hanging="300"/>
        <w:spacing w:after="0" w:line="299"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reviewed a draft, dated March 10, 2012, of the Merger Agreement and the exhibits thereto, which, for the purposes of its opinion, Etico Capital assumed to be, in all material respects, identical to the Merger Agreement as entered into;</w:t>
      </w:r>
    </w:p>
    <w:p>
      <w:pPr>
        <w:spacing w:after="0" w:line="42"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reviewed the audited financial statements of Vringo as of and for the year ended December 31, 2010 and unaudited financial statements of Vringo as of and for the three and nine months ended September 30, 2011;</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reviewed the audited financial statements of Innovate/Protect for the period from June 8, 2011 (inception) to and as of December 31, 2011;</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reviewed the historical market prices and trading volumes of Vringo common stock;</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held discussions with the senior management of Vringo with respect to the business and prospects of Vringo and Innovate/Protect and the reasons for the Merger;</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reviewed and analyzed certain publicly available financial data for companies that Etico Capital deemed relevant in evaluating Vringo and Innovate/Protect;</w:t>
      </w:r>
    </w:p>
    <w:p>
      <w:pPr>
        <w:spacing w:after="0" w:line="66" w:lineRule="exact"/>
        <w:rPr>
          <w:rFonts w:ascii="Arial" w:cs="Arial" w:eastAsia="Arial" w:hAnsi="Arial"/>
          <w:sz w:val="17"/>
          <w:szCs w:val="17"/>
          <w:color w:val="auto"/>
        </w:rPr>
      </w:pPr>
    </w:p>
    <w:p>
      <w:pPr>
        <w:ind w:left="560" w:right="1239" w:hanging="300"/>
        <w:spacing w:after="0" w:line="299"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reviewed and analyzed certain publicly available financial information for certain similar transactions in evaluating the Merger consideration and the reported prices and historical trading activities of the securities of such companies; and</w:t>
      </w:r>
    </w:p>
    <w:p>
      <w:pPr>
        <w:spacing w:after="0" w:line="42"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performed such other analyses, reviewed such other information and considered such other factors as Etico Capital deemed appropriate.</w:t>
      </w:r>
    </w:p>
    <w:p>
      <w:pPr>
        <w:spacing w:after="0" w:line="6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In rendering its opinion, Etico Capital relied upon and assumed, without independent verification or investigation, the accuracy and completeness of all of the financial and other information provided to or</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discussed with it by Vringo, Innovate/Protect and their respective employees, legal counsel, representatives and affiliates or otherwise reviewed by Etico Capital. No forecast or projections of financial performance or results of operations or of the financial condition of Vringo, Innovate/Protect or of the combined company were supplied to Etico Capital. Vringo’s operating expenditure budget for 2012 of approximately $4.22 million (consisted of $0.14 million for cost of revenue, $1.51 million for research and development, $0.93 million for marketing, and $1.64 million for general and administrative expenses) was supplied to the management of Innovate/Protect for the purposes of budgeting the capital needs of the combined company. There were no revenue projections or other projections provided. Forecasts covering a period of five years for companies with stable operations may have provided Etico Capital with sufficient information to enable Etico Capital to perform a discounted cash flow analysis of Vringo and Innovate/Protect as an additional reference point for use in arriving at its opinion. Moreover, Etico Capital did not value or consider the anti-dilution or other terms or rights of securities to be issued as part of the Merger consideration which may be superior to the rights of the holders of Vringo common stock. Etico Capital did not make nor obtain any independent evaluations or appraisals of the assets or liabilities, contingent or otherwise, of Vringo or Innovate/Protect. Etico Capital also, at the direction and consent of Vringo, did not, and did not seek to: (a) independently value US patent numbers 6,314,420 and 6,775,664 (the “</w:t>
      </w:r>
      <w:r>
        <w:rPr>
          <w:rFonts w:ascii="Arial" w:cs="Arial" w:eastAsia="Arial" w:hAnsi="Arial"/>
          <w:sz w:val="15"/>
          <w:szCs w:val="15"/>
          <w:b w:val="1"/>
          <w:bCs w:val="1"/>
          <w:color w:val="auto"/>
        </w:rPr>
        <w:t>Patents</w:t>
      </w:r>
      <w:r>
        <w:rPr>
          <w:rFonts w:ascii="Arial" w:cs="Arial" w:eastAsia="Arial" w:hAnsi="Arial"/>
          <w:sz w:val="15"/>
          <w:szCs w:val="15"/>
          <w:color w:val="auto"/>
        </w:rPr>
        <w:t xml:space="preserve">”) acquired by Innovate/Protect in June 2011 or (b) determine the likelihood of success, the amount of damages, if any, that may be recovered, nor the timing and cost (and whether the combined company has or will have adequate resources, financial or otherwise, to prosecute) the Litigation initiated by Innovate/Protect, in which Innovate/Protect alleges </w:t>
      </w:r>
      <w:r>
        <w:rPr>
          <w:rFonts w:ascii="Arial" w:cs="Arial" w:eastAsia="Arial" w:hAnsi="Arial"/>
          <w:sz w:val="15"/>
          <w:szCs w:val="15"/>
          <w:i w:val="1"/>
          <w:iCs w:val="1"/>
          <w:color w:val="auto"/>
        </w:rPr>
        <w:t>inter alia</w:t>
      </w:r>
      <w:r>
        <w:rPr>
          <w:rFonts w:ascii="Arial" w:cs="Arial" w:eastAsia="Arial" w:hAnsi="Arial"/>
          <w:sz w:val="15"/>
          <w:szCs w:val="15"/>
          <w:color w:val="auto"/>
        </w:rPr>
        <w:t xml:space="preserve"> infringement of the Patents by the defendants named therein. In addition, Innovate/Protect had recently completed a round of equity financing which Vringo believed showed a clear indication of at what valuation the private markets would value Innovate/Protect. The value of Innovate/Protect’s Patents is largely dependent upon the outcome of the Litigation which may continue for several years, may require significant expenditures for legal fees and other expenses and is subject to the speculative nature of litigation in general. See “Risk Factors — Risks Related to Innovate/Protect’s Business.” As a result, neither Vringo nor Innovate/Protect valued, nor did they request Etico Capital to value, Innovate/Protect’s patents or the likely timing or ultimate success of the Litigation. The success of the Litigation and the value of the patents, if determinable, would likely have affected Etico Capital’s opinion. At the direction and with the consent of Vringo, Etico Capital also assumed that the Merger will qualify for federal income tax purposes as a “reorganization” within the meaning of Section 368(a) of the Code.</w:t>
      </w:r>
    </w:p>
    <w:p>
      <w:pPr>
        <w:spacing w:after="0" w:line="64"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Etico Capital also assumed, with the consent of Vringo, that (a) all representations and warranties of each party contained in the Merger Agreement are true and correct, (b) each party will perform all of the covenants and agreements to be performed by it pursuant to the Merger Agreement and (c) the Merger will be consummated in accordance with the terms of the draft Merger Agreement reviewed by it without waiver, modification or amendment of any material term, condition or agreement and in compliance with all applicable laws and other requirements and that, in the course of obtaining any necessary regulatory or third party approvals, consents and releases with respect to the Merger, no delay, limitation, restriction or condition will be imposed that would have an adverse effect on Vringo or Innovate/Protect.</w:t>
      </w:r>
    </w:p>
    <w:p>
      <w:pPr>
        <w:spacing w:after="0" w:line="7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Etico Capital’s opinion relates to the relative values of Vringo and Innovate/Protect. Etico Capital did not express any opinion as to the underlying valuation, future performance or long term viability of Vringo or the combined company, the actual value of Vringo common stock when issued in the Merger or the price at which Vringo common stock will trade at any time. Etico Capital expressed no view as to, and its opinion does not address, any terms or other aspects or implications of the Merger (other than the consideration to be paid by Vringo in the Merger to the extent expressly specified in its opinion) or any aspect or implication of any other agreement, arrangement or understanding entered into in connection with the Merger or otherwise, including, without limitation, the fairness of the amount or nature of the compensation resulting from the Merger to any individual officers, directors or employees of Vringo or Innovate/Protect, the existence or lack of conflicts of interest between officers, directors, employees and stockholders of Vringo and Innovate/Protect or the class of such persons, whether relative to the Merger or otherwise.</w:t>
      </w:r>
    </w:p>
    <w:p>
      <w:pPr>
        <w:spacing w:after="0" w:line="6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addition, Etico Capital expressed no view as to, and its opinion does not address, the underlying business decision of Vringo to proceed with or effect the Merger nor does its opinion address the relative merits of the Merger as compared to any alternative business strategies that might exist for Vringo or the</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1" w:lineRule="auto"/>
        <w:rPr>
          <w:sz w:val="20"/>
          <w:szCs w:val="20"/>
          <w:color w:val="auto"/>
        </w:rPr>
      </w:pPr>
      <w:r>
        <w:rPr>
          <w:rFonts w:ascii="Arial" w:cs="Arial" w:eastAsia="Arial" w:hAnsi="Arial"/>
          <w:sz w:val="17"/>
          <w:szCs w:val="17"/>
          <w:color w:val="auto"/>
        </w:rPr>
        <w:t>effect of any other transaction in which Vringo might engage. Etico Capital relied, without independent verification, upon the views of management of Vringo concerning the business, operational and strategic benefits and implications of the Merger. In connection with its engagement, Etico Capital was not requested to, and it did not, solicit third party indications of interest in possible alternative transactions for Vringo. Etico Capital did not otherwise participate in the origination, negotiation or structuring of the Merger or in the transaction process.</w:t>
      </w:r>
    </w:p>
    <w:p>
      <w:pPr>
        <w:spacing w:after="0" w:line="8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Etico Capital was not asked to pass upon, and expressed no opinion with respect to, any matters, including any agreements between Vringo and Innovate/Protect or any of their respective affiliates, other than the fairness from a financial point of view of the Merger consideration to holders of Vringo common stock (other than those who own, or whose affiliates own, securities of Innovate/Protect).</w:t>
      </w:r>
    </w:p>
    <w:p>
      <w:pPr>
        <w:spacing w:after="0" w:line="7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Etico Capital has not conducted, nor has Etico Capital assumed any obligation to conduct, any physical inspection of the properties or facilities of Vringo or Innovate/Protect. Etico Capital assumed, with the consent of the Vringo board of directors, that there are no legal issues with regard to Vringo or Innovate/Protect that would affect its opinion, and Etico Capital relied on this assumption without undertaking any independent investigation or inquiry. Etico Capital’s opinion is necessarily based on the information available to it and general economic, financial and stock market conditions and circumstances as they existed and could be evaluated by it on March 12, 2012. It should be understood that, although subsequent developments may affect its opinion, Etico Capital does not have any obligation to update, revise or reaffirm the opinion.</w:t>
      </w:r>
    </w:p>
    <w:p>
      <w:pPr>
        <w:spacing w:after="0" w:line="7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following is a summary explanation of the various sources of information and valuation methodologies employed by Etico Capital in rendering its opinion. These analyses were provided to the Vringo board of directors at its meeting on March 11, 2012. There were no material changes to these analyses prior to March 12, 2012. This summary describes the financial analyses used by Etico Capital and deemed to be material, but does not purport to be a complete description of the analyses performed by Etico Capital in arriving at its opinion. Etico Capital did not explicitly assign any relative weights to the various factors or analyses considered. The summary of financial analyses includes information presented in tabular format. In order to fully understand the financial analyses used by Etico Capital, the tables must be read together with the text of each summary. The tables alone do not constitute a complete description of the financial analyses.</w:t>
      </w:r>
    </w:p>
    <w:p>
      <w:pPr>
        <w:spacing w:after="0" w:line="7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Etico Capital did not find companies engaged in the same or similarly proposed combined businesses of Vringo and Innovate/Protect because the businesses of Vringo and Innovate/Protest are highly dissimilar. Therefore, for purposes of its analysis, Etico Capital evaluated each of Vringo and Innovate/Protect on a standalone basis.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Vringo Valuation</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Comparable Companies Analysis</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Etico Capital compared Vringo to a group of comparable public companies that Etico Capital deemed comparable to Vringo’s limited universe. Vringo is a company that exists in an industry where there are a limited number of comparable public companies. Etico Capital selected public companies competing in the mobile solutions industry with enterprise values ranging from $3.3 million to $901.0 million, with revenues for the trailing twelve months that were publicly available at the time of the analysis of between $.6 million and $138.0 million and with EBITDA (defined below) for the trailing twelve months that were publicly available at the time of the analysis of between a negative $12.0 million and a positive $31.0 million.</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comparable companies were:</w:t>
      </w:r>
    </w:p>
    <w:p>
      <w:pPr>
        <w:spacing w:after="0" w:line="105" w:lineRule="exact"/>
        <w:rPr>
          <w:sz w:val="20"/>
          <w:szCs w:val="20"/>
          <w:color w:val="auto"/>
        </w:rPr>
      </w:pPr>
    </w:p>
    <w:p>
      <w:pPr>
        <w:ind w:left="560" w:hanging="300"/>
        <w:spacing w:after="0"/>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BroadSoft,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Dynavox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Glu Mobile,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LiveWire Mobile,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Macrosolve,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Motricity, Inc.</w:t>
      </w:r>
    </w:p>
    <w:p>
      <w:pPr>
        <w:spacing w:after="0" w:line="200" w:lineRule="exact"/>
        <w:rPr>
          <w:sz w:val="20"/>
          <w:szCs w:val="20"/>
          <w:color w:val="auto"/>
        </w:rPr>
      </w:pPr>
    </w:p>
    <w:p>
      <w:pPr>
        <w:spacing w:after="0" w:line="31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Etico Capital considered:</w:t>
      </w:r>
    </w:p>
    <w:p>
      <w:pPr>
        <w:spacing w:after="0" w:line="101" w:lineRule="exact"/>
        <w:rPr>
          <w:sz w:val="20"/>
          <w:szCs w:val="20"/>
          <w:color w:val="auto"/>
        </w:rPr>
      </w:pPr>
    </w:p>
    <w:p>
      <w:pPr>
        <w:ind w:left="560" w:right="1239" w:hanging="300"/>
        <w:spacing w:after="0" w:line="272" w:lineRule="auto"/>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ratio of equity market capitalization, adjusted for cash and debt when appropriate, to reflect enterprise value (“</w:t>
      </w:r>
      <w:r>
        <w:rPr>
          <w:rFonts w:ascii="Arial" w:cs="Arial" w:eastAsia="Arial" w:hAnsi="Arial"/>
          <w:sz w:val="17"/>
          <w:szCs w:val="17"/>
          <w:b w:val="1"/>
          <w:bCs w:val="1"/>
          <w:color w:val="auto"/>
        </w:rPr>
        <w:t>EV</w:t>
      </w:r>
      <w:r>
        <w:rPr>
          <w:rFonts w:ascii="Arial" w:cs="Arial" w:eastAsia="Arial" w:hAnsi="Arial"/>
          <w:sz w:val="17"/>
          <w:szCs w:val="17"/>
          <w:color w:val="auto"/>
        </w:rPr>
        <w:t>”) to earnings before interest, taxes, depreciation and amortization (“</w:t>
      </w:r>
      <w:r>
        <w:rPr>
          <w:rFonts w:ascii="Arial" w:cs="Arial" w:eastAsia="Arial" w:hAnsi="Arial"/>
          <w:sz w:val="17"/>
          <w:szCs w:val="17"/>
          <w:b w:val="1"/>
          <w:bCs w:val="1"/>
          <w:color w:val="auto"/>
        </w:rPr>
        <w:t>EBITDA</w:t>
      </w:r>
      <w:r>
        <w:rPr>
          <w:rFonts w:ascii="Arial" w:cs="Arial" w:eastAsia="Arial" w:hAnsi="Arial"/>
          <w:sz w:val="17"/>
          <w:szCs w:val="17"/>
          <w:color w:val="auto"/>
        </w:rPr>
        <w:t>”);</w:t>
      </w:r>
    </w:p>
    <w:p>
      <w:pPr>
        <w:spacing w:after="0" w:line="58" w:lineRule="exact"/>
        <w:rPr>
          <w:rFonts w:ascii="Arial" w:cs="Arial" w:eastAsia="Arial" w:hAnsi="Arial"/>
          <w:sz w:val="17"/>
          <w:szCs w:val="17"/>
          <w:color w:val="auto"/>
        </w:rPr>
      </w:pPr>
    </w:p>
    <w:p>
      <w:pPr>
        <w:ind w:left="560" w:hanging="300"/>
        <w:spacing w:after="0"/>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ratio of market price to earnings (“</w:t>
      </w:r>
      <w:r>
        <w:rPr>
          <w:rFonts w:ascii="Arial" w:cs="Arial" w:eastAsia="Arial" w:hAnsi="Arial"/>
          <w:sz w:val="17"/>
          <w:szCs w:val="17"/>
          <w:b w:val="1"/>
          <w:bCs w:val="1"/>
          <w:color w:val="auto"/>
        </w:rPr>
        <w:t>P/E</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ratio of equity market capitalization to book value (“</w:t>
      </w:r>
      <w:r>
        <w:rPr>
          <w:rFonts w:ascii="Arial" w:cs="Arial" w:eastAsia="Arial" w:hAnsi="Arial"/>
          <w:sz w:val="17"/>
          <w:szCs w:val="17"/>
          <w:b w:val="1"/>
          <w:bCs w:val="1"/>
          <w:color w:val="auto"/>
        </w:rPr>
        <w:t>P/Book</w:t>
      </w:r>
      <w:r>
        <w:rPr>
          <w:rFonts w:ascii="Arial" w:cs="Arial" w:eastAsia="Arial" w:hAnsi="Arial"/>
          <w:sz w:val="17"/>
          <w:szCs w:val="17"/>
          <w:color w:val="auto"/>
        </w:rPr>
        <w:t>”);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ratio of EV to revenues for the trailing twelve months (“</w:t>
      </w:r>
      <w:r>
        <w:rPr>
          <w:rFonts w:ascii="Arial" w:cs="Arial" w:eastAsia="Arial" w:hAnsi="Arial"/>
          <w:sz w:val="17"/>
          <w:szCs w:val="17"/>
          <w:b w:val="1"/>
          <w:bCs w:val="1"/>
          <w:color w:val="auto"/>
        </w:rPr>
        <w:t>EV/Rev</w:t>
      </w:r>
      <w:r>
        <w:rPr>
          <w:rFonts w:ascii="Arial" w:cs="Arial" w:eastAsia="Arial" w:hAnsi="Arial"/>
          <w:sz w:val="17"/>
          <w:szCs w:val="17"/>
          <w:color w:val="auto"/>
        </w:rPr>
        <w:t>”).</w:t>
      </w:r>
    </w:p>
    <w:p>
      <w:pPr>
        <w:spacing w:after="0" w:line="109"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In order to perform this analysis, Etico Capital compared financial information of Vringo with publicly available information for the comparable companies. Etico Capital considered the entire range of multiples yielded by the comparable companies in establishing a more limited reference range of multiples which it used for its analysis. For this analysis, as well as other analyses, Etico Capital examined publicly available information. The multiple of revenues in the comparable set were relatively narrow irrespective of the comparable companies enterprise values. As stated elsewhere in this proxy statement/prospectus, because Vringo did not have positive EBITDA, earnings or book value, Etico Capital relied on EV/Rev to determine an implied valuation range. Etico Capital reviewed a variety of valuation methodologies to determine fairness. No individual method was given more weight.</w:t>
      </w:r>
    </w:p>
    <w:p>
      <w:pPr>
        <w:spacing w:after="0" w:line="5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The following table presents, based on closing prices as of March 9, 2012 (the last trading day prior to the date of Etico Capital’s opinion), the reference range of multiples for the comparable companies of EV/EBITDA, P/E, P/Book,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999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999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1320" w:type="dxa"/>
            <w:vAlign w:val="bottom"/>
          </w:tcPr>
          <w:p>
            <w:pPr>
              <w:jc w:val="right"/>
              <w:ind w:right="302"/>
              <w:spacing w:after="0" w:line="139" w:lineRule="exact"/>
              <w:rPr>
                <w:sz w:val="20"/>
                <w:szCs w:val="20"/>
                <w:color w:val="auto"/>
              </w:rPr>
            </w:pPr>
            <w:r>
              <w:rPr>
                <w:rFonts w:ascii="Arial" w:cs="Arial" w:eastAsia="Arial" w:hAnsi="Arial"/>
                <w:sz w:val="13"/>
                <w:szCs w:val="13"/>
                <w:b w:val="1"/>
                <w:bCs w:val="1"/>
                <w:color w:val="auto"/>
              </w:rPr>
              <w:t>Reference</w:t>
            </w:r>
          </w:p>
        </w:tc>
      </w:tr>
      <w:tr>
        <w:trPr>
          <w:trHeight w:val="158"/>
        </w:trPr>
        <w:tc>
          <w:tcPr>
            <w:tcW w:w="5620" w:type="dxa"/>
            <w:vAlign w:val="bottom"/>
          </w:tcPr>
          <w:p>
            <w:pPr>
              <w:spacing w:after="0"/>
              <w:rPr>
                <w:sz w:val="13"/>
                <w:szCs w:val="13"/>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Range of Multiples</w:t>
            </w:r>
          </w:p>
        </w:tc>
      </w:tr>
      <w:tr>
        <w:trPr>
          <w:trHeight w:val="193"/>
        </w:trPr>
        <w:tc>
          <w:tcPr>
            <w:tcW w:w="56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EV/EBITDA</w:t>
            </w:r>
          </w:p>
        </w:tc>
        <w:tc>
          <w:tcPr>
            <w:tcW w:w="1320" w:type="dxa"/>
            <w:vAlign w:val="bottom"/>
            <w:shd w:val="clear" w:color="auto" w:fill="CCFFCC"/>
          </w:tcPr>
          <w:p>
            <w:pPr>
              <w:jc w:val="right"/>
              <w:ind w:right="2"/>
              <w:spacing w:after="0" w:line="193" w:lineRule="exact"/>
              <w:rPr>
                <w:sz w:val="20"/>
                <w:szCs w:val="20"/>
                <w:color w:val="auto"/>
              </w:rPr>
            </w:pPr>
            <w:r>
              <w:rPr>
                <w:rFonts w:ascii="Arial" w:cs="Arial" w:eastAsia="Arial" w:hAnsi="Arial"/>
                <w:sz w:val="17"/>
                <w:szCs w:val="17"/>
                <w:color w:val="auto"/>
              </w:rPr>
              <w:t>5.12x – 29.11x</w:t>
            </w:r>
          </w:p>
        </w:tc>
      </w:tr>
      <w:tr>
        <w:trPr>
          <w:trHeight w:val="200"/>
        </w:trPr>
        <w:tc>
          <w:tcPr>
            <w:tcW w:w="5620" w:type="dxa"/>
            <w:vAlign w:val="bottom"/>
          </w:tcPr>
          <w:p>
            <w:pPr>
              <w:spacing w:after="0"/>
              <w:rPr>
                <w:sz w:val="20"/>
                <w:szCs w:val="20"/>
                <w:color w:val="auto"/>
              </w:rPr>
            </w:pPr>
            <w:r>
              <w:rPr>
                <w:rFonts w:ascii="Arial" w:cs="Arial" w:eastAsia="Arial" w:hAnsi="Arial"/>
                <w:sz w:val="17"/>
                <w:szCs w:val="17"/>
                <w:color w:val="auto"/>
              </w:rPr>
              <w:t>P/E</w:t>
            </w:r>
          </w:p>
        </w:tc>
        <w:tc>
          <w:tcPr>
            <w:tcW w:w="1320" w:type="dxa"/>
            <w:vAlign w:val="bottom"/>
          </w:tcPr>
          <w:p>
            <w:pPr>
              <w:jc w:val="right"/>
              <w:ind w:right="2"/>
              <w:spacing w:after="0"/>
              <w:rPr>
                <w:sz w:val="20"/>
                <w:szCs w:val="20"/>
                <w:color w:val="auto"/>
              </w:rPr>
            </w:pPr>
            <w:r>
              <w:rPr>
                <w:rFonts w:ascii="Arial" w:cs="Arial" w:eastAsia="Arial" w:hAnsi="Arial"/>
                <w:sz w:val="17"/>
                <w:szCs w:val="17"/>
                <w:color w:val="auto"/>
              </w:rPr>
              <w:t>12.72x – 32.12x</w:t>
            </w:r>
          </w:p>
        </w:tc>
      </w:tr>
      <w:tr>
        <w:trPr>
          <w:trHeight w:val="200"/>
        </w:trPr>
        <w:tc>
          <w:tcPr>
            <w:tcW w:w="5620" w:type="dxa"/>
            <w:vAlign w:val="bottom"/>
            <w:shd w:val="clear" w:color="auto" w:fill="CCFFCC"/>
          </w:tcPr>
          <w:p>
            <w:pPr>
              <w:spacing w:after="0"/>
              <w:rPr>
                <w:sz w:val="20"/>
                <w:szCs w:val="20"/>
                <w:color w:val="auto"/>
              </w:rPr>
            </w:pPr>
            <w:r>
              <w:rPr>
                <w:rFonts w:ascii="Arial" w:cs="Arial" w:eastAsia="Arial" w:hAnsi="Arial"/>
                <w:sz w:val="17"/>
                <w:szCs w:val="17"/>
                <w:color w:val="auto"/>
              </w:rPr>
              <w:t>P/Book</w:t>
            </w:r>
          </w:p>
        </w:tc>
        <w:tc>
          <w:tcPr>
            <w:tcW w:w="1320" w:type="dxa"/>
            <w:vAlign w:val="bottom"/>
            <w:shd w:val="clear" w:color="auto" w:fill="CCFFCC"/>
          </w:tcPr>
          <w:p>
            <w:pPr>
              <w:jc w:val="right"/>
              <w:ind w:right="2"/>
              <w:spacing w:after="0"/>
              <w:rPr>
                <w:sz w:val="20"/>
                <w:szCs w:val="20"/>
                <w:color w:val="auto"/>
              </w:rPr>
            </w:pPr>
            <w:r>
              <w:rPr>
                <w:rFonts w:ascii="Arial" w:cs="Arial" w:eastAsia="Arial" w:hAnsi="Arial"/>
                <w:sz w:val="17"/>
                <w:szCs w:val="17"/>
                <w:color w:val="auto"/>
              </w:rPr>
              <w:t>1.05x – 7.51x</w:t>
            </w:r>
          </w:p>
        </w:tc>
      </w:tr>
      <w:tr>
        <w:trPr>
          <w:trHeight w:val="213"/>
        </w:trPr>
        <w:tc>
          <w:tcPr>
            <w:tcW w:w="5620" w:type="dxa"/>
            <w:vAlign w:val="bottom"/>
          </w:tcPr>
          <w:p>
            <w:pPr>
              <w:spacing w:after="0"/>
              <w:rPr>
                <w:sz w:val="20"/>
                <w:szCs w:val="20"/>
                <w:color w:val="auto"/>
              </w:rPr>
            </w:pPr>
            <w:r>
              <w:rPr>
                <w:rFonts w:ascii="Arial" w:cs="Arial" w:eastAsia="Arial" w:hAnsi="Arial"/>
                <w:sz w:val="17"/>
                <w:szCs w:val="17"/>
                <w:color w:val="auto"/>
              </w:rPr>
              <w:t>EV/REV</w:t>
            </w:r>
          </w:p>
        </w:tc>
        <w:tc>
          <w:tcPr>
            <w:tcW w:w="1320" w:type="dxa"/>
            <w:vAlign w:val="bottom"/>
          </w:tcPr>
          <w:p>
            <w:pPr>
              <w:jc w:val="right"/>
              <w:ind w:right="2"/>
              <w:spacing w:after="0"/>
              <w:rPr>
                <w:sz w:val="20"/>
                <w:szCs w:val="20"/>
                <w:color w:val="auto"/>
              </w:rPr>
            </w:pPr>
            <w:r>
              <w:rPr>
                <w:rFonts w:ascii="Arial" w:cs="Arial" w:eastAsia="Arial" w:hAnsi="Arial"/>
                <w:sz w:val="17"/>
                <w:szCs w:val="17"/>
                <w:color w:val="auto"/>
              </w:rPr>
              <w:t>.31x – 27.94x</w:t>
            </w:r>
          </w:p>
        </w:tc>
      </w:tr>
    </w:tbl>
    <w:p>
      <w:pPr>
        <w:spacing w:after="0" w:line="7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Because Vringo did not have positive EBITDA, earnings or book value, Etico Capital relied on EV/Rev to determine an implied valuation range for Vringo. Based on this comparable companies analysis and Vringo’s annualized 2011 revenue based on revenue for the nine months ended September 30, 2011, Etico Capital concluded that Vringo had an implied valuation range between $230,000 and $20.7 million. Based upon the percentage ownership of the Vringo stockholders of the combined entity, even the high-end of range of the implied Vringo Comparable Company Analysis ($20.7 million) supported the fairness of the Merger consideration, from a financial point of view, to the holders of Vringo common stock, in comparison to the implied valuation of Innovate/Protect as described under the caption “Innovate/Protect Comparable Companies Analysis.”</w:t>
      </w:r>
    </w:p>
    <w:p>
      <w:pPr>
        <w:spacing w:after="0" w:line="5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No company utilized in the public company comparables analysis as a comparison to Vringo is identical to Vringo. In evaluating the comparables, Etico Capital made numerous assumptions with respect to the mobile solutions industry’s performance and general economic conditions, many of which are beyond the control of Vringo. Mathematical analysis, such as determining the median, average or range, is not in itself a meaningful method of using comparable company data.</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Common Stock Trading History</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Etico Capital considered the trading price and volume of Vringo common stock on the NYSE Amex, focusing primarily on the sixty trading days prior to the rendering of Etico Capital’s opinion. As of March 9, 2012, Vringo had an aggregate of 26,464,915 shares of common stock outstanding on a fully diluted basis. The following table sets forth the last sale price on March 9, 2012 (the last trading day prior to the date of Etico Capital’s opinion) and daily trading volume for such period as well a sixty day trading average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44081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33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Date Range</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42"/>
              <w:spacing w:after="0" w:line="148" w:lineRule="exact"/>
              <w:rPr>
                <w:sz w:val="20"/>
                <w:szCs w:val="20"/>
                <w:color w:val="auto"/>
              </w:rPr>
            </w:pPr>
            <w:r>
              <w:rPr>
                <w:rFonts w:ascii="Arial" w:cs="Arial" w:eastAsia="Arial" w:hAnsi="Arial"/>
                <w:sz w:val="13"/>
                <w:szCs w:val="13"/>
                <w:b w:val="1"/>
                <w:bCs w:val="1"/>
                <w:color w:val="auto"/>
              </w:rPr>
              <w:t>Average</w:t>
            </w:r>
          </w:p>
        </w:tc>
        <w:tc>
          <w:tcPr>
            <w:tcW w:w="3100" w:type="dxa"/>
            <w:vAlign w:val="bottom"/>
          </w:tcPr>
          <w:p>
            <w:pPr>
              <w:spacing w:after="0"/>
              <w:rPr>
                <w:sz w:val="12"/>
                <w:szCs w:val="12"/>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Volume</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3"/>
                <w:szCs w:val="13"/>
                <w:b w:val="1"/>
                <w:bCs w:val="1"/>
                <w:color w:val="auto"/>
                <w:w w:val="96"/>
              </w:rPr>
              <w:t>Closing Price</w:t>
            </w:r>
          </w:p>
        </w:tc>
        <w:tc>
          <w:tcPr>
            <w:tcW w:w="3100" w:type="dxa"/>
            <w:vAlign w:val="bottom"/>
          </w:tcPr>
          <w:p>
            <w:pPr>
              <w:spacing w:after="0"/>
              <w:rPr>
                <w:sz w:val="13"/>
                <w:szCs w:val="13"/>
                <w:color w:val="auto"/>
              </w:rPr>
            </w:pPr>
          </w:p>
        </w:tc>
      </w:tr>
      <w:tr>
        <w:trPr>
          <w:trHeight w:val="181"/>
        </w:trPr>
        <w:tc>
          <w:tcPr>
            <w:tcW w:w="1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(000s omitted)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7"/>
                <w:szCs w:val="17"/>
                <w:color w:val="auto"/>
              </w:rPr>
              <w:t>December 13, 2011 – March 9, 2012</w:t>
            </w:r>
          </w:p>
        </w:tc>
        <w:tc>
          <w:tcPr>
            <w:tcW w:w="2540" w:type="dxa"/>
            <w:vAlign w:val="bottom"/>
            <w:gridSpan w:val="3"/>
          </w:tcPr>
          <w:p>
            <w:pPr>
              <w:jc w:val="right"/>
              <w:ind w:right="73"/>
              <w:spacing w:after="0"/>
              <w:rPr>
                <w:sz w:val="20"/>
                <w:szCs w:val="20"/>
                <w:color w:val="auto"/>
              </w:rPr>
            </w:pPr>
            <w:r>
              <w:rPr>
                <w:rFonts w:ascii="Arial" w:cs="Arial" w:eastAsia="Arial" w:hAnsi="Arial"/>
                <w:sz w:val="17"/>
                <w:szCs w:val="17"/>
                <w:color w:val="auto"/>
              </w:rPr>
              <w:t>687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42"/>
              <w:spacing w:after="0"/>
              <w:rPr>
                <w:sz w:val="20"/>
                <w:szCs w:val="20"/>
                <w:color w:val="auto"/>
              </w:rPr>
            </w:pPr>
            <w:r>
              <w:rPr>
                <w:rFonts w:ascii="Arial" w:cs="Arial" w:eastAsia="Arial" w:hAnsi="Arial"/>
                <w:sz w:val="17"/>
                <w:szCs w:val="17"/>
                <w:color w:val="auto"/>
              </w:rPr>
              <w:t>1.22</w:t>
            </w:r>
          </w:p>
        </w:tc>
        <w:tc>
          <w:tcPr>
            <w:tcW w:w="3100" w:type="dxa"/>
            <w:vAlign w:val="bottom"/>
          </w:tcPr>
          <w:p>
            <w:pPr>
              <w:spacing w:after="0"/>
              <w:rPr>
                <w:sz w:val="18"/>
                <w:szCs w:val="18"/>
                <w:color w:val="auto"/>
              </w:rPr>
            </w:pPr>
          </w:p>
        </w:tc>
      </w:tr>
      <w:tr>
        <w:trPr>
          <w:trHeight w:val="201"/>
        </w:trPr>
        <w:tc>
          <w:tcPr>
            <w:tcW w:w="33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March 9, 2012</w:t>
            </w:r>
          </w:p>
        </w:tc>
        <w:tc>
          <w:tcPr>
            <w:tcW w:w="2540" w:type="dxa"/>
            <w:vAlign w:val="bottom"/>
            <w:gridSpan w:val="3"/>
            <w:shd w:val="clear" w:color="auto" w:fill="CCFFCC"/>
          </w:tcPr>
          <w:p>
            <w:pPr>
              <w:jc w:val="right"/>
              <w:ind w:right="73"/>
              <w:spacing w:after="0"/>
              <w:rPr>
                <w:sz w:val="20"/>
                <w:szCs w:val="20"/>
                <w:color w:val="auto"/>
              </w:rPr>
            </w:pPr>
            <w:r>
              <w:rPr>
                <w:rFonts w:ascii="Arial" w:cs="Arial" w:eastAsia="Arial" w:hAnsi="Arial"/>
                <w:sz w:val="17"/>
                <w:szCs w:val="17"/>
                <w:color w:val="auto"/>
              </w:rPr>
              <w:t>386</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FFCC"/>
          </w:tcPr>
          <w:p>
            <w:pPr>
              <w:jc w:val="right"/>
              <w:ind w:right="42"/>
              <w:spacing w:after="0"/>
              <w:rPr>
                <w:sz w:val="20"/>
                <w:szCs w:val="20"/>
                <w:color w:val="auto"/>
              </w:rPr>
            </w:pPr>
            <w:r>
              <w:rPr>
                <w:rFonts w:ascii="Arial" w:cs="Arial" w:eastAsia="Arial" w:hAnsi="Arial"/>
                <w:sz w:val="17"/>
                <w:szCs w:val="17"/>
                <w:color w:val="auto"/>
              </w:rPr>
              <w:t>1.72</w:t>
            </w:r>
          </w:p>
        </w:tc>
        <w:tc>
          <w:tcPr>
            <w:tcW w:w="3100" w:type="dxa"/>
            <w:vAlign w:val="bottom"/>
          </w:tcPr>
          <w:p>
            <w:pPr>
              <w:spacing w:after="0"/>
              <w:rPr>
                <w:sz w:val="17"/>
                <w:szCs w:val="17"/>
                <w:color w:val="auto"/>
              </w:rPr>
            </w:pPr>
          </w:p>
        </w:tc>
      </w:tr>
      <w:tr>
        <w:trPr>
          <w:trHeight w:val="727"/>
        </w:trPr>
        <w:tc>
          <w:tcPr>
            <w:tcW w:w="1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80" w:type="dxa"/>
            <w:vAlign w:val="bottom"/>
          </w:tcPr>
          <w:p>
            <w:pPr>
              <w:jc w:val="right"/>
              <w:ind w:right="436"/>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Based on those market prices of Vringo common stock, Vringo had a fully diluted equity value of between $32.3 million to $45.5 million.</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Consideration of Comparable Transactions Analysis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Etico Capital did not employ a comparable transactions analysis of Vringo as a result of the lack of reasonably comparable transactions.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Consideration of the Discounted Cash Flow Methodology</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Etico Capital did not employ a discounted cash flow analysis of Vringo for the purposes of its opinion. Discounted cash flow analysis is most appropriate for companies that exhibit relatively steady or somewhat predictable streams of positive future cash flow. To date, Vringo has generated negative cash flows. Furthermore, Vringo did not provide Etico Capital with forecasts. Because of these factors, Etico Capital considered a discounted cash flow analysis inappropriate for valuing Vringo.</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Innovate/Protect Valuation</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Innovate/Protect Comparable Companies Analysis</w:t>
      </w:r>
    </w:p>
    <w:p>
      <w:pPr>
        <w:spacing w:after="0" w:line="10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Etico Capital compared Innovate/Protect to a group of companies engaged in seeking to monetize their intellectual property. The Innovate/Protect comparable companies are public companies that Etico Capital deemed comparable to Innovate/Protect. Etico Capital selected companies with market capitalizations ranging from $1.85 million to $1,857.0 million.</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Innovate/Protect comparable companies were:</w:t>
      </w:r>
    </w:p>
    <w:p>
      <w:pPr>
        <w:spacing w:after="0" w:line="105" w:lineRule="exact"/>
        <w:rPr>
          <w:sz w:val="20"/>
          <w:szCs w:val="20"/>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Acacia Research Corporation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Augme Technologies,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Competitive Technologies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Innovaro,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IP Group Plc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Ipso Ventures Plc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RPX Corporation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Sagentia Group PLC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Star Scientific,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VirnetX Holding Corp</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Etico Capital considered:</w:t>
      </w:r>
    </w:p>
    <w:p>
      <w:pPr>
        <w:spacing w:after="0" w:line="105" w:lineRule="exact"/>
        <w:rPr>
          <w:sz w:val="20"/>
          <w:szCs w:val="20"/>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ratio of EV to EBITDA;</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P/E ratio;</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P/Book ratio;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EV/Rev ratio for the trailing twelve months.</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In order to perform this analysis, Etico Capital compared financial information of Innovate/Protect with publicly available information for the Innovate/Protect comparable companies. Etico Capital considered the entire range of multiples yielded by the Innovate/Protect comparable companies in establishing a more limited reference range of multiples which it used for its analysis. For this analysis, as well as other analyses, Etico Capital examined publicly available information.</w:t>
      </w: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presents, based on closing prices as of March 8, 2012, the range of multiples for the Innovate/Protect comparable companies of EV/EBITDA, P/E, P/Book and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999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999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13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5620" w:type="dxa"/>
            <w:vAlign w:val="bottom"/>
          </w:tcPr>
          <w:p>
            <w:pPr>
              <w:spacing w:after="0"/>
              <w:rPr>
                <w:sz w:val="13"/>
                <w:szCs w:val="13"/>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Range of Multiples</w:t>
            </w:r>
          </w:p>
        </w:tc>
      </w:tr>
      <w:tr>
        <w:trPr>
          <w:trHeight w:val="193"/>
        </w:trPr>
        <w:tc>
          <w:tcPr>
            <w:tcW w:w="56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EV/EBITDA</w:t>
            </w:r>
          </w:p>
        </w:tc>
        <w:tc>
          <w:tcPr>
            <w:tcW w:w="6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11.63x</w:t>
            </w:r>
          </w:p>
        </w:tc>
        <w:tc>
          <w:tcPr>
            <w:tcW w:w="680" w:type="dxa"/>
            <w:vAlign w:val="bottom"/>
            <w:shd w:val="clear" w:color="auto" w:fill="CCFFCC"/>
          </w:tcPr>
          <w:p>
            <w:pPr>
              <w:ind w:left="20"/>
              <w:spacing w:after="0" w:line="193" w:lineRule="exact"/>
              <w:rPr>
                <w:sz w:val="20"/>
                <w:szCs w:val="20"/>
                <w:color w:val="auto"/>
              </w:rPr>
            </w:pPr>
            <w:r>
              <w:rPr>
                <w:rFonts w:ascii="Arial" w:cs="Arial" w:eastAsia="Arial" w:hAnsi="Arial"/>
                <w:sz w:val="17"/>
                <w:szCs w:val="17"/>
                <w:color w:val="auto"/>
                <w:w w:val="98"/>
              </w:rPr>
              <w:t>– 73.39x</w:t>
            </w:r>
          </w:p>
        </w:tc>
      </w:tr>
      <w:tr>
        <w:trPr>
          <w:trHeight w:val="200"/>
        </w:trPr>
        <w:tc>
          <w:tcPr>
            <w:tcW w:w="5620" w:type="dxa"/>
            <w:vAlign w:val="bottom"/>
          </w:tcPr>
          <w:p>
            <w:pPr>
              <w:spacing w:after="0"/>
              <w:rPr>
                <w:sz w:val="20"/>
                <w:szCs w:val="20"/>
                <w:color w:val="auto"/>
              </w:rPr>
            </w:pPr>
            <w:r>
              <w:rPr>
                <w:rFonts w:ascii="Arial" w:cs="Arial" w:eastAsia="Arial" w:hAnsi="Arial"/>
                <w:sz w:val="17"/>
                <w:szCs w:val="17"/>
                <w:color w:val="auto"/>
              </w:rPr>
              <w:t>P/E</w:t>
            </w:r>
          </w:p>
        </w:tc>
        <w:tc>
          <w:tcPr>
            <w:tcW w:w="640" w:type="dxa"/>
            <w:vAlign w:val="bottom"/>
          </w:tcPr>
          <w:p>
            <w:pPr>
              <w:jc w:val="right"/>
              <w:spacing w:after="0"/>
              <w:rPr>
                <w:sz w:val="20"/>
                <w:szCs w:val="20"/>
                <w:color w:val="auto"/>
              </w:rPr>
            </w:pPr>
            <w:r>
              <w:rPr>
                <w:rFonts w:ascii="Arial" w:cs="Arial" w:eastAsia="Arial" w:hAnsi="Arial"/>
                <w:sz w:val="17"/>
                <w:szCs w:val="17"/>
                <w:color w:val="auto"/>
              </w:rPr>
              <w:t>.91x</w:t>
            </w:r>
          </w:p>
        </w:tc>
        <w:tc>
          <w:tcPr>
            <w:tcW w:w="680" w:type="dxa"/>
            <w:vAlign w:val="bottom"/>
          </w:tcPr>
          <w:p>
            <w:pPr>
              <w:ind w:left="20"/>
              <w:spacing w:after="0"/>
              <w:rPr>
                <w:sz w:val="20"/>
                <w:szCs w:val="20"/>
                <w:color w:val="auto"/>
              </w:rPr>
            </w:pPr>
            <w:r>
              <w:rPr>
                <w:rFonts w:ascii="Arial" w:cs="Arial" w:eastAsia="Arial" w:hAnsi="Arial"/>
                <w:sz w:val="17"/>
                <w:szCs w:val="17"/>
                <w:color w:val="auto"/>
                <w:w w:val="98"/>
              </w:rPr>
              <w:t>– 61.04x</w:t>
            </w:r>
          </w:p>
        </w:tc>
      </w:tr>
      <w:tr>
        <w:trPr>
          <w:trHeight w:val="200"/>
        </w:trPr>
        <w:tc>
          <w:tcPr>
            <w:tcW w:w="5620" w:type="dxa"/>
            <w:vAlign w:val="bottom"/>
            <w:shd w:val="clear" w:color="auto" w:fill="CCFFCC"/>
          </w:tcPr>
          <w:p>
            <w:pPr>
              <w:spacing w:after="0"/>
              <w:rPr>
                <w:sz w:val="20"/>
                <w:szCs w:val="20"/>
                <w:color w:val="auto"/>
              </w:rPr>
            </w:pPr>
            <w:r>
              <w:rPr>
                <w:rFonts w:ascii="Arial" w:cs="Arial" w:eastAsia="Arial" w:hAnsi="Arial"/>
                <w:sz w:val="17"/>
                <w:szCs w:val="17"/>
                <w:color w:val="auto"/>
              </w:rPr>
              <w:t>P/Book</w:t>
            </w:r>
          </w:p>
        </w:tc>
        <w:tc>
          <w:tcPr>
            <w:tcW w:w="6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.44x</w:t>
            </w:r>
          </w:p>
        </w:tc>
        <w:tc>
          <w:tcPr>
            <w:tcW w:w="680" w:type="dxa"/>
            <w:vAlign w:val="bottom"/>
            <w:shd w:val="clear" w:color="auto" w:fill="CCFFCC"/>
          </w:tcPr>
          <w:p>
            <w:pPr>
              <w:ind w:left="20"/>
              <w:spacing w:after="0"/>
              <w:rPr>
                <w:sz w:val="20"/>
                <w:szCs w:val="20"/>
                <w:color w:val="auto"/>
              </w:rPr>
            </w:pPr>
            <w:r>
              <w:rPr>
                <w:rFonts w:ascii="Arial" w:cs="Arial" w:eastAsia="Arial" w:hAnsi="Arial"/>
                <w:sz w:val="17"/>
                <w:szCs w:val="17"/>
                <w:color w:val="auto"/>
                <w:w w:val="98"/>
              </w:rPr>
              <w:t>– 61.58x</w:t>
            </w:r>
          </w:p>
        </w:tc>
      </w:tr>
      <w:tr>
        <w:trPr>
          <w:trHeight w:val="213"/>
        </w:trPr>
        <w:tc>
          <w:tcPr>
            <w:tcW w:w="5620" w:type="dxa"/>
            <w:vAlign w:val="bottom"/>
          </w:tcPr>
          <w:p>
            <w:pPr>
              <w:spacing w:after="0"/>
              <w:rPr>
                <w:sz w:val="20"/>
                <w:szCs w:val="20"/>
                <w:color w:val="auto"/>
              </w:rPr>
            </w:pPr>
            <w:r>
              <w:rPr>
                <w:rFonts w:ascii="Arial" w:cs="Arial" w:eastAsia="Arial" w:hAnsi="Arial"/>
                <w:sz w:val="17"/>
                <w:szCs w:val="17"/>
                <w:color w:val="auto"/>
              </w:rPr>
              <w:t>EV/REV</w:t>
            </w:r>
          </w:p>
        </w:tc>
        <w:tc>
          <w:tcPr>
            <w:tcW w:w="640" w:type="dxa"/>
            <w:vAlign w:val="bottom"/>
          </w:tcPr>
          <w:p>
            <w:pPr>
              <w:jc w:val="right"/>
              <w:spacing w:after="0"/>
              <w:rPr>
                <w:sz w:val="20"/>
                <w:szCs w:val="20"/>
                <w:color w:val="auto"/>
              </w:rPr>
            </w:pPr>
            <w:r>
              <w:rPr>
                <w:rFonts w:ascii="Arial" w:cs="Arial" w:eastAsia="Arial" w:hAnsi="Arial"/>
                <w:sz w:val="17"/>
                <w:szCs w:val="17"/>
                <w:color w:val="auto"/>
              </w:rPr>
              <w:t>5.44x</w:t>
            </w:r>
          </w:p>
        </w:tc>
        <w:tc>
          <w:tcPr>
            <w:tcW w:w="680" w:type="dxa"/>
            <w:vAlign w:val="bottom"/>
          </w:tcPr>
          <w:p>
            <w:pPr>
              <w:ind w:left="20"/>
              <w:spacing w:after="0"/>
              <w:rPr>
                <w:sz w:val="20"/>
                <w:szCs w:val="20"/>
                <w:color w:val="auto"/>
              </w:rPr>
            </w:pPr>
            <w:r>
              <w:rPr>
                <w:rFonts w:ascii="Arial" w:cs="Arial" w:eastAsia="Arial" w:hAnsi="Arial"/>
                <w:sz w:val="17"/>
                <w:szCs w:val="17"/>
                <w:color w:val="auto"/>
                <w:w w:val="98"/>
              </w:rPr>
              <w:t>– 47.38x</w:t>
            </w:r>
          </w:p>
        </w:tc>
      </w:tr>
    </w:tbl>
    <w:p>
      <w:pPr>
        <w:spacing w:after="0" w:line="7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Because Innovate/Protect did not have positive EBITDA, earnings or revenue, Etico Capital relied on P/Book to determine an implied valuation range for Innovate/Protect. There are a limited number of comparable companies for Innovate/Protect, the multiples of Price/Book of which varied greatly. The P/Book range applied to the book value of Innovate/Protect generated an implied valuation range of Innovate/Protect of between $2.0 million and $287.0 million. Accordingly, Etico Capital used the average of the P/Book multiples of the ten comparable companies, which resulted in an 11.9x P/Book multiple. Based on this comparable companies analysis and the book value of Innovate/Protect as of December 31, 2011, Etico Capital concluded that, on this basis, Innovate/Protect had an implied valuation of approximately $55.5 million.</w:t>
      </w:r>
    </w:p>
    <w:p>
      <w:pPr>
        <w:spacing w:after="0" w:line="5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No company utilized in the public company comparables analysis as a comparison to Innovate/Protect is identical to Innovate/Protect. The ultimate value of Innovate/Protect is likely to be based upon the value of the Patents and, in particular, the ultimate success of the Litigation and other litigations that may be commenced against other putative infringers. Etico Capital did not value the Patents or determine the likelihood of success, the amount of damages, if any, that may be recovered, nor the timing and cost (and whether the combined company has or will have adequate resources, financial or otherwise, to prosecute) the Litigation. Accordingly, Etico Capital accepted the book value of Innovate/Protect as set forth in its audited financial statements as of December 31, 2011. Mathematical analysis, such as determining the median, average or range, is not in itself a meaningful method of using comparable company data.</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Recent Investments in Innovate/Protect</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Etico Capital examined the value of Innovate/Protect implied by recent investments by unaffiliated third parties in Innovate/Protect. As of December 31, 2011, Innovate/Protect had an aggregate of 12,856,307 shares of common stock outstanding on a fully diluted basis. In November and December 2011, Innovate/Protect sold common stock to unaffiliated third parties at $3.30 per share, or a fully diluted implied equity value of Innovate/Protect of $42.4 million.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Innovate/Protect Comparable Transactions Analysis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Etico Capital found two transactions, one in December 2002 and the other in March 2010, involving companies deemed by Etico Capital to be comparable to Innovate/Protect. For this analysis, Etico Capital examined publicly available information. The Innovate/Protect comparable transactions involved:</w:t>
      </w:r>
    </w:p>
    <w:p>
      <w:pPr>
        <w:spacing w:after="0" w:line="76" w:lineRule="exact"/>
        <w:rPr>
          <w:sz w:val="20"/>
          <w:szCs w:val="20"/>
          <w:color w:val="auto"/>
        </w:rPr>
      </w:pPr>
    </w:p>
    <w:p>
      <w:pPr>
        <w:ind w:left="560" w:hanging="300"/>
        <w:spacing w:after="0"/>
        <w:tabs>
          <w:tab w:leader="none" w:pos="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Sagentia Group PLC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Yet2.com, Inc.</w:t>
      </w:r>
    </w:p>
    <w:p>
      <w:pPr>
        <w:spacing w:after="0" w:line="105" w:lineRule="exact"/>
        <w:rPr>
          <w:sz w:val="20"/>
          <w:szCs w:val="20"/>
          <w:color w:val="auto"/>
        </w:rPr>
      </w:pPr>
    </w:p>
    <w:p>
      <w:pPr>
        <w:ind w:left="40" w:right="1239" w:firstLine="251"/>
        <w:spacing w:after="0" w:line="264" w:lineRule="auto"/>
        <w:rPr>
          <w:sz w:val="20"/>
          <w:szCs w:val="20"/>
          <w:color w:val="auto"/>
        </w:rPr>
      </w:pPr>
      <w:r>
        <w:rPr>
          <w:rFonts w:ascii="Arial" w:cs="Arial" w:eastAsia="Arial" w:hAnsi="Arial"/>
          <w:sz w:val="17"/>
          <w:szCs w:val="17"/>
          <w:color w:val="auto"/>
        </w:rPr>
        <w:t>The following table presents, as of March 8, 2012, the reference range of multiples. Because the comparable transactions involved the acquisition of companies with negative earnings, P/E could not be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999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999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1320" w:type="dxa"/>
            <w:vAlign w:val="bottom"/>
          </w:tcPr>
          <w:p>
            <w:pPr>
              <w:jc w:val="right"/>
              <w:ind w:right="302"/>
              <w:spacing w:after="0" w:line="139" w:lineRule="exact"/>
              <w:rPr>
                <w:sz w:val="20"/>
                <w:szCs w:val="20"/>
                <w:color w:val="auto"/>
              </w:rPr>
            </w:pPr>
            <w:r>
              <w:rPr>
                <w:rFonts w:ascii="Arial" w:cs="Arial" w:eastAsia="Arial" w:hAnsi="Arial"/>
                <w:sz w:val="13"/>
                <w:szCs w:val="13"/>
                <w:b w:val="1"/>
                <w:bCs w:val="1"/>
                <w:color w:val="auto"/>
              </w:rPr>
              <w:t>Reference</w:t>
            </w:r>
          </w:p>
        </w:tc>
      </w:tr>
      <w:tr>
        <w:trPr>
          <w:trHeight w:val="158"/>
        </w:trPr>
        <w:tc>
          <w:tcPr>
            <w:tcW w:w="5620" w:type="dxa"/>
            <w:vAlign w:val="bottom"/>
          </w:tcPr>
          <w:p>
            <w:pPr>
              <w:spacing w:after="0"/>
              <w:rPr>
                <w:sz w:val="13"/>
                <w:szCs w:val="13"/>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Range of Multiples</w:t>
            </w:r>
          </w:p>
        </w:tc>
      </w:tr>
      <w:tr>
        <w:trPr>
          <w:trHeight w:val="193"/>
        </w:trPr>
        <w:tc>
          <w:tcPr>
            <w:tcW w:w="56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EV/EBITDA</w:t>
            </w:r>
          </w:p>
        </w:tc>
        <w:tc>
          <w:tcPr>
            <w:tcW w:w="1320" w:type="dxa"/>
            <w:vAlign w:val="bottom"/>
            <w:shd w:val="clear" w:color="auto" w:fill="CCFFCC"/>
          </w:tcPr>
          <w:p>
            <w:pPr>
              <w:jc w:val="right"/>
              <w:ind w:right="2"/>
              <w:spacing w:after="0" w:line="193" w:lineRule="exact"/>
              <w:rPr>
                <w:sz w:val="20"/>
                <w:szCs w:val="20"/>
                <w:color w:val="auto"/>
              </w:rPr>
            </w:pPr>
            <w:r>
              <w:rPr>
                <w:rFonts w:ascii="Arial" w:cs="Arial" w:eastAsia="Arial" w:hAnsi="Arial"/>
                <w:sz w:val="17"/>
                <w:szCs w:val="17"/>
                <w:color w:val="auto"/>
              </w:rPr>
              <w:t>25.52x – 25.53x</w:t>
            </w:r>
          </w:p>
        </w:tc>
      </w:tr>
      <w:tr>
        <w:trPr>
          <w:trHeight w:val="200"/>
        </w:trPr>
        <w:tc>
          <w:tcPr>
            <w:tcW w:w="5620" w:type="dxa"/>
            <w:vAlign w:val="bottom"/>
          </w:tcPr>
          <w:p>
            <w:pPr>
              <w:spacing w:after="0"/>
              <w:rPr>
                <w:sz w:val="20"/>
                <w:szCs w:val="20"/>
                <w:color w:val="auto"/>
              </w:rPr>
            </w:pPr>
            <w:r>
              <w:rPr>
                <w:rFonts w:ascii="Arial" w:cs="Arial" w:eastAsia="Arial" w:hAnsi="Arial"/>
                <w:sz w:val="17"/>
                <w:szCs w:val="17"/>
                <w:color w:val="auto"/>
              </w:rPr>
              <w:t>P/E</w:t>
            </w:r>
          </w:p>
        </w:tc>
        <w:tc>
          <w:tcPr>
            <w:tcW w:w="1320" w:type="dxa"/>
            <w:vAlign w:val="bottom"/>
          </w:tcPr>
          <w:p>
            <w:pPr>
              <w:jc w:val="right"/>
              <w:ind w:right="2"/>
              <w:spacing w:after="0"/>
              <w:rPr>
                <w:sz w:val="20"/>
                <w:szCs w:val="20"/>
                <w:color w:val="auto"/>
              </w:rPr>
            </w:pPr>
            <w:r>
              <w:rPr>
                <w:rFonts w:ascii="Arial" w:cs="Arial" w:eastAsia="Arial" w:hAnsi="Arial"/>
                <w:sz w:val="17"/>
                <w:szCs w:val="17"/>
                <w:color w:val="auto"/>
              </w:rPr>
              <w:t>NA</w:t>
            </w:r>
          </w:p>
        </w:tc>
      </w:tr>
      <w:tr>
        <w:trPr>
          <w:trHeight w:val="200"/>
        </w:trPr>
        <w:tc>
          <w:tcPr>
            <w:tcW w:w="5620" w:type="dxa"/>
            <w:vAlign w:val="bottom"/>
            <w:shd w:val="clear" w:color="auto" w:fill="CCFFCC"/>
          </w:tcPr>
          <w:p>
            <w:pPr>
              <w:spacing w:after="0"/>
              <w:rPr>
                <w:sz w:val="20"/>
                <w:szCs w:val="20"/>
                <w:color w:val="auto"/>
              </w:rPr>
            </w:pPr>
            <w:r>
              <w:rPr>
                <w:rFonts w:ascii="Arial" w:cs="Arial" w:eastAsia="Arial" w:hAnsi="Arial"/>
                <w:sz w:val="17"/>
                <w:szCs w:val="17"/>
                <w:color w:val="auto"/>
              </w:rPr>
              <w:t>P/Book</w:t>
            </w:r>
          </w:p>
        </w:tc>
        <w:tc>
          <w:tcPr>
            <w:tcW w:w="1320" w:type="dxa"/>
            <w:vAlign w:val="bottom"/>
            <w:shd w:val="clear" w:color="auto" w:fill="CCFFCC"/>
          </w:tcPr>
          <w:p>
            <w:pPr>
              <w:jc w:val="right"/>
              <w:ind w:right="2"/>
              <w:spacing w:after="0"/>
              <w:rPr>
                <w:sz w:val="20"/>
                <w:szCs w:val="20"/>
                <w:color w:val="auto"/>
              </w:rPr>
            </w:pPr>
            <w:r>
              <w:rPr>
                <w:rFonts w:ascii="Arial" w:cs="Arial" w:eastAsia="Arial" w:hAnsi="Arial"/>
                <w:sz w:val="17"/>
                <w:szCs w:val="17"/>
                <w:color w:val="auto"/>
              </w:rPr>
              <w:t>.41x – .59x</w:t>
            </w:r>
          </w:p>
        </w:tc>
      </w:tr>
      <w:tr>
        <w:trPr>
          <w:trHeight w:val="213"/>
        </w:trPr>
        <w:tc>
          <w:tcPr>
            <w:tcW w:w="5620" w:type="dxa"/>
            <w:vAlign w:val="bottom"/>
          </w:tcPr>
          <w:p>
            <w:pPr>
              <w:spacing w:after="0"/>
              <w:rPr>
                <w:sz w:val="20"/>
                <w:szCs w:val="20"/>
                <w:color w:val="auto"/>
              </w:rPr>
            </w:pPr>
            <w:r>
              <w:rPr>
                <w:rFonts w:ascii="Arial" w:cs="Arial" w:eastAsia="Arial" w:hAnsi="Arial"/>
                <w:sz w:val="17"/>
                <w:szCs w:val="17"/>
                <w:color w:val="auto"/>
              </w:rPr>
              <w:t>EV/REV</w:t>
            </w:r>
          </w:p>
        </w:tc>
        <w:tc>
          <w:tcPr>
            <w:tcW w:w="1320" w:type="dxa"/>
            <w:vAlign w:val="bottom"/>
          </w:tcPr>
          <w:p>
            <w:pPr>
              <w:jc w:val="right"/>
              <w:ind w:right="2"/>
              <w:spacing w:after="0"/>
              <w:rPr>
                <w:sz w:val="20"/>
                <w:szCs w:val="20"/>
                <w:color w:val="auto"/>
              </w:rPr>
            </w:pPr>
            <w:r>
              <w:rPr>
                <w:rFonts w:ascii="Arial" w:cs="Arial" w:eastAsia="Arial" w:hAnsi="Arial"/>
                <w:sz w:val="17"/>
                <w:szCs w:val="17"/>
                <w:color w:val="auto"/>
              </w:rPr>
              <w:t>.33x – .33x</w:t>
            </w:r>
          </w:p>
        </w:tc>
      </w:tr>
    </w:tbl>
    <w:p>
      <w:pPr>
        <w:spacing w:after="0" w:line="75"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Because of the limited number of transactions and their infrequency, Etico Capital did not consider these comparable transactions to be meaningful.</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Consideration of the Discounted Cash Flow Methodology</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Etico Capital did not employ a discounted cash flow analysis of Innovate/Protect for the purposes of its opinion. Discounted cash flow analysis is most appropriate for companies that exhibit relatively steady or somewhat predictable streams of positive future cash flow. To date, Innovate/Protect has generated negative cash flows. Furthermore, Etico Capital was not provided with forecasts regarding Innovate/Protect and Etico Capital was directed by the Vringo board of directors not to value the Litigation and, therefore, did not consider any cash flow that may be provided by or used in the Litigation. Because of these factors, Etico Capital considered a discounted cash flow analysis inappropriate for valuing Innovate/Protect.</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Miscellaneous</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The preparation of a fairness opinion is a complex process involving determinations as to the most appropriate and relevant methods of financial analysis and the application of these methods to the particular circumstances, limitations on the scope of the engagement and the quantitative and qualitative available comparable information and, therefore, is not necessarily susceptible to partial analysis or summary description. Selecting portions of the analysis or the summary set forth above, without considering the analysis as a whole, could create an incomplete view of the processes underlying the opinion of Etico Capital. In arriving at its fairness determination, Etico Capital considered the results of all these constituent analyses and did not attribute any particular weight to any particular factor or analysis considered by it. Rather, Etico Capital made its determination as to fairness on the basis of its experience and professional judgment after considering the results of all such analyses. The foregoing summary does not purport to be a complete description of the analyses performed by Etico Capital. Additionally, analyses relating to the value of businesses or securities are not appraisals. Accordingly, such analyses and estimates are inherently subject to substantial uncertainty.</w:t>
      </w:r>
    </w:p>
    <w:p>
      <w:pPr>
        <w:spacing w:after="0" w:line="7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 performing its analyses, Etico Capital made numerous assumptions with respect to industry performance and general business and economic conditions and other matters, many of which are beyond Vringo’s control. The analyses performed by Etico Capital are not necessarily indicative of actual values or actual future results, which may be significantly more or less favorable than suggested by such analyses. The Merger consideration and other terms of the Merger Agreement were determined through arm’s length negotiations between Vringo and Innovate/Protect, and were approved by the Vringo board of directors. Etico Capital’s opinion was one of many factors taken into consideration by the Vringo board of directors in making its decision to approve the Merger Agreement and the Merger. Consequently, the Etico Capital analyses as described above should not be viewed as determinative of the opinion of the Vringo board of directors with respect to the value of Vringo or Innovate/Protect or whether the Vringo board of director would have been willing to agree to different consideration.</w:t>
      </w:r>
    </w:p>
    <w:p>
      <w:pPr>
        <w:spacing w:after="0" w:line="61"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Etico Capital was retained under an engagement letter, dated March 7, 2012, to give an opinion as to the fairness of the Merger consideration, from a financial point of view, to the holders of Vringo common stock (other than those who own, or whose affiliates own, securities of Innovate/Protect, regarding which Etico Capital expressed no view). Etico Capital did not serve as financial advisor to Vringo in connection with the Merger. Etico Capital received a fee of $115,000 (and the reimbursement of $10,000 of expenses) upon delivery of its opinion. No portion of Etico Capital’s fee is contingent upon the consummation of the Merger. In addition, Vringo has agreed to indemnify Etico Capital and its affiliates and their respective officers, directors, employees and agents, and any persons controlling Etico Capital or any of its affiliates against liabilities and expenses, relating to or arising out of Etico Capital’s engagement, except in the case of gross negligence or willful misconduct. Jeffrey Berman, a Senior Managing Director of Etico Capital is married to the sister of a managing member of Iroquois Capital Management LLC, the investment manager to Iroquois Master Fund Ltd., which beneficially owns approximately 8.5% of Vringo common stock and approximately 6.98% of Innovate/Protect’s common stock and approximately 5.2% of Innovate/Protect’s preferred stock.</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Board of Directors, Executive Officers and Key Employees of the Combined Company After the Completion of the Merger</w:t>
      </w:r>
    </w:p>
    <w:p>
      <w:pPr>
        <w:spacing w:after="0" w:line="200" w:lineRule="exact"/>
        <w:rPr>
          <w:sz w:val="20"/>
          <w:szCs w:val="20"/>
          <w:color w:val="auto"/>
        </w:rPr>
      </w:pPr>
    </w:p>
    <w:p>
      <w:pPr>
        <w:spacing w:after="0" w:line="34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Upon completion of the Merger, the combined company will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Innovate/Protect’s board of directors.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executive management team of the combined company is expected to be composed of the following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43840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4480" w:type="dxa"/>
            <w:vAlign w:val="bottom"/>
            <w:tcBorders>
              <w:bottom w:val="single" w:sz="8" w:color="auto"/>
            </w:tcBorders>
          </w:tcPr>
          <w:p>
            <w:pPr>
              <w:ind w:left="1160"/>
              <w:spacing w:after="0"/>
              <w:rPr>
                <w:sz w:val="20"/>
                <w:szCs w:val="20"/>
                <w:color w:val="auto"/>
              </w:rPr>
            </w:pPr>
            <w:r>
              <w:rPr>
                <w:rFonts w:ascii="Arial" w:cs="Arial" w:eastAsia="Arial" w:hAnsi="Arial"/>
                <w:sz w:val="13"/>
                <w:szCs w:val="13"/>
                <w:b w:val="1"/>
                <w:bCs w:val="1"/>
                <w:color w:val="auto"/>
              </w:rPr>
              <w:t>Position with the Combined Company</w:t>
            </w:r>
          </w:p>
        </w:tc>
      </w:tr>
      <w:tr>
        <w:trPr>
          <w:trHeight w:val="181"/>
        </w:trPr>
        <w:tc>
          <w:tcPr>
            <w:tcW w:w="2320" w:type="dxa"/>
            <w:vAlign w:val="bottom"/>
          </w:tcPr>
          <w:p>
            <w:pPr>
              <w:spacing w:after="0" w:line="180" w:lineRule="exact"/>
              <w:rPr>
                <w:sz w:val="20"/>
                <w:szCs w:val="20"/>
                <w:color w:val="auto"/>
              </w:rPr>
            </w:pPr>
            <w:r>
              <w:rPr>
                <w:rFonts w:ascii="Arial" w:cs="Arial" w:eastAsia="Arial" w:hAnsi="Arial"/>
                <w:sz w:val="17"/>
                <w:szCs w:val="17"/>
                <w:color w:val="auto"/>
              </w:rPr>
              <w:t>Andrew D. Perlman</w:t>
            </w:r>
          </w:p>
        </w:tc>
        <w:tc>
          <w:tcPr>
            <w:tcW w:w="140" w:type="dxa"/>
            <w:vAlign w:val="bottom"/>
          </w:tcPr>
          <w:p>
            <w:pPr>
              <w:spacing w:after="0"/>
              <w:rPr>
                <w:sz w:val="15"/>
                <w:szCs w:val="15"/>
                <w:color w:val="auto"/>
              </w:rPr>
            </w:pPr>
          </w:p>
        </w:tc>
        <w:tc>
          <w:tcPr>
            <w:tcW w:w="4480" w:type="dxa"/>
            <w:vAlign w:val="bottom"/>
          </w:tcPr>
          <w:p>
            <w:pPr>
              <w:spacing w:after="0" w:line="180" w:lineRule="exact"/>
              <w:rPr>
                <w:sz w:val="20"/>
                <w:szCs w:val="20"/>
                <w:color w:val="auto"/>
              </w:rPr>
            </w:pPr>
            <w:r>
              <w:rPr>
                <w:rFonts w:ascii="Arial" w:cs="Arial" w:eastAsia="Arial" w:hAnsi="Arial"/>
                <w:sz w:val="17"/>
                <w:szCs w:val="17"/>
                <w:color w:val="auto"/>
              </w:rPr>
              <w:t>Chief Executive Officer</w:t>
            </w:r>
          </w:p>
        </w:tc>
      </w:tr>
      <w:tr>
        <w:trPr>
          <w:trHeight w:val="200"/>
        </w:trPr>
        <w:tc>
          <w:tcPr>
            <w:tcW w:w="2320" w:type="dxa"/>
            <w:vAlign w:val="bottom"/>
          </w:tcPr>
          <w:p>
            <w:pPr>
              <w:spacing w:after="0"/>
              <w:rPr>
                <w:sz w:val="20"/>
                <w:szCs w:val="20"/>
                <w:color w:val="auto"/>
              </w:rPr>
            </w:pPr>
            <w:r>
              <w:rPr>
                <w:rFonts w:ascii="Arial" w:cs="Arial" w:eastAsia="Arial" w:hAnsi="Arial"/>
                <w:sz w:val="17"/>
                <w:szCs w:val="17"/>
                <w:color w:val="auto"/>
              </w:rPr>
              <w:t>Andrew Kennedy Lang</w:t>
            </w:r>
          </w:p>
        </w:tc>
        <w:tc>
          <w:tcPr>
            <w:tcW w:w="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Chief Technology Officer and President</w:t>
            </w:r>
          </w:p>
        </w:tc>
      </w:tr>
      <w:tr>
        <w:trPr>
          <w:trHeight w:val="200"/>
        </w:trPr>
        <w:tc>
          <w:tcPr>
            <w:tcW w:w="2320" w:type="dxa"/>
            <w:vAlign w:val="bottom"/>
          </w:tcPr>
          <w:p>
            <w:pPr>
              <w:spacing w:after="0"/>
              <w:rPr>
                <w:sz w:val="20"/>
                <w:szCs w:val="20"/>
                <w:color w:val="auto"/>
              </w:rPr>
            </w:pPr>
            <w:r>
              <w:rPr>
                <w:rFonts w:ascii="Arial" w:cs="Arial" w:eastAsia="Arial" w:hAnsi="Arial"/>
                <w:sz w:val="17"/>
                <w:szCs w:val="17"/>
                <w:color w:val="auto"/>
              </w:rPr>
              <w:t>Alexander R. Berger</w:t>
            </w:r>
          </w:p>
        </w:tc>
        <w:tc>
          <w:tcPr>
            <w:tcW w:w="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Chief Operating Officer and Secretary</w:t>
            </w: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Ellen Cohl</w:t>
            </w:r>
          </w:p>
        </w:tc>
        <w:tc>
          <w:tcPr>
            <w:tcW w:w="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Chief Financial Officer and Treasurer</w:t>
            </w:r>
          </w:p>
        </w:tc>
      </w:tr>
    </w:tbl>
    <w:p>
      <w:pPr>
        <w:spacing w:after="0" w:line="12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Key Employees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employees of the combined company that are not executive officers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840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4480" w:type="dxa"/>
            <w:vAlign w:val="bottom"/>
            <w:tcBorders>
              <w:bottom w:val="single" w:sz="8" w:color="auto"/>
            </w:tcBorders>
          </w:tcPr>
          <w:p>
            <w:pPr>
              <w:ind w:left="1160"/>
              <w:spacing w:after="0"/>
              <w:rPr>
                <w:sz w:val="20"/>
                <w:szCs w:val="20"/>
                <w:color w:val="auto"/>
              </w:rPr>
            </w:pPr>
            <w:r>
              <w:rPr>
                <w:rFonts w:ascii="Arial" w:cs="Arial" w:eastAsia="Arial" w:hAnsi="Arial"/>
                <w:sz w:val="13"/>
                <w:szCs w:val="13"/>
                <w:b w:val="1"/>
                <w:bCs w:val="1"/>
                <w:color w:val="auto"/>
              </w:rPr>
              <w:t>Position with the Combined Company</w:t>
            </w:r>
          </w:p>
        </w:tc>
      </w:tr>
      <w:tr>
        <w:trPr>
          <w:trHeight w:val="181"/>
        </w:trPr>
        <w:tc>
          <w:tcPr>
            <w:tcW w:w="2320" w:type="dxa"/>
            <w:vAlign w:val="bottom"/>
          </w:tcPr>
          <w:p>
            <w:pPr>
              <w:spacing w:after="0" w:line="180" w:lineRule="exact"/>
              <w:rPr>
                <w:sz w:val="20"/>
                <w:szCs w:val="20"/>
                <w:color w:val="auto"/>
              </w:rPr>
            </w:pPr>
            <w:r>
              <w:rPr>
                <w:rFonts w:ascii="Arial" w:cs="Arial" w:eastAsia="Arial" w:hAnsi="Arial"/>
                <w:sz w:val="17"/>
                <w:szCs w:val="17"/>
                <w:color w:val="auto"/>
              </w:rPr>
              <w:t>David L. Cohen</w:t>
            </w:r>
          </w:p>
        </w:tc>
        <w:tc>
          <w:tcPr>
            <w:tcW w:w="140" w:type="dxa"/>
            <w:vAlign w:val="bottom"/>
          </w:tcPr>
          <w:p>
            <w:pPr>
              <w:spacing w:after="0"/>
              <w:rPr>
                <w:sz w:val="15"/>
                <w:szCs w:val="15"/>
                <w:color w:val="auto"/>
              </w:rPr>
            </w:pPr>
          </w:p>
        </w:tc>
        <w:tc>
          <w:tcPr>
            <w:tcW w:w="4480" w:type="dxa"/>
            <w:vAlign w:val="bottom"/>
          </w:tcPr>
          <w:p>
            <w:pPr>
              <w:spacing w:after="0" w:line="180" w:lineRule="exact"/>
              <w:rPr>
                <w:sz w:val="20"/>
                <w:szCs w:val="20"/>
                <w:color w:val="auto"/>
              </w:rPr>
            </w:pPr>
            <w:r>
              <w:rPr>
                <w:rFonts w:ascii="Arial" w:cs="Arial" w:eastAsia="Arial" w:hAnsi="Arial"/>
                <w:sz w:val="17"/>
                <w:szCs w:val="17"/>
                <w:color w:val="auto"/>
              </w:rPr>
              <w:t>Special Counsel</w:t>
            </w:r>
          </w:p>
        </w:tc>
      </w:tr>
      <w:tr>
        <w:trPr>
          <w:trHeight w:val="200"/>
        </w:trPr>
        <w:tc>
          <w:tcPr>
            <w:tcW w:w="2320" w:type="dxa"/>
            <w:vAlign w:val="bottom"/>
          </w:tcPr>
          <w:p>
            <w:pPr>
              <w:spacing w:after="0"/>
              <w:rPr>
                <w:sz w:val="20"/>
                <w:szCs w:val="20"/>
                <w:color w:val="auto"/>
              </w:rPr>
            </w:pPr>
            <w:r>
              <w:rPr>
                <w:rFonts w:ascii="Arial" w:cs="Arial" w:eastAsia="Arial" w:hAnsi="Arial"/>
                <w:sz w:val="17"/>
                <w:szCs w:val="17"/>
                <w:color w:val="auto"/>
              </w:rPr>
              <w:t>Clifford Weinstein</w:t>
            </w:r>
          </w:p>
        </w:tc>
        <w:tc>
          <w:tcPr>
            <w:tcW w:w="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Executive Vice President</w:t>
            </w: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Josh Wolff</w:t>
            </w:r>
          </w:p>
        </w:tc>
        <w:tc>
          <w:tcPr>
            <w:tcW w:w="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Senior Vice President for Partner Solutions</w:t>
            </w:r>
          </w:p>
        </w:tc>
      </w:tr>
    </w:tbl>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Interests of Vringo Directors and Executive Officers in the Merger</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considering the recommendation of the Vringo board of directors to vote FOR the Vringo Merger Proposals, Vringo stockholders should be aware that the directors and executive officers of Vringo have interests in the Merger that may be in addition to, or different from, your interests as Vringo stockholders, which could create conflicts of interest in their determinations to recommend the Merger. You should consider these interests in voting on the merger. These interests in connection with the Merger relate to or arise from, among other things:</w:t>
      </w:r>
    </w:p>
    <w:p>
      <w:pPr>
        <w:spacing w:after="0" w:line="80" w:lineRule="exact"/>
        <w:rPr>
          <w:sz w:val="20"/>
          <w:szCs w:val="20"/>
          <w:color w:val="auto"/>
        </w:rPr>
      </w:pPr>
    </w:p>
    <w:p>
      <w:pPr>
        <w:ind w:left="560" w:right="1239" w:hanging="300"/>
        <w:spacing w:after="0" w:line="267" w:lineRule="auto"/>
        <w:tabs>
          <w:tab w:leader="none" w:pos="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fact that Seth M. Siegel, Andrew D. Perlman and John Engelman are currently directors of Vringo and will remain directors of the combined company following the completion of the Merger;</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fact that Andrew D. Perlman and Ellen Cohl are currently executive officers of Vringo and will remain executive officers of the combined company following the completion of the Merger;</w:t>
      </w:r>
    </w:p>
    <w:p>
      <w:pPr>
        <w:spacing w:after="0" w:line="66" w:lineRule="exact"/>
        <w:rPr>
          <w:rFonts w:ascii="Arial" w:cs="Arial" w:eastAsia="Arial" w:hAnsi="Arial"/>
          <w:sz w:val="17"/>
          <w:szCs w:val="17"/>
          <w:color w:val="auto"/>
        </w:rPr>
      </w:pPr>
    </w:p>
    <w:p>
      <w:pPr>
        <w:jc w:val="both"/>
        <w:ind w:left="560" w:right="1239" w:hanging="300"/>
        <w:spacing w:after="0" w:line="253" w:lineRule="auto"/>
        <w:tabs>
          <w:tab w:leader="none" w:pos="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upon the change of control in connection with the consummation of the Merger, there will be a one year acceleration of option vesting for option holders for grants prior to consummation of the Merger, except for Andrew D. Perlman who will be entitled to 50% acceleration for all of his unvested options granted to him prior to him becoming Chief Executive Officer of Vringo;</w:t>
      </w:r>
    </w:p>
    <w:p>
      <w:pPr>
        <w:spacing w:after="0" w:line="77"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directors of Vringo, other than Mr. Perlman, departing within six months from a subsequent change of control would receive full acceleration of vesting for any unvested options and extension of the termination period for option exercises to one year from cessation of board service; and</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right to continued indemnification for directors and executive officers of Vringo following the completion of the Merger.</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Vringo board of directors was aware of these potential conflicts of interest during its deliberations on the merits of the Merger and when making its decision regarding the Merger Agreement and the transactions contemplated thereby, including the Merger.</w:t>
      </w:r>
    </w:p>
    <w:p>
      <w:pPr>
        <w:spacing w:after="0" w:line="200" w:lineRule="exact"/>
        <w:rPr>
          <w:sz w:val="20"/>
          <w:szCs w:val="20"/>
          <w:color w:val="auto"/>
        </w:rPr>
      </w:pPr>
    </w:p>
    <w:p>
      <w:pPr>
        <w:spacing w:after="0" w:line="30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Ownership Interests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______________, 2012, the latest practicable date before the printing of this proxy statement/prospectus, directors and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executive officers of Vringo, together with their respective affiliates, beneficially owned and were entitled to vote ______________</w:t>
      </w:r>
    </w:p>
    <w:p>
      <w:pPr>
        <w:spacing w:after="0" w:line="28" w:lineRule="exact"/>
        <w:rPr>
          <w:sz w:val="20"/>
          <w:szCs w:val="20"/>
          <w:color w:val="auto"/>
        </w:rPr>
      </w:pPr>
    </w:p>
    <w:p>
      <w:pPr>
        <w:jc w:val="both"/>
        <w:ind w:left="40" w:right="1239"/>
        <w:spacing w:after="0" w:line="248" w:lineRule="auto"/>
        <w:rPr>
          <w:sz w:val="20"/>
          <w:szCs w:val="20"/>
          <w:color w:val="auto"/>
        </w:rPr>
      </w:pPr>
      <w:r>
        <w:rPr>
          <w:rFonts w:ascii="Arial" w:cs="Arial" w:eastAsia="Arial" w:hAnsi="Arial"/>
          <w:sz w:val="17"/>
          <w:szCs w:val="17"/>
          <w:color w:val="auto"/>
        </w:rPr>
        <w:t>shares of Vringo common stock, or approximately ___% of the shares of Vringo common stock outstanding on that date. Assuming the Merger had been completed as of such date, all directors and executive officers of Vringo, together with their respective affiliates, would beneficially own, in the aggregate, approximately ___% of the outstanding shares of common stock of the combined company.</w:t>
      </w:r>
    </w:p>
    <w:p>
      <w:pPr>
        <w:spacing w:after="0" w:line="8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The following table sets forth information as of May 25, 2012, regarding the beneficial ownership of the combined company for each executive officer and director of Vringo and Innovate/Protect following the completion of the Merger. Percentage of beneficial ownership is calculated in relation to 32,173,593 shares of common stock of the combined company outstanding upon completion of the Merger, assuming that the Common Stock Exchange Ratio to be used in connection with the Merger is approximately 3.0176 shares of Vringo common stock for each share of Innovate/Protect capital stock (without giving effect to the proposed reverse stock split described elsewhere in this proxy statement/prospectus).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and if applicable, shares of Vringo common stock issuable pursuant to the exercise of stock options or other securities that are exercisable or convertible into shares of Innovate/Protect capital stock or Vringo common stock, as applicable, within 60 days of May 25, 2012. The table also sets forth the total number of additional options that each executive officer and director of Innovate/Protect will have the right to acquire following the Merger, but which are not exercisable within 60 days of May 25,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48374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2680" w:type="dxa"/>
            <w:vAlign w:val="bottom"/>
          </w:tcPr>
          <w:p>
            <w:pPr>
              <w:spacing w:after="0" w:line="142" w:lineRule="exact"/>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Total Shares to be</w:t>
            </w:r>
          </w:p>
        </w:tc>
        <w:tc>
          <w:tcPr>
            <w:tcW w:w="1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Total Additional</w:t>
            </w:r>
          </w:p>
        </w:tc>
        <w:tc>
          <w:tcPr>
            <w:tcW w:w="16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4"/>
              </w:rPr>
              <w:t>Combined Company</w:t>
            </w:r>
          </w:p>
        </w:tc>
      </w:tr>
      <w:tr>
        <w:trPr>
          <w:trHeight w:val="138"/>
        </w:trPr>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Beneficially Owned</w:t>
            </w:r>
          </w:p>
        </w:tc>
        <w:tc>
          <w:tcPr>
            <w:tcW w:w="16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Options to be Held</w:t>
            </w:r>
          </w:p>
        </w:tc>
        <w:tc>
          <w:tcPr>
            <w:tcW w:w="160" w:type="dxa"/>
            <w:vAlign w:val="bottom"/>
          </w:tcPr>
          <w:p>
            <w:pPr>
              <w:spacing w:after="0"/>
              <w:rPr>
                <w:sz w:val="11"/>
                <w:szCs w:val="11"/>
                <w:color w:val="auto"/>
              </w:rPr>
            </w:pPr>
          </w:p>
        </w:tc>
        <w:tc>
          <w:tcPr>
            <w:tcW w:w="15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Beneficial</w:t>
            </w:r>
          </w:p>
        </w:tc>
      </w:tr>
      <w:tr>
        <w:trPr>
          <w:trHeight w:val="138"/>
        </w:trPr>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Following the Merger</w:t>
            </w:r>
          </w:p>
        </w:tc>
        <w:tc>
          <w:tcPr>
            <w:tcW w:w="16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Following the Merger</w:t>
            </w:r>
          </w:p>
        </w:tc>
        <w:tc>
          <w:tcPr>
            <w:tcW w:w="160" w:type="dxa"/>
            <w:vAlign w:val="bottom"/>
          </w:tcPr>
          <w:p>
            <w:pPr>
              <w:spacing w:after="0"/>
              <w:rPr>
                <w:sz w:val="11"/>
                <w:szCs w:val="11"/>
                <w:color w:val="auto"/>
              </w:rPr>
            </w:pPr>
          </w:p>
        </w:tc>
        <w:tc>
          <w:tcPr>
            <w:tcW w:w="15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Ownership Percentage</w:t>
            </w:r>
          </w:p>
        </w:tc>
      </w:tr>
      <w:tr>
        <w:trPr>
          <w:trHeight w:val="158"/>
        </w:trPr>
        <w:tc>
          <w:tcPr>
            <w:tcW w:w="2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Following the Merger</w:t>
            </w:r>
          </w:p>
        </w:tc>
      </w:tr>
      <w:tr>
        <w:trPr>
          <w:trHeight w:val="193"/>
        </w:trPr>
        <w:tc>
          <w:tcPr>
            <w:tcW w:w="268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Andrew D. Perlman</w:t>
            </w:r>
          </w:p>
        </w:tc>
        <w:tc>
          <w:tcPr>
            <w:tcW w:w="1620" w:type="dxa"/>
            <w:vAlign w:val="bottom"/>
            <w:gridSpan w:val="2"/>
            <w:shd w:val="clear" w:color="auto" w:fill="CCFFCC"/>
          </w:tcPr>
          <w:p>
            <w:pPr>
              <w:jc w:val="right"/>
              <w:ind w:right="33"/>
              <w:spacing w:after="0" w:line="193" w:lineRule="exact"/>
              <w:rPr>
                <w:sz w:val="20"/>
                <w:szCs w:val="20"/>
                <w:color w:val="auto"/>
              </w:rPr>
            </w:pPr>
            <w:r>
              <w:rPr>
                <w:rFonts w:ascii="Arial" w:cs="Arial" w:eastAsia="Arial" w:hAnsi="Arial"/>
                <w:sz w:val="17"/>
                <w:szCs w:val="17"/>
                <w:color w:val="auto"/>
              </w:rPr>
              <w:t>607,381</w:t>
            </w:r>
          </w:p>
        </w:tc>
        <w:tc>
          <w:tcPr>
            <w:tcW w:w="1600" w:type="dxa"/>
            <w:vAlign w:val="bottom"/>
            <w:gridSpan w:val="2"/>
            <w:shd w:val="clear" w:color="auto" w:fill="CCFFCC"/>
          </w:tcPr>
          <w:p>
            <w:pPr>
              <w:jc w:val="right"/>
              <w:ind w:right="44"/>
              <w:spacing w:after="0" w:line="193" w:lineRule="exact"/>
              <w:rPr>
                <w:sz w:val="20"/>
                <w:szCs w:val="20"/>
                <w:color w:val="auto"/>
              </w:rPr>
            </w:pPr>
            <w:r>
              <w:rPr>
                <w:rFonts w:ascii="Arial" w:cs="Arial" w:eastAsia="Arial" w:hAnsi="Arial"/>
                <w:sz w:val="17"/>
                <w:szCs w:val="17"/>
                <w:color w:val="auto"/>
              </w:rPr>
              <w:t>331,453</w:t>
            </w:r>
          </w:p>
        </w:tc>
        <w:tc>
          <w:tcPr>
            <w:tcW w:w="1720" w:type="dxa"/>
            <w:vAlign w:val="bottom"/>
            <w:gridSpan w:val="2"/>
            <w:shd w:val="clear" w:color="auto" w:fill="CCFFCC"/>
          </w:tcPr>
          <w:p>
            <w:pPr>
              <w:jc w:val="right"/>
              <w:ind w:right="373"/>
              <w:spacing w:after="0" w:line="193" w:lineRule="exact"/>
              <w:rPr>
                <w:sz w:val="20"/>
                <w:szCs w:val="20"/>
                <w:color w:val="auto"/>
              </w:rPr>
            </w:pPr>
            <w:r>
              <w:rPr>
                <w:rFonts w:ascii="Arial" w:cs="Arial" w:eastAsia="Arial" w:hAnsi="Arial"/>
                <w:sz w:val="17"/>
                <w:szCs w:val="17"/>
                <w:color w:val="auto"/>
              </w:rPr>
              <w:t>1.8%</w:t>
            </w:r>
          </w:p>
        </w:tc>
      </w:tr>
      <w:tr>
        <w:trPr>
          <w:trHeight w:val="200"/>
        </w:trPr>
        <w:tc>
          <w:tcPr>
            <w:tcW w:w="2680" w:type="dxa"/>
            <w:vAlign w:val="bottom"/>
          </w:tcPr>
          <w:p>
            <w:pPr>
              <w:spacing w:after="0"/>
              <w:rPr>
                <w:sz w:val="20"/>
                <w:szCs w:val="20"/>
                <w:color w:val="auto"/>
              </w:rPr>
            </w:pPr>
            <w:r>
              <w:rPr>
                <w:rFonts w:ascii="Arial" w:cs="Arial" w:eastAsia="Arial" w:hAnsi="Arial"/>
                <w:sz w:val="17"/>
                <w:szCs w:val="17"/>
                <w:color w:val="auto"/>
              </w:rPr>
              <w:t>Seth M. Siegel</w:t>
            </w:r>
          </w:p>
        </w:tc>
        <w:tc>
          <w:tcPr>
            <w:tcW w:w="1620" w:type="dxa"/>
            <w:vAlign w:val="bottom"/>
            <w:gridSpan w:val="2"/>
          </w:tcPr>
          <w:p>
            <w:pPr>
              <w:jc w:val="right"/>
              <w:ind w:right="33"/>
              <w:spacing w:after="0"/>
              <w:rPr>
                <w:sz w:val="20"/>
                <w:szCs w:val="20"/>
                <w:color w:val="auto"/>
              </w:rPr>
            </w:pPr>
            <w:r>
              <w:rPr>
                <w:rFonts w:ascii="Arial" w:cs="Arial" w:eastAsia="Arial" w:hAnsi="Arial"/>
                <w:sz w:val="17"/>
                <w:szCs w:val="17"/>
                <w:color w:val="auto"/>
              </w:rPr>
              <w:t>619,289</w:t>
            </w:r>
          </w:p>
        </w:tc>
        <w:tc>
          <w:tcPr>
            <w:tcW w:w="1600" w:type="dxa"/>
            <w:vAlign w:val="bottom"/>
            <w:gridSpan w:val="2"/>
          </w:tcPr>
          <w:p>
            <w:pPr>
              <w:jc w:val="right"/>
              <w:ind w:right="44"/>
              <w:spacing w:after="0"/>
              <w:rPr>
                <w:sz w:val="20"/>
                <w:szCs w:val="20"/>
                <w:color w:val="auto"/>
              </w:rPr>
            </w:pPr>
            <w:r>
              <w:rPr>
                <w:rFonts w:ascii="Arial" w:cs="Arial" w:eastAsia="Arial" w:hAnsi="Arial"/>
                <w:sz w:val="17"/>
                <w:szCs w:val="17"/>
                <w:color w:val="auto"/>
              </w:rPr>
              <w:t>214,583</w:t>
            </w:r>
          </w:p>
        </w:tc>
        <w:tc>
          <w:tcPr>
            <w:tcW w:w="1720" w:type="dxa"/>
            <w:vAlign w:val="bottom"/>
            <w:gridSpan w:val="2"/>
          </w:tcPr>
          <w:p>
            <w:pPr>
              <w:jc w:val="right"/>
              <w:ind w:right="373"/>
              <w:spacing w:after="0"/>
              <w:rPr>
                <w:sz w:val="20"/>
                <w:szCs w:val="20"/>
                <w:color w:val="auto"/>
              </w:rPr>
            </w:pPr>
            <w:r>
              <w:rPr>
                <w:rFonts w:ascii="Arial" w:cs="Arial" w:eastAsia="Arial" w:hAnsi="Arial"/>
                <w:sz w:val="17"/>
                <w:szCs w:val="17"/>
                <w:color w:val="auto"/>
              </w:rPr>
              <w:t>1.7%</w:t>
            </w:r>
          </w:p>
        </w:tc>
      </w:tr>
      <w:tr>
        <w:trPr>
          <w:trHeight w:val="200"/>
        </w:trPr>
        <w:tc>
          <w:tcPr>
            <w:tcW w:w="2680" w:type="dxa"/>
            <w:vAlign w:val="bottom"/>
            <w:shd w:val="clear" w:color="auto" w:fill="CCFFCC"/>
          </w:tcPr>
          <w:p>
            <w:pPr>
              <w:spacing w:after="0"/>
              <w:rPr>
                <w:sz w:val="20"/>
                <w:szCs w:val="20"/>
                <w:color w:val="auto"/>
              </w:rPr>
            </w:pPr>
            <w:r>
              <w:rPr>
                <w:rFonts w:ascii="Arial" w:cs="Arial" w:eastAsia="Arial" w:hAnsi="Arial"/>
                <w:sz w:val="17"/>
                <w:szCs w:val="17"/>
                <w:color w:val="auto"/>
              </w:rPr>
              <w:t>Andrew Kennedy Lang</w:t>
            </w:r>
          </w:p>
        </w:tc>
        <w:tc>
          <w:tcPr>
            <w:tcW w:w="162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8,034,360</w:t>
            </w:r>
          </w:p>
        </w:tc>
        <w:tc>
          <w:tcPr>
            <w:tcW w:w="160" w:type="dxa"/>
            <w:vAlign w:val="bottom"/>
            <w:shd w:val="clear" w:color="auto" w:fill="CCFFCC"/>
          </w:tcPr>
          <w:p>
            <w:pPr>
              <w:spacing w:after="0"/>
              <w:rPr>
                <w:sz w:val="17"/>
                <w:szCs w:val="17"/>
                <w:color w:val="auto"/>
              </w:rPr>
            </w:pPr>
          </w:p>
        </w:tc>
        <w:tc>
          <w:tcPr>
            <w:tcW w:w="1440" w:type="dxa"/>
            <w:vAlign w:val="bottom"/>
            <w:shd w:val="clear" w:color="auto" w:fill="CCFFCC"/>
          </w:tcPr>
          <w:p>
            <w:pPr>
              <w:jc w:val="right"/>
              <w:ind w:right="44"/>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FFCC"/>
          </w:tcPr>
          <w:p>
            <w:pPr>
              <w:jc w:val="right"/>
              <w:ind w:right="373"/>
              <w:spacing w:after="0"/>
              <w:rPr>
                <w:sz w:val="20"/>
                <w:szCs w:val="20"/>
                <w:color w:val="auto"/>
              </w:rPr>
            </w:pPr>
            <w:r>
              <w:rPr>
                <w:rFonts w:ascii="Arial" w:cs="Arial" w:eastAsia="Arial" w:hAnsi="Arial"/>
                <w:sz w:val="17"/>
                <w:szCs w:val="17"/>
                <w:color w:val="auto"/>
              </w:rPr>
              <w:t>23.3%</w:t>
            </w:r>
          </w:p>
        </w:tc>
      </w:tr>
      <w:tr>
        <w:trPr>
          <w:trHeight w:val="200"/>
        </w:trPr>
        <w:tc>
          <w:tcPr>
            <w:tcW w:w="2680" w:type="dxa"/>
            <w:vAlign w:val="bottom"/>
          </w:tcPr>
          <w:p>
            <w:pPr>
              <w:spacing w:after="0"/>
              <w:rPr>
                <w:sz w:val="20"/>
                <w:szCs w:val="20"/>
                <w:color w:val="auto"/>
              </w:rPr>
            </w:pPr>
            <w:r>
              <w:rPr>
                <w:rFonts w:ascii="Arial" w:cs="Arial" w:eastAsia="Arial" w:hAnsi="Arial"/>
                <w:sz w:val="17"/>
                <w:szCs w:val="17"/>
                <w:color w:val="auto"/>
              </w:rPr>
              <w:t>Alexender R. Berger</w:t>
            </w:r>
          </w:p>
        </w:tc>
        <w:tc>
          <w:tcPr>
            <w:tcW w:w="1620" w:type="dxa"/>
            <w:vAlign w:val="bottom"/>
            <w:gridSpan w:val="2"/>
          </w:tcPr>
          <w:p>
            <w:pPr>
              <w:jc w:val="right"/>
              <w:ind w:right="33"/>
              <w:spacing w:after="0"/>
              <w:rPr>
                <w:sz w:val="20"/>
                <w:szCs w:val="20"/>
                <w:color w:val="auto"/>
              </w:rPr>
            </w:pPr>
            <w:r>
              <w:rPr>
                <w:rFonts w:ascii="Arial" w:cs="Arial" w:eastAsia="Arial" w:hAnsi="Arial"/>
                <w:sz w:val="17"/>
                <w:szCs w:val="17"/>
                <w:color w:val="auto"/>
              </w:rPr>
              <w:t>2,678,120</w:t>
            </w:r>
          </w:p>
        </w:tc>
        <w:tc>
          <w:tcPr>
            <w:tcW w:w="160" w:type="dxa"/>
            <w:vAlign w:val="bottom"/>
          </w:tcPr>
          <w:p>
            <w:pPr>
              <w:spacing w:after="0"/>
              <w:rPr>
                <w:sz w:val="17"/>
                <w:szCs w:val="17"/>
                <w:color w:val="auto"/>
              </w:rPr>
            </w:pPr>
          </w:p>
        </w:tc>
        <w:tc>
          <w:tcPr>
            <w:tcW w:w="14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373"/>
              <w:spacing w:after="0"/>
              <w:rPr>
                <w:sz w:val="20"/>
                <w:szCs w:val="20"/>
                <w:color w:val="auto"/>
              </w:rPr>
            </w:pPr>
            <w:r>
              <w:rPr>
                <w:rFonts w:ascii="Arial" w:cs="Arial" w:eastAsia="Arial" w:hAnsi="Arial"/>
                <w:sz w:val="17"/>
                <w:szCs w:val="17"/>
                <w:color w:val="auto"/>
              </w:rPr>
              <w:t>8.1%</w:t>
            </w:r>
          </w:p>
        </w:tc>
      </w:tr>
      <w:tr>
        <w:trPr>
          <w:trHeight w:val="200"/>
        </w:trPr>
        <w:tc>
          <w:tcPr>
            <w:tcW w:w="2680" w:type="dxa"/>
            <w:vAlign w:val="bottom"/>
            <w:shd w:val="clear" w:color="auto" w:fill="CCFFCC"/>
          </w:tcPr>
          <w:p>
            <w:pPr>
              <w:spacing w:after="0"/>
              <w:rPr>
                <w:sz w:val="20"/>
                <w:szCs w:val="20"/>
                <w:color w:val="auto"/>
              </w:rPr>
            </w:pPr>
            <w:r>
              <w:rPr>
                <w:rFonts w:ascii="Arial" w:cs="Arial" w:eastAsia="Arial" w:hAnsi="Arial"/>
                <w:sz w:val="17"/>
                <w:szCs w:val="17"/>
                <w:color w:val="auto"/>
              </w:rPr>
              <w:t>John Engelman</w:t>
            </w:r>
          </w:p>
        </w:tc>
        <w:tc>
          <w:tcPr>
            <w:tcW w:w="162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201,533</w:t>
            </w:r>
          </w:p>
        </w:tc>
        <w:tc>
          <w:tcPr>
            <w:tcW w:w="1600" w:type="dxa"/>
            <w:vAlign w:val="bottom"/>
            <w:gridSpan w:val="2"/>
            <w:shd w:val="clear" w:color="auto" w:fill="CCFFCC"/>
          </w:tcPr>
          <w:p>
            <w:pPr>
              <w:jc w:val="right"/>
              <w:ind w:right="44"/>
              <w:spacing w:after="0"/>
              <w:rPr>
                <w:sz w:val="20"/>
                <w:szCs w:val="20"/>
                <w:color w:val="auto"/>
              </w:rPr>
            </w:pPr>
            <w:r>
              <w:rPr>
                <w:rFonts w:ascii="Arial" w:cs="Arial" w:eastAsia="Arial" w:hAnsi="Arial"/>
                <w:sz w:val="17"/>
                <w:szCs w:val="17"/>
                <w:color w:val="auto"/>
              </w:rPr>
              <w:t>129,271</w:t>
            </w:r>
          </w:p>
        </w:tc>
        <w:tc>
          <w:tcPr>
            <w:tcW w:w="1720" w:type="dxa"/>
            <w:vAlign w:val="bottom"/>
            <w:gridSpan w:val="2"/>
            <w:shd w:val="clear" w:color="auto" w:fill="CCFFCC"/>
          </w:tcPr>
          <w:p>
            <w:pPr>
              <w:jc w:val="right"/>
              <w:ind w:right="373"/>
              <w:spacing w:after="0"/>
              <w:rPr>
                <w:sz w:val="20"/>
                <w:szCs w:val="20"/>
                <w:color w:val="auto"/>
              </w:rPr>
            </w:pPr>
            <w:r>
              <w:rPr>
                <w:rFonts w:ascii="Arial" w:cs="Arial" w:eastAsia="Arial" w:hAnsi="Arial"/>
                <w:sz w:val="17"/>
                <w:szCs w:val="17"/>
                <w:color w:val="auto"/>
              </w:rPr>
              <w:t>0.6%</w:t>
            </w:r>
          </w:p>
        </w:tc>
      </w:tr>
      <w:tr>
        <w:trPr>
          <w:trHeight w:val="200"/>
        </w:trPr>
        <w:tc>
          <w:tcPr>
            <w:tcW w:w="2680" w:type="dxa"/>
            <w:vAlign w:val="bottom"/>
          </w:tcPr>
          <w:p>
            <w:pPr>
              <w:spacing w:after="0"/>
              <w:rPr>
                <w:sz w:val="20"/>
                <w:szCs w:val="20"/>
                <w:color w:val="auto"/>
              </w:rPr>
            </w:pPr>
            <w:r>
              <w:rPr>
                <w:rFonts w:ascii="Arial" w:cs="Arial" w:eastAsia="Arial" w:hAnsi="Arial"/>
                <w:sz w:val="17"/>
                <w:szCs w:val="17"/>
                <w:color w:val="auto"/>
              </w:rPr>
              <w:t>Donald E. Stout</w:t>
            </w:r>
          </w:p>
        </w:tc>
        <w:tc>
          <w:tcPr>
            <w:tcW w:w="1620" w:type="dxa"/>
            <w:vAlign w:val="bottom"/>
            <w:gridSpan w:val="2"/>
          </w:tcPr>
          <w:p>
            <w:pPr>
              <w:jc w:val="right"/>
              <w:ind w:right="33"/>
              <w:spacing w:after="0"/>
              <w:rPr>
                <w:sz w:val="20"/>
                <w:szCs w:val="20"/>
                <w:color w:val="auto"/>
              </w:rPr>
            </w:pPr>
            <w:r>
              <w:rPr>
                <w:rFonts w:ascii="Arial" w:cs="Arial" w:eastAsia="Arial" w:hAnsi="Arial"/>
                <w:sz w:val="17"/>
                <w:szCs w:val="17"/>
                <w:color w:val="auto"/>
              </w:rPr>
              <w:t>1,083,195</w:t>
            </w:r>
          </w:p>
        </w:tc>
        <w:tc>
          <w:tcPr>
            <w:tcW w:w="160" w:type="dxa"/>
            <w:vAlign w:val="bottom"/>
          </w:tcPr>
          <w:p>
            <w:pPr>
              <w:spacing w:after="0"/>
              <w:rPr>
                <w:sz w:val="17"/>
                <w:szCs w:val="17"/>
                <w:color w:val="auto"/>
              </w:rPr>
            </w:pPr>
          </w:p>
        </w:tc>
        <w:tc>
          <w:tcPr>
            <w:tcW w:w="14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373"/>
              <w:spacing w:after="0"/>
              <w:rPr>
                <w:sz w:val="20"/>
                <w:szCs w:val="20"/>
                <w:color w:val="auto"/>
              </w:rPr>
            </w:pPr>
            <w:r>
              <w:rPr>
                <w:rFonts w:ascii="Arial" w:cs="Arial" w:eastAsia="Arial" w:hAnsi="Arial"/>
                <w:sz w:val="17"/>
                <w:szCs w:val="17"/>
                <w:color w:val="auto"/>
              </w:rPr>
              <w:t>3.3%</w:t>
            </w:r>
          </w:p>
        </w:tc>
      </w:tr>
      <w:tr>
        <w:trPr>
          <w:trHeight w:val="200"/>
        </w:trPr>
        <w:tc>
          <w:tcPr>
            <w:tcW w:w="2680" w:type="dxa"/>
            <w:vAlign w:val="bottom"/>
            <w:shd w:val="clear" w:color="auto" w:fill="CCFFCC"/>
          </w:tcPr>
          <w:p>
            <w:pPr>
              <w:spacing w:after="0"/>
              <w:rPr>
                <w:sz w:val="20"/>
                <w:szCs w:val="20"/>
                <w:color w:val="auto"/>
              </w:rPr>
            </w:pPr>
            <w:r>
              <w:rPr>
                <w:rFonts w:ascii="Arial" w:cs="Arial" w:eastAsia="Arial" w:hAnsi="Arial"/>
                <w:sz w:val="17"/>
                <w:szCs w:val="17"/>
                <w:color w:val="auto"/>
              </w:rPr>
              <w:t>H. Van Sinclair</w:t>
            </w:r>
          </w:p>
        </w:tc>
        <w:tc>
          <w:tcPr>
            <w:tcW w:w="162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171,400</w:t>
            </w:r>
          </w:p>
        </w:tc>
        <w:tc>
          <w:tcPr>
            <w:tcW w:w="160" w:type="dxa"/>
            <w:vAlign w:val="bottom"/>
            <w:shd w:val="clear" w:color="auto" w:fill="CCFFCC"/>
          </w:tcPr>
          <w:p>
            <w:pPr>
              <w:spacing w:after="0"/>
              <w:rPr>
                <w:sz w:val="17"/>
                <w:szCs w:val="17"/>
                <w:color w:val="auto"/>
              </w:rPr>
            </w:pPr>
          </w:p>
        </w:tc>
        <w:tc>
          <w:tcPr>
            <w:tcW w:w="1440" w:type="dxa"/>
            <w:vAlign w:val="bottom"/>
            <w:shd w:val="clear" w:color="auto" w:fill="CCFFCC"/>
          </w:tcPr>
          <w:p>
            <w:pPr>
              <w:jc w:val="right"/>
              <w:ind w:right="44"/>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FFCC"/>
          </w:tcPr>
          <w:p>
            <w:pPr>
              <w:jc w:val="right"/>
              <w:ind w:right="373"/>
              <w:spacing w:after="0"/>
              <w:rPr>
                <w:sz w:val="20"/>
                <w:szCs w:val="20"/>
                <w:color w:val="auto"/>
              </w:rPr>
            </w:pPr>
            <w:r>
              <w:rPr>
                <w:rFonts w:ascii="Arial" w:cs="Arial" w:eastAsia="Arial" w:hAnsi="Arial"/>
                <w:sz w:val="17"/>
                <w:szCs w:val="17"/>
                <w:color w:val="auto"/>
              </w:rPr>
              <w:t>0.5%</w:t>
            </w:r>
          </w:p>
        </w:tc>
      </w:tr>
      <w:tr>
        <w:trPr>
          <w:trHeight w:val="213"/>
        </w:trPr>
        <w:tc>
          <w:tcPr>
            <w:tcW w:w="2680" w:type="dxa"/>
            <w:vAlign w:val="bottom"/>
          </w:tcPr>
          <w:p>
            <w:pPr>
              <w:spacing w:after="0"/>
              <w:rPr>
                <w:sz w:val="20"/>
                <w:szCs w:val="20"/>
                <w:color w:val="auto"/>
              </w:rPr>
            </w:pPr>
            <w:r>
              <w:rPr>
                <w:rFonts w:ascii="Arial" w:cs="Arial" w:eastAsia="Arial" w:hAnsi="Arial"/>
                <w:sz w:val="17"/>
                <w:szCs w:val="17"/>
                <w:color w:val="auto"/>
              </w:rPr>
              <w:t>Ellen Cohl</w:t>
            </w:r>
          </w:p>
        </w:tc>
        <w:tc>
          <w:tcPr>
            <w:tcW w:w="1620" w:type="dxa"/>
            <w:vAlign w:val="bottom"/>
            <w:gridSpan w:val="2"/>
          </w:tcPr>
          <w:p>
            <w:pPr>
              <w:jc w:val="right"/>
              <w:ind w:right="33"/>
              <w:spacing w:after="0"/>
              <w:rPr>
                <w:sz w:val="20"/>
                <w:szCs w:val="20"/>
                <w:color w:val="auto"/>
              </w:rPr>
            </w:pPr>
            <w:r>
              <w:rPr>
                <w:rFonts w:ascii="Arial" w:cs="Arial" w:eastAsia="Arial" w:hAnsi="Arial"/>
                <w:sz w:val="17"/>
                <w:szCs w:val="17"/>
                <w:color w:val="auto"/>
              </w:rPr>
              <w:t>231,750</w:t>
            </w:r>
          </w:p>
        </w:tc>
        <w:tc>
          <w:tcPr>
            <w:tcW w:w="1600" w:type="dxa"/>
            <w:vAlign w:val="bottom"/>
            <w:gridSpan w:val="2"/>
          </w:tcPr>
          <w:p>
            <w:pPr>
              <w:jc w:val="right"/>
              <w:ind w:right="44"/>
              <w:spacing w:after="0"/>
              <w:rPr>
                <w:sz w:val="20"/>
                <w:szCs w:val="20"/>
                <w:color w:val="auto"/>
              </w:rPr>
            </w:pPr>
            <w:r>
              <w:rPr>
                <w:rFonts w:ascii="Arial" w:cs="Arial" w:eastAsia="Arial" w:hAnsi="Arial"/>
                <w:sz w:val="17"/>
                <w:szCs w:val="17"/>
                <w:color w:val="auto"/>
              </w:rPr>
              <w:t>186,250</w:t>
            </w:r>
          </w:p>
        </w:tc>
        <w:tc>
          <w:tcPr>
            <w:tcW w:w="1720" w:type="dxa"/>
            <w:vAlign w:val="bottom"/>
            <w:gridSpan w:val="2"/>
          </w:tcPr>
          <w:p>
            <w:pPr>
              <w:jc w:val="right"/>
              <w:ind w:right="373"/>
              <w:spacing w:after="0"/>
              <w:rPr>
                <w:sz w:val="20"/>
                <w:szCs w:val="20"/>
                <w:color w:val="auto"/>
              </w:rPr>
            </w:pPr>
            <w:r>
              <w:rPr>
                <w:rFonts w:ascii="Arial" w:cs="Arial" w:eastAsia="Arial" w:hAnsi="Arial"/>
                <w:sz w:val="17"/>
                <w:szCs w:val="17"/>
                <w:color w:val="auto"/>
              </w:rPr>
              <w:t>0.6%</w:t>
            </w:r>
          </w:p>
        </w:tc>
      </w:tr>
    </w:tbl>
    <w:p>
      <w:pPr>
        <w:spacing w:after="0" w:line="7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For a more complete discussion of the ownership interests of the directors and executive officers of Vringo, see the sections entitled “Vringo Security Ownership of Certain Beneficial Owners and Management” and “Security Ownership of Certain Beneficial Owners and Management of the Combined Company Following the Merger” beginning on pages </w:t>
      </w:r>
      <w:r>
        <w:rPr>
          <w:rFonts w:ascii="Arial" w:cs="Arial" w:eastAsia="Arial" w:hAnsi="Arial"/>
          <w:sz w:val="17"/>
          <w:szCs w:val="17"/>
          <w:u w:val="single" w:color="auto"/>
          <w:color w:val="0000EE"/>
        </w:rPr>
        <w:t>179</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183</w:t>
      </w:r>
      <w:r>
        <w:rPr>
          <w:rFonts w:ascii="Arial" w:cs="Arial" w:eastAsia="Arial" w:hAnsi="Arial"/>
          <w:sz w:val="17"/>
          <w:szCs w:val="17"/>
          <w:color w:val="auto"/>
        </w:rPr>
        <w:t>, respectively.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Employment Agreements with Certain Executive Officers of Vringo</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March 11, 2012, in connection with the appointment of Andrew D. Perlman as Chief Executive Officer, Vringo’s board of directors approved an increase in Mr. Perlman’s salary to $250,000 per year and the payment of severance for one year in the event he is no longer the Chief Executive Officer in connection with the change of control. In addition, the board of directors approved the grant of options to purchase 450,000 shares at an exercise price of $1.65 per share. Vringo and Mr. Perlman expect to enter into an amendment to his employment agreement to memorialize the foregoing terms.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Accelerated Vesting of Stock Options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Upon the change of control in connection with the consummation of the Merger, there will be a one year acceleration of option vesting for all Vringo’s option holders for grants prior to the consummation of the Merger, except for Andrew D. Perlman who will be entitled to 50% acceleration for all of his unvested options granted to him prior to him becoming Chief Executive Officer of Vringo. In addition, directors of</w:t>
      </w:r>
    </w:p>
    <w:p>
      <w:pPr>
        <w:spacing w:after="0" w:line="200" w:lineRule="exact"/>
        <w:rPr>
          <w:sz w:val="20"/>
          <w:szCs w:val="20"/>
          <w:color w:val="auto"/>
        </w:rPr>
      </w:pPr>
    </w:p>
    <w:p>
      <w:pPr>
        <w:spacing w:after="0" w:line="29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Indemnification and Insurance</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Merger Agreement provides that all rights to indemnification with respect to acts or omissions occurring at or prior to the completion of the Merger existing in favor of each present and former director, officer or employee of Innovate/Protect or any of its subsidiaries as provided in their respective certificates of incorporation or bylaws or indemnification agreements. The Merger Agreement provides that Vringo and Merger Sub will continue to indemnify and hold harmless each present and former director, officer or employee of Innovate/Protect or any of its subsidiaries, with respect to acts or omissions occurring or alleged to have occurred before or after the completion of the Merger, including advancing expenses to the fullest extent allowed by law.</w:t>
      </w:r>
    </w:p>
    <w:p>
      <w:pPr>
        <w:spacing w:after="0" w:line="53"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Merger Agreement provides the Vringo will continue to indemnify and hold harmless each present and former director or officer of Vringo or any of its subsidiaries, with respect to acts or omissions occurring or alleged to have occurred at or prior to the completion of the Merger, to the fullest extent permitted under applicable law and Vringo’s certificate of incorporation or Vringo’s bylaws (the “</w:t>
      </w:r>
      <w:r>
        <w:rPr>
          <w:rFonts w:ascii="Arial" w:cs="Arial" w:eastAsia="Arial" w:hAnsi="Arial"/>
          <w:sz w:val="16"/>
          <w:szCs w:val="16"/>
          <w:b w:val="1"/>
          <w:bCs w:val="1"/>
          <w:color w:val="auto"/>
        </w:rPr>
        <w:t>Vringo’s Bylaws</w:t>
      </w:r>
      <w:r>
        <w:rPr>
          <w:rFonts w:ascii="Arial" w:cs="Arial" w:eastAsia="Arial" w:hAnsi="Arial"/>
          <w:sz w:val="16"/>
          <w:szCs w:val="16"/>
          <w:color w:val="auto"/>
        </w:rPr>
        <w:t>”). The Merger Agreement also provides that the combined company will honor all indemnification agreements in place with each present and former director or officer of Vringo.</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Anticipated Accounting Treatment</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Merger will be treated by Vringo as a reverse merger under the acquisition method of accounting in accordance with GAAP. For accounting purposes, Innovate/Protect is considered to be acquiring Vringo in this transaction. Therefore, the aggregate consideration paid in connection with the Merger will be allocated to Vringo tangible and intangible assets and liabilities based on their fair market values. The assets and liabilities and results of operations of Vringo will be consolidated into the results of operations of Innovate/Protect as of the completion of the Merger. These allocations will be based upon a valuation that has not yet been finalized.</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Tax Treatment of the Merger</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 xml:space="preserve">Vringo and Innovate/Protect intend the Merger to qualify as a “reorganization” within the meaning of Section 368(a) of the Code and have agreed to use reasonable best efforts to structure the Merger to qualify as a reorganization and not to take any action that would prevent the Merger from qualifying as a reorganization under Section 368(a) of the Code. Mintz, Levin, Cohn, Ferris, Glovsky and Popeo, P.C. has rerendered its written opinion that the Merger will qualify as a “reorganization” within the meaning of Section 368(a) of the Code. For a more complete discussion of the material U.S. federal income tax consequences of the Merger, see the section entitled “Material U.S. Federal Income Tax Consequences of the Merger” beginning on page </w:t>
      </w:r>
      <w:r>
        <w:rPr>
          <w:rFonts w:ascii="Arial" w:cs="Arial" w:eastAsia="Arial" w:hAnsi="Arial"/>
          <w:sz w:val="15"/>
          <w:szCs w:val="15"/>
          <w:u w:val="single" w:color="auto"/>
          <w:color w:val="0000EE"/>
        </w:rPr>
        <w:t>86</w:t>
      </w:r>
      <w:r>
        <w:rPr>
          <w:rFonts w:ascii="Arial" w:cs="Arial" w:eastAsia="Arial" w:hAnsi="Arial"/>
          <w:sz w:val="15"/>
          <w:szCs w:val="15"/>
          <w:color w:val="auto"/>
        </w:rPr>
        <w:t>.</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Regulatory Approvals Required for the Merger</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As of the date of this proxy statement/prospectus, neither Vringo nor Innovate/Protect is required to make filings or to obtain approvals or clearances from any antitrust regulatory authorities in the U.S. or other countries to complete the Merger. In the U.S., Vringo must comply with applicable federal and state securities laws and the rules and regulations of the NYSE Amex in connection with the issuance of shares of Vringo common stock and preferred stock and warrants in the Merger and the resulting change in control of Vringo and the filing of this proxy statement/prospectus with the SEC.</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Restrictions on Sales of Shares of Vringo Common Stock Received by Innovate/Protect Stockholders in the Merger</w:t>
      </w:r>
    </w:p>
    <w:p>
      <w:pPr>
        <w:spacing w:after="0" w:line="12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Pursuant to a letter agreement between Vringo and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w:t>
      </w:r>
    </w:p>
    <w:p>
      <w:pPr>
        <w:spacing w:after="0" w:line="200" w:lineRule="exact"/>
        <w:rPr>
          <w:sz w:val="20"/>
          <w:szCs w:val="20"/>
          <w:color w:val="auto"/>
        </w:rPr>
      </w:pPr>
    </w:p>
    <w:p>
      <w:pPr>
        <w:spacing w:after="0" w:line="29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stock combinations or other similar transactions). “Merger Shares” means (i) shares of Vringo common stock issued to Hudson Bay pursuant to the Merger Agreement, (ii) shares of Vringo common stock issued upon exercise of any Series 1 Warrants or Series 2 Warrants issued to Hudson Bay pursuant to the Merger Agreement, in the forms attached to this proxy statement/prospectus as Annex F and Annex G, respectively, and (iii) shares of Vringo common stock issued upon conversion of the Vringo preferred stock. This restriction is in place from the closing date until the date upon which Vringo gives notice of termination to Hudson Bay. In exchange, from the closing date until 30 days after Vringo terminates the transfer description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 Hudson Bay’s right to participate in up to 25% of Subsequent Placement may have a chilling effect on Vringo’s ability to raise financing via such offerings. Although the participation procedures are designed to minimize any impact on the timing of a transaction, there are notification processes to follow that could have the effect of slowing certain offerings. In addition, the possibility that a large percentage of an offering may be acquired by a third party may discourage some investors from participating in an offering due to the possibility that the size of the remaining offering will not be large enough to accommodate them. Nonetheless, Vringo does not anticipate that Hudson Bay’s right to participate will have a material impact on Vringo’s ability to raise financing.</w:t>
      </w:r>
    </w:p>
    <w:p>
      <w:pPr>
        <w:spacing w:after="0" w:line="6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may be resold by them only in transactions permitted by Rule 144 or as otherwise permitted under the Securities Act.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Appraisal Rights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Under the DGCL, holders of Vringo common stock are not entitled to appraisal rights in connection with the Merger or the proposals described in this proxy statement/prospectus. Under the DGCL, however, holders of Innovate/Protect capital stock may be entitled to appraisal rights in connection with the Merger.</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NYSE Amex Listing of Vringo Common Stock</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Vringo common stock currently is listed on the NYSE Amex under the symbol “VRNG.” Vringo has agreed to use its reasonable best efforts to cause the shares of Vringo common stock to be approved, at or prior to the completion of the Merger, for listing (subject only to notice of issuance) on the NYSE Amex at and following the completion of the Merger, and the listing of the shares of Vringo common stock issuable pursuant to the Merger Agreement on the NYSE Amex is a condition to Innovate/Protect’s obligation to complete the Merger.</w:t>
      </w:r>
    </w:p>
    <w:p>
      <w:pPr>
        <w:spacing w:after="0" w:line="8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As of the date of the mailing of this proxy statement/prospectus, Vringo has filed an initial listing application for listing on the NYSE Amex in connection with the Merger pursuant to NYSE Amex’s reverse merger rules. If such application is approved, Vringo anticipates that its common stock will be listed on the NYSE Amex following the completion of the Merger under the trading symbol “VRNG.”</w:t>
      </w:r>
    </w:p>
    <w:p>
      <w:pPr>
        <w:spacing w:after="0" w:line="200" w:lineRule="exact"/>
        <w:rPr>
          <w:sz w:val="20"/>
          <w:szCs w:val="20"/>
          <w:color w:val="auto"/>
        </w:rPr>
      </w:pPr>
    </w:p>
    <w:p>
      <w:pPr>
        <w:spacing w:after="0" w:line="29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9" w:name="page100"/>
    <w:bookmarkEnd w:id="9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MATERIAL U.S. FEDERAL INCOME TAX CONSEQUENCES OF THE MERGER</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following discussion summarizes the material U.S. federal income tax consequences of the Merger. This summary is based upon current provisions of the Code, existing Treasury Regulations promulgated thereunder and current administrative rulings and court decisions, all of which are subject to change and to differing interpretations, possibly with retroactive effect. Any change could alter the tax consequences to Vringo, Innovate/Protect or Innovate/Protect stockholders, as described in this summary. This summary is not binding on the IRS, and there can be no assurance that the IRS (or a court, in the event of an IRS challenge) will agree with the conclusions stated herein.</w:t>
      </w:r>
    </w:p>
    <w:p>
      <w:pPr>
        <w:spacing w:after="0" w:line="66"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This discussion does not address all of the U.S. federal income tax consequences of the Merger that may be relevant to Innovate/Protect stockholders and Vringo stockholders in light of their particular circumstances and does not apply to stockholders that are subject to special treatment under U.S. federal income tax laws, including, without limitation:</w:t>
      </w:r>
    </w:p>
    <w:p>
      <w:pPr>
        <w:spacing w:after="0" w:line="58" w:lineRule="exact"/>
        <w:rPr>
          <w:sz w:val="20"/>
          <w:szCs w:val="20"/>
          <w:color w:val="auto"/>
        </w:rPr>
      </w:pPr>
    </w:p>
    <w:p>
      <w:pPr>
        <w:ind w:left="560" w:hanging="30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dealers, brokers and traders in securities;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individuals who are not citizens or residents of the U.S., including U.S. expatriates;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corporations (or other entities taxable as a corporation for U.S. federal income tax purposes) created or organized outside of the U.S.;</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tax-exempt entities;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financial institutions, regulated investment companies, real estate investment trusts or insurance companies;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partnerships, limited liability companies that are not treated as corporations for U.S. federal income tax purposes, subchapter S corporations and other pass-through entities and investors in such entities;</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estate or trust;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holders who are subject to the alternative minimum tax provisions of the Code;</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holders who acquired their shares in connection with stock option or stock purchase plans or in other compensatory transactions;</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holders who hold their shares through a pension plan or other qualified retirement plan;</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holders who hold their shares as part of an integrated investment such as a hedge or as part of a hedging, straddle or other risk reduction strategy;</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holders who do not hold their shares as capital assets within the meaning of Section 1221 of the Code (generally, property held for investment will be a capital asset); or</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holders who have a functional currency other than the U.S. dollar.</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addition, the following discussion does not address:</w:t>
      </w:r>
    </w:p>
    <w:p>
      <w:pPr>
        <w:spacing w:after="0" w:line="105" w:lineRule="exact"/>
        <w:rPr>
          <w:sz w:val="20"/>
          <w:szCs w:val="20"/>
          <w:color w:val="auto"/>
        </w:rPr>
      </w:pPr>
    </w:p>
    <w:p>
      <w:pPr>
        <w:ind w:left="560" w:hanging="300"/>
        <w:spacing w:after="0"/>
        <w:tabs>
          <w:tab w:leader="none" w:pos="5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tax consequences of the Merger under any U.S. federal non-income tax laws or under state, local or foreign tax laws;</w:t>
      </w:r>
    </w:p>
    <w:p>
      <w:pPr>
        <w:spacing w:after="0" w:line="128" w:lineRule="exact"/>
        <w:rPr>
          <w:rFonts w:ascii="Arial" w:cs="Arial" w:eastAsia="Arial" w:hAnsi="Arial"/>
          <w:sz w:val="15"/>
          <w:szCs w:val="15"/>
          <w:color w:val="auto"/>
        </w:rPr>
      </w:pPr>
    </w:p>
    <w:p>
      <w:pPr>
        <w:jc w:val="both"/>
        <w:ind w:left="560" w:right="1239" w:hanging="300"/>
        <w:spacing w:after="0" w:line="256" w:lineRule="auto"/>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tax consequences of transactions effectuated before, after or at the same time as the Merger, whether or not they are in connection with the Merger, including, without limitation, transactions in which shares of Innovate/Protect capital stock or Vringo capital stock are acquired;</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tax consequences to holders of options issued by Innovate/Protect that are assumed, replaced, exercised or converted, as the case may be, in connection with the Merger;</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tax consequences of the receipt of equity securities of Vringo other than in exchange for shares of Innovate/Protect capital stock; or</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tax consequences of the ownership or disposition of equity securities of Vringo common stock acquired in the Merger.</w:t>
      </w:r>
    </w:p>
    <w:p>
      <w:pPr>
        <w:spacing w:after="0" w:line="200" w:lineRule="exact"/>
        <w:rPr>
          <w:sz w:val="20"/>
          <w:szCs w:val="20"/>
          <w:color w:val="auto"/>
        </w:rPr>
      </w:pPr>
    </w:p>
    <w:p>
      <w:pPr>
        <w:spacing w:after="0" w:line="34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b w:val="1"/>
          <w:bCs w:val="1"/>
          <w:color w:val="auto"/>
        </w:rPr>
        <w:t>Accordingly, Innovate/Protect stockholders are advised and expected to consult their own tax advisors regarding the U.S. federal income tax consequences of the Merger in light of their personal circumstances and the consequences of the Merger under U.S. federal non-income tax laws and state, local and foreign tax laws.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U.S. Federal Income Tax Consequences of the Merger</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Merger is intended to qualify as a “reorganization” within the meaning of Section 368(a) of the Code. Mintz, Levin, Cohn, Ferris, Glovsky and Popeo, P.C. (“Mintz Levin”) has rendered a tax opinion that the Merger will constitute a “reorganization” within the meaning of Section 368(a) of the Code. Vringo and Innovate/Protect have agreed to use reasonable best efforts to structure the Merger to qualify as a “reorganization” and not to take any action that would prevent the Merger from qualifying as a reorganization under Section 368(a) of the Code. Neither Vringo nor Innovate/Protect presently intends to waive these conditions.</w:t>
      </w:r>
    </w:p>
    <w:p>
      <w:pPr>
        <w:spacing w:after="0" w:line="5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 opinion of counsel relied on certain assumptions as well as representations made by Vringo, Merger Sub and Innovate/Protect, including factual representations and certifications contained in officers’ certificates to be delivered at closing, and assumed that these representations are true, correct and complete, without regard to any knowledge limitation. If any of these representations or assumptions are inconsistent with the actual facts, the opinion could become invalid as a result, and the U.S. federal income tax treatment of the merger could be adversely affected. An opinion of counsel represents counsel’s best legal judgment and is not binding on the Internal Revenue Service or any court. No ruling has been, or will be, sought from the Internal Revenue Service as to the tax consequences of the Merger.</w:t>
      </w:r>
    </w:p>
    <w:p>
      <w:pPr>
        <w:spacing w:after="0" w:line="71"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If, as intended, the Merger is treated for U.S. federal income tax purposes as a “reorganization” within the meaning of Section 368(a) of the Code, then the Merger will have the following material U.S. federal income tax consequences:</w:t>
      </w:r>
    </w:p>
    <w:p>
      <w:pPr>
        <w:spacing w:after="0" w:line="4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It is the opinion of Mintz Levin that, subject to the qualifications described above, the Merger will be treated for U.S. federal income tax purposes as a “reorganization” within the meaning of Section 368(a) of the Code and that the Merger will have the following material U.S. federal income tax consequences:</w:t>
      </w:r>
    </w:p>
    <w:p>
      <w:pPr>
        <w:spacing w:after="0" w:line="76" w:lineRule="exact"/>
        <w:rPr>
          <w:sz w:val="20"/>
          <w:szCs w:val="20"/>
          <w:color w:val="auto"/>
        </w:rPr>
      </w:pPr>
    </w:p>
    <w:p>
      <w:pPr>
        <w:ind w:left="560" w:right="1239" w:hanging="300"/>
        <w:spacing w:after="0" w:line="267" w:lineRule="auto"/>
        <w:tabs>
          <w:tab w:leader="none" w:pos="5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Vringo, Merger Sub, Innovate/Protect and the Vringo stockholders generally will recognize no gain or loss solely as a result of the Merger;</w:t>
      </w:r>
    </w:p>
    <w:p>
      <w:pPr>
        <w:spacing w:after="0" w:line="6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Innovate/Protect stockholders, other than Innovate/Protect stockholders who exercise appraisal rights (as discussed below), generally will recognize no gain or loss upon the receipt of equity securities of Vringo for their Innovate/Protect capital stock;</w:t>
      </w:r>
    </w:p>
    <w:p>
      <w:pPr>
        <w:spacing w:after="0" w:line="76" w:lineRule="exact"/>
        <w:rPr>
          <w:rFonts w:ascii="Arial" w:cs="Arial" w:eastAsia="Arial" w:hAnsi="Arial"/>
          <w:sz w:val="17"/>
          <w:szCs w:val="17"/>
          <w:color w:val="auto"/>
        </w:rPr>
      </w:pPr>
    </w:p>
    <w:p>
      <w:pPr>
        <w:jc w:val="both"/>
        <w:ind w:left="560" w:right="1239" w:hanging="300"/>
        <w:spacing w:after="0" w:line="335" w:lineRule="auto"/>
        <w:tabs>
          <w:tab w:leader="none" w:pos="5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aggregate tax basis of the equity securities of Vringo that are received by an Innovate/Protect stockholder in the Merger will be equal to the aggregate tax basis of the shares of Innovate/Protect capital stock surrendered in exchange therefor; and</w:t>
      </w:r>
    </w:p>
    <w:p>
      <w:pPr>
        <w:spacing w:after="0" w:line="19" w:lineRule="exact"/>
        <w:rPr>
          <w:rFonts w:ascii="Arial" w:cs="Arial" w:eastAsia="Arial" w:hAnsi="Arial"/>
          <w:sz w:val="15"/>
          <w:szCs w:val="15"/>
          <w:color w:val="auto"/>
        </w:rPr>
      </w:pPr>
    </w:p>
    <w:p>
      <w:pPr>
        <w:ind w:left="560" w:right="1239" w:hanging="300"/>
        <w:spacing w:after="0" w:line="335" w:lineRule="auto"/>
        <w:tabs>
          <w:tab w:leader="none" w:pos="5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holding period of the equity securities of Vringo received by an Innovate/Protect stockholder in connection with the Merger will include the holding period of the shares of Innovate/Protect capital stock surrendered in exchange therefor.</w:t>
      </w:r>
    </w:p>
    <w:p>
      <w:pPr>
        <w:spacing w:after="0" w:line="1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Neither Vringo nor Innovate/Protect has requested, or intends to request, a ruling from the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with respect to the tax consequences of the Merger, and there can be no assurance that the companies’ position would be sustained if challenged by the IRS. Accordingly, if there is a final determination that the Merger does not qualify as a “reorganization” under Section 368(a) of the Code and is taxable for U.S. federal income tax purposes, Innovate/Protect stockholders generally would recognize taxable gain or loss on their receipt of equity securities of Vringo in connection with the Merger equal to the difference between such stockholder’s adjusted tax basis in their shares of Innovate/Protect capital stock and the fair market value of the equity securities of Vringo. Moreover, Innovate/Protect would recognize gain on the net appreciation in its assets since it would be deemed to have sold all of its assets in a taxable sale to Merger Sub.</w:t>
      </w:r>
    </w:p>
    <w:p>
      <w:pPr>
        <w:spacing w:after="0" w:line="7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There will be no material U.S. federal income tax consequences of the Merger for Vringo stockholders whether or not the Merger qualifies as a “reorganization” within the meaning of Section 368(a) of the Code.</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Treatment of Innovate/Protect Stockholders Who Exercise Appraisal Rights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discussion above does not apply to Innovate/Protect stockholders who properly perfect appraisal rights with respect to such stockholder’s shares of Innovate/Protect capital stock. Generally, an Innovate/Protect stockholder who perfects appraisal rights and receives cash in exchange for such stockholder’s Innovate/Protect capital stock will recognize capital gain or loss measured by the difference between the amount of cash received and such stockholder’s adjusted tax basis in those shares. Such gain or loss will generally be long-term capital gain or loss, provided the shares of Innovate/Protect capital stock were held for more than one year before the disposition of the shares. The deductibility of capital losses is subject to limitations.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Generally, non-corporate Innovate/Protect stockholders may be subject to information reporting and backup withholding (currently at a rate of 28%) with respect to cash received for perfecting appraisal rights. However, backup withholding will not apply to an Innovate/Protect stockholder who furnishes a valid taxpayer identification number and complies with certain certification procedures or otherwise establishes an exemption from backup withholding. Amounts withheld, if any, are generally not an additional tax and may be refunded or credited against the Innovate/Protect stockholder’s U.S. federal income tax liability, provided that the Innovate/Protect stockholder timely furnishes the required information to the IRS.</w:t>
      </w:r>
    </w:p>
    <w:p>
      <w:pPr>
        <w:spacing w:after="0" w:line="66"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FOREGOING SUMMARY OF MATERIAL U.S. FEDERAL INCOME TAX CONSEQUENCES IS NOT INTENDED TO BE A COMPLETE ANALYSIS OR DESCRIPTION OF ALL POTENTIAL U.S. FEDERAL INCOME TAX CONSEQUENCES OF THE MERGER. IN ADDITION, THE SUMMARY DOES NOT ADDRESS TAX CONSEQUENCES THAT MAY VARY WITH, OR ARE CONTINGENT ON, INDIVIDUAL CIRCUMSTANCES. MOREOVER, THE SUMMARY DOES NOT ADDRESS ANY U.S. FEDERAL NON-INCOME TAX OR ANY FOREIGN, STATE OR LOCAL TAX CONSEQUENCES OF THE MERGER, NOR ANY TAX CONSEQUENCES OF ANY TRANSACTION OTHER THAN THE MERGER. ACCORDINGLY, EACH INNOVATE/PROTECT STOCKHOLDER IS STRONGLY URGED TO CONSULT HIS, HER, OR ITS OWN TAX ADVISOR TO DETERMINE THE PARTICULAR FEDERAL, STATE, LOCAL, OR FOREIGN INCOME OR OTHER TAX CONSEQUENCES OF THE MERGER TO SUCH INNOVATE/PROTECT STOCKHOLDER.</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MERGER AGREEMENT</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i w:val="1"/>
          <w:iCs w:val="1"/>
          <w:color w:val="auto"/>
        </w:rPr>
        <w:t>The following is a summary of the material provisions of the Merger Agreement but does not purport to describe all of the terms of the Merger Agreement. The following summary is qualified in its entirety by reference to the complete text of the Merger Agreement, a copy of which is attached as Annex A to this proxy statement/prospectus and is incorporated by reference into this proxy statement/prospectus. This summary may not contain all of the information about the Merger Agreement that is important to you. You should refer to the full text of the Merger Agreement for details of the transaction and the terms and conditions of the Merger Agreement.</w:t>
      </w:r>
    </w:p>
    <w:p>
      <w:pPr>
        <w:spacing w:after="0" w:line="8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i w:val="1"/>
          <w:iCs w:val="1"/>
          <w:color w:val="auto"/>
        </w:rPr>
        <w:t>The Merger Agreement has been included in this proxy statement/prospectus to provide you with information regarding its terms. The terms of, and other information in, the Merger Agreement should not be relied upon as disclosures about Vringo and Innovate/Protect without considering the entirety of the information about Vringo and Innovate/Protect set forth in the public reports filed with the SEC. Such information can be found elsewhere in proxy statement/prospectus and in the other public filings Vringo makes with the SEC, which are available without charge at www.sec.gov.</w:t>
      </w:r>
    </w:p>
    <w:p>
      <w:pPr>
        <w:spacing w:after="0" w:line="6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i w:val="1"/>
          <w:iCs w:val="1"/>
          <w:color w:val="auto"/>
        </w:rPr>
        <w:t>Additionally, the representations, warranties and covenants described in this section and contained in the Merger Agreement have been made only for the purpose of the Merger Agreement and, as such, are intended solely for the benefit of Vringo, Merger Sub and Innovate/Protect. In many cases, these representations, warranties and covenants are subject to limitations agreed upon by the parties and are qualified by certain disclosures exchanged by the parties in connection with the execution of the Merger Agreement. These disclosure schedules contain information that has been included in Vringo’s general prior public disclosures, as well as potential additional non-public information. Furthermore, many of the representations and warranties in the Merger Agreement are the result of a negotiated allocation of contractual risk among the parties and, taken in isolation, do not necessarily reflect facts about Vringo or Innovate/Protect, their respective subsidiaries and affiliates or any other party. Likewise, any references to materiality contained in the representations and warranties may not correspond to concepts of materiality applicable to investors or stockholders. Finally, information concerning the subject matter of the representations and warranties may have changed since the date of the Merger Agreement or may change in the future and these changes may not be fully reflected in the public disclosures made by Vringo and/or Innovate/Protect. As a result of the foregoing, you are strongly encouraged not to rely on the representations, warranties and covenants contained in the Merger Agreement, or any descriptions thereof, as accurate characterizations of the state of facts or condition of Vringo, Innovate/Protect, or any other party. You are likewise cautioned that you are not a third-party beneficiary under the Merger Agreement and do not have any direct rights or remedies pursuant to the Merger Agreement.</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Terms of the Merger</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Merger Agreement provides that, subject to the terms and conditions of the Merger Agreement and in accordance with Delaware law, at the completion of the Merger, Innovate/Protect will merge with and into Merger Sub with Merger Sub being the surviving corporation (the “</w:t>
      </w:r>
      <w:r>
        <w:rPr>
          <w:rFonts w:ascii="Arial" w:cs="Arial" w:eastAsia="Arial" w:hAnsi="Arial"/>
          <w:sz w:val="17"/>
          <w:szCs w:val="17"/>
          <w:b w:val="1"/>
          <w:bCs w:val="1"/>
          <w:color w:val="auto"/>
        </w:rPr>
        <w:t>Surviving Corporation</w:t>
      </w:r>
      <w:r>
        <w:rPr>
          <w:rFonts w:ascii="Arial" w:cs="Arial" w:eastAsia="Arial" w:hAnsi="Arial"/>
          <w:sz w:val="17"/>
          <w:szCs w:val="17"/>
          <w:color w:val="auto"/>
        </w:rPr>
        <w:t>”) through an exchange of capital stock of Innovate/Protect for capital stock of Vringo.</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Completion of the Merger</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or on such other day as Vringo, Innovate/Protect and Merger Sub may mutually agree. For a more complete discussion of the conditions to the completion of the Merger, see the section entitled “The Merger Agreement — Conditions to the Completion of the Merger” beginning on page </w:t>
      </w:r>
      <w:r>
        <w:rPr>
          <w:rFonts w:ascii="Arial" w:cs="Arial" w:eastAsia="Arial" w:hAnsi="Arial"/>
          <w:sz w:val="16"/>
          <w:szCs w:val="16"/>
          <w:u w:val="single" w:color="auto"/>
          <w:color w:val="0000EE"/>
        </w:rPr>
        <w:t>97</w:t>
      </w:r>
      <w:r>
        <w:rPr>
          <w:rFonts w:ascii="Arial" w:cs="Arial" w:eastAsia="Arial" w:hAnsi="Arial"/>
          <w:sz w:val="16"/>
          <w:szCs w:val="16"/>
          <w:color w:val="auto"/>
        </w:rPr>
        <w:t>. The completion of the Merger will occur at the time that the parties file the certificate of merger with the Secretary of State of the State of Delaware on the closing date of the Merger or on such later date as Vringo, Merger Sub and Innovate/Protect mutually agree (and set forth in the certificate of merger). Because the completion of the Merger is subject to the satisfaction of other conditions, Vringo cannot predict the exact time at which the Merger will become effective.</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Certificate of Incorporation; Bylaws; Directors and Officers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Upon completion of the Merger, the certificate of incorporation and bylaws of Merger Sub will be the certificate of incorporation and bylaws of the Surviving Corporation. Notwithstanding the foregoing, the certificate of incorporation of Merger Sub will be amended to change the name of the Surviving Corporation to Innovate/Protect, Inc.</w:t>
      </w:r>
    </w:p>
    <w:p>
      <w:pPr>
        <w:spacing w:after="0" w:line="76"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Following the closing, the following persons shall serve on the board of directors of Vringo and the Surviving Corporation: Seth M. Siegel (Chairman), Andrew D. Perlman, John Engelman, Andrew Kennedy Lang, Alexander R. Berger, Donald E. Stout and H. Van Sinclair, and the following persons shall be appointed to the following positions of Vringo and the Surviving Corporation: Andrew D. Perlman (Chief Executive Officer), Andrew Kennedy Lang (Chief Technology Officer and President), Alexander R. Berger (Chief Operating Officer and Secretary), Ellen Cohl (Chief Financial Officer and Treasurer) and Clifford Weinstein (Chief Communication Officer).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Merger Consideration</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Upon completion of the Merger, (i) each share of Innovate/Protect common stock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25, 2012, shall be initially convertible into an aggregate of 20,136,445 shares of Vringo common stock (or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71"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 xml:space="preserve">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5"/>
          <w:szCs w:val="15"/>
          <w:u w:val="single" w:color="auto"/>
          <w:color w:val="auto"/>
        </w:rPr>
        <w:t>Annex E</w:t>
      </w:r>
      <w:r>
        <w:rPr>
          <w:rFonts w:ascii="Arial" w:cs="Arial" w:eastAsia="Arial" w:hAnsi="Arial"/>
          <w:sz w:val="15"/>
          <w:szCs w:val="15"/>
          <w:color w:val="auto"/>
        </w:rPr>
        <w:t xml:space="preserve"> which is to be filed by Vringo prior to closing, which rights include, among other things, a liquidation preference of $6,673,000 and the right to participate in any dividends and distributions paid to common stockholders on an as-converted basis. Vringo may not create a class of capital stock senior or pari passu to the Vringo preferred stock. The Vringo preferred stock shall be initially convertible into an aggregate of 20,136,445 shares of Vringo common stock (subject to a provision that restricts conversion in the event the holder will acquire beneficial ownership of more than 9.99% of Vringo common stock after such conversion) but shall be non-voting, except as required by law and in certain defined instances, including a change of control. In addition, except for certain excluded issuances, the conversion price of the Vringo preferred stock shall be subject to full ratchet anti-dilution protection for issuances of equity or equity-linked securities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w:t>
      </w:r>
    </w:p>
    <w:p>
      <w:pPr>
        <w:spacing w:after="0" w:line="200" w:lineRule="exact"/>
        <w:rPr>
          <w:sz w:val="20"/>
          <w:szCs w:val="20"/>
          <w:color w:val="auto"/>
        </w:rPr>
      </w:pPr>
    </w:p>
    <w:p>
      <w:pPr>
        <w:spacing w:after="0" w:line="27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3" w:lineRule="auto"/>
        <w:rPr>
          <w:sz w:val="20"/>
          <w:szCs w:val="20"/>
          <w:color w:val="auto"/>
        </w:rPr>
      </w:pPr>
      <w:r>
        <w:rPr>
          <w:rFonts w:ascii="Arial" w:cs="Arial" w:eastAsia="Arial" w:hAnsi="Arial"/>
          <w:sz w:val="15"/>
          <w:szCs w:val="15"/>
          <w:color w:val="auto"/>
        </w:rPr>
        <w:t>holder of the Vringo preferred stock will be able to require Vringo to redeem the shares of Vringo preferred stock at the greater of the stated value and the value of the equity underlying the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 As of May 31,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 The holder of the Vringo preferred stock shall be indemnified against losses due to a buy-in following any failure to timely deliver Vringo common stock upon a conversion failure and Vringo shall pay the holders of the Vringo preferred stock liquidated damages of one-quarter of one percent (0.25%) for each full 15 day period during which Vringo’s common stock is suspended from trading or if the Vringo common stock is delisted.</w:t>
      </w:r>
    </w:p>
    <w:p>
      <w:pPr>
        <w:spacing w:after="0" w:line="60"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No fractional shares of Vringo common stock or Vringo preferred stock will be issued in connection with the Merger. Instead, each Innovate/Protect stockholder who would be otherwise entitled to receive a fractional share will receive from Vringo, in lieu thereof, the next highest whole number shares of Vringo common stock or Vringo preferred stock, as applicable.</w:t>
      </w:r>
    </w:p>
    <w:p>
      <w:pPr>
        <w:spacing w:after="0" w:line="40"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Exchange of Innovate/Protect Stock Certificates</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As promptly as practicable before or after the completion of the Merger, Vringo (or its designee) will send to each Innovate/Protect stockholder and warrantholder a letter of transmittal and instructions for use in surrendering all certificates of Innovate/Protect common stock and/or Innovate/Protect preferred stock and warrants for the applicable portion of the Merger Consideration. The Merger Agreement provides that upon surrender to the Parent (or its designee) of a properly completed letter of transmittal, a holder of shares of Innovate/Protect capital stock will be entitled to receive the applicable portion of the Merger Consideration.</w:t>
      </w:r>
    </w:p>
    <w:p>
      <w:pPr>
        <w:spacing w:after="0" w:line="8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If any stockholder has lost a certificate representing shares of Innovate/Protect capital stock, or if any such certificate has been stolen or destroyed, such stockholder will, as a condition to receiving the applicable portion of Merger Consideration for the shares represented by such certificate, be required to make an affidavit of the loss, theft or destruction and, if reasonably required by Vringo, post a bond in a reasonable amount as indemnity against any claim that may be made against Vringo with respect to such certificate.</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From and after the completion of the Merger each Innovate/Protect stock certificate will represent only the right to receive an applicable portion of the merger consideration to which such Innovate/Protect stockholder is entitled to receive under the Merger Agreement.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Representations and Warranties</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Merger Agreement contains customary representations and warranties of Vringo and Innovate/Protect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 (g) absence of undisclosed liabilities and minimum cash; (h) absence of changes or events; (i) agreements, contracts and commitments; (j) material permits; (k) employee and employee benefit plans; (l) taxes; (m) tangible assets; (n) insurance; (o) intellectual property; (p) interested party transactions; (q) brokers; and (r) information related to the Proxy Statement (as defined below).</w:t>
      </w:r>
    </w:p>
    <w:p>
      <w:pPr>
        <w:spacing w:after="0" w:line="200" w:lineRule="exact"/>
        <w:rPr>
          <w:sz w:val="20"/>
          <w:szCs w:val="20"/>
          <w:color w:val="auto"/>
        </w:rPr>
      </w:pPr>
    </w:p>
    <w:p>
      <w:pPr>
        <w:spacing w:after="0" w:line="28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Material Adverse Effect</w:t>
      </w:r>
    </w:p>
    <w:p>
      <w:pPr>
        <w:spacing w:after="0" w:line="109"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Several of the representations, warranties, covenants and closing conditions contained in the Merger Agreement refer to the concept of “</w:t>
      </w:r>
      <w:r>
        <w:rPr>
          <w:rFonts w:ascii="Arial" w:cs="Arial" w:eastAsia="Arial" w:hAnsi="Arial"/>
          <w:sz w:val="17"/>
          <w:szCs w:val="17"/>
          <w:b w:val="1"/>
          <w:bCs w:val="1"/>
          <w:color w:val="auto"/>
        </w:rPr>
        <w:t>Innovate/Protect Material Adverse Effect</w:t>
      </w:r>
      <w:r>
        <w:rPr>
          <w:rFonts w:ascii="Arial" w:cs="Arial" w:eastAsia="Arial" w:hAnsi="Arial"/>
          <w:sz w:val="17"/>
          <w:szCs w:val="17"/>
          <w:color w:val="auto"/>
        </w:rPr>
        <w:t>” or “</w:t>
      </w:r>
      <w:r>
        <w:rPr>
          <w:rFonts w:ascii="Arial" w:cs="Arial" w:eastAsia="Arial" w:hAnsi="Arial"/>
          <w:sz w:val="17"/>
          <w:szCs w:val="17"/>
          <w:b w:val="1"/>
          <w:bCs w:val="1"/>
          <w:color w:val="auto"/>
        </w:rPr>
        <w:t>Vringo Material Adverse Effect</w:t>
      </w:r>
      <w:r>
        <w:rPr>
          <w:rFonts w:ascii="Arial" w:cs="Arial" w:eastAsia="Arial" w:hAnsi="Arial"/>
          <w:sz w:val="17"/>
          <w:szCs w:val="17"/>
          <w:color w:val="auto"/>
        </w:rPr>
        <w:t>”.</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Innovate/Protect Material Adverse Effect</w:t>
      </w:r>
    </w:p>
    <w:p>
      <w:pPr>
        <w:spacing w:after="0" w:line="101"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6"/>
          <w:szCs w:val="16"/>
          <w:color w:val="auto"/>
        </w:rPr>
        <w:t xml:space="preserve">For purposes of the Merger Agreement, an </w:t>
      </w:r>
      <w:r>
        <w:rPr>
          <w:rFonts w:ascii="Arial" w:cs="Arial" w:eastAsia="Arial" w:hAnsi="Arial"/>
          <w:sz w:val="16"/>
          <w:szCs w:val="16"/>
          <w:b w:val="1"/>
          <w:bCs w:val="1"/>
          <w:color w:val="auto"/>
        </w:rPr>
        <w:t>“Innovate/Protect Material Adverse Effect”</w:t>
      </w:r>
      <w:r>
        <w:rPr>
          <w:rFonts w:ascii="Arial" w:cs="Arial" w:eastAsia="Arial" w:hAnsi="Arial"/>
          <w:sz w:val="16"/>
          <w:szCs w:val="16"/>
          <w:color w:val="auto"/>
        </w:rPr>
        <w:t xml:space="preserve"> means any change, event or occurrence that has a material adverse effect on the condition (financial or otherwise), business, operations, properties, assets or liabilities of Innovate/Protect or its subsidiaries, taken as a whole; provided, that none of the following, in and of itself or themselves, nor any effect arising out of or resulting from the following shall constitute or be taken in account in determining whether a Innovate/Protect Material Adverse Effect has occurred or may, would or could occur:</w:t>
      </w:r>
    </w:p>
    <w:p>
      <w:pPr>
        <w:spacing w:after="0" w:line="64" w:lineRule="exact"/>
        <w:rPr>
          <w:sz w:val="20"/>
          <w:szCs w:val="20"/>
          <w:color w:val="auto"/>
        </w:rPr>
      </w:pPr>
    </w:p>
    <w:p>
      <w:pPr>
        <w:jc w:val="both"/>
        <w:ind w:left="560" w:right="1239" w:hanging="300"/>
        <w:spacing w:after="0" w:line="256"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changes, events, occurrences or effects generally affecting the industries in which Innovate/Protect and its subsidiaries conduct operations;</w:t>
      </w:r>
    </w:p>
    <w:p>
      <w:pPr>
        <w:spacing w:after="0" w:line="66" w:lineRule="exact"/>
        <w:rPr>
          <w:rFonts w:ascii="Arial" w:cs="Arial" w:eastAsia="Arial" w:hAnsi="Arial"/>
          <w:sz w:val="17"/>
          <w:szCs w:val="17"/>
          <w:color w:val="auto"/>
        </w:rPr>
      </w:pPr>
    </w:p>
    <w:p>
      <w:pPr>
        <w:jc w:val="both"/>
        <w:ind w:left="560" w:right="1239" w:hanging="300"/>
        <w:spacing w:after="0" w:line="253"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77" w:lineRule="exact"/>
        <w:rPr>
          <w:rFonts w:ascii="Arial" w:cs="Arial" w:eastAsia="Arial" w:hAnsi="Arial"/>
          <w:sz w:val="17"/>
          <w:szCs w:val="17"/>
          <w:color w:val="auto"/>
        </w:rPr>
      </w:pPr>
    </w:p>
    <w:p>
      <w:pPr>
        <w:jc w:val="both"/>
        <w:ind w:left="560" w:right="1239" w:hanging="300"/>
        <w:spacing w:after="0" w:line="280" w:lineRule="auto"/>
        <w:tabs>
          <w:tab w:leader="none" w:pos="5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act of God or other calamity, national or international, political or social conditions (including, the engagement by any country in hostilities, whether commenced before or after the date of the Merger Agreement, and whether or not pursuant to the declaration of a national emergency or war), or the occurrence of any military or terrorist attack;</w:t>
      </w:r>
    </w:p>
    <w:p>
      <w:pPr>
        <w:spacing w:after="0" w:line="57" w:lineRule="exact"/>
        <w:rPr>
          <w:rFonts w:ascii="Arial" w:cs="Arial" w:eastAsia="Arial" w:hAnsi="Arial"/>
          <w:sz w:val="16"/>
          <w:szCs w:val="16"/>
          <w:color w:val="auto"/>
        </w:rPr>
      </w:pPr>
    </w:p>
    <w:p>
      <w:pPr>
        <w:jc w:val="both"/>
        <w:ind w:left="560" w:right="1239" w:hanging="300"/>
        <w:spacing w:after="0" w:line="256"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negotiation, execution, announcement or performance of the Merger Agreement or the consummation of the transactions contemplated by the Merger Agreement, including the impact thereof on relationships, contractual or otherwise, with customers, suppliers, distributors, partners, employees or regulators;</w:t>
      </w:r>
    </w:p>
    <w:p>
      <w:pPr>
        <w:spacing w:after="0" w:line="7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action taken by Innovate/Protect or its subsidiaries that is required by the Merger Agreement or taken at Vringo’s written request, or the failure to take any action by Innovate/Protect or its subsidiaries if that action is prohibited by the Merger Agreement; or</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change resulting or arising from the identity of, or any facts or circumstances relating to Vringo, Merger Sub or their respective affiliates.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Vringo Material Adverse Effect</w:t>
      </w:r>
    </w:p>
    <w:p>
      <w:pPr>
        <w:spacing w:after="0" w:line="101" w:lineRule="exact"/>
        <w:rPr>
          <w:sz w:val="20"/>
          <w:szCs w:val="20"/>
          <w:color w:val="auto"/>
        </w:rPr>
      </w:pPr>
    </w:p>
    <w:p>
      <w:pPr>
        <w:jc w:val="both"/>
        <w:ind w:left="40" w:right="1239" w:firstLine="251"/>
        <w:spacing w:after="0" w:line="252" w:lineRule="auto"/>
        <w:rPr>
          <w:sz w:val="20"/>
          <w:szCs w:val="20"/>
          <w:color w:val="auto"/>
        </w:rPr>
      </w:pPr>
      <w:r>
        <w:rPr>
          <w:rFonts w:ascii="Arial" w:cs="Arial" w:eastAsia="Arial" w:hAnsi="Arial"/>
          <w:sz w:val="17"/>
          <w:szCs w:val="17"/>
          <w:color w:val="auto"/>
        </w:rPr>
        <w:t xml:space="preserve">For purposes of the Merger Agreement, a </w:t>
      </w:r>
      <w:r>
        <w:rPr>
          <w:rFonts w:ascii="Arial" w:cs="Arial" w:eastAsia="Arial" w:hAnsi="Arial"/>
          <w:sz w:val="17"/>
          <w:szCs w:val="17"/>
          <w:b w:val="1"/>
          <w:bCs w:val="1"/>
          <w:color w:val="auto"/>
        </w:rPr>
        <w:t>“Vringo Material Adverse Effect”</w:t>
      </w:r>
      <w:r>
        <w:rPr>
          <w:rFonts w:ascii="Arial" w:cs="Arial" w:eastAsia="Arial" w:hAnsi="Arial"/>
          <w:sz w:val="17"/>
          <w:szCs w:val="17"/>
          <w:color w:val="auto"/>
        </w:rPr>
        <w:t xml:space="preserve"> means any change, event or occurrence that has a material adverse effect on the condition (financial or otherwise), business, operations, properties, assets or liabilities of Vringo or its subsidiaries, taken as a whole; provided, that none of the following, in and of itself or themselves, nor any effect arising out of or resulting from the following shall constitute or be taken in account in determining whether a Vringo Material Adverse Effect has occurred or may, would or could occur:</w:t>
      </w:r>
    </w:p>
    <w:p>
      <w:pPr>
        <w:spacing w:after="0" w:line="80" w:lineRule="exact"/>
        <w:rPr>
          <w:sz w:val="20"/>
          <w:szCs w:val="20"/>
          <w:color w:val="auto"/>
        </w:rPr>
      </w:pPr>
    </w:p>
    <w:p>
      <w:pPr>
        <w:jc w:val="both"/>
        <w:ind w:left="560" w:right="1239" w:hanging="300"/>
        <w:spacing w:after="0" w:line="256" w:lineRule="auto"/>
        <w:tabs>
          <w:tab w:leader="none" w:pos="5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changes, events, occurrences or effects generally affecting the industries in which Vringo and its subsidiaries conduct operations;</w:t>
      </w:r>
    </w:p>
    <w:p>
      <w:pPr>
        <w:spacing w:after="0" w:line="66" w:lineRule="exact"/>
        <w:rPr>
          <w:rFonts w:ascii="Arial" w:cs="Arial" w:eastAsia="Arial" w:hAnsi="Arial"/>
          <w:sz w:val="17"/>
          <w:szCs w:val="17"/>
          <w:color w:val="auto"/>
        </w:rPr>
      </w:pPr>
    </w:p>
    <w:p>
      <w:pPr>
        <w:jc w:val="both"/>
        <w:ind w:left="560" w:right="1239" w:hanging="300"/>
        <w:spacing w:after="0" w:line="253" w:lineRule="auto"/>
        <w:tabs>
          <w:tab w:leader="none" w:pos="5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200" w:lineRule="exact"/>
        <w:rPr>
          <w:sz w:val="20"/>
          <w:szCs w:val="20"/>
          <w:color w:val="auto"/>
        </w:rPr>
      </w:pPr>
    </w:p>
    <w:p>
      <w:pPr>
        <w:spacing w:after="0" w:line="29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hanging="300"/>
        <w:spacing w:after="0" w:line="280"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act of God or other calamity, national or international, political or social conditions (including, the engagement by any country in hostilities, whether commenced before or after the date of the Merger Agreement, and whether or not pursuant to the declaration of a national emergency or war), or the occurrence of any military or terrorist attack;</w:t>
      </w:r>
    </w:p>
    <w:p>
      <w:pPr>
        <w:spacing w:after="0" w:line="57" w:lineRule="exact"/>
        <w:rPr>
          <w:rFonts w:ascii="Arial" w:cs="Arial" w:eastAsia="Arial" w:hAnsi="Arial"/>
          <w:sz w:val="16"/>
          <w:szCs w:val="16"/>
          <w:color w:val="auto"/>
        </w:rPr>
      </w:pPr>
    </w:p>
    <w:p>
      <w:pPr>
        <w:jc w:val="both"/>
        <w:ind w:left="560" w:right="1239" w:hanging="300"/>
        <w:spacing w:after="0" w:line="256" w:lineRule="auto"/>
        <w:tabs>
          <w:tab w:leader="none" w:pos="5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negotiation, execution, announcement or performance of the Merger Agreement or the consummation of the transactions contemplated by the Merger Agreement, including the impact thereof on relationships, contractual or otherwise, with customers, suppliers, distributors, partners, employees or regulators;</w:t>
      </w:r>
    </w:p>
    <w:p>
      <w:pPr>
        <w:spacing w:after="0" w:line="7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action taken by Vringo or its subsidiaries that is required by the Merger Agreement or taken at Innovate/Protect’s written request, or the failure to take any action by Vringo or its subsidiaries if that action is prohibited by the Merger Agreement; or</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change resulting or arising from the identity of, or any facts or circumstances relating to Innovate/Protect or its subsidiaries or their respective affiliates.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Certain Covenants of the Parties</w:t>
      </w:r>
    </w:p>
    <w:p>
      <w:pPr>
        <w:spacing w:after="0" w:line="109"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color w:val="auto"/>
        </w:rPr>
        <w:t>The Merger Agreement provides that each of Vringo and its subsidiaries on the one hand and Innovate/Protect and its subsidiaries on the other hand shall: (x) conduct its business only in the ordinary course of business, consistent with past practice;</w:t>
      </w:r>
    </w:p>
    <w:p>
      <w:pPr>
        <w:spacing w:after="0" w:line="1" w:lineRule="exact"/>
        <w:rPr>
          <w:sz w:val="20"/>
          <w:szCs w:val="20"/>
          <w:color w:val="auto"/>
        </w:rPr>
      </w:pPr>
    </w:p>
    <w:p>
      <w:pPr>
        <w:jc w:val="both"/>
        <w:ind w:left="40" w:right="1239" w:firstLine="7"/>
        <w:spacing w:after="0" w:line="268" w:lineRule="auto"/>
        <w:tabs>
          <w:tab w:leader="none" w:pos="277"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not take any action, or fail to take any action, except in the ordinary course of business, consistent with past practice; and (z) use their reasonable best efforts to preserve intact their business organization, properties and assets, keep available the services of their officers, employees and consultants, maintain in effect all material contracts, as applicable, and preserve their relationships, customers, licensees, suppliers and other persons with which they have business relations.</w:t>
      </w:r>
    </w:p>
    <w:p>
      <w:pPr>
        <w:spacing w:after="0" w:line="68"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The Merger Agreement contains certain other agreements of the parties including, among other things, that (a) Vringo will prepare and file with the Securities and Exchange Commission (“</w:t>
      </w:r>
      <w:r>
        <w:rPr>
          <w:rFonts w:ascii="Arial" w:cs="Arial" w:eastAsia="Arial" w:hAnsi="Arial"/>
          <w:sz w:val="15"/>
          <w:szCs w:val="15"/>
          <w:b w:val="1"/>
          <w:bCs w:val="1"/>
          <w:color w:val="auto"/>
        </w:rPr>
        <w:t>SEC</w:t>
      </w:r>
      <w:r>
        <w:rPr>
          <w:rFonts w:ascii="Arial" w:cs="Arial" w:eastAsia="Arial" w:hAnsi="Arial"/>
          <w:sz w:val="15"/>
          <w:szCs w:val="15"/>
          <w:color w:val="auto"/>
        </w:rPr>
        <w:t>”) a registration statement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containing a proxy statement (the “</w:t>
      </w:r>
      <w:r>
        <w:rPr>
          <w:rFonts w:ascii="Arial" w:cs="Arial" w:eastAsia="Arial" w:hAnsi="Arial"/>
          <w:sz w:val="15"/>
          <w:szCs w:val="15"/>
          <w:b w:val="1"/>
          <w:bCs w:val="1"/>
          <w:color w:val="auto"/>
        </w:rPr>
        <w:t>Proxy Statement</w:t>
      </w:r>
      <w:r>
        <w:rPr>
          <w:rFonts w:ascii="Arial" w:cs="Arial" w:eastAsia="Arial" w:hAnsi="Arial"/>
          <w:sz w:val="15"/>
          <w:szCs w:val="15"/>
          <w:color w:val="auto"/>
        </w:rPr>
        <w:t>”) for the vote of the Vringo stockholders to approve the Merger; (b) each party will take all action necessary to have its stockholders vote on the Merger; (c) each party will allow reasonable access to their books and records until the closing of the Merger; (d) each party will maintain in confidence any non-public information received from the other party; (e) individuals who are employed on a full time basis by Innovate/Protect at the time of the Merger will remain employees of the Surviving Corporation; (f) each of Innovate/Protect and Vringo will not and will use its reasonable best efforts not to permit any of its affiliates to take any action that could prevent the Merger from being treated as a reorganization within the meaning of Section 368 of the Internal Revenue Code; (g) each party will give prompt notice of the occurrence of any of the following: (i) any event the occurrence, or non-occurrence of which could reasonably be expected to result in any representation or warranty contained in the Merger Agreement to be untrue or inaccurate in any material respect (or in the case of any representation or warranty qualified by its terms by materiality, then untrue or inaccurate in any respect); (ii) any failure of Vringo, Innovate/Protect or Merger Sub, as the case may be, to comply with or satisfy in any material respect any covenant, condition or agreement to be complied with or satisfied by it, (iii) any notice or communication from any person alleging that the consent of such person is required in connection with the Merger or the Merger Agreement, (iv) any notice or other communication from any governmental authority in connection with the Merger or other transactions contemplated by the Merger Agreement, (v) the occurrence of a default or event that, with notice or lapse of time or both, will become a default under a material contract of either party, and (vi) any change that would be considered reasonably likely to result in a Innovate/Protect Material Adverse Effect or Vringo Material Adverse Effect, as the case may be, or is likely to impair in any material respect the ability of either Vringo or Innovate/Protect to consummate the transactions contemplated by the Merger Agreement; (h) Vringo will use its reasonable best efforts to cause the shares of Vringo common stock to be issued pursuant to the Merger to be approved for listing on the NYSE Amex; (i) neither party shall, nor permit their respective subsidiaries to issue or cause the publication of any press release or public announcement with respect to the Merger or other transactions contemplated by the Merger Agreement without the consent of the other party, which consent shall not be unreasonably withheld, conditioned or delayed; (j) each party will continue to indemnify its own present and former directors and officers (as further described below); (k) the parties will take all action to appoint certain</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individuals to serve on the board of directors of Vringo and as officers of Vringo (as described above); and (l) Innovate/Protect will use its commercially reasonable efforts to receive all necessary consents required to disclose to Vringo the terms and conditions of certain agreements.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 Solicitation</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of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either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either party to abandon or terminate the Merger Agreement (other than executing a non-disclosure agreement having provisions no less favorable than that certain non-disclosure agreement between Vringo and Innovate/Protect); or (f) grant any approval pursuant to any “moratorium,” “control share acquisition,” “business combination,” “fair price” or other form of anti-takeover law to any person or transaction (other than the Merger) or waiver or release any standstill or similar agreement with respect to the equity securities of either party.</w:t>
      </w:r>
    </w:p>
    <w:p>
      <w:pPr>
        <w:spacing w:after="0" w:line="7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Notwithstanding the foregoing, Innovate/Protect or Vringo, as the case may be, or each of their boards of directors, may enter to discussions with any person in response to an unsolicited bona fide written Innovate/Protect Acquisition Proposal or Vringo Acquisition Proposal, as applicable, if prior to engaging in any such discussions the Innovate/Protect board of directors or the Vringo board of directors, as the case may be, determines in good faith, after consultation with its outside legal counsel and other advisors, that such Innovate/Protect Acquisition Proposal or Vringo Acquisition Proposal, as applicable, either constitutes or could reasonably be expected to lead to a Innovate/Protect Superior Proposal (as defined below) or Vringo Superior Proposal (as defined below), as the case may be, and the Innovate/Protect board of directors or the Vringo board of directors, as the case may be, receives from such person a non-disclosure agreement.</w:t>
      </w:r>
    </w:p>
    <w:p>
      <w:pPr>
        <w:spacing w:after="0" w:line="6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b w:val="1"/>
          <w:bCs w:val="1"/>
          <w:color w:val="auto"/>
        </w:rPr>
        <w:t xml:space="preserve">“Innovate/Protect Acquisition Proposal” </w:t>
      </w:r>
      <w:r>
        <w:rPr>
          <w:rFonts w:ascii="Arial" w:cs="Arial" w:eastAsia="Arial" w:hAnsi="Arial"/>
          <w:sz w:val="15"/>
          <w:szCs w:val="15"/>
          <w:color w:val="auto"/>
        </w:rPr>
        <w:t>means any offer, proposal, discussions, negotiations, indication of interest or inquiry</w:t>
      </w:r>
      <w:r>
        <w:rPr>
          <w:rFonts w:ascii="Arial" w:cs="Arial" w:eastAsia="Arial" w:hAnsi="Arial"/>
          <w:sz w:val="15"/>
          <w:szCs w:val="15"/>
          <w:b w:val="1"/>
          <w:bCs w:val="1"/>
          <w:color w:val="auto"/>
        </w:rPr>
        <w:t xml:space="preserve"> </w:t>
      </w:r>
      <w:r>
        <w:rPr>
          <w:rFonts w:ascii="Arial" w:cs="Arial" w:eastAsia="Arial" w:hAnsi="Arial"/>
          <w:sz w:val="15"/>
          <w:szCs w:val="15"/>
          <w:color w:val="auto"/>
        </w:rPr>
        <w:t>(whether in writing or otherwise) by any person (other than Vringo or any affiliate thereof) in a transaction or series of related transactions (other than the transactions contemplated by the Merger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Innovate/Protect or any subsidiary (including, for the avoidance of doubt, any issuance of equity securities of Innovate/Protect), (ii) any direct or indirect sale, transfer, acquisition or disposition of more than 20% of the consolidated assets of Innovate/Protect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Innovate/Protect or any subsidiary.</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Vringo Acquisition Proposal</w:t>
      </w:r>
      <w:r>
        <w:rPr>
          <w:rFonts w:ascii="Arial" w:cs="Arial" w:eastAsia="Arial" w:hAnsi="Arial"/>
          <w:sz w:val="15"/>
          <w:szCs w:val="15"/>
          <w:color w:val="auto"/>
        </w:rPr>
        <w:t>” means any offer, proposal, discussions, negotiations, indication of interest or inquiry (whether in writing or otherwise) by any person (other than Innovate/Protect or any affiliate thereof) in a transaction or series of related transactions (other than the transactions contemplated by the Merger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Vringo or any subsidiary (including, for the avoidance of doubt, any issuance of equity securities of Vringo, (ii) any tender offer, exchange offer, stock purchase or other transaction in which, if consummated, any person or “group” (as such term is defined under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shall acquire beneficial ownership (as such term is defined in Rule 13d-3 under the Exchange Act), or the right to acquire beneficial ownership, of 20% or more of the voting power or economic interests of Vringo or any subsidiary, (iii) any direct or indirect sale, transfer, acquisition or disposition of more than 20% of the consolidated assets of Vringo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Vringo or any subsidiary.</w:t>
      </w:r>
    </w:p>
    <w:p>
      <w:pPr>
        <w:spacing w:after="0" w:line="60"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Innovate/Protect Superior Proposal</w:t>
      </w:r>
      <w:r>
        <w:rPr>
          <w:rFonts w:ascii="Arial" w:cs="Arial" w:eastAsia="Arial" w:hAnsi="Arial"/>
          <w:sz w:val="16"/>
          <w:szCs w:val="16"/>
          <w:color w:val="auto"/>
        </w:rPr>
        <w:t>” means any bona fide offer or proposal that constitutes an Innovate/Protect Acquisition Proposal on terms that the Innovate/Protect Board of Directors (or any committee thereof) shall have determined in good faith (after consultation with its financial advisor and outside legal counsel), taking into account all relevant legal (including conditions), financial, regulatory, timing and other aspects of such Innovate/Protect Acquisition Proposal, is reasonably likely to be consummated and would be more favorable to Innovate/Protect’s stockholders (in their capacity as such) than the Merger, if consummated (including after taking into account any changes to the terms of this Agreement proposed by Vringo in response to such Innovate/Protect Acquisition Proposal); provided that, for purposes of the definition of “Innovate/Protect Superior Proposal, “the references to “20%” in the definition of “Innovate/Protect Acquisition Proposal” shall be deemed to be references to “more than 50%.”</w:t>
      </w:r>
    </w:p>
    <w:p>
      <w:pPr>
        <w:spacing w:after="0" w:line="6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Vringo Superior Proposal</w:t>
      </w:r>
      <w:r>
        <w:rPr>
          <w:rFonts w:ascii="Arial" w:cs="Arial" w:eastAsia="Arial" w:hAnsi="Arial"/>
          <w:sz w:val="16"/>
          <w:szCs w:val="16"/>
          <w:color w:val="auto"/>
        </w:rPr>
        <w:t>” means any bona fide offer or proposal that constitutes a Vringo Acquisition Proposal on terms that the Vringo Board of Directors (or any committee thereof) shall have determined in good faith (after consultation with its financial advisor and outside legal counsel), taking into account all relevant legal (including conditions), financial, regulatory, timing and other aspects of such Vringo Acquisition Proposal, is reasonably likely to be consummated and would be more favorable to Vringo’s stockholders (in their capacity as such) than the Merger, if consummated (including after taking into account any changes to the terms of this Agreement proposed by Innovate/Protect in response to such Vringo Acquisition Proposal); provided that, for purposes of the definition of “Vringo Superior Proposal,”, the references to “20%” in the definition of “Vringo Acquisition Proposal” shall be deemed to be references to “more than 50%.”</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Board Recommendations</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Under the Merger Agreement, subject to the exceptions set forth below, (i) the Innovate/Protect board of directors has agreed to recommend that Innovate/Protect stockholders vote in favor of the Merger (</w:t>
      </w:r>
      <w:r>
        <w:rPr>
          <w:rFonts w:ascii="Arial" w:cs="Arial" w:eastAsia="Arial" w:hAnsi="Arial"/>
          <w:sz w:val="15"/>
          <w:szCs w:val="15"/>
          <w:b w:val="1"/>
          <w:bCs w:val="1"/>
          <w:color w:val="auto"/>
        </w:rPr>
        <w:t>“Innovate/Protect Board Recommendation”</w:t>
      </w:r>
      <w:r>
        <w:rPr>
          <w:rFonts w:ascii="Arial" w:cs="Arial" w:eastAsia="Arial" w:hAnsi="Arial"/>
          <w:sz w:val="15"/>
          <w:szCs w:val="15"/>
          <w:color w:val="auto"/>
        </w:rPr>
        <w:t xml:space="preserve">) and (ii) the Vringo board of directors has agreed to recommend that Vringo stockholders vote in favor of the Merger (the </w:t>
      </w:r>
      <w:r>
        <w:rPr>
          <w:rFonts w:ascii="Arial" w:cs="Arial" w:eastAsia="Arial" w:hAnsi="Arial"/>
          <w:sz w:val="15"/>
          <w:szCs w:val="15"/>
          <w:b w:val="1"/>
          <w:bCs w:val="1"/>
          <w:color w:val="auto"/>
        </w:rPr>
        <w:t>“Vringo Board</w:t>
      </w:r>
      <w:r>
        <w:rPr>
          <w:rFonts w:ascii="Arial" w:cs="Arial" w:eastAsia="Arial" w:hAnsi="Arial"/>
          <w:sz w:val="15"/>
          <w:szCs w:val="15"/>
          <w:color w:val="auto"/>
        </w:rPr>
        <w:t xml:space="preserve"> </w:t>
      </w:r>
      <w:r>
        <w:rPr>
          <w:rFonts w:ascii="Arial" w:cs="Arial" w:eastAsia="Arial" w:hAnsi="Arial"/>
          <w:sz w:val="15"/>
          <w:szCs w:val="15"/>
          <w:b w:val="1"/>
          <w:bCs w:val="1"/>
          <w:color w:val="auto"/>
        </w:rPr>
        <w:t>Recommendation”</w:t>
      </w:r>
      <w:r>
        <w:rPr>
          <w:rFonts w:ascii="Arial" w:cs="Arial" w:eastAsia="Arial" w:hAnsi="Arial"/>
          <w:sz w:val="15"/>
          <w:szCs w:val="15"/>
          <w:color w:val="auto"/>
        </w:rPr>
        <w:t>). Subject to the exceptions described below, the Merger Agreement provides that:</w:t>
      </w:r>
    </w:p>
    <w:p>
      <w:pPr>
        <w:spacing w:after="0" w:line="48" w:lineRule="exact"/>
        <w:rPr>
          <w:sz w:val="20"/>
          <w:szCs w:val="20"/>
          <w:color w:val="auto"/>
        </w:rPr>
      </w:pPr>
    </w:p>
    <w:p>
      <w:pPr>
        <w:jc w:val="both"/>
        <w:ind w:left="560" w:right="1239" w:hanging="300"/>
        <w:spacing w:after="0" w:line="266" w:lineRule="auto"/>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neither the Innovate/Protect board of directors nor the Vringo board of directors will (i) fail to make the Innovate/Protect Board Recommendation or the Vringo Board Recommendation, as applicable, (ii) withdraw, amend or modify in a manner adverse to the other company, the Innovate/Protect Board Recommendation or the Vringo Board Recommendation, as applicable, or (iii) recommend, adopt, endorse or approve an Innovate/Protect Acquisition Proposal or Vringo Acquisition Proposal, as the case may be; provided, that, with respect to Vringo, any action described in clauses (ii) and (iii) as well as any failure to timely respond to the commencement of (x) a tender or exchange offer relating to any shares of Vringo common stock by issuing a public statement reaffirming, filing a Schedule 14D-9 pursuant to Rule 14e-2 and Rule 14d-9 promulgated under the Exchange Act a statement reaffirming, and sending to Vringo’s stockholders a statement reaffirming, the Vringo</w:t>
      </w:r>
    </w:p>
    <w:p>
      <w:pPr>
        <w:spacing w:after="0" w:line="200" w:lineRule="exact"/>
        <w:rPr>
          <w:sz w:val="20"/>
          <w:szCs w:val="20"/>
          <w:color w:val="auto"/>
        </w:rPr>
      </w:pPr>
    </w:p>
    <w:p>
      <w:pPr>
        <w:spacing w:after="0" w:line="29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spacing w:after="0" w:line="280" w:lineRule="auto"/>
        <w:rPr>
          <w:sz w:val="20"/>
          <w:szCs w:val="20"/>
          <w:color w:val="auto"/>
        </w:rPr>
      </w:pPr>
      <w:r>
        <w:rPr>
          <w:rFonts w:ascii="Arial" w:cs="Arial" w:eastAsia="Arial" w:hAnsi="Arial"/>
          <w:sz w:val="16"/>
          <w:szCs w:val="16"/>
          <w:color w:val="auto"/>
        </w:rPr>
        <w:t>Board Recommendation and disclosing that Vringo’s board of directors recommends rejection of such tender offer or exchange offer or (y) a publicly announced Vringo Acquisition Proposal by issuing a press release that reaffirms the recommendation of Vringo’s board of directors that Vringo’s stockholders vote in favor of the Merger, and</w:t>
      </w:r>
    </w:p>
    <w:p>
      <w:pPr>
        <w:spacing w:after="0" w:line="58" w:lineRule="exact"/>
        <w:rPr>
          <w:sz w:val="20"/>
          <w:szCs w:val="20"/>
          <w:color w:val="auto"/>
        </w:rPr>
      </w:pPr>
    </w:p>
    <w:p>
      <w:pPr>
        <w:ind w:left="560" w:right="1239" w:hanging="300"/>
        <w:spacing w:after="0" w:line="267" w:lineRule="auto"/>
        <w:tabs>
          <w:tab w:leader="none" w:pos="5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neither the Innovate/Protect board of directors nor the Vringo board of directors will resolve, agree or publicly propose to take any of the actions described above.</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Each of the foregoing actions is referred to as a </w:t>
      </w:r>
      <w:r>
        <w:rPr>
          <w:rFonts w:ascii="Arial" w:cs="Arial" w:eastAsia="Arial" w:hAnsi="Arial"/>
          <w:sz w:val="17"/>
          <w:szCs w:val="17"/>
          <w:b w:val="1"/>
          <w:bCs w:val="1"/>
          <w:color w:val="auto"/>
        </w:rPr>
        <w:t>“Recommendation Change”</w:t>
      </w:r>
      <w:r>
        <w:rPr>
          <w:rFonts w:ascii="Arial" w:cs="Arial" w:eastAsia="Arial" w:hAnsi="Arial"/>
          <w:sz w:val="17"/>
          <w:szCs w:val="17"/>
          <w:color w:val="auto"/>
        </w:rPr>
        <w:t>.</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restrictions set forth above will not prohibit the Vringo board of directors or the Innovate/Protect board of directors, as the case may be, from effecting a Recommendation Change if Innovate/Protect or Vringo, as applicable, has determined in good faith, after consulting with outside legal counsel, that (i) it has received an Innovate/Protect Superior Proposal or Vringo Superior Proposal, as the case may be or (ii) a failure to take action would be inconsistent with its fiduciary duties, and certain other conditions are met.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Approval of Stockholders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Each of Vringo and Innovate/Protect has agreed to take all action necessary for the purpose of obtaining the required stockholder approval of the Merger, as promptly as practicable.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Merger Agreement provides that all rights to indemnification with respect to acts or omissions occurring at or prior to the completion of the Merger existing in favor of each present and former director, officer or employee of Innovate/Protect or any of its subsidiaries as provided in their respective certificates of incorporation or bylaws or indemnification agreements will remain in effect. The Merger Agreement provides that Vringo and Merger Sub will continue to indemnify and hold harmless each present and former director, officer or employee of Innovate/Protect or any of its subsidiaries, with respect to acts or omissions occurring or alleged to have occurred before or after the completion of the Merger, including advancing expenses to the fullest extent allowed by applicable law.</w:t>
      </w:r>
    </w:p>
    <w:p>
      <w:pPr>
        <w:spacing w:after="0" w:line="84"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Merger Agreement provides that Vringo will continue to indemnify and hold harmless each present and former director or officer of Vringo or any of its subsidiaries, with respect to acts or omissions occurring or alleged to have occurred before or at the completion of the Merger, to the fullest extent permitted under applicable law and in Vringo’s certificate of incorporation and bylaws.</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Merger Agreement provides that, prior to the completion of the Merger, Innovate/Protect will purchase and Vringo will maintain for a period of six years following the completion of the Merger, a directors’ and officers’ liability “tail” insurance policy covering the present and former directors and officers of Vringo and directors and officers of Innovate/Protect for events occurring at or prior to the completion of the Merger. Such policy must contain terms no less favorable than the policies maintained by Vringo or Innovate/Protect, as applicable, as of the date of the Merger Agreement.</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Conditions to the Completion of the Merger</w:t>
      </w:r>
    </w:p>
    <w:p>
      <w:pPr>
        <w:spacing w:after="0" w:line="109"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The obligations of each of Vringo and Innovate/Protect to consummate the Merger are subject to the satisfaction or waiver of certain additional conditions, including, among other things, (a) the stockholders of each of Vringo and Innovate/Protect have approved the Merger and the Merger Agreement; (b) the Registration Statement has become effective; (c) the shares of Vringo common stock shall have been approved for listing on the NYSE Amex; (d) Vringo or Innovate/Protect, as applicable, shall have entered into certain agreements amending and restating the existing indebtedness of Innovate/Protect; (e) the representations and warranties of the other party contained in the Merger Agreement are true and correct in all material respects; (f) the other party shall have performed or complied in all material respects with all agreements and covenants under the Merger Agreement; (g) the receipt of all necessary consents or approvals; (h) the absence of an Innovate/Protect Material Adverse Effect or a Vringo Material Adverse Effect, as the case may be; (i) Vringo shall have received written resignations from all of the directors and officers of Innovate/Protect and its subsidiaries; (j) a letter agreement between Vringo and Hudson Bay, providing for, among other things, restrictions on the number of shares of Vringo common stock that Hudson Bay may sell and a right of</w:t>
      </w:r>
    </w:p>
    <w:p>
      <w:pPr>
        <w:spacing w:after="0" w:line="200" w:lineRule="exact"/>
        <w:rPr>
          <w:sz w:val="20"/>
          <w:szCs w:val="20"/>
          <w:color w:val="auto"/>
        </w:rPr>
      </w:pPr>
    </w:p>
    <w:p>
      <w:pPr>
        <w:spacing w:after="0" w:line="27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5" w:lineRule="auto"/>
        <w:rPr>
          <w:sz w:val="20"/>
          <w:szCs w:val="20"/>
          <w:color w:val="auto"/>
        </w:rPr>
      </w:pPr>
      <w:r>
        <w:rPr>
          <w:rFonts w:ascii="Arial" w:cs="Arial" w:eastAsia="Arial" w:hAnsi="Arial"/>
          <w:sz w:val="15"/>
          <w:szCs w:val="15"/>
          <w:color w:val="auto"/>
        </w:rPr>
        <w:t xml:space="preserve">Hudson Bay to participate in up to 25% of certain offerings conducted by Vringo, shall be effective at closing; (k) since the date of the Merger Agreement, (i) neither Innovate/Protect nor any of its subsidiaries has (A) settled, discharged or released any of its claims, causes of action, or defenses in that certain lawsuit captioned </w:t>
      </w:r>
      <w:r>
        <w:rPr>
          <w:rFonts w:ascii="Arial" w:cs="Arial" w:eastAsia="Arial" w:hAnsi="Arial"/>
          <w:sz w:val="15"/>
          <w:szCs w:val="15"/>
          <w:i w:val="1"/>
          <w:iCs w:val="1"/>
          <w:color w:val="auto"/>
        </w:rPr>
        <w:t>I/P Engine, Inc. v. AOL, Inc.</w:t>
      </w:r>
      <w:r>
        <w:rPr>
          <w:rFonts w:ascii="Arial" w:cs="Arial" w:eastAsia="Arial" w:hAnsi="Arial"/>
          <w:sz w:val="15"/>
          <w:szCs w:val="15"/>
          <w:color w:val="auto"/>
        </w:rPr>
        <w:t>, Civ. Action No. 2:11-cv-512, filed in United States District Court for the Eastern District of Virginia, Norfolk Division on September 15, 2011 (the “</w:t>
      </w:r>
      <w:r>
        <w:rPr>
          <w:rFonts w:ascii="Arial" w:cs="Arial" w:eastAsia="Arial" w:hAnsi="Arial"/>
          <w:sz w:val="15"/>
          <w:szCs w:val="15"/>
          <w:b w:val="1"/>
          <w:bCs w:val="1"/>
          <w:color w:val="auto"/>
        </w:rPr>
        <w:t>Litigation</w:t>
      </w:r>
      <w:r>
        <w:rPr>
          <w:rFonts w:ascii="Arial" w:cs="Arial" w:eastAsia="Arial" w:hAnsi="Arial"/>
          <w:sz w:val="15"/>
          <w:szCs w:val="15"/>
          <w:color w:val="auto"/>
        </w:rPr>
        <w:t>”) nor (B) assigned, promised, transferred, conveyed, encumbered, or granted a security interest in any of those claims and (ii) there has been no dismissal (including, without limitation, by motion to dismiss or summary judgment) of the Litigation; (l) holders of no more than 10% of the issued and outstanding Innovate/Protect capital stock shall have demanded and perfected their right to an appraisal of Innovate/Protect capital stock under the Delaware General Corporation Law; and (m) 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Termination of the Merger Agreement</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The Merger Agreement may be terminated at any time prior to the closing of the Merger, as follows: (a) by mutual written consent of Vringo, Merger Sub and Innovate/Protect; (b) by either Vringo or Innovate/Protect if the closing has not occurred on or before September 30, 2012; (c) by either Vringo or Innovate/Protect if any law enacted by a governmental authority prohibits the consummation of the Merger, or any governmental authority has issued an order or taken any other action which restrains, enjoins or otherwise prohibits the Merger; (d) by either Vringo or Innovate/Protect if the other party’s stockholders do not approve the Merger, unless the failure to obtain approval is attributable to a failure on the part of such party seeking to terminate the Agreement; (e) by Vringo if (i) the Innovate/Protect board of directors has effected a Recommendation Change, (ii) the board of directors of Innovate/Protect or any authorized committee has failed to present or recommend the approval of the Merger Agreement and the Merger to the stockholders, (iii) Innovate/Protect shall have entered or caused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(f) by Innovate/Protect if (i) the Vringo board of directors has effected a Recommendation Change, (ii) the board of directors of Vringo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(iv) Vringo shall have breached any term of the non-solicitation provision of the Merger Agreement; (g) by either party if the other party, or in the case of Innovate/Protect, Vringo or Merger Sub, is in material breach of its obligations or representations or warranties under the Agreement; (h) by either Vringo or Innovate/Protect if prior to obtaining stockholder approval such party determines to enter into a definitive agreement relating to an Innovate/Protect Superior Proposal or a Vringo Superior Proposal, as the case may be; or (i) by Innovate/Protect, at any time, upon payment to Vringo of the Innovate/Protect Termination Fee (as defined below).</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Termination Fees and Expenses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Merger Agreement provides that, subject to certain exceptions discussed below, all fees and expenses incurred in connection with the Merger Agreement and the transactions contemplated by the Merger Agreement will be paid by the party incurring such expenses.</w:t>
      </w:r>
    </w:p>
    <w:p>
      <w:pPr>
        <w:spacing w:after="0" w:line="76"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 the event that either (a) Innovate/Protect terminates the Merger Agreement because (i) it determines to enter into a definitive agreement relating to a Innovate/Protect Acquisition Proposal that the board of directors of Innovate/Protect has determined constitutes a Innovate/Protect Superior Proposal or (ii) Innovate/Protect, at any time, elects to terminate for any reason or no reason at all or (b) Vringo or Innovate/Protect validly terminates the Merger Agreement if the Innovate/Protect stockholders shall have taken a final vote on a proposal to adopt the Merger Agreement and the transactions contemplated thereby, including the Merger, and the Innovate/Protect stockholders shall not have approved the Merger or by Vringo if the Innovate/Protect board of directors have effected a Recommendation Change, then Innovate/Protect shall pay to Vringo a fee (the “</w:t>
      </w:r>
      <w:r>
        <w:rPr>
          <w:rFonts w:ascii="Arial" w:cs="Arial" w:eastAsia="Arial" w:hAnsi="Arial"/>
          <w:sz w:val="16"/>
          <w:szCs w:val="16"/>
          <w:b w:val="1"/>
          <w:bCs w:val="1"/>
          <w:color w:val="auto"/>
        </w:rPr>
        <w:t>Innovate/Protect 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Fee</w:t>
      </w:r>
      <w:r>
        <w:rPr>
          <w:rFonts w:ascii="Arial" w:cs="Arial" w:eastAsia="Arial" w:hAnsi="Arial"/>
          <w:sz w:val="16"/>
          <w:szCs w:val="16"/>
          <w:color w:val="auto"/>
        </w:rPr>
        <w:t>”) equal to $5,000,000.</w:t>
      </w:r>
    </w:p>
    <w:p>
      <w:pPr>
        <w:spacing w:after="0" w:line="200" w:lineRule="exact"/>
        <w:rPr>
          <w:sz w:val="20"/>
          <w:szCs w:val="20"/>
          <w:color w:val="auto"/>
        </w:rPr>
      </w:pPr>
    </w:p>
    <w:p>
      <w:pPr>
        <w:spacing w:after="0" w:line="28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In the event that (i) Innovate/Protect terminates the Merger Agreement because the Vringo board of directors have effected a Recommendation Change or (ii) Vringo determines to enter into a definitive agreement relating to a Vringo Acquisition Proposal that the board of directors has determined constitutes a Vringo Superior Proposal, then Vringo shall pay to Innovate/Protect a fee (the “</w:t>
      </w:r>
      <w:r>
        <w:rPr>
          <w:rFonts w:ascii="Arial" w:cs="Arial" w:eastAsia="Arial" w:hAnsi="Arial"/>
          <w:sz w:val="16"/>
          <w:szCs w:val="16"/>
          <w:b w:val="1"/>
          <w:bCs w:val="1"/>
          <w:color w:val="auto"/>
        </w:rPr>
        <w:t>Vringo Termination Fee</w:t>
      </w:r>
      <w:r>
        <w:rPr>
          <w:rFonts w:ascii="Arial" w:cs="Arial" w:eastAsia="Arial" w:hAnsi="Arial"/>
          <w:sz w:val="16"/>
          <w:szCs w:val="16"/>
          <w:color w:val="auto"/>
        </w:rPr>
        <w:t>”) equal to 5% of the consideration paid to all security holders of Vringo in connection with a Vringo Superior Proposal, in the same form as such consideration is paid.</w:t>
      </w:r>
    </w:p>
    <w:p>
      <w:pPr>
        <w:spacing w:after="0" w:line="6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In the event that (i) the Merger Agreement is terminated by Vringo because (a) the Merger is not consummated on or before September 30, 2012, (b) if the Vringo stockholders shall have taken a final vote on a proposal to adopt the Merger Agreement and approve the transactions contemplated thereby, including the Merger, and the Vringo stockholders shall not have approved the Merger, or (c) if neither Vringo nor Merger Sub is in material breach of its obligations or representations under the Merger Agreement and if Innovate/Protect is in breach of its represtations, warranties and covenants under the Merger Agreement such that the conditions of the obligations of Vringo to effect the Merger could not be satisfied, and (ii) a Vringo Acquisition Proposal has either previously been publicly announced (or has become publicly known) or has been proposed or communicated to Vringo and a definitive agreement with respect to such Vringo Acquisition Proposal has been signed or consummated within six (6) months following the termination of the Merger Agreement, then Vringo shall pay to Innovate/Protect the Vringo Termination Fee. Notwithstanding the foregoing, with respect to this termination only each reference to 20% in the definition of Vringo Acquisition Proposal shall be deemed to be a reference to 35%.</w:t>
      </w:r>
    </w:p>
    <w:p>
      <w:pPr>
        <w:spacing w:after="0" w:line="7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 the event that (i) the Merger Agreement is terminated by Innovate/Protect because (a) the Merger is not consummated on or before September 30, 2012, or (b) if Innovate/Protect is not in material breach of its obligations or representations under the Merger Agreement and if neither Vringo nor Merger Sub is in breach of its representations, warranties and covenants under the Merger Agreement such that the conditions of the obligations of Innovate/Protect to effect the Merger would not be satisfied, and (ii) an Innovate/Protect Acquisition Proposal has either previously been publicly announced (or has become publicly known) or has been proposed or communicated to Innovate/Protect and a definitive agreement with respect to such Innovate/Protect Acquisition Proposal has been signed or consummated within six (6) months following the termination of the Agreement, then Innovate/Protect shall pay to Vringo the Innovate/Protect Termination Fee. Notwithstanding the foregoing, with respect to this termination only each reference to 20% in the definition of Vringo Acquisition Proposal shall be deemed to be a reference to 35%.</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Amendments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Merger Agreement may be amended only by the written agreement of Vringo, Merger Sub and Innovate/Protect at any time prior to the completion of the Merger.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Governing Law</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Merger Agreement is governed by the laws of the State of New York, except to the extent required under Delaware law.</w:t>
      </w:r>
    </w:p>
    <w:p>
      <w:pPr>
        <w:spacing w:after="0" w:line="200" w:lineRule="exact"/>
        <w:rPr>
          <w:sz w:val="20"/>
          <w:szCs w:val="20"/>
          <w:color w:val="auto"/>
        </w:rPr>
      </w:pPr>
    </w:p>
    <w:p>
      <w:pPr>
        <w:spacing w:after="0" w:line="34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INFORMATION ABOUT THE COMPANIES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Vringo, Inc.</w:t>
      </w:r>
    </w:p>
    <w:p>
      <w:pPr>
        <w:spacing w:after="0" w:line="109"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Vringo provides a range of software products for mobile video entertainment, personalization and mobile social applications. Vringo’s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Vringo believes that its services represent the next stage in the evolution of the mobile content and mobile social applications market. Vringo anticipates that the mobile content and service market will begin to migrate from standard audio ringtones and content to high-quality video services, with social networking capability and integration with web systems. Vringo also believes that social network information and updates will be shared regularly when friends regularly communicate by voice and by text. Vringo’s video ringtone solutions and other mobile social and video applications, which encompasses a suite of mobile and PC-based tools, enables users to create, download and share video and other social content with ease as part of the normal communication process, and provides Vringo’s business partners with a consumer-friendly and easy-to-integrate monetization platform.</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date, Vringo has developed four different mobile video, personalization and mobile social application platforms:</w:t>
      </w:r>
    </w:p>
    <w:p>
      <w:pPr>
        <w:spacing w:after="0" w:line="113" w:lineRule="exact"/>
        <w:rPr>
          <w:sz w:val="20"/>
          <w:szCs w:val="20"/>
          <w:color w:val="auto"/>
        </w:rPr>
      </w:pPr>
    </w:p>
    <w:p>
      <w:pPr>
        <w:ind w:left="560" w:right="1239" w:hanging="300"/>
        <w:spacing w:after="0" w:line="272" w:lineRule="auto"/>
        <w:tabs>
          <w:tab w:leader="none" w:pos="5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Vringo Video Ringtones </w:t>
      </w:r>
      <w:r>
        <w:rPr>
          <w:rFonts w:ascii="Arial" w:cs="Arial" w:eastAsia="Arial" w:hAnsi="Arial"/>
          <w:sz w:val="17"/>
          <w:szCs w:val="17"/>
          <w:color w:val="auto"/>
        </w:rPr>
        <w:t>— Vringo’s original product platform that allows users to create, download and share mobile</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content in the form of video ringtones for mobile phones;</w:t>
      </w:r>
    </w:p>
    <w:p>
      <w:pPr>
        <w:spacing w:after="0" w:line="60" w:lineRule="exact"/>
        <w:rPr>
          <w:rFonts w:ascii="Arial" w:cs="Arial" w:eastAsia="Arial" w:hAnsi="Arial"/>
          <w:sz w:val="17"/>
          <w:szCs w:val="17"/>
          <w:color w:val="auto"/>
        </w:rPr>
      </w:pPr>
    </w:p>
    <w:p>
      <w:pPr>
        <w:ind w:left="560" w:hanging="300"/>
        <w:spacing w:after="0"/>
        <w:tabs>
          <w:tab w:leader="none" w:pos="560" w:val="left"/>
        </w:tabs>
        <w:numPr>
          <w:ilvl w:val="0"/>
          <w:numId w:val="97"/>
        </w:numPr>
        <w:rPr>
          <w:rFonts w:ascii="Arial" w:cs="Arial" w:eastAsia="Arial" w:hAnsi="Arial"/>
          <w:sz w:val="33"/>
          <w:szCs w:val="33"/>
          <w:color w:val="auto"/>
          <w:vertAlign w:val="superscript"/>
        </w:rPr>
      </w:pPr>
      <w:r>
        <w:rPr>
          <w:rFonts w:ascii="Arial" w:cs="Arial" w:eastAsia="Arial" w:hAnsi="Arial"/>
          <w:sz w:val="17"/>
          <w:szCs w:val="17"/>
          <w:b w:val="1"/>
          <w:bCs w:val="1"/>
          <w:color w:val="auto"/>
        </w:rPr>
        <w:t>Facetones</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 a visual ringtone experience based on social network pictures from a user’s friends;</w:t>
      </w:r>
    </w:p>
    <w:p>
      <w:pPr>
        <w:ind w:left="560" w:right="1239" w:hanging="300"/>
        <w:spacing w:after="0" w:line="250" w:lineRule="auto"/>
        <w:tabs>
          <w:tab w:leader="none" w:pos="5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Video ReMix </w:t>
      </w:r>
      <w:r>
        <w:rPr>
          <w:rFonts w:ascii="Arial" w:cs="Arial" w:eastAsia="Arial" w:hAnsi="Arial"/>
          <w:sz w:val="17"/>
          <w:szCs w:val="17"/>
          <w:color w:val="auto"/>
        </w:rPr>
        <w:t>— an application that allows a user to create his or her own music video by tapping on a smartphone or</w:t>
      </w:r>
      <w:r>
        <w:rPr>
          <w:rFonts w:ascii="Arial" w:cs="Arial" w:eastAsia="Arial" w:hAnsi="Arial"/>
          <w:sz w:val="17"/>
          <w:szCs w:val="17"/>
          <w:b w:val="1"/>
          <w:bCs w:val="1"/>
          <w:color w:val="auto"/>
        </w:rPr>
        <w:t xml:space="preserve"> </w:t>
      </w:r>
      <w:r>
        <w:rPr>
          <w:rFonts w:ascii="Arial" w:cs="Arial" w:eastAsia="Arial" w:hAnsi="Arial"/>
          <w:sz w:val="17"/>
          <w:szCs w:val="17"/>
          <w:color w:val="auto"/>
        </w:rPr>
        <w:t>tablet, in partnership with music artists and brands; and</w:t>
      </w:r>
    </w:p>
    <w:p>
      <w:pPr>
        <w:spacing w:after="0" w:line="75" w:lineRule="exact"/>
        <w:rPr>
          <w:rFonts w:ascii="Arial" w:cs="Arial" w:eastAsia="Arial" w:hAnsi="Arial"/>
          <w:sz w:val="17"/>
          <w:szCs w:val="17"/>
          <w:color w:val="auto"/>
        </w:rPr>
      </w:pPr>
    </w:p>
    <w:p>
      <w:pPr>
        <w:ind w:left="560" w:right="1239" w:hanging="300"/>
        <w:spacing w:after="0" w:line="272" w:lineRule="auto"/>
        <w:tabs>
          <w:tab w:leader="none" w:pos="5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Fan Loyalty </w:t>
      </w:r>
      <w:r>
        <w:rPr>
          <w:rFonts w:ascii="Arial" w:cs="Arial" w:eastAsia="Arial" w:hAnsi="Arial"/>
          <w:sz w:val="17"/>
          <w:szCs w:val="17"/>
          <w:color w:val="auto"/>
        </w:rPr>
        <w:t>— a platform that allows users to obtain video and video ringtones, view information on reality television</w:t>
      </w:r>
      <w:r>
        <w:rPr>
          <w:rFonts w:ascii="Arial" w:cs="Arial" w:eastAsia="Arial" w:hAnsi="Arial"/>
          <w:sz w:val="17"/>
          <w:szCs w:val="17"/>
          <w:b w:val="1"/>
          <w:bCs w:val="1"/>
          <w:color w:val="auto"/>
        </w:rPr>
        <w:t xml:space="preserve"> </w:t>
      </w:r>
      <w:r>
        <w:rPr>
          <w:rFonts w:ascii="Arial" w:cs="Arial" w:eastAsia="Arial" w:hAnsi="Arial"/>
          <w:sz w:val="17"/>
          <w:szCs w:val="17"/>
          <w:color w:val="auto"/>
        </w:rPr>
        <w:t>series and stars and vote for contestants.</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To develop these platforms, Vringo has leveraged its existing technology, intellectual property and extensive experience with mobile video, personalization and social applications. Vringo believes that these platforms will represent a significant component of its business going forward.</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Vringo’s ability to compete successfully depends on its ability to ensure a continuing and timely introduction of innovative new products and technologies to the marketplace. As a result, Vringo must make significant investments in research and development. To date, Vringo filed over 24 patents, three of the patents that have been filed have been granted by the USPTO and Vringo has received a notice of allowance for one patent in Europe.</w:t>
      </w:r>
    </w:p>
    <w:p>
      <w:pPr>
        <w:spacing w:after="0" w:line="7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Vringo’s video ringtone platform was its initial product focus since inception. Vringo believes that its comprehensive video ringtone service represents the next stage in the evolution of the ringtone market from standard audio ringtones to high-quality video ringtones, with social networking capability and integration with web systems. Vringo’s solution, which encompasses a suite of mobile and PC-based tools, enables users to create, download and share video ringtones with ease. Furthermore, Vringo’s solution provides Vringo’s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Vringo has amassed a library of over 12,000 video ringtones that Vringo provides for its users in various territories. Certain portions of this library are geographically restricted. Vringo also has developed substantial tools for users to create their own video ringtones and for mobile</w:t>
      </w:r>
    </w:p>
    <w:p>
      <w:pPr>
        <w:spacing w:after="0" w:line="5" w:lineRule="exact"/>
        <w:rPr>
          <w:sz w:val="20"/>
          <w:szCs w:val="20"/>
          <w:color w:val="auto"/>
        </w:rPr>
      </w:pPr>
    </w:p>
    <w:p>
      <w:pPr>
        <w:jc w:val="both"/>
        <w:ind w:left="40" w:right="1239"/>
        <w:spacing w:after="0" w:line="222" w:lineRule="auto"/>
        <w:rPr>
          <w:sz w:val="20"/>
          <w:szCs w:val="20"/>
          <w:color w:val="auto"/>
        </w:rPr>
      </w:pPr>
      <w:r>
        <w:rPr>
          <w:rFonts w:ascii="Arial" w:cs="Arial" w:eastAsia="Arial" w:hAnsi="Arial"/>
          <w:sz w:val="17"/>
          <w:szCs w:val="17"/>
          <w:color w:val="auto"/>
        </w:rPr>
        <w:t>carriers and other partners to include their own content and deliver it exclusively to their customers. Vringo’s VringFoward</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video ringtone technology allows users to enjoy a rich social experience by sharing video ringtones from Vringo’s library or which they created.</w:t>
      </w:r>
    </w:p>
    <w:p>
      <w:pPr>
        <w:spacing w:after="0" w:line="200" w:lineRule="exact"/>
        <w:rPr>
          <w:sz w:val="20"/>
          <w:szCs w:val="20"/>
          <w:color w:val="auto"/>
        </w:rPr>
      </w:pPr>
    </w:p>
    <w:p>
      <w:pPr>
        <w:spacing w:after="0" w:line="31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Vringo is headquartered in New York, New York and was incorporated in Delaware in 2006. Vringo’s principal offices are</w:t>
      </w:r>
    </w:p>
    <w:p>
      <w:pPr>
        <w:spacing w:after="0" w:line="43" w:lineRule="exact"/>
        <w:rPr>
          <w:sz w:val="20"/>
          <w:szCs w:val="20"/>
          <w:color w:val="auto"/>
        </w:rPr>
      </w:pPr>
    </w:p>
    <w:p>
      <w:pPr>
        <w:jc w:val="both"/>
        <w:ind w:left="40" w:right="1239"/>
        <w:spacing w:after="0" w:line="265" w:lineRule="auto"/>
        <w:rPr>
          <w:sz w:val="20"/>
          <w:szCs w:val="20"/>
          <w:color w:val="auto"/>
        </w:rPr>
      </w:pPr>
      <w:r>
        <w:rPr>
          <w:rFonts w:ascii="Arial" w:cs="Arial" w:eastAsia="Arial" w:hAnsi="Arial"/>
          <w:sz w:val="15"/>
          <w:szCs w:val="15"/>
          <w:color w:val="auto"/>
        </w:rPr>
        <w:t>located at 44 West 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Suite 1414, New York, New York 10001 and its telephone number is (646) 525-4319. Vringo’s principal website is </w:t>
      </w:r>
      <w:r>
        <w:rPr>
          <w:rFonts w:ascii="Arial" w:cs="Arial" w:eastAsia="Arial" w:hAnsi="Arial"/>
          <w:sz w:val="15"/>
          <w:szCs w:val="15"/>
          <w:i w:val="1"/>
          <w:iCs w:val="1"/>
          <w:color w:val="auto"/>
        </w:rPr>
        <w:t>www.vringo.com</w:t>
      </w:r>
      <w:r>
        <w:rPr>
          <w:rFonts w:ascii="Arial" w:cs="Arial" w:eastAsia="Arial" w:hAnsi="Arial"/>
          <w:sz w:val="15"/>
          <w:szCs w:val="15"/>
          <w:color w:val="auto"/>
        </w:rPr>
        <w:t xml:space="preserve">. The information on or that can be accessed through Vringo’s website is not part of this proxy statement/prospectus. Vringo common stock is listed on the NYSE Amex and trades under the symbol VRNG. For a more complete discussion of Vringo’s business and operating results, see the sections entitled “Vringo’s Business” and “Vringo’s Management’s Discussion and Analysis of Financial Condition and Results of Operations” beginning on pages </w:t>
      </w:r>
      <w:r>
        <w:rPr>
          <w:rFonts w:ascii="Arial" w:cs="Arial" w:eastAsia="Arial" w:hAnsi="Arial"/>
          <w:sz w:val="15"/>
          <w:szCs w:val="15"/>
          <w:u w:val="single" w:color="auto"/>
          <w:color w:val="0000EE"/>
        </w:rPr>
        <w:t>124</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130</w:t>
      </w:r>
      <w:r>
        <w:rPr>
          <w:rFonts w:ascii="Arial" w:cs="Arial" w:eastAsia="Arial" w:hAnsi="Arial"/>
          <w:sz w:val="15"/>
          <w:szCs w:val="15"/>
          <w:color w:val="auto"/>
        </w:rPr>
        <w:t>, respectively.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Innovate/Protect, Inc.</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Innovate/Protect is a company focused on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76" w:lineRule="exact"/>
        <w:rPr>
          <w:sz w:val="20"/>
          <w:szCs w:val="20"/>
          <w:color w:val="auto"/>
        </w:rPr>
      </w:pPr>
    </w:p>
    <w:p>
      <w:pPr>
        <w:ind w:left="560" w:hanging="300"/>
        <w:spacing w:after="0"/>
        <w:tabs>
          <w:tab w:leader="none" w:pos="5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licensing,</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customized technology solutions,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strategic partnerships;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litigation.</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Innovate/Protect is the owner of patent assets acquired from Lycos, one of the largest search engine websites of its kind in the mid-late 1990s, with technologies that remain critical to current search platforms. Innovate/Protect’s Chief Executive Officer, Chief Technology Officer and President, Andrew K. Lang, is the former Chief Technology Officer of Lycos and led the development of the patented technologies.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Innovate/Protect is headquartered in New York, New York and was incorporated in Delaware in 2011. Innovate/Protect’s</w:t>
      </w:r>
    </w:p>
    <w:p>
      <w:pPr>
        <w:spacing w:after="0" w:line="43" w:lineRule="exact"/>
        <w:rPr>
          <w:sz w:val="20"/>
          <w:szCs w:val="20"/>
          <w:color w:val="auto"/>
        </w:rPr>
      </w:pPr>
    </w:p>
    <w:p>
      <w:pPr>
        <w:jc w:val="both"/>
        <w:ind w:left="40" w:right="1239"/>
        <w:spacing w:after="0" w:line="249" w:lineRule="auto"/>
        <w:rPr>
          <w:sz w:val="20"/>
          <w:szCs w:val="20"/>
          <w:color w:val="auto"/>
        </w:rPr>
      </w:pPr>
      <w:r>
        <w:rPr>
          <w:rFonts w:ascii="Arial" w:cs="Arial" w:eastAsia="Arial" w:hAnsi="Arial"/>
          <w:sz w:val="16"/>
          <w:szCs w:val="16"/>
          <w:color w:val="auto"/>
        </w:rPr>
        <w:t>principal offices are located at 380 Madison Avenue, 22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New York, New York 10017 and its telephone number is (212) 309-7549. Innovate/Protect’s principal website is </w:t>
      </w:r>
      <w:r>
        <w:rPr>
          <w:rFonts w:ascii="Arial" w:cs="Arial" w:eastAsia="Arial" w:hAnsi="Arial"/>
          <w:sz w:val="16"/>
          <w:szCs w:val="16"/>
          <w:i w:val="1"/>
          <w:iCs w:val="1"/>
          <w:color w:val="auto"/>
        </w:rPr>
        <w:t>www.InnovateProtect.com</w:t>
      </w:r>
      <w:r>
        <w:rPr>
          <w:rFonts w:ascii="Arial" w:cs="Arial" w:eastAsia="Arial" w:hAnsi="Arial"/>
          <w:sz w:val="16"/>
          <w:szCs w:val="16"/>
          <w:color w:val="auto"/>
        </w:rPr>
        <w:t xml:space="preserve">. The information on or that can be accessed through Innovate/Protect’s website is not part of this proxy statement/prospectus. Innovate/Protect is a private company and shares of its capital stock are not publicly traded. Additional information about Innovate/Protect and its subsidiaries is included elsewhere in this proxy statement/prospectus. See the sections entitled “Innovate/Protect’s Business,” “Innovate/Protect’s Management’s Discussion and Analysis of Financial Condition and Results of Operations,” and “Innovate/Protect’s financial statements” beginning on pages </w:t>
      </w:r>
      <w:r>
        <w:rPr>
          <w:rFonts w:ascii="Arial" w:cs="Arial" w:eastAsia="Arial" w:hAnsi="Arial"/>
          <w:sz w:val="16"/>
          <w:szCs w:val="16"/>
          <w:u w:val="single" w:color="auto"/>
          <w:color w:val="0000EE"/>
        </w:rPr>
        <w:t>149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157</w:t>
      </w:r>
      <w:r>
        <w:rPr>
          <w:rFonts w:ascii="Arial" w:cs="Arial" w:eastAsia="Arial" w:hAnsi="Arial"/>
          <w:sz w:val="16"/>
          <w:szCs w:val="16"/>
          <w:color w:val="000000"/>
        </w:rPr>
        <w:t>, and F-</w:t>
      </w:r>
      <w:r>
        <w:rPr>
          <w:rFonts w:ascii="Arial" w:cs="Arial" w:eastAsia="Arial" w:hAnsi="Arial"/>
          <w:sz w:val="16"/>
          <w:szCs w:val="16"/>
          <w:u w:val="single" w:color="auto"/>
          <w:color w:val="0000EE"/>
        </w:rPr>
        <w:t>52</w:t>
      </w:r>
      <w:r>
        <w:rPr>
          <w:rFonts w:ascii="Arial" w:cs="Arial" w:eastAsia="Arial" w:hAnsi="Arial"/>
          <w:sz w:val="16"/>
          <w:szCs w:val="16"/>
          <w:color w:val="000000"/>
        </w:rPr>
        <w:t>, respectively.</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VIP Merger Sub, Inc.</w:t>
      </w:r>
    </w:p>
    <w:p>
      <w:pPr>
        <w:spacing w:after="0" w:line="10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Merger Sub is a wholly-owned subsidiary of Vringo and was incorporated in Delaware on March 8, 2012 solely for the purpose of facilitating the Merger. Merger Sub has not carried on any activities to date, except for activities incidental to its formation and activities undertaken in connection with the transactions contemplated by the Merger Agreement.</w:t>
      </w:r>
    </w:p>
    <w:p>
      <w:pPr>
        <w:spacing w:after="0" w:line="200" w:lineRule="exact"/>
        <w:rPr>
          <w:sz w:val="20"/>
          <w:szCs w:val="20"/>
          <w:color w:val="auto"/>
        </w:rPr>
      </w:pPr>
    </w:p>
    <w:p>
      <w:pPr>
        <w:spacing w:after="0" w:line="27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THE ANNUAL MEETING OF VRINGO STOCKHOLDERS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Date, Time and Place</w:t>
      </w:r>
    </w:p>
    <w:p>
      <w:pPr>
        <w:spacing w:after="0" w:line="109" w:lineRule="exact"/>
        <w:rPr>
          <w:sz w:val="20"/>
          <w:szCs w:val="20"/>
          <w:color w:val="auto"/>
        </w:rPr>
      </w:pPr>
    </w:p>
    <w:p>
      <w:pPr>
        <w:ind w:left="40" w:right="1239" w:firstLine="251"/>
        <w:spacing w:after="0" w:line="299" w:lineRule="auto"/>
        <w:rPr>
          <w:sz w:val="20"/>
          <w:szCs w:val="20"/>
          <w:color w:val="auto"/>
        </w:rPr>
      </w:pPr>
      <w:r>
        <w:rPr>
          <w:rFonts w:ascii="Arial" w:cs="Arial" w:eastAsia="Arial" w:hAnsi="Arial"/>
          <w:sz w:val="16"/>
          <w:szCs w:val="16"/>
          <w:color w:val="auto"/>
        </w:rPr>
        <w:t>The Vringo annual meeting will be held on [July 12, 2012], at 10:00 a.m., local time, at the offices of Mintz, Levin, Cohn, Ferris, Glovsky and Popeo, P.C., the Chrysler Center, 666 Third Avenue, 32nd floor, New York, New York 10017.</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Purpose of the Vringo Annual Meeting</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Vringo annual meeting will be held for the following purposes:</w:t>
      </w:r>
    </w:p>
    <w:p>
      <w:pPr>
        <w:spacing w:after="0" w:line="105" w:lineRule="exact"/>
        <w:rPr>
          <w:sz w:val="20"/>
          <w:szCs w:val="20"/>
          <w:color w:val="auto"/>
        </w:rPr>
      </w:pPr>
    </w:p>
    <w:p>
      <w:pPr>
        <w:ind w:left="520" w:hanging="260"/>
        <w:spacing w:after="0"/>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approve the Securities Issuance Proposal;</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approve the Reverse Stock Split Proposal;</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approve the Authorized Shares Increase Proposal;</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elect seven (7) director nominees as set forth in the Election of Directors Proposal;</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approve the 2012 Equity Incentive Plan Proposal;</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approve the Ratification of the Appointment of Vringo’s Independent Registered Public Accounting Firm Proposal;</w:t>
      </w:r>
    </w:p>
    <w:p>
      <w:pPr>
        <w:spacing w:after="0" w:line="116" w:lineRule="exact"/>
        <w:rPr>
          <w:rFonts w:ascii="Arial" w:cs="Arial" w:eastAsia="Arial" w:hAnsi="Arial"/>
          <w:sz w:val="16"/>
          <w:szCs w:val="16"/>
          <w:color w:val="auto"/>
        </w:rPr>
      </w:pPr>
    </w:p>
    <w:p>
      <w:pPr>
        <w:ind w:left="520" w:right="1239" w:hanging="260"/>
        <w:spacing w:after="0" w:line="267" w:lineRule="auto"/>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approve the adjournment of the Vringo annual meeting, if necessary, to solicit additional proxies if there are not sufficient votes in favor of the Vringo Merger Proposals; and</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the Vringo annual meeting or any adjournment or postponement thereof.</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Vringo Record Date; Shares Entitled to Vote</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Vringo board of directors has fixed [June 8, 2012] as the record date for the determination of stockholders entitled to notice of, and to vote at, the Vringo annual meeting and any adjournment or postponement thereof. Only holders of record of shares of Vringo common stock at the close of business on the record date are entitled to notice of, and to vote at, the Vringo annual meeting. At the close of business on the record date, Vringo had outstanding and entitled to vote ________ shares of common stock.</w:t>
      </w:r>
    </w:p>
    <w:p>
      <w:pPr>
        <w:spacing w:after="0" w:line="4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Vringo common stock is the only class of securities entitled to vote at the Vringo annual meeting. Each share of Vringo’s common stock outstanding on the record date entitles the holder thereof to one vote on each matter properly brought before the Vringo annual meeting, exercisable in person or by proxy.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Quorum</w:t>
      </w:r>
    </w:p>
    <w:p>
      <w:pPr>
        <w:spacing w:after="0" w:line="109"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In order to conduct the business described above at the Vringo annual meeting, Vringo must have a quorum present. Stockholders who hold a majority of the Vringo common stock outstanding as of the close of business on the record date for the Vringo annual meeting must be present either in person or by proxy in order to constitute a quorum to conduct business at the Vringo annual meeting. As of the record date, there were ________ shares of Vringo common stock outstanding and entitled to vote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 the Vringo annual meeting. Accordingly, the presence, in person or by proxy, of the holders of ________ shares of Vringo</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common stock will be required in order to establish a quorum.</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Required Vote</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proposals being submitted for approval by the Vringo stockholders at the Vringo annual meeting will be approved or rejected on the basis of certain specific voting thresholds. In particular:</w:t>
      </w:r>
    </w:p>
    <w:p>
      <w:pPr>
        <w:spacing w:after="0" w:line="66" w:lineRule="exact"/>
        <w:rPr>
          <w:sz w:val="20"/>
          <w:szCs w:val="20"/>
          <w:color w:val="auto"/>
        </w:rPr>
      </w:pPr>
    </w:p>
    <w:p>
      <w:pPr>
        <w:ind w:left="560" w:right="1239" w:hanging="300"/>
        <w:spacing w:after="0" w:line="335" w:lineRule="auto"/>
        <w:tabs>
          <w:tab w:leader="none" w:pos="5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approval of the Securities Issuance Proposal requires the affirmative vote of the holders of a majority of the shares of Vringo common stock present and entitled to vote on the matter either in person or by proxy at the Vringo annual meeting;</w:t>
      </w:r>
    </w:p>
    <w:p>
      <w:pPr>
        <w:spacing w:after="0" w:line="19" w:lineRule="exact"/>
        <w:rPr>
          <w:rFonts w:ascii="Arial" w:cs="Arial" w:eastAsia="Arial" w:hAnsi="Arial"/>
          <w:sz w:val="15"/>
          <w:szCs w:val="15"/>
          <w:color w:val="auto"/>
        </w:rPr>
      </w:pPr>
    </w:p>
    <w:p>
      <w:pPr>
        <w:jc w:val="both"/>
        <w:ind w:left="560" w:right="1239" w:hanging="300"/>
        <w:spacing w:after="0" w:line="256" w:lineRule="auto"/>
        <w:tabs>
          <w:tab w:leader="none" w:pos="5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approval of the Reverse Stock Split Proposal requires the affirmative vote of the holders of a majority of the shares of Vringo common stock outstanding and entitled to vote on the matter either in person or by proxy at the Vringo annual meeting;</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hanging="300"/>
        <w:spacing w:after="0" w:line="256" w:lineRule="auto"/>
        <w:tabs>
          <w:tab w:leader="none" w:pos="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approval of the Authorized Shares Increase Proposal requires the affirmative vote of the holders of a majority of the shares of Vringo common stock outstanding and entitled to vote on the matter either in person or by proxy at the Vringo annual meeting;</w:t>
      </w:r>
    </w:p>
    <w:p>
      <w:pPr>
        <w:spacing w:after="0" w:line="7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election of the director nominees as set forth in the Election of Directors Proposal requires the affirmative vote of a plurality of the voting power of the shares present or represented by proxy at the Vringo annual meeting and entitled to vote on the election of directors;</w:t>
      </w:r>
    </w:p>
    <w:p>
      <w:pPr>
        <w:spacing w:after="0" w:line="7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approval of the 2012 Equity Incentive Plan Proposal requires the affirmative vote of the holders of a majority of the shares of Vringo common stock present and entitled to vote on the matter either in person or by proxy at the Vringo annual meeting;</w:t>
      </w:r>
    </w:p>
    <w:p>
      <w:pPr>
        <w:spacing w:after="0" w:line="7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approval of the Ratification of the Appointment of Vringo’s Independent Registered Public Accounting Firm Proposal requires the affirmative vote of the holders of a majority of the shares of Vringo common stock present and entitled to vote on the matter either in person or by proxy at the Vringo annual meeting; and</w:t>
      </w:r>
    </w:p>
    <w:p>
      <w:pPr>
        <w:spacing w:after="0" w:line="76" w:lineRule="exact"/>
        <w:rPr>
          <w:rFonts w:ascii="Arial" w:cs="Arial" w:eastAsia="Arial" w:hAnsi="Arial"/>
          <w:sz w:val="17"/>
          <w:szCs w:val="17"/>
          <w:color w:val="auto"/>
        </w:rPr>
      </w:pPr>
    </w:p>
    <w:p>
      <w:pPr>
        <w:jc w:val="both"/>
        <w:ind w:left="560" w:right="1239" w:hanging="300"/>
        <w:spacing w:after="0" w:line="280" w:lineRule="auto"/>
        <w:tabs>
          <w:tab w:leader="none" w:pos="5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approval of the adjournment of the Vringo annual meeting, if necessary, to solicit proxies if there are not sufficient votes in favor of the Vringo Merger Proposals, requires the affirmative vote of the holders of a majority of the Vringo common stock present and entitled to vote on the matter either in person or by proxy at the Vringo annual meeting.</w:t>
      </w:r>
    </w:p>
    <w:p>
      <w:pPr>
        <w:spacing w:after="0" w:line="54"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Approval of the Securities Issuance Proposal, the Reverse Stock Split Proposal, and the Authorized Shares Increase Proposal are required conditions to the completion of the Merger. If any of these proposals are not approved by the Vringo stockholders, the Merger may not be completed.</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Counting of Votes; Treatment of Abstentions and Incomplete Proxies</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If a Vringo stockholder fails to submit a proxy as instructed on the enclosed proxy card and fails to vote at the Vringo annual meeting, such stockholder’s shares will not be counted as present for the purpose of determining the presence of a quorum, which is required to transact business at the Vringo annual meeting, and will have no effect on the outcome of Vringo Proposals No. 1 (Securities Issuance Proposal), No. 4 (Election of Directors Proposal), No. 5 (2012 Equity Incentive Plan Proposal), No. 6 (Ratification of the Appointment of Vringo’s Independent Registered Public Accounting Firm Proposal) and No. 7 (adjournment to solicit additional proxies, if necessary). However, the failure to submit a proxy or vote at the Vringo annual meeting will have the same effect as voting AGAINST Vringo Proposals No. 2 (Reverse Stock Split Proposal) and No. 3 (Authorized Shares Increase Proposal).</w:t>
      </w:r>
    </w:p>
    <w:p>
      <w:pPr>
        <w:spacing w:after="0" w:line="82"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If a Vringo stockholder submits a proxy and affirmatively elects to abstain from voting, that proxy will be counted as present for the purpose of determining the presence of a quorum for the Vringo annual meeting, but will not be voted at the Vringo annual meeting. As a result, such abstention will have the same effect as voting AGAINST Vringo Proposal Nos. 1, 2, 3, 5 and 7 and will have no effect on Vringo Proposal Nos. 4 and 6. Abstentions are not counted for purposes of electing directors.</w:t>
      </w:r>
    </w:p>
    <w:p>
      <w:pPr>
        <w:spacing w:after="0" w:line="48"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If a Vringo stockholder submits a proxy card without indicating how such stockholder wishes to vote, the shares of Vringo common stock represented by such proxy card will be counted as present for the purpose of determining the presence of a quorum for the Vringo annual meeting and all of such shares will be voted FOR Vringo Proposal Nos. 1, 2, 3, 4, 5, 6 and 7.</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Voting by Vringo Directors and Executive Officers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___________, 2012, the latest practicable date before the printing of this proxy statement/prospectus, directors and</w:t>
      </w:r>
    </w:p>
    <w:p>
      <w:pPr>
        <w:spacing w:after="0" w:line="40" w:lineRule="exact"/>
        <w:rPr>
          <w:sz w:val="20"/>
          <w:szCs w:val="20"/>
          <w:color w:val="auto"/>
        </w:rPr>
      </w:pPr>
    </w:p>
    <w:p>
      <w:pPr>
        <w:jc w:val="both"/>
        <w:ind w:left="40" w:right="1239"/>
        <w:spacing w:after="0" w:line="298" w:lineRule="auto"/>
        <w:rPr>
          <w:sz w:val="20"/>
          <w:szCs w:val="20"/>
          <w:color w:val="auto"/>
        </w:rPr>
      </w:pPr>
      <w:r>
        <w:rPr>
          <w:rFonts w:ascii="Arial" w:cs="Arial" w:eastAsia="Arial" w:hAnsi="Arial"/>
          <w:sz w:val="15"/>
          <w:szCs w:val="15"/>
          <w:color w:val="auto"/>
        </w:rPr>
        <w:t>executive officers of Vringo beneficially owned and were entitled to vote ___ shares of Vringo common stock, or approximately __% of the total outstanding voting power of Vringo. It is expected that Vringo’s directors and executive officers will vote their shares FOR the approval of the Merger, although none of them has entered into any agreement requiring them to do so.</w:t>
      </w:r>
    </w:p>
    <w:p>
      <w:pPr>
        <w:spacing w:after="0" w:line="200" w:lineRule="exact"/>
        <w:rPr>
          <w:sz w:val="20"/>
          <w:szCs w:val="20"/>
          <w:color w:val="auto"/>
        </w:rPr>
      </w:pPr>
    </w:p>
    <w:p>
      <w:pPr>
        <w:spacing w:after="0" w:line="26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Voting of Proxies by Registered Holders</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Giving a proxy means that a Vringo stockholder authorizes the persons named in the enclosed proxy card to vote the stockholder’s shares at the Vringo annual meeting in the manner such stockholder directs. If you are a registered Vringo stockholder (that is, you hold your stock in your own name), you may vote in person at the Vringo annual meeting or vote by submitting your proxy (i) through the Internet, (ii) by telephone or (iii) by marking, signing and dating the enclosed proxy card and returning it in the postage-paid envelope provided. Whether or not you plan to attend the Vringo annual meeting, Vringo urges you to vote by proxy to ensure that your vote is counted. You may still attend the Vringo annual meeting and vote in person even if you have already voted by proxy.</w:t>
      </w:r>
    </w:p>
    <w:p>
      <w:pPr>
        <w:spacing w:after="0" w:line="84" w:lineRule="exact"/>
        <w:rPr>
          <w:sz w:val="20"/>
          <w:szCs w:val="20"/>
          <w:color w:val="auto"/>
        </w:rPr>
      </w:pPr>
    </w:p>
    <w:p>
      <w:pPr>
        <w:ind w:left="560" w:hanging="300"/>
        <w:spacing w:after="0"/>
        <w:tabs>
          <w:tab w:leader="none" w:pos="5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vote in person, come to the Vringo annual meeting and Vringo will give you a ballot when you arrive.</w:t>
      </w:r>
    </w:p>
    <w:p>
      <w:pPr>
        <w:spacing w:after="0" w:line="105" w:lineRule="exact"/>
        <w:rPr>
          <w:rFonts w:ascii="Arial" w:cs="Arial" w:eastAsia="Arial" w:hAnsi="Arial"/>
          <w:sz w:val="17"/>
          <w:szCs w:val="17"/>
          <w:color w:val="auto"/>
        </w:rPr>
      </w:pPr>
    </w:p>
    <w:p>
      <w:pPr>
        <w:jc w:val="both"/>
        <w:ind w:left="560" w:right="1239" w:hanging="300"/>
        <w:spacing w:after="0" w:line="280" w:lineRule="auto"/>
        <w:tabs>
          <w:tab w:leader="none" w:pos="5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vote using a proxy, simply follow the instructions included in the enclosed proxy card to vote by Internet or telephone or complete, sign and date the enclosed proxy card and return it promptly in the postage-paid envelope provided. If your proxy is received before the Vringo annual meeting, your proxy will be voted as you direct.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Shares Held in Street Name</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If your shares of Vringo common stock are held in street name in a stock brokerage account or by another nominee, you must provide the record holder of your shares with instructions on how to vote the shares. Please follow the voting instructions provided by your broker or other nominee. You may not vote shares of Vringo common stock held in street name by returning a proxy card directly to Vringo or by voting in person at the Vringo annual meeting unless you provide a legal proxy, which you must obtain from your broker or other nominee.</w:t>
      </w:r>
    </w:p>
    <w:p>
      <w:pPr>
        <w:spacing w:after="0" w:line="80"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Brokers or other nominees who hold shares of Vringo common stock in street name for a beneficial owner typically have the authority to vote in their discretion on routine proposals, even when they have not received instructions from beneficial owners. However, brokers or other nominees are not allowed to exercise their voting discretion on matters that are determined to be non-routine without specific instructions from the beneficial owner. Broker non-votes are shares held by a broker or other nominee that are represented at the Vringo annual meeting, but with respect to which the broker or other nominee is not instructed by the beneficial owner of such shares to vote on the particular proposal and the broker or other nominee does not have discretionary voting power on such proposal. Therefore, if you are a Vringo stockholder and hold your shares in street name, you should instruct your broker or other nominee on how to vote your shares to ensure that your shares are voted with respect to each of the Vringo Merger Proposals. Broker non-votes will be counted for purposes of determining whether a quorum exists at the Vringo annual meeting.</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Revocability of Proxies and Changes to a Vringo Stockholder’s Vote</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If you are a Vringo stockholder and wish to change your vote with respect to any proposal, you may do so by revoking your proxy at any time prior to the commencement of voting with respect to such proposal at the Vringo annual meeting by:</w:t>
      </w:r>
    </w:p>
    <w:p>
      <w:pPr>
        <w:spacing w:after="0" w:line="43" w:lineRule="exact"/>
        <w:rPr>
          <w:sz w:val="20"/>
          <w:szCs w:val="20"/>
          <w:color w:val="auto"/>
        </w:rPr>
      </w:pPr>
    </w:p>
    <w:p>
      <w:pPr>
        <w:ind w:left="560" w:right="1239" w:hanging="300"/>
        <w:spacing w:after="0" w:line="274" w:lineRule="auto"/>
        <w:tabs>
          <w:tab w:leader="none" w:pos="5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sending a written notice stating that you would like to revoke your proxy to Vringo’s Corporate Secretary at Vringo, Inc., at 44 West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Suite 1414, New York, New York 10001;</w:t>
      </w:r>
    </w:p>
    <w:p>
      <w:pPr>
        <w:ind w:left="560" w:hanging="300"/>
        <w:spacing w:after="0"/>
        <w:tabs>
          <w:tab w:leader="none" w:pos="5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voting on a later date by the Internet or telephone;</w:t>
      </w:r>
    </w:p>
    <w:p>
      <w:pPr>
        <w:spacing w:after="0" w:line="91" w:lineRule="exact"/>
        <w:rPr>
          <w:rFonts w:ascii="Arial" w:cs="Arial" w:eastAsia="Arial" w:hAnsi="Arial"/>
          <w:sz w:val="17"/>
          <w:szCs w:val="17"/>
          <w:color w:val="auto"/>
        </w:rPr>
      </w:pPr>
    </w:p>
    <w:p>
      <w:pPr>
        <w:ind w:left="560" w:hanging="300"/>
        <w:spacing w:after="0"/>
        <w:tabs>
          <w:tab w:leader="none" w:pos="5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submitting new proxy instructions on a new proxy card with a later date; or</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attending the Vringo annual meeting and voting in person (but note that your attendance alone will not revoke your proxy).</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color w:val="auto"/>
        </w:rPr>
        <w:t>If you are a Vringo stockholder of record, revocation of your proxy or voting instructions by written notice must be received by Vringo’s Corporate Secretary by no later than the close of business on ___________, 2012, although you may also revoke your</w:t>
      </w:r>
    </w:p>
    <w:p>
      <w:pPr>
        <w:spacing w:after="0" w:line="1"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6"/>
          <w:szCs w:val="16"/>
          <w:color w:val="auto"/>
        </w:rPr>
        <w:t xml:space="preserve">proxy by attending the Vringo annual meeting and voting in person. </w:t>
      </w:r>
      <w:r>
        <w:rPr>
          <w:rFonts w:ascii="Arial" w:cs="Arial" w:eastAsia="Arial" w:hAnsi="Arial"/>
          <w:sz w:val="16"/>
          <w:szCs w:val="16"/>
          <w:b w:val="1"/>
          <w:bCs w:val="1"/>
          <w:color w:val="auto"/>
        </w:rPr>
        <w:t>However, if your shares are held in street name by a broker</w:t>
      </w:r>
      <w:r>
        <w:rPr>
          <w:rFonts w:ascii="Arial" w:cs="Arial" w:eastAsia="Arial" w:hAnsi="Arial"/>
          <w:sz w:val="16"/>
          <w:szCs w:val="16"/>
          <w:color w:val="auto"/>
        </w:rPr>
        <w:t xml:space="preserve"> </w:t>
      </w:r>
      <w:r>
        <w:rPr>
          <w:rFonts w:ascii="Arial" w:cs="Arial" w:eastAsia="Arial" w:hAnsi="Arial"/>
          <w:sz w:val="16"/>
          <w:szCs w:val="16"/>
          <w:b w:val="1"/>
          <w:bCs w:val="1"/>
          <w:color w:val="auto"/>
        </w:rPr>
        <w:t>or other nominee and you have instructed such broker or other nominee to vote your shares, you must follow directions received from your broker or other nominee in order to change those voting instructions.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Solicitation of Proxies</w:t>
      </w:r>
    </w:p>
    <w:p>
      <w:pPr>
        <w:spacing w:after="0" w:line="109"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Vringo will bear its own cost and expense of preparing, assembling, printing, and mailing this proxy statement/prospectus, any amendments thereto, the proxy card, and any additional information furnished to the Vringo stockholders. Vringo will bear any fees paid to the SEC in connection with the filing of this proxy statement/prospectus and the related Registration Statement on Form S-</w:t>
      </w:r>
    </w:p>
    <w:p>
      <w:pPr>
        <w:spacing w:after="0" w:line="1" w:lineRule="exact"/>
        <w:rPr>
          <w:sz w:val="20"/>
          <w:szCs w:val="20"/>
          <w:color w:val="auto"/>
        </w:rPr>
      </w:pPr>
    </w:p>
    <w:p>
      <w:pPr>
        <w:jc w:val="both"/>
        <w:ind w:left="40" w:right="1239" w:firstLine="7"/>
        <w:spacing w:after="0" w:line="264" w:lineRule="auto"/>
        <w:tabs>
          <w:tab w:leader="none" w:pos="22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Vringo may also reimburse brokerage houses and other custodians, nominees, and fiduciaries for their costs of soliciting and obtaining proxies from beneficial owners of Vringo common stock, including the costs of reimbursing brokerage houses and other custodians, nominees, and fiduciaries for their costs of forwarding this proxy statement/prospectus and other solicitation materials to such beneficial owners. In addition, proxies may be solicited without extra compensation by directors, officers, and employees of each of Vringo and Innovate/Protect by mail, telephone, fax, or other methods of communication. Vringo has retained Morrow &amp; Co., LLC (Morrow) to assist Vringo in the solicitation of proxies from Vringo stockholders in connection with the Vringo special meeting. Morrow will receive a fee of $8,500 as compensation for its services, plus $5.00 per stockholder contacted and reimbursement of out-of-pocket expenses.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Delivery of Proxy Materials to Households Where Two or More Vringo Stockholders Reside</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SEC has adopted rules that permit companies and intermediaries (e.g., brokers) to satisfy the delivery requirements for proxy statements with respect to two or more stockholders sharing the same address by delivering a single proxy statement/prospectus addressed to those stockholders. This process, which is commonly referred to as householding, potentially means extra convenience for stockholders and cost savings for companies.</w:t>
      </w:r>
    </w:p>
    <w:p>
      <w:pPr>
        <w:spacing w:after="0" w:line="7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 connection with the Vringo annual meeting, a number of brokers with account holders who are Vringo stockholders will be householding Vringo proxy materials. As a result, a single proxy statement/prospectus will be delivered to multiple stockholders sharing an address unless contrary instructions have been received from the applicable stockholders. Once a Vringo stockholder receives notice from its broker that they will be householding communications to such stockholder’s address, householding will continue until such stockholder is notified otherwise or until such stockholder revokes its consent. If, at any time, a Vringo stockholder no longer wishes to participate in householding and would prefer to receive a separate proxy statement/prospectus,</w:t>
      </w:r>
    </w:p>
    <w:p>
      <w:pPr>
        <w:spacing w:after="0" w:line="1" w:lineRule="exact"/>
        <w:rPr>
          <w:sz w:val="20"/>
          <w:szCs w:val="20"/>
          <w:color w:val="auto"/>
        </w:rPr>
      </w:pPr>
    </w:p>
    <w:p>
      <w:pPr>
        <w:jc w:val="both"/>
        <w:ind w:left="40" w:right="1239"/>
        <w:spacing w:after="0" w:line="255" w:lineRule="auto"/>
        <w:rPr>
          <w:sz w:val="20"/>
          <w:szCs w:val="20"/>
          <w:color w:val="auto"/>
        </w:rPr>
      </w:pPr>
      <w:r>
        <w:rPr>
          <w:rFonts w:ascii="Arial" w:cs="Arial" w:eastAsia="Arial" w:hAnsi="Arial"/>
          <w:sz w:val="15"/>
          <w:szCs w:val="15"/>
          <w:color w:val="auto"/>
        </w:rPr>
        <w:t>such stockholder should notify its broker or contact Vringo’s Corporate Secretary at Vringo, Inc., 44 West 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Suite 1414, New York, New York 10001. Vringo stockholders who currently receive multiple copies of this proxy statement/prospectus at their address and would like to request householding of their communications should contact their broker.</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Attending the Vringo Annual Meeting</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All Vringo stockholders as of the record date, or their duly appointed proxies, may attend the Vringo annual meeting. If you are a registered Vringo stockholder (that is, if you hold your stock in your own name) and you wish to attend the Vringo annual meeting, please bring your proxy and evidence of your stock ownership, such as your most recent account statement, to the Vringo annual meeting. You should also bring valid picture identification.</w:t>
      </w:r>
    </w:p>
    <w:p>
      <w:pPr>
        <w:spacing w:after="0" w:line="7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If your shares are held in street name in a stock brokerage account or by another nominee and you wish to attend the Vringo annual meeting, you need to bring a copy of a brokerage or bank statement to the Vringo annual meeting reflecting your stock ownership as of the record date. You should also bring valid picture identification.</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PROPOSALS</w:t>
      </w:r>
    </w:p>
    <w:p>
      <w:pPr>
        <w:spacing w:after="0" w:line="130"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7"/>
          <w:szCs w:val="17"/>
          <w:b w:val="1"/>
          <w:bCs w:val="1"/>
          <w:color w:val="auto"/>
        </w:rPr>
        <w:t>Vringo Proposal No. 1: Approval of the Issuance of Vringo Common Stock and Preferred Stock and Warrants in Connection with the Merger</w:t>
      </w:r>
    </w:p>
    <w:p>
      <w:pPr>
        <w:spacing w:after="0" w:line="62"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25, 2012, shall be initially convertible into an aggregate of 20,136,445 shares of Vringo common stock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7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Merger will have no effect on the number of shares of Vringo common stock held by current Vringo stockholders as of immediately prior to the completion of the Merger (subject to any changes in outstanding shares of Vringo common stock as a result of the proposed reverse stock split described in the Reverse Stock Split Proposal below). However, it is expected that upon completion of the Merger such shares will represent only an aggregate of approximately 32.45% of the outstanding shares of common stock of the combined company calculated on a fully diluted basis (without taking into account shares of Vringo common stock held by Innovate/Protect stockholders prior to the completion of the Merger. For example, if you are a Vringo stockholder and hold 5% of the outstanding shares of Vringo common stock calculated on a fully diluted basis immediately prior to the completion of the Merger and do not also hold shares of Innovate/Protect capital stock or warrants, then upon completion of the Merger you will hold an aggregate of approximately 1.62% of the outstanding shares of common stock of the combined company calculated on a fully diluted basis as of immediately following the completion of the Merger.</w:t>
      </w:r>
    </w:p>
    <w:p>
      <w:pPr>
        <w:spacing w:after="0" w:line="57"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Under NYSE Amex rules and regulations, a company listed on the NYSE Amex is required to obtain stockholder approval prior to the issuance of common stock or of securities convertible into or exercisable for common stock, in connection with the acquisition of another company, if the number of shares of common stock to be issued is, or will be upon issuance, equal to or in excess of 20% of the number of shares of the issuing company’s common stock outstanding before such issuance in connection with such proposed acquisition.</w:t>
      </w:r>
    </w:p>
    <w:p>
      <w:pPr>
        <w:spacing w:after="0" w:line="8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aggregate number of shares of Vringo common stock to be issued in connection with the Merger will exceed 20% of the shares of Vringo common stock outstanding before such issuance. For this reason, Vringo must obtain the approval of the Vringo stockholders, in accordance with the NYSE Amex rules and regulations, for the issuance of shares of Vringo common stock to Innovate/Protect stockholders in connection with the Merger. Accordingly, Vringo is asking its stockholders to approve the issuance of Vringo common stock in connection with the Merger.</w:t>
      </w:r>
    </w:p>
    <w:p>
      <w:pPr>
        <w:spacing w:after="0" w:line="200" w:lineRule="exact"/>
        <w:rPr>
          <w:sz w:val="20"/>
          <w:szCs w:val="20"/>
          <w:color w:val="auto"/>
        </w:rPr>
      </w:pPr>
    </w:p>
    <w:p>
      <w:pPr>
        <w:spacing w:after="0" w:line="30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Approval of this Securities Issuance Proposal requires the affirmative vote of the holders of a majority of the shares of Vringo common stock present and entitled to vote on the matter either in person or by proxy at the Vringo annual meeting. A failure to submit a proxy or vote at the Vringo annual meeting will result in your shares not being counted as present for the purpose of determining the presence of a quorum, which is required to transact business at the Vringo annual meeting, and will have no effect on the outcome of this Securities Issuance Proposal. However, for purposes of the vote on this Securities Issuance Proposal, an abstention will be counted as present for the purpose of determining a quorum, but will have the same effect as voting “AGAINST” this Securities Issuance Proposal, and a “broker non-vote” will have no effect on the outcome of this Securities Issuance Proposal.</w:t>
      </w:r>
    </w:p>
    <w:p>
      <w:pPr>
        <w:spacing w:after="0" w:line="15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VRINGO BOARD OF DIRECTORS RECOMMENDS A VOTE “FOR”</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SHARE ISSUANCE PROPOSAL.</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7"/>
          <w:szCs w:val="17"/>
          <w:b w:val="1"/>
          <w:bCs w:val="1"/>
          <w:color w:val="auto"/>
        </w:rPr>
        <w:t>Vringo Proposal No. 2: Approval of an Amendment to Vringo’s Amended and Restated Certificate of Incorporation to Effect a Reverse Stock Split of Vringo Common Stock</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Overview</w:t>
      </w:r>
    </w:p>
    <w:p>
      <w:pPr>
        <w:spacing w:after="0" w:line="10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The Vringo board of directors has unanimously approved a proposal to amend the Vringo Certificate to effect a reverse stock split of the issued and outstanding shares of Vringo common stock at a reverse stock split ratio ranging from one-for-two to one-for-four, with the exact ratio to be determined by Innovate/Protect prior to the completion of the Merger. The Vringo board of directors has recommended that this proposal be presented to the Vringo stockholders for approval in the event that it is needed to comply with NYSE Amex’s continued listing requirements. The text of the form of proposed amendment to the Vringo Certificate to effect a reverse stock split of the issued and outstanding shares of Vringo common stock is attached to this proxy statement/prospectus as </w:t>
      </w:r>
      <w:r>
        <w:rPr>
          <w:rFonts w:ascii="Arial" w:cs="Arial" w:eastAsia="Arial" w:hAnsi="Arial"/>
          <w:sz w:val="17"/>
          <w:szCs w:val="17"/>
          <w:u w:val="single" w:color="auto"/>
          <w:color w:val="auto"/>
        </w:rPr>
        <w:t>Annex B</w:t>
      </w:r>
      <w:r>
        <w:rPr>
          <w:rFonts w:ascii="Arial" w:cs="Arial" w:eastAsia="Arial" w:hAnsi="Arial"/>
          <w:sz w:val="17"/>
          <w:szCs w:val="17"/>
          <w:color w:val="auto"/>
        </w:rPr>
        <w:t>.</w:t>
      </w:r>
    </w:p>
    <w:p>
      <w:pPr>
        <w:spacing w:after="0" w:line="84"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proposed amendment to the Vringo Certificate will effect a reverse stock split of the issued and outstanding shares of Vringo common stock within the range of one-for-two to one-for-four, with the exact number within such range to be determined by Innovate/Protect prior to the completion of the Merger. The Vringo board of directors believes that stockholder approval of an amendment granting this discretion, rather than approval of a specified ratio, provides the appropriate flexibility to react to then-current market conditions and NYSE Amex’s requirements for continued listing, therefore, is in the best interests of Vringo and its stockholders.</w:t>
      </w:r>
    </w:p>
    <w:p>
      <w:pPr>
        <w:spacing w:after="0" w:line="8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By approving this amendment, Vringo stockholders will (i) approve a series of amendments to the Vringo Certificate pursuant to which any whole number of outstanding shares of Vringo common stock between and including two and four will be combined into one share of Vringo common stock and (ii) authorize the Vringo board of directors to (a) file only one such amendment, as determined immediately prior to the completion of the Merger in the manner described herein and (b) abandon each amendment not selected. In addition, Vringo may elect not to undertake a reverse stock split.</w:t>
      </w:r>
    </w:p>
    <w:p>
      <w:pPr>
        <w:spacing w:after="0" w:line="68"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If, following approval by the Vringo stockholders, it is determined that an amendment to the Vringo Certificate to effect a reverse stock split is in the best interests of Vringo and its stockholders, the reverse stock split will become effective upon filing one such amendment with the Secretary of State of the State of Delaware. Such amendment will contain the number of shares within the range set forth in this Reverse Stock Split Proposal to be combined into one share of Vringo common stock.</w:t>
      </w:r>
    </w:p>
    <w:p>
      <w:pPr>
        <w:spacing w:after="0" w:line="48"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If, following approval by the Vringo stockholders, a reverse stock split is undertaken, the number of issued and outstanding shares of Vringo common stock will be reduced in accordance with a reverse stock split ratio determined immediately prior to the completion of the Merger within the range set forth in this Reverse Stock Split Proposal. Except for adjustments that may result from the treatment of fractional shares, as described below, each stockholder will hold the same percentage of Vringo common stock outstanding immediately following the reverse stock split as such stockholder held immediately prior to the reverse stock split and immediately prior to the completion of the Merger. The par value of Vringo common stock will remain unchanged at $0.01 per share.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Reasons for the Reverse Stock Split</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 Vringo board of directors approved the proposal authorizing the reverse stock split because it believes that a reverse stock split may allow the combined company to become listed on the NYSE Amex, which listing is a condition to the completion of the Merger (as discussed below under the section entitled “NYSE Amex Requirements for Listing”), and the Vringo board of directors also believes that the increased market price of Vringo common stock expected to result from the implementation of a reverse stock split will improve the marketability and liquidity of Vringo common stock. From April 9, 2012 until May 18, 2012 the Vringo common stock had a closing price of $3.00 or above for each trading day. On May 25, 2012, the closing price of Vringo common stock was $3.39. If the Vringo common stock continues to trade at or above $3.00 at the time of the Merger, Vringo does not anticipate that it will need to undertake a reverse stock split, even if Vringo obtains stockholder approval to do so.</w:t>
      </w:r>
    </w:p>
    <w:p>
      <w:pPr>
        <w:spacing w:after="0" w:line="200" w:lineRule="exact"/>
        <w:rPr>
          <w:sz w:val="20"/>
          <w:szCs w:val="20"/>
          <w:color w:val="auto"/>
        </w:rPr>
      </w:pPr>
    </w:p>
    <w:p>
      <w:pPr>
        <w:spacing w:after="0" w:line="27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NYSE Amex Requirements for Listing</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common stock is currently listed on the NYSE Amex. Innovate/Protect shares of its capital stock are not publicly traded. According to applicable NYSE Amex rules, in a transaction constituting a “reverse merger” in which an issuer combines with a non-listed entity, resulting in a change of control of the issuer and potentially allowing the non-listed entity to obtain a NYSE Amex, the issuer must apply for initial inclusion on the a NYSE Amex.</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Merger Agreement requires that Vringo use its reasonable best efforts to cause the shares of Vringo common stock to be approved, at or prior to the completion of the Merger, for listing (subject only to notice of issuance) on the NYSE Amex at and following the completion of the Merger, and the listing of the shares of Vringo common stock issuable pursuant to the Merger Agreement is a condition to Innovate/Protect’s obligation to complete the Merger.</w:t>
      </w:r>
    </w:p>
    <w:p>
      <w:pPr>
        <w:spacing w:after="0" w:line="7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listing standards of the NYSE Amex require, among other things, a $3.00 per share minimum bid upon completion of the Merger. As of the date of the mailing of this proxy statement/prospectus, Vringo has filed an initial listing application for the NYSE Amex in connection with the Merger.</w:t>
      </w:r>
    </w:p>
    <w:p>
      <w:pPr>
        <w:spacing w:after="0" w:line="76"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Vringo board of directors expects that a reverse stock split of Vringo common stock, if effected, will increase the market price of Vringo common stock so that the combined company is able to achieve the initial listing requirements for the NYSE Amex upon completion of the Merger and thereafter maintain compliance with the NYSE Amex bid price listing standard of $1.00 per share. In determining the exact ratio for the reverse stock split, Vringo intends to use a ratio from within the range of one-for-two to one-for-four that would result in a per share price of greater than $3.00 per share following the reverse stock split. Notwithstanding the foregoing, there can be no assurance that the market price per share following the Merger and the reverse stock split will remain in excess of the minimum bid price for a sustained period of time. In addition, there can be no assurance that the Vringo common stock, or the common stock of the combined company following the completion of the Merger, will not be delisted due to a failure to meet other continued listing requirements even if the market price per share of Vringo common stock on a post-reverse-stock-split basis remains in excess of the minimum bid requirement.</w:t>
      </w:r>
    </w:p>
    <w:p>
      <w:pPr>
        <w:spacing w:after="0" w:line="57"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Additionally, the Vringo board of directors believes that a listing on the NYSE Amex for the shares of common stock of the combined company may provide a broader market for the common stock of the combined company and facilitate the use of the common stock of the combined company in financing and other transactions.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Potential Increased Investor Interest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___________, 2012, the latest practicable date before the printing of this proxy statement/prospectus, Vringo common stock</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closed at $____ per share. An investment in Vringo common stock may not appeal to brokerage firms that are reluctant to</w:t>
      </w:r>
    </w:p>
    <w:p>
      <w:pPr>
        <w:spacing w:after="0" w:line="16" w:lineRule="exact"/>
        <w:rPr>
          <w:sz w:val="20"/>
          <w:szCs w:val="20"/>
          <w:color w:val="auto"/>
        </w:rPr>
      </w:pPr>
    </w:p>
    <w:p>
      <w:pPr>
        <w:jc w:val="both"/>
        <w:ind w:left="40" w:right="1239"/>
        <w:spacing w:after="0" w:line="268" w:lineRule="auto"/>
        <w:rPr>
          <w:sz w:val="20"/>
          <w:szCs w:val="20"/>
          <w:color w:val="auto"/>
        </w:rPr>
      </w:pPr>
      <w:r>
        <w:rPr>
          <w:rFonts w:ascii="Arial" w:cs="Arial" w:eastAsia="Arial" w:hAnsi="Arial"/>
          <w:sz w:val="16"/>
          <w:szCs w:val="16"/>
          <w:color w:val="auto"/>
        </w:rPr>
        <w:t>recommend lower-priced stocks to their clients. Investors may also be dissuaded from purchasing lower-priced stocks because the brokerage commissions, as a percentage of the total transaction, tend to be higher for such stocks. Moreover, analysts at many brokerage firms do not monitor the trading activity or otherwise provide coverage of lower-priced stocks. Also, the Vringo board of directors believes that most investment funds are reluctant to invest in lower-priced stocks.</w:t>
      </w:r>
    </w:p>
    <w:p>
      <w:pPr>
        <w:spacing w:after="0" w:line="68"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There are risks associated with the reverse stock split, including that the reverse stock split may not result in an increase in the per share price of Vringo common stock. There is no assurance that (i) the market price per share of Vringo common stock following the reverse stock split will rise in proportion to the reduction in the number of shares of Vringo common stock outstanding before the reverse stock split, (ii) the reverse stock split will result in a market price per share of Vringo common stock that will attract brokers and investors who do not trade in lower-priced stocks, (iii) the reverse stock split will result in a market price per share of Vringo common stock that will increase the ability of Vringo to attract and retain employees, (iv) the market price per share following the Merger and the reverse stock split will remain in excess of the minimum bid price for a sustained period of time required by NYSE Amex, or (v) Vringo will otherwise meet the listing requirements for the NYSE Amex.</w:t>
      </w:r>
    </w:p>
    <w:p>
      <w:pPr>
        <w:spacing w:after="0" w:line="6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market price per share of Vringo common stock will also be based on the performance of Vringo and other factors, some of which are unrelated to the number of shares of Vringo common stock outstanding.</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74" w:lineRule="auto"/>
        <w:rPr>
          <w:sz w:val="20"/>
          <w:szCs w:val="20"/>
          <w:color w:val="auto"/>
        </w:rPr>
      </w:pPr>
      <w:r>
        <w:rPr>
          <w:rFonts w:ascii="Arial" w:cs="Arial" w:eastAsia="Arial" w:hAnsi="Arial"/>
          <w:sz w:val="16"/>
          <w:szCs w:val="16"/>
          <w:color w:val="auto"/>
        </w:rPr>
        <w:t>If the reverse stock split is effected and the market price per share of Vringo common stock declines, the percentage decline as an absolute number and as a percentage of the overall market capitalization of Vringo may be greater than would occur in the absence of a reverse stock split. Furthermore, the liquidity of Vringo common stock could be adversely affected by the reduced number of shares of Vringo common stock that will be outstanding following the reverse stock split.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Effects of the Reverse Stock Split</w:t>
      </w:r>
    </w:p>
    <w:p>
      <w:pPr>
        <w:spacing w:after="0" w:line="10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Following the effective date of the reverse stock split, each Vringo stockholder will own a reduced number of shares of Vringo common stock. However, the reverse stock split will affect all of the Vringo stockholders uniformly and will not, in and of itself, affect any Vringo stockholder’s percentage ownership interests in Vringo, except to the extent that the reverse stock split results in any of the Vringo stockholders owning a fractional share, as described below. Proportionate voting rights and other rights and preferences of the Vringo stockholders will not be affected by the reverse stock split, in and of itself, except to the extent that the reverse stock split results in any of the Vringo stockholders owning a fractional share, as described below. For example, a holder of 2% of the voting power of the outstanding shares of Vringo common stock immediately prior to the reverse stock split will continue to hold 2% of the voting power of the outstanding shares of Vringo common stock immediately following the reverse stock split and immediately prior to the completion of the Merger. The number of Vringo stockholders of record will not be affected by the reverse stock split, except to the extent that any Vringo stockholder holds only a fractional share following the reverse stock split and receives cash for such fractional share following the reverse stock split, as described below.</w:t>
      </w:r>
    </w:p>
    <w:p>
      <w:pPr>
        <w:spacing w:after="0" w:line="60"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The amendment to the Vringo Certificate to effect the reverse stock split, in and of itself, will not change the number of authorized shares of Vringo common stock. As a result, one of the effects of the reverse stock split will be to effectively increase the proportion of authorized shares of Vringo common stock which are unissued relative to those which are issued. This effective increase may occur even if the proposal to amend the Vringo Certificate to increase the authorized shares of Vringo common stock up to 150,000,000 shares, as described in Vringo Proposal No. 3 below, is not approved. This could result in Vringo or the combined company having the ability to issue more shares, unless required by the NYSE Amex, without further stockholder approval. The increased proportion of unissued authorized shares to issued shares could be used by the Vringo board of directors to make more difficult, and thereby discourage, delay or prevent, an attempt to acquire control of Vringo. For example, the shares could be privately placed with investors who might support the Vringo board of directors in opposing a hostile takeover. The issuance of new shares also could be used to dilute the stock ownership and voting power of a third party seeking to effect a change in the composition of the board of directors or contemplating a tender offer or other transaction for the combination of Vringo with another company. While the amendment to the Vringo Certificate to effect a reverse stock split may have potential antitakeover effects, it is not prompted by any specific effort or takeover threat currently perceived by the Vringo board of directors or management. Neither Vringo nor Innovate/Protect have any current plan, commitment, arrangement, understanding, or agreement, written or oral, to issue shares of Vringo common stock, other than in connection with the Merger, to satisfy obligations under outstanding options and warrants to purchase shares of Vringo common stock, and to satisfy obligations under outstanding options and warrants to purchase Innovate/Protect capital stock as such options and warrants are exercised (following the completion of the Merger), each of which will be assumed by Vringo in connection with the Merger (as more fully described elsewhere in this proxy statement/prospectus).</w:t>
      </w:r>
    </w:p>
    <w:p>
      <w:pPr>
        <w:spacing w:after="0" w:line="26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reverse stock split will reduce the number of shares of Vringo common stock available for issuance under Vringo’s equity incentive plans in proportion to the reverse stock split ratio selected within the range set forth in this proposal. Vringo also has certain outstanding options to purchase Vringo common stock. Under the terms of the outstanding Vringo stock options, the reverse stock split will effect a reduction in the number of shares of Vringo common stock issuable upon exercise of such outstanding stock options in proportion to the reverse stock split ratio and will effect a proportionate increase in the exercise price of such outstanding stock options. In connection with the reverse stock split, the number of shares of Vringo common stock issuable upon exercise of outstanding Vringo stock options will be rounded to the nearest whole share and no cash payment will be made in lieu of any fractional shares of Vringo common stock that would otherwise be issuable pursuant to such options. The reverse stock split will not in and of itself change the value of a Vringo stock option.</w:t>
      </w:r>
    </w:p>
    <w:p>
      <w:pPr>
        <w:spacing w:after="0" w:line="200" w:lineRule="exact"/>
        <w:rPr>
          <w:sz w:val="20"/>
          <w:szCs w:val="20"/>
          <w:color w:val="auto"/>
        </w:rPr>
      </w:pPr>
    </w:p>
    <w:p>
      <w:pPr>
        <w:spacing w:after="0" w:line="28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Vringo common stock is currently registered under Section 12(b) of the Exchange Act, and Vringo is subject to the periodic reporting and other requirements of the Exchange Act. The reverse stock split will not affect the registration of Vringo common stock under the Exchange Act. If the reverse stock split is implemented, and the combined company’s initial listing application with the NYSE Amex is approved, Vringo common stock will continue to be reported on the NYSE Amex under the symbol “VRNG” (although NYSE Amex will likely add the letter “D” to the end of the trading symbol for a period of 20 trading days to indicate that the reverse stock split has occurred).</w:t>
      </w:r>
    </w:p>
    <w:p>
      <w:pPr>
        <w:spacing w:after="0" w:line="81"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following table provides estimates of the number of shares of Vringo common stock authorized, issued and outstanding, reserved for issuance, and authorized but neither issued nor reserved for issuance at the following times:</w:t>
      </w:r>
    </w:p>
    <w:p>
      <w:pPr>
        <w:spacing w:after="0" w:line="43" w:lineRule="exact"/>
        <w:rPr>
          <w:sz w:val="20"/>
          <w:szCs w:val="20"/>
          <w:color w:val="auto"/>
        </w:rPr>
      </w:pPr>
    </w:p>
    <w:p>
      <w:pPr>
        <w:ind w:left="560" w:hanging="300"/>
        <w:spacing w:after="0"/>
        <w:tabs>
          <w:tab w:leader="none" w:pos="5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prior to the reverse stock split and the completion of the Merger;</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giving effect to a one-for-two reverse stock split but prior to the completion of the Merger;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giving effect to a one-for-four reverse stock split but prior to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42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Shares</w:t>
            </w:r>
          </w:p>
        </w:tc>
      </w:tr>
      <w:tr>
        <w:trPr>
          <w:trHeight w:val="138"/>
        </w:trPr>
        <w:tc>
          <w:tcPr>
            <w:tcW w:w="9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Authorized</w:t>
            </w:r>
          </w:p>
        </w:tc>
        <w:tc>
          <w:tcPr>
            <w:tcW w:w="16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8"/>
              </w:rPr>
              <w:t>Issued and</w:t>
            </w:r>
          </w:p>
        </w:tc>
        <w:tc>
          <w:tcPr>
            <w:tcW w:w="1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Reserved for</w:t>
            </w:r>
          </w:p>
        </w:tc>
        <w:tc>
          <w:tcPr>
            <w:tcW w:w="140" w:type="dxa"/>
            <w:vAlign w:val="bottom"/>
          </w:tcPr>
          <w:p>
            <w:pPr>
              <w:spacing w:after="0"/>
              <w:rPr>
                <w:sz w:val="11"/>
                <w:szCs w:val="11"/>
                <w:color w:val="auto"/>
              </w:rPr>
            </w:pPr>
          </w:p>
        </w:tc>
        <w:tc>
          <w:tcPr>
            <w:tcW w:w="11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5"/>
              </w:rPr>
              <w:t>Authorized but</w:t>
            </w:r>
          </w:p>
        </w:tc>
      </w:tr>
      <w:tr>
        <w:trPr>
          <w:trHeight w:val="171"/>
        </w:trPr>
        <w:tc>
          <w:tcPr>
            <w:tcW w:w="9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line="171" w:lineRule="exact"/>
              <w:rPr>
                <w:sz w:val="20"/>
                <w:szCs w:val="20"/>
                <w:color w:val="auto"/>
              </w:rPr>
            </w:pPr>
            <w:r>
              <w:rPr>
                <w:rFonts w:ascii="Arial" w:cs="Arial" w:eastAsia="Arial" w:hAnsi="Arial"/>
                <w:sz w:val="12"/>
                <w:szCs w:val="12"/>
                <w:b w:val="1"/>
                <w:bCs w:val="1"/>
                <w:color w:val="auto"/>
                <w:w w:val="97"/>
              </w:rPr>
              <w:t>Outstanding</w:t>
            </w:r>
            <w:r>
              <w:rPr>
                <w:rFonts w:ascii="Arial" w:cs="Arial" w:eastAsia="Arial" w:hAnsi="Arial"/>
                <w:sz w:val="19"/>
                <w:szCs w:val="19"/>
                <w:b w:val="1"/>
                <w:bCs w:val="1"/>
                <w:color w:val="auto"/>
                <w:w w:val="97"/>
                <w:vertAlign w:val="superscript"/>
              </w:rPr>
              <w:t>(1)</w:t>
            </w:r>
          </w:p>
        </w:tc>
        <w:tc>
          <w:tcPr>
            <w:tcW w:w="140" w:type="dxa"/>
            <w:vAlign w:val="bottom"/>
          </w:tcPr>
          <w:p>
            <w:pPr>
              <w:spacing w:after="0"/>
              <w:rPr>
                <w:sz w:val="14"/>
                <w:szCs w:val="14"/>
                <w:color w:val="auto"/>
              </w:rPr>
            </w:pPr>
          </w:p>
        </w:tc>
        <w:tc>
          <w:tcPr>
            <w:tcW w:w="860" w:type="dxa"/>
            <w:vAlign w:val="bottom"/>
          </w:tcPr>
          <w:p>
            <w:pPr>
              <w:jc w:val="center"/>
              <w:spacing w:after="0" w:line="171" w:lineRule="exact"/>
              <w:rPr>
                <w:sz w:val="20"/>
                <w:szCs w:val="20"/>
                <w:color w:val="auto"/>
              </w:rPr>
            </w:pPr>
            <w:r>
              <w:rPr>
                <w:rFonts w:ascii="Arial" w:cs="Arial" w:eastAsia="Arial" w:hAnsi="Arial"/>
                <w:sz w:val="12"/>
                <w:szCs w:val="12"/>
                <w:b w:val="1"/>
                <w:bCs w:val="1"/>
                <w:color w:val="auto"/>
                <w:w w:val="92"/>
              </w:rPr>
              <w:t>Issuance</w:t>
            </w:r>
            <w:r>
              <w:rPr>
                <w:rFonts w:ascii="Arial" w:cs="Arial" w:eastAsia="Arial" w:hAnsi="Arial"/>
                <w:sz w:val="19"/>
                <w:szCs w:val="19"/>
                <w:b w:val="1"/>
                <w:bCs w:val="1"/>
                <w:color w:val="auto"/>
                <w:w w:val="92"/>
                <w:vertAlign w:val="superscript"/>
              </w:rPr>
              <w:t>(1)</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Neither Issued nor</w:t>
            </w:r>
          </w:p>
        </w:tc>
      </w:tr>
      <w:tr>
        <w:trPr>
          <w:trHeight w:val="114"/>
        </w:trPr>
        <w:tc>
          <w:tcPr>
            <w:tcW w:w="9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0"/>
              </w:rPr>
              <w:t>Reserved for</w:t>
            </w:r>
          </w:p>
        </w:tc>
      </w:tr>
      <w:tr>
        <w:trPr>
          <w:trHeight w:val="186"/>
        </w:trPr>
        <w:tc>
          <w:tcPr>
            <w:tcW w:w="9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3"/>
                <w:szCs w:val="13"/>
                <w:b w:val="1"/>
                <w:bCs w:val="1"/>
                <w:color w:val="auto"/>
                <w:w w:val="85"/>
              </w:rPr>
              <w:t>Issuance</w:t>
            </w:r>
            <w:r>
              <w:rPr>
                <w:rFonts w:ascii="Arial" w:cs="Arial" w:eastAsia="Arial" w:hAnsi="Arial"/>
                <w:sz w:val="21"/>
                <w:szCs w:val="21"/>
                <w:b w:val="1"/>
                <w:bCs w:val="1"/>
                <w:color w:val="auto"/>
                <w:w w:val="85"/>
                <w:vertAlign w:val="superscript"/>
              </w:rPr>
              <w:t>(1)</w:t>
            </w:r>
          </w:p>
        </w:tc>
      </w:tr>
      <w:tr>
        <w:trPr>
          <w:trHeight w:val="193"/>
        </w:trPr>
        <w:tc>
          <w:tcPr>
            <w:tcW w:w="34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Prior to the reverse stock split</w:t>
            </w:r>
          </w:p>
        </w:tc>
        <w:tc>
          <w:tcPr>
            <w:tcW w:w="860" w:type="dxa"/>
            <w:vAlign w:val="bottom"/>
            <w:shd w:val="clear" w:color="auto" w:fill="CCFFCC"/>
          </w:tcPr>
          <w:p>
            <w:pPr>
              <w:jc w:val="center"/>
              <w:spacing w:after="0" w:line="193" w:lineRule="exact"/>
              <w:rPr>
                <w:sz w:val="20"/>
                <w:szCs w:val="20"/>
                <w:color w:val="auto"/>
              </w:rPr>
            </w:pPr>
            <w:r>
              <w:rPr>
                <w:rFonts w:ascii="Arial" w:cs="Arial" w:eastAsia="Arial" w:hAnsi="Arial"/>
                <w:sz w:val="17"/>
                <w:szCs w:val="17"/>
                <w:color w:val="auto"/>
                <w:w w:val="86"/>
              </w:rPr>
              <w:t>28,000,000</w:t>
            </w:r>
          </w:p>
        </w:tc>
        <w:tc>
          <w:tcPr>
            <w:tcW w:w="10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13,861,423</w:t>
            </w:r>
          </w:p>
        </w:tc>
        <w:tc>
          <w:tcPr>
            <w:tcW w:w="1000" w:type="dxa"/>
            <w:vAlign w:val="bottom"/>
            <w:gridSpan w:val="2"/>
            <w:shd w:val="clear" w:color="auto" w:fill="CCFFCC"/>
          </w:tcPr>
          <w:p>
            <w:pPr>
              <w:jc w:val="right"/>
              <w:ind w:right="236"/>
              <w:spacing w:after="0" w:line="193" w:lineRule="exact"/>
              <w:rPr>
                <w:sz w:val="20"/>
                <w:szCs w:val="20"/>
                <w:color w:val="auto"/>
              </w:rPr>
            </w:pPr>
            <w:r>
              <w:rPr>
                <w:rFonts w:ascii="Arial" w:cs="Arial" w:eastAsia="Arial" w:hAnsi="Arial"/>
                <w:sz w:val="17"/>
                <w:szCs w:val="17"/>
                <w:color w:val="auto"/>
              </w:rPr>
              <w:t>0</w:t>
            </w:r>
          </w:p>
        </w:tc>
        <w:tc>
          <w:tcPr>
            <w:tcW w:w="1260" w:type="dxa"/>
            <w:vAlign w:val="bottom"/>
            <w:gridSpan w:val="2"/>
            <w:shd w:val="clear" w:color="auto" w:fill="CCFFCC"/>
          </w:tcPr>
          <w:p>
            <w:pPr>
              <w:jc w:val="right"/>
              <w:ind w:right="14"/>
              <w:spacing w:after="0" w:line="193" w:lineRule="exact"/>
              <w:rPr>
                <w:sz w:val="20"/>
                <w:szCs w:val="20"/>
                <w:color w:val="auto"/>
              </w:rPr>
            </w:pPr>
            <w:r>
              <w:rPr>
                <w:rFonts w:ascii="Arial" w:cs="Arial" w:eastAsia="Arial" w:hAnsi="Arial"/>
                <w:sz w:val="17"/>
                <w:szCs w:val="17"/>
                <w:color w:val="auto"/>
              </w:rPr>
              <w:t>14,138,577</w:t>
            </w:r>
          </w:p>
        </w:tc>
      </w:tr>
      <w:tr>
        <w:trPr>
          <w:trHeight w:val="184"/>
        </w:trPr>
        <w:tc>
          <w:tcPr>
            <w:tcW w:w="346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Giving effect to a one-for-two</w:t>
            </w:r>
          </w:p>
        </w:tc>
        <w:tc>
          <w:tcPr>
            <w:tcW w:w="860" w:type="dxa"/>
            <w:vAlign w:val="bottom"/>
          </w:tcPr>
          <w:p>
            <w:pPr>
              <w:jc w:val="center"/>
              <w:spacing w:after="0" w:line="184" w:lineRule="exact"/>
              <w:rPr>
                <w:sz w:val="20"/>
                <w:szCs w:val="20"/>
                <w:color w:val="auto"/>
              </w:rPr>
            </w:pPr>
            <w:r>
              <w:rPr>
                <w:rFonts w:ascii="Arial" w:cs="Arial" w:eastAsia="Arial" w:hAnsi="Arial"/>
                <w:sz w:val="17"/>
                <w:szCs w:val="17"/>
                <w:color w:val="auto"/>
                <w:w w:val="86"/>
              </w:rPr>
              <w:t>28,000,000</w:t>
            </w:r>
          </w:p>
        </w:tc>
        <w:tc>
          <w:tcPr>
            <w:tcW w:w="104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6,930,712</w:t>
            </w:r>
          </w:p>
        </w:tc>
        <w:tc>
          <w:tcPr>
            <w:tcW w:w="1000" w:type="dxa"/>
            <w:vAlign w:val="bottom"/>
            <w:gridSpan w:val="2"/>
          </w:tcPr>
          <w:p>
            <w:pPr>
              <w:jc w:val="right"/>
              <w:ind w:right="236"/>
              <w:spacing w:after="0" w:line="184" w:lineRule="exact"/>
              <w:rPr>
                <w:sz w:val="20"/>
                <w:szCs w:val="20"/>
                <w:color w:val="auto"/>
              </w:rPr>
            </w:pPr>
            <w:r>
              <w:rPr>
                <w:rFonts w:ascii="Arial" w:cs="Arial" w:eastAsia="Arial" w:hAnsi="Arial"/>
                <w:sz w:val="17"/>
                <w:szCs w:val="17"/>
                <w:color w:val="auto"/>
              </w:rPr>
              <w:t>0</w:t>
            </w:r>
          </w:p>
        </w:tc>
        <w:tc>
          <w:tcPr>
            <w:tcW w:w="1260" w:type="dxa"/>
            <w:vAlign w:val="bottom"/>
            <w:gridSpan w:val="2"/>
          </w:tcPr>
          <w:p>
            <w:pPr>
              <w:jc w:val="right"/>
              <w:ind w:right="14"/>
              <w:spacing w:after="0" w:line="184" w:lineRule="exact"/>
              <w:rPr>
                <w:sz w:val="20"/>
                <w:szCs w:val="20"/>
                <w:color w:val="auto"/>
              </w:rPr>
            </w:pPr>
            <w:r>
              <w:rPr>
                <w:rFonts w:ascii="Arial" w:cs="Arial" w:eastAsia="Arial" w:hAnsi="Arial"/>
                <w:sz w:val="17"/>
                <w:szCs w:val="17"/>
                <w:color w:val="auto"/>
              </w:rPr>
              <w:t>21,069,288</w:t>
            </w:r>
          </w:p>
        </w:tc>
      </w:tr>
      <w:tr>
        <w:trPr>
          <w:trHeight w:val="217"/>
        </w:trPr>
        <w:tc>
          <w:tcPr>
            <w:tcW w:w="3460" w:type="dxa"/>
            <w:vAlign w:val="bottom"/>
            <w:gridSpan w:val="2"/>
          </w:tcPr>
          <w:p>
            <w:pPr>
              <w:ind w:left="160"/>
              <w:spacing w:after="0"/>
              <w:rPr>
                <w:sz w:val="20"/>
                <w:szCs w:val="20"/>
                <w:color w:val="auto"/>
              </w:rPr>
            </w:pPr>
            <w:r>
              <w:rPr>
                <w:rFonts w:ascii="Arial" w:cs="Arial" w:eastAsia="Arial" w:hAnsi="Arial"/>
                <w:sz w:val="17"/>
                <w:szCs w:val="17"/>
                <w:b w:val="1"/>
                <w:bCs w:val="1"/>
                <w:color w:val="auto"/>
              </w:rPr>
              <w:t>reverse stock split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4"/>
        </w:trPr>
        <w:tc>
          <w:tcPr>
            <w:tcW w:w="3460" w:type="dxa"/>
            <w:vAlign w:val="bottom"/>
            <w:gridSpan w:val="2"/>
            <w:shd w:val="clear" w:color="auto" w:fill="CCFFCC"/>
          </w:tcPr>
          <w:p>
            <w:pPr>
              <w:spacing w:after="0" w:line="185" w:lineRule="exact"/>
              <w:rPr>
                <w:sz w:val="20"/>
                <w:szCs w:val="20"/>
                <w:color w:val="auto"/>
              </w:rPr>
            </w:pPr>
            <w:r>
              <w:rPr>
                <w:rFonts w:ascii="Arial" w:cs="Arial" w:eastAsia="Arial" w:hAnsi="Arial"/>
                <w:sz w:val="17"/>
                <w:szCs w:val="17"/>
                <w:b w:val="1"/>
                <w:bCs w:val="1"/>
                <w:color w:val="auto"/>
              </w:rPr>
              <w:t>Giving effect to a one-for-four</w:t>
            </w:r>
          </w:p>
        </w:tc>
        <w:tc>
          <w:tcPr>
            <w:tcW w:w="860" w:type="dxa"/>
            <w:vAlign w:val="bottom"/>
            <w:shd w:val="clear" w:color="auto" w:fill="CCFFCC"/>
          </w:tcPr>
          <w:p>
            <w:pPr>
              <w:jc w:val="center"/>
              <w:spacing w:after="0" w:line="185" w:lineRule="exact"/>
              <w:rPr>
                <w:sz w:val="20"/>
                <w:szCs w:val="20"/>
                <w:color w:val="auto"/>
              </w:rPr>
            </w:pPr>
            <w:r>
              <w:rPr>
                <w:rFonts w:ascii="Arial" w:cs="Arial" w:eastAsia="Arial" w:hAnsi="Arial"/>
                <w:sz w:val="17"/>
                <w:szCs w:val="17"/>
                <w:color w:val="auto"/>
                <w:w w:val="86"/>
              </w:rPr>
              <w:t>28,000,000</w:t>
            </w:r>
          </w:p>
        </w:tc>
        <w:tc>
          <w:tcPr>
            <w:tcW w:w="1040" w:type="dxa"/>
            <w:vAlign w:val="bottom"/>
            <w:gridSpan w:val="2"/>
            <w:shd w:val="clear" w:color="auto" w:fill="CCFFCC"/>
          </w:tcPr>
          <w:p>
            <w:pPr>
              <w:jc w:val="right"/>
              <w:spacing w:after="0" w:line="185" w:lineRule="exact"/>
              <w:rPr>
                <w:sz w:val="20"/>
                <w:szCs w:val="20"/>
                <w:color w:val="auto"/>
              </w:rPr>
            </w:pPr>
            <w:r>
              <w:rPr>
                <w:rFonts w:ascii="Arial" w:cs="Arial" w:eastAsia="Arial" w:hAnsi="Arial"/>
                <w:sz w:val="17"/>
                <w:szCs w:val="17"/>
                <w:color w:val="auto"/>
              </w:rPr>
              <w:t>3,465,356</w:t>
            </w:r>
          </w:p>
        </w:tc>
        <w:tc>
          <w:tcPr>
            <w:tcW w:w="1000" w:type="dxa"/>
            <w:vAlign w:val="bottom"/>
            <w:gridSpan w:val="2"/>
            <w:shd w:val="clear" w:color="auto" w:fill="CCFFCC"/>
          </w:tcPr>
          <w:p>
            <w:pPr>
              <w:jc w:val="right"/>
              <w:ind w:right="236"/>
              <w:spacing w:after="0" w:line="185" w:lineRule="exact"/>
              <w:rPr>
                <w:sz w:val="20"/>
                <w:szCs w:val="20"/>
                <w:color w:val="auto"/>
              </w:rPr>
            </w:pPr>
            <w:r>
              <w:rPr>
                <w:rFonts w:ascii="Arial" w:cs="Arial" w:eastAsia="Arial" w:hAnsi="Arial"/>
                <w:sz w:val="17"/>
                <w:szCs w:val="17"/>
                <w:color w:val="auto"/>
              </w:rPr>
              <w:t>0</w:t>
            </w:r>
          </w:p>
        </w:tc>
        <w:tc>
          <w:tcPr>
            <w:tcW w:w="1260" w:type="dxa"/>
            <w:vAlign w:val="bottom"/>
            <w:gridSpan w:val="2"/>
            <w:shd w:val="clear" w:color="auto" w:fill="CCFFCC"/>
          </w:tcPr>
          <w:p>
            <w:pPr>
              <w:jc w:val="right"/>
              <w:ind w:right="14"/>
              <w:spacing w:after="0" w:line="185" w:lineRule="exact"/>
              <w:rPr>
                <w:sz w:val="20"/>
                <w:szCs w:val="20"/>
                <w:color w:val="auto"/>
              </w:rPr>
            </w:pPr>
            <w:r>
              <w:rPr>
                <w:rFonts w:ascii="Arial" w:cs="Arial" w:eastAsia="Arial" w:hAnsi="Arial"/>
                <w:sz w:val="17"/>
                <w:szCs w:val="17"/>
                <w:color w:val="auto"/>
              </w:rPr>
              <w:t>24,534,644</w:t>
            </w:r>
          </w:p>
        </w:tc>
      </w:tr>
      <w:tr>
        <w:trPr>
          <w:trHeight w:val="217"/>
        </w:trPr>
        <w:tc>
          <w:tcPr>
            <w:tcW w:w="3460" w:type="dxa"/>
            <w:vAlign w:val="bottom"/>
            <w:gridSpan w:val="2"/>
            <w:shd w:val="clear" w:color="auto" w:fill="CCFFCC"/>
          </w:tcPr>
          <w:p>
            <w:pPr>
              <w:ind w:left="160"/>
              <w:spacing w:after="0"/>
              <w:rPr>
                <w:sz w:val="20"/>
                <w:szCs w:val="20"/>
                <w:color w:val="auto"/>
              </w:rPr>
            </w:pPr>
            <w:r>
              <w:rPr>
                <w:rFonts w:ascii="Arial" w:cs="Arial" w:eastAsia="Arial" w:hAnsi="Arial"/>
                <w:sz w:val="17"/>
                <w:szCs w:val="17"/>
                <w:b w:val="1"/>
                <w:bCs w:val="1"/>
                <w:color w:val="auto"/>
              </w:rPr>
              <w:t>reverse stock split</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r>
      <w:tr>
        <w:trPr>
          <w:trHeight w:val="251"/>
        </w:trPr>
        <w:tc>
          <w:tcPr>
            <w:tcW w:w="90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38" w:lineRule="exact"/>
        <w:rPr>
          <w:sz w:val="20"/>
          <w:szCs w:val="20"/>
          <w:color w:val="auto"/>
        </w:rPr>
      </w:pPr>
    </w:p>
    <w:p>
      <w:pPr>
        <w:jc w:val="both"/>
        <w:ind w:left="260" w:right="1239" w:hanging="250"/>
        <w:spacing w:after="0" w:line="253" w:lineRule="auto"/>
        <w:tabs>
          <w:tab w:leader="none" w:pos="2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These estimates assume 13,861,423 shares of Vringo common stock issued and outstanding as of immediately prior to the completion of the Merger, which was the number of shares of Vringo common stock issued and outstanding as of March 12, 2012, the date of the Merger Agreement, and such estimates do not include the shares of Vringo common stock issuable to Innovate/Protect stockholders in connection with the Merger.</w:t>
      </w:r>
    </w:p>
    <w:p>
      <w:pPr>
        <w:spacing w:after="0" w:line="78"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color w:val="auto"/>
        </w:rPr>
        <w:t>Upon completion of the Merger, each share of Innovate/Protect capital stock will be converted into the right to receive a number of shares of Vringo common stock equal to the Exchange Ratio. As of _________, 2012 the last practicable date before the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printing of this proxy statement/prospectus, _________ shares of Vringo common stock were outstanding calculated on a fully</w:t>
      </w:r>
    </w:p>
    <w:p>
      <w:pPr>
        <w:spacing w:after="0" w:line="28" w:lineRule="exact"/>
        <w:rPr>
          <w:sz w:val="20"/>
          <w:szCs w:val="20"/>
          <w:color w:val="auto"/>
        </w:rPr>
      </w:pPr>
    </w:p>
    <w:p>
      <w:pPr>
        <w:jc w:val="both"/>
        <w:ind w:left="40" w:right="1239"/>
        <w:spacing w:after="0" w:line="278" w:lineRule="auto"/>
        <w:rPr>
          <w:sz w:val="20"/>
          <w:szCs w:val="20"/>
          <w:color w:val="auto"/>
        </w:rPr>
      </w:pPr>
      <w:r>
        <w:rPr>
          <w:rFonts w:ascii="Arial" w:cs="Arial" w:eastAsia="Arial" w:hAnsi="Arial"/>
          <w:sz w:val="15"/>
          <w:szCs w:val="15"/>
          <w:color w:val="auto"/>
        </w:rPr>
        <w:t>diluted basis and 12,856,307 shares of Innovate/Protect capital stock were outstanding calculated on a fully diluted basis. Because the Exchange Ratio gives effect to the reverse stock split, if the Merger had been completed as of _________, 2012, assuming a</w:t>
      </w:r>
    </w:p>
    <w:p>
      <w:pPr>
        <w:spacing w:after="0" w:line="1" w:lineRule="exact"/>
        <w:rPr>
          <w:sz w:val="20"/>
          <w:szCs w:val="20"/>
          <w:color w:val="auto"/>
        </w:rPr>
      </w:pPr>
    </w:p>
    <w:p>
      <w:pPr>
        <w:jc w:val="both"/>
        <w:ind w:left="40" w:right="1239"/>
        <w:spacing w:after="0" w:line="278" w:lineRule="auto"/>
        <w:rPr>
          <w:sz w:val="20"/>
          <w:szCs w:val="20"/>
          <w:color w:val="auto"/>
        </w:rPr>
      </w:pPr>
      <w:r>
        <w:rPr>
          <w:rFonts w:ascii="Arial" w:cs="Arial" w:eastAsia="Arial" w:hAnsi="Arial"/>
          <w:sz w:val="15"/>
          <w:szCs w:val="15"/>
          <w:color w:val="auto"/>
        </w:rPr>
        <w:t>reverse stock split ratio of one-for-two, each share of Innovate/Protect capital stock would have converted into and been exchanged for the right to receive _________ shares of Vringo common stock, which would have resulted in an aggregate issuance of</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 shares of Vringo common stock calculated on a fully diluted basis. If the Merger had been completed as of _________,</w:t>
      </w:r>
    </w:p>
    <w:p>
      <w:pPr>
        <w:spacing w:after="0" w:line="28" w:lineRule="exact"/>
        <w:rPr>
          <w:sz w:val="20"/>
          <w:szCs w:val="20"/>
          <w:color w:val="auto"/>
        </w:rPr>
      </w:pPr>
    </w:p>
    <w:p>
      <w:pPr>
        <w:jc w:val="both"/>
        <w:ind w:left="40" w:right="1239"/>
        <w:spacing w:after="0" w:line="278" w:lineRule="auto"/>
        <w:rPr>
          <w:sz w:val="20"/>
          <w:szCs w:val="20"/>
          <w:color w:val="auto"/>
        </w:rPr>
      </w:pPr>
      <w:r>
        <w:rPr>
          <w:rFonts w:ascii="Arial" w:cs="Arial" w:eastAsia="Arial" w:hAnsi="Arial"/>
          <w:sz w:val="15"/>
          <w:szCs w:val="15"/>
          <w:color w:val="auto"/>
        </w:rPr>
        <w:t>2012, assuming a reverse stock split ratio of one-for-four, each share of Innovate/Protect capital stock would have converted into and been exchanged for the right to receive _________ shares of Vringo common stock, which would have resulted in an aggregate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issuance of _________ shares of Vringo common stock calculated on a fully diluted basis.</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Effective Date</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reverse stock split will become effective on the date of filing of the certificate of amendment to the Vringo Certificate with the office of the Secretary of State of the State of Delaware. Except as explained below with respect to fractional shares, on the effective date of the reverse stock split, shares of Vringo common stock issued and outstanding immediately prior to such effective date will be combined and converted, automatically and without any action on the part of the Vringo stockholders, into new shares of Vringo common stock in accordance with the reverse stock split ratio determined immediately prior to the completion of the Merger within the range set forth in this Reverse Stock Split Proposal.</w:t>
      </w:r>
    </w:p>
    <w:p>
      <w:pPr>
        <w:spacing w:after="0" w:line="200" w:lineRule="exact"/>
        <w:rPr>
          <w:sz w:val="20"/>
          <w:szCs w:val="20"/>
          <w:color w:val="auto"/>
        </w:rPr>
      </w:pPr>
    </w:p>
    <w:p>
      <w:pPr>
        <w:spacing w:after="0" w:line="27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Fractional Shares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will not issue fractional shares in connection with the Reverse Stock Split. Instead, any fractional share resulting from the Reverse Stock Split will be rounded up to the nearest whole share.</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Exchange of Stock Certificates</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 xml:space="preserve">As soon as practicable following the effective date of the reverse stock split, Vringo stockholders will be notified that the reverse stock split has been effected. Vringo’s transfer agent will act as exchange agent for purposes of implementing the exchange of stock certificates. Holders of pre-reverse stock split shares will be asked to surrender to the exchange agent certificates representing pre-reverse stock split shares in exchange for certificates representing post-reverse stock split shares in accordance with the procedures to be set forth in a letter of transmittal to be sent by the exchange agent. No new certificates will be issued to a Vringo stockholder until such stockholder has surrendered such stockholder’s outstanding certificate(s), together with the properly completed and executed letter of transmittal to the exchange agent. </w:t>
      </w:r>
      <w:r>
        <w:rPr>
          <w:rFonts w:ascii="Arial" w:cs="Arial" w:eastAsia="Arial" w:hAnsi="Arial"/>
          <w:sz w:val="15"/>
          <w:szCs w:val="15"/>
          <w:b w:val="1"/>
          <w:bCs w:val="1"/>
          <w:color w:val="auto"/>
        </w:rPr>
        <w:t>Vringo stockholders should not destroy any Vringo stock</w:t>
      </w:r>
      <w:r>
        <w:rPr>
          <w:rFonts w:ascii="Arial" w:cs="Arial" w:eastAsia="Arial" w:hAnsi="Arial"/>
          <w:sz w:val="15"/>
          <w:szCs w:val="15"/>
          <w:color w:val="auto"/>
        </w:rPr>
        <w:t xml:space="preserve"> </w:t>
      </w:r>
      <w:r>
        <w:rPr>
          <w:rFonts w:ascii="Arial" w:cs="Arial" w:eastAsia="Arial" w:hAnsi="Arial"/>
          <w:sz w:val="15"/>
          <w:szCs w:val="15"/>
          <w:b w:val="1"/>
          <w:bCs w:val="1"/>
          <w:color w:val="auto"/>
        </w:rPr>
        <w:t>certificates and should not submit any such certificates until requested to do so.</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Accounting Consequences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par value per share of Vringo common stock will remain unchanged at $0.01 per share following the reverse stock split. As a result, on the effective date of the reverse stock split, the stated capital on Vringo’s balance sheet attributable to Vringo common stock will be reduced proportionally, based on the reverse stock split ratio, from its present amount, and the additional paid-in capital account shall be credited with the amount by which the stated capital is reduced. The per share common stock net income or loss and net book value will be increased because there will be fewer shares of Vringo common stock outstanding. Vringo does not anticipate that any other accounting consequences will arise as a result of the reverse stock split.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Material U.S. Federal Income Tax Consequences of the Reverse Stock Split</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following discussion summarizes the anticipated material U.S. federal income tax consequences of the reverse stock split. This summary is based upon current provisions of the Code, existing Treasury Regulations, and current administrative rulings and court decisions, all of which are subject to change and to differing interpretations, possibly with retroactive effect. Any such change could alter the tax consequences to Vringo or the Vringo stockholders, as described in this summary. This summary is not binding on the IRS, and there can be no assurance that the IRS (or a court, in the event of an IRS challenge) will agree with the conclusions stated herein. No ruling has been or will be requested from the IRS in connection with the reverse stock split.</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This discussion is not intended to be a complete analysis or description of all potential U.S. federal income tax consequences of the reverse stock split. Moreover, this discussion does not address U.S. federal income tax consequences of the reverse stock split that may vary with individual circumstances. In addition, the discussion set forth below does not address any U.S. federal non-income tax or any state, local or foreign tax consequences of the reverse stock split and does not address the tax consequences of any transaction other than the reverse stock split.</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reverse stock split is expected to qualify as a “recapitalization” within the meaning of Section 368(a) of the Code.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Assuming the reverse stock split so qualifies, the following consequences will result:</w:t>
      </w:r>
    </w:p>
    <w:p>
      <w:pPr>
        <w:spacing w:after="0" w:line="93" w:lineRule="exact"/>
        <w:rPr>
          <w:sz w:val="20"/>
          <w:szCs w:val="20"/>
          <w:color w:val="auto"/>
        </w:rPr>
      </w:pPr>
    </w:p>
    <w:p>
      <w:pPr>
        <w:ind w:left="560" w:hanging="300"/>
        <w:spacing w:after="0"/>
        <w:tabs>
          <w:tab w:leader="none" w:pos="5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 gain or loss will be recognized by Vringo as a result of the reverse stock split;</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Vringo stockholder generally will recognize no gain or loss upon the receipt of Vringo common stock in the reverse stock split;</w:t>
      </w:r>
    </w:p>
    <w:p>
      <w:pPr>
        <w:spacing w:after="0" w:line="6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Vringo stockholder’s aggregate tax basis in the post-reverse stock split shares of Vringo common stock received in the reverse stock split will be equal to the aggregate tax basis of the pre-reverse stock split shares of Vringo common stock exchanged therefor; and</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right="1239" w:hanging="300"/>
        <w:spacing w:after="0" w:line="335" w:lineRule="auto"/>
        <w:tabs>
          <w:tab w:leader="none" w:pos="5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 Vringo stockholder’s holding period of the post-reverse stock split shares of Vringo common stock received in the reverse stock split will include such stockholder’s holding period of the pre-reverse stock split shares exchanged therefor.</w:t>
      </w:r>
    </w:p>
    <w:p>
      <w:pPr>
        <w:spacing w:after="0" w:line="1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b w:val="1"/>
          <w:bCs w:val="1"/>
          <w:color w:val="auto"/>
        </w:rPr>
        <w:t>Vringo stockholders are advised and expected to consult their own tax advisors regarding the U.S. federal income tax consequences of the reverse stock split in light of their personal circumstances and the consequences of the reverse stock split under U.S. federal non-income tax laws and state, local, and foreign tax laws.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 Appraisal Rights</w:t>
      </w:r>
    </w:p>
    <w:p>
      <w:pPr>
        <w:spacing w:after="0" w:line="105"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Under the DGCL, Vringo stockholders are not entitled to appraisal rights with respect to the proposed amendment to the Vringo Certificate to effect the reverse stock split and Vringo will not independently provide the Vringo stockholders with any such rights.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approval of this Reverse Stock Split Proposal will be necessary to enable the combined company to become listed on the NYSE Amex upon completion of the Merger, if Vringo’s stock price remains below $3.00 per share prior to the Merger. From April 9, 2012 until May 18, 2012 the Vringo common stock had a closing price of $3.00 or above for each trading day. On May 25, 2012, the closing price of Vringo common stock was $3.39. If the Vringo common stock continues to trade at or above $3.00 at the time of the Merger, Vringo does not anticipate that it will need to undertake a reverse stock split, even if Vringo obtains stockholder approval to do so.</w:t>
      </w:r>
    </w:p>
    <w:p>
      <w:pPr>
        <w:spacing w:after="0" w:line="81"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Approval of this Reverse Stock Split Proposal requires the affirmative vote of the holders of a majority of the shares of Vringo common stock outstanding and entitled to vote on the matter either in person or by proxy at the Vringo annual meeting. For purposes of the vote on this Reverse Stock Split Proposal, an abstention, a “broker non-vote,” or a failure to submit a proxy or vote at the Vringo annual meeting will have the same effect as voting “AGAINST” this Reverse Stock Split Proposal.</w:t>
      </w:r>
    </w:p>
    <w:p>
      <w:pPr>
        <w:spacing w:after="0" w:line="14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VRINGO BOARD OF DIRECTORS RECOMMENDS A VOTE “FOR” THE</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REVERSE STOCK SPLIT PROPOSAL.</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jc w:val="both"/>
        <w:ind w:left="40" w:right="1239"/>
        <w:spacing w:after="0" w:line="259" w:lineRule="auto"/>
        <w:rPr>
          <w:sz w:val="20"/>
          <w:szCs w:val="20"/>
          <w:color w:val="auto"/>
        </w:rPr>
      </w:pPr>
      <w:r>
        <w:rPr>
          <w:rFonts w:ascii="Arial" w:cs="Arial" w:eastAsia="Arial" w:hAnsi="Arial"/>
          <w:sz w:val="17"/>
          <w:szCs w:val="17"/>
          <w:b w:val="1"/>
          <w:bCs w:val="1"/>
          <w:color w:val="auto"/>
        </w:rPr>
        <w:t>Vringo Proposal No. 3: Approval of an Amendment to Vringo’s Amended and Restated Certificate of Incorporation to Increase the Number of Shares of Common Stock Authorized for Issuance from 28,000,000 to up to a maximum of 150,000,000</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Overview</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The Vringo board of directors has unanimously approved a proposal to amend the Vringo Certificate to increase the authorized number of shares of Vringo common stock from 28,000,000 shares to up to a maximum of 150,000,000 shares, with the exact number to be determined by Innovate/Protect prior to the completion of the Merger. The Vringo board of directors believes that stockholder approval of an amendment granting the board this discretion, rather than approval of a specific number of shares, provides the appropriate flexibility to determine the appropriate number of authorized shares of Vringo common stock based on the needs of the company and, therefore, is in the best interests of Vringo and its stockholders. The Vringo board of directors has recommended that this proposal be presented to the Vringo stockholders for approval. The text of the form of proposed amendment to the Vringo Certificate to increase the authorized shares of Vringo common stock to up to a maximum of 150,000,000 shares is attached to this proxy statement/prospectus as </w:t>
      </w:r>
      <w:r>
        <w:rPr>
          <w:rFonts w:ascii="Arial" w:cs="Arial" w:eastAsia="Arial" w:hAnsi="Arial"/>
          <w:sz w:val="16"/>
          <w:szCs w:val="16"/>
          <w:u w:val="single" w:color="auto"/>
          <w:color w:val="auto"/>
        </w:rPr>
        <w:t>Annex C</w:t>
      </w:r>
      <w:r>
        <w:rPr>
          <w:rFonts w:ascii="Arial" w:cs="Arial" w:eastAsia="Arial" w:hAnsi="Arial"/>
          <w:sz w:val="16"/>
          <w:szCs w:val="16"/>
          <w:color w:val="auto"/>
        </w:rPr>
        <w: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Reasons for the Increase in Authorized Shares</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Although at present, apart from the shares to be issued pursuant to the Merger, the Vringo board of directors has no other plans to issue the additional shares of Vringo common stock, it desires to have such shares available to provide additional flexibility to use Vringo capital stock for business and financial purposes in the future. The additional shares may be used for various purposes without further stockholder approval. These purposes may include, among others:</w:t>
      </w:r>
    </w:p>
    <w:p>
      <w:pPr>
        <w:spacing w:after="0" w:line="62" w:lineRule="exact"/>
        <w:rPr>
          <w:sz w:val="20"/>
          <w:szCs w:val="20"/>
          <w:color w:val="auto"/>
        </w:rPr>
      </w:pPr>
    </w:p>
    <w:p>
      <w:pPr>
        <w:ind w:left="560" w:hanging="300"/>
        <w:spacing w:after="0"/>
        <w:tabs>
          <w:tab w:leader="none" w:pos="5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raising capital;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providing equity incentives to employees, officers, and directors;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establishing strategic relationships with other companies.</w:t>
      </w:r>
    </w:p>
    <w:p>
      <w:pPr>
        <w:spacing w:after="0" w:line="105"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In determining the exact increase in the number of authorized shares of Vringo common stock and in addition to consideration of the foregoing purposes for which such shares may be used, Innovate/Protect will also consider current market conditions, the number of shares authorized by similar development stage companies, and the number of shares available as a result of the reverse stock split discussed above under Proposal No. 2 above. The terms of the additional shares of Vringo common stock will be identical to those of the currently outstanding shares of Vringo common stock. The approval to increase the authorized shares of Vringo common stock could result in Vringo or the combined company having the ability to issue more shares, unless required by the NYSE Amex, without further stockholder approval. The increase in the authorized shares of Vringo common stock could be used by the Vringo board of directors to make more difficult, and thereby discourage, delay or prevent, an attempt to acquire control of Vringo. For example, the shares could be privately placed with investors who might support the Vringo board of directors in opposing a hostile takeover. The issuance of new shares also could be used to dilute the stock ownership and voting power of a third party seeking to effect a change in the composition of the board of directors or contemplating a tender offer or other transaction for the combination of Vringo with another company. While the amendment to the Vringo Certificate to effect a reverse stock split may have potential antitakeover effects, it is not prompted by any specific effort or takeover threat currently perceived by the Vringo board of directors or management. Neither Vringo nor Innovate/Protect have any current plan, commitment, arrangement, understanding, or agreement, written or oral, to issue shares of Vringo common stock, other than in connection with the Merger, to satisfy obligations under outstanding options to purchase shares of Vringo common stock, and to satisfy obligations under outstanding options and warrants to purchase Innovate/Protect capital stock as such options and warrants are exercised (following the completion of the Merger), each of which will be assumed by Vringo in connection with the Merger.</w:t>
      </w:r>
    </w:p>
    <w:p>
      <w:pPr>
        <w:spacing w:after="0" w:line="61"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By approving this amendment, the Vringo stockholders will (i) approve a series of amendments to the Vringo Certificate pursuant to which any whole number of shares of Vringo common stock between 28,000,000 and up to 150,000,000 would be authorized for issuance and (ii) authorize the Vringo board of directors to (a) file only one such amendment and (b) abandon each amendment not selected. In addition, Vringo may elect not to undertake an increase in authorized shares of Vringo common stock.</w:t>
      </w:r>
    </w:p>
    <w:p>
      <w:pPr>
        <w:spacing w:after="0" w:line="200" w:lineRule="exact"/>
        <w:rPr>
          <w:sz w:val="20"/>
          <w:szCs w:val="20"/>
          <w:color w:val="auto"/>
        </w:rPr>
      </w:pPr>
    </w:p>
    <w:p>
      <w:pPr>
        <w:spacing w:after="0" w:line="26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approval of this Authorized Shares Increase Proposal is necessary to enable Vringo to issue the required number of shares of Vringo common stock issuable to Innovate/Protect stockholders in connection with the Merger.</w:t>
      </w:r>
    </w:p>
    <w:p>
      <w:pPr>
        <w:spacing w:after="0" w:line="66"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Approval of this Authorized Shares Increase Proposal requires the affirmative vote of the holders of a majority of the shares of Vringo common stock outstanding and entitled to vote on the matter either in person or by proxy at the Vringo annual meeting. For purposes of the vote on this Authorized Shares Increase Proposal, an abstention, a “broker non-vote,” or a failure to submit a proxy or vote at the Vringo annual meeting will have the same effect as voting “AGAINST” this Authorized Shares Increase Proposal.</w:t>
      </w:r>
    </w:p>
    <w:p>
      <w:pPr>
        <w:spacing w:after="0" w:line="14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VRINGO BOARD OF DIRECTORS RECOMMENDS A VOTE “FOR” THE</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AUTHORIZED SHARES INCREASE PROPOSAL.</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Vringo Proposal No. 4: Election of Directors</w:t>
      </w:r>
    </w:p>
    <w:p>
      <w:pPr>
        <w:spacing w:after="0" w:line="109"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These seven (7) director nominees, if elected at the annual meeting, will hold office until the next annual meeting or until their successors are duly elected and qualify or until their earlier death, resignation or removal, which election shall be subject to the closing of the Merger. There are no family relationships among any of Vringo’s directors and executive officers.</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director nominees are:</w:t>
      </w:r>
    </w:p>
    <w:p>
      <w:pPr>
        <w:spacing w:after="0" w:line="10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Andrew D. Perlman</w:t>
      </w:r>
    </w:p>
    <w:p>
      <w:pPr>
        <w:spacing w:after="0" w:line="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Seth M. Siegel</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John Engelman</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Andrew Kennedy Lang</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Alexander R. Berger</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Donald E. Stout</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H. Van Sinclair</w:t>
      </w:r>
    </w:p>
    <w:p>
      <w:pPr>
        <w:spacing w:after="0" w:line="93"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For information about each of the director nominees and other relevant information with respect to the Election of Director Proposal, please refer to the section entitled “Management of the Combined Company Following the Merger.”</w:t>
      </w:r>
    </w:p>
    <w:p>
      <w:pPr>
        <w:spacing w:after="0" w:line="4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If for any reason any nominee does not stand for election, any proxies we receive will be voted in favor of the remaining nominees and may be voted for substitute nominees in place of those who do not stand. Vringo has no reason to expect that any of the nominees will not stand for election.</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affirmative vote of a plurality of the voting power of the shares present or represented by proxy at the Vringo annual meeting and entitled to vote on the election of directors is required to elect each nominee as a director.</w:t>
      </w:r>
    </w:p>
    <w:p>
      <w:pPr>
        <w:spacing w:after="0" w:line="163" w:lineRule="exact"/>
        <w:rPr>
          <w:sz w:val="20"/>
          <w:szCs w:val="20"/>
          <w:color w:val="auto"/>
        </w:rPr>
      </w:pPr>
    </w:p>
    <w:p>
      <w:pPr>
        <w:jc w:val="center"/>
        <w:ind w:right="1239"/>
        <w:spacing w:after="0" w:line="282" w:lineRule="auto"/>
        <w:rPr>
          <w:sz w:val="20"/>
          <w:szCs w:val="20"/>
          <w:color w:val="auto"/>
        </w:rPr>
      </w:pPr>
      <w:r>
        <w:rPr>
          <w:rFonts w:ascii="Arial" w:cs="Arial" w:eastAsia="Arial" w:hAnsi="Arial"/>
          <w:sz w:val="16"/>
          <w:szCs w:val="16"/>
          <w:b w:val="1"/>
          <w:bCs w:val="1"/>
          <w:color w:val="auto"/>
        </w:rPr>
        <w:t>THE VRINGO BOARD OF DIRECTORS RECOMMENDS A VOTE “FOR” THE ELECTION OF ANDREW D. PERLMAN, SETH M. SIEGEL, JOHN ENGELMAN, ANDREW KENNEDY LANG, ALEXANDER R. BERGER, DONALD E. STOUT AND H. VAN SINCLAIR AS DIRECTORS OF THE VRINGO BOARD OF DIRECTORS.</w:t>
      </w:r>
    </w:p>
    <w:p>
      <w:pPr>
        <w:spacing w:after="0" w:line="200" w:lineRule="exact"/>
        <w:rPr>
          <w:sz w:val="20"/>
          <w:szCs w:val="20"/>
          <w:color w:val="auto"/>
        </w:rPr>
      </w:pPr>
    </w:p>
    <w:p>
      <w:pPr>
        <w:spacing w:after="0" w:line="27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right="1839"/>
        <w:spacing w:after="0" w:line="394" w:lineRule="auto"/>
        <w:rPr>
          <w:sz w:val="20"/>
          <w:szCs w:val="20"/>
          <w:color w:val="auto"/>
        </w:rPr>
      </w:pPr>
      <w:r>
        <w:rPr>
          <w:rFonts w:ascii="Arial" w:cs="Arial" w:eastAsia="Arial" w:hAnsi="Arial"/>
          <w:sz w:val="17"/>
          <w:szCs w:val="17"/>
          <w:b w:val="1"/>
          <w:bCs w:val="1"/>
          <w:color w:val="auto"/>
        </w:rPr>
        <w:t>Vringo Proposal No. 5: Approval of the Vringo, Inc. 2012 Employee, Director and Consultant Equity Incentive Plan General</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2012 Equity Incentive Plan, or the 2012 Plan, was approved by the Vringo board of directors on ____________, 2012.</w:t>
      </w:r>
    </w:p>
    <w:p>
      <w:pPr>
        <w:spacing w:after="0" w:line="12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2012 Plan is being submitted to you for approval at the annual meeting in order to ensure favorable federal income tax treatment for grants of incentive stock options under Section 422 of the Code and eligibilty under Rule 162(m) of the Code to receive a U.S. federal income tax reduction with respect to compensation earned upon exercise of options under the 2012 Plan. Approval by Vringo’s stockholders of the 2012 Plan is also required by the listing rules of the NYSE Amex.</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2012 Plan replaces Vringo’s 2006 Stock Option Plan which will be terminated with the remaining 9.1 million authorized shares thereunder cancelled if the stockholders approve the 2012 Plan. The 2012 Plan is being replaced in order to ensure full compliance with legal and tax requirements under U.S. law.</w:t>
      </w:r>
    </w:p>
    <w:p>
      <w:pPr>
        <w:spacing w:after="0" w:line="76"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color w:val="auto"/>
        </w:rPr>
        <w:t>The proposed number of shares subject to the 2012 Plan is the sum of: (i) 15.6 million shares of common stock, which constitutes 6.5 million new shares and 9.1 million previously authorized but unissued shares under the 2006 Stock Option Plan and</w:t>
      </w:r>
    </w:p>
    <w:p>
      <w:pPr>
        <w:spacing w:after="0" w:line="1" w:lineRule="exact"/>
        <w:rPr>
          <w:sz w:val="20"/>
          <w:szCs w:val="20"/>
          <w:color w:val="auto"/>
        </w:rPr>
      </w:pPr>
    </w:p>
    <w:p>
      <w:pPr>
        <w:jc w:val="both"/>
        <w:ind w:left="40" w:right="1239" w:firstLine="7"/>
        <w:spacing w:after="0" w:line="247" w:lineRule="auto"/>
        <w:tabs>
          <w:tab w:leader="none" w:pos="29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shares of common stock that are represented by awards granted under Vringo’s 2006 Stock Option Plan that are forfeited, expire or are cancelled without delivery of shares of common stock or which result in the forfeiture of shares of common stock back to Vringo on or after the date of the 2012 Plan approval by the stockholders of Vringo, or the equivalent of such number of shares after the administrator, in its sole discretion, has interpreted the effect of any stock split, stock dividend, combination, recapitalization or similar transaction in accordance with the 2012 Plan; provided, however, that no more than 3.2 million shares shall be added to the 2012 Plan.</w:t>
      </w:r>
    </w:p>
    <w:p>
      <w:pPr>
        <w:spacing w:after="0" w:line="84"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As of May 25, 2012, options to purchase an aggregate of 4,623,863 shares of common stock, having a weighted-average exercise price of $2.14 with expiration terms of six years, were outstanding under Vringo’s 2006 Stock Option Plan.</w:t>
      </w:r>
    </w:p>
    <w:p>
      <w:pPr>
        <w:spacing w:after="0" w:line="4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Generally shares of common stock reserved for awards under the 2012 Plan that lapse or are canceled will be added back to the share reserve available for future awards. However, shares of common stock tendered in payment for an award or shares of common stock withheld for taxes will not be available again for grant. The 2012 Plan provides that no participant may receive awards for more than 4.0 million shares of common stock in any fiscal year.</w:t>
      </w:r>
    </w:p>
    <w:p>
      <w:pPr>
        <w:spacing w:after="0" w:line="78"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Vringo board of directors, the Compensation Committee and management all believe that the effective use of stock-based long-term incentive compensation is vital to Vringo’s ability to achieve strong performance in the future. The 2012 Plan will maintain and enhance the key policies and practices adopted by Vringo’s management and its board of directors to align employee and stockholder interests. In addition, Vringo’s future success depends, in large part, upon Vringo’s ability to maintain a competitive position in attracting, retaining and motivating key personnel. Accordingly, the Vringo board of directors believes that approval of the 2012 Plan is in Vringo’s best interests and those of its stockholders and recommends a vote “FOR” the approval of the 2012 Plan.</w:t>
      </w:r>
    </w:p>
    <w:p>
      <w:pPr>
        <w:spacing w:after="0" w:line="84"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The following is a brief summary of the 2012 Plan. This summary is qualified in its entirety by reference to the text of the 2012 Plan, a copy of which is attached as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to this proxy statement/prospectus.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Material Features of the 2012 Plan</w:t>
      </w:r>
    </w:p>
    <w:p>
      <w:pPr>
        <w:spacing w:after="0" w:line="105"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b w:val="1"/>
          <w:bCs w:val="1"/>
          <w:color w:val="auto"/>
        </w:rPr>
        <w:t xml:space="preserve">Eligibility. </w:t>
      </w:r>
      <w:r>
        <w:rPr>
          <w:rFonts w:ascii="Arial" w:cs="Arial" w:eastAsia="Arial" w:hAnsi="Arial"/>
          <w:sz w:val="15"/>
          <w:szCs w:val="15"/>
          <w:color w:val="auto"/>
        </w:rPr>
        <w:t>The 2012 Plan allows Vringo, under the direction of its Compensation Committee, to make grants of stock options,</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and unrestricted stock awards and other stock-based awards to employees, consultants and directors who, in the opinion of the Compensation Committee, are in a position to make a significant contribution to Vringo’s long-term success. The purpose of these awards is to attract and retain key individuals, further align employee and stockholder interests, and to closely link compensation with Vringo’s performance. The 2012 Plan provides an essential component of the total compensation package, reflecting the importance that Vringo places on aligning the interests of key individuals with those of Vringo stockholders.</w:t>
      </w:r>
    </w:p>
    <w:p>
      <w:pPr>
        <w:spacing w:after="0" w:line="200" w:lineRule="exact"/>
        <w:rPr>
          <w:sz w:val="20"/>
          <w:szCs w:val="20"/>
          <w:color w:val="auto"/>
        </w:rPr>
      </w:pPr>
    </w:p>
    <w:p>
      <w:pPr>
        <w:spacing w:after="0" w:line="26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All employees, directors and consultants of Vringo and its affiliates are eligible to participate in the 2012 Plan. As of May 25, 2012, there were approximately 40 individuals eligible to participate.</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Stock options granted under the 2012 Plan may either be incentive stock options, which are intended to satisfy</w:t>
      </w:r>
      <w:r>
        <w:rPr>
          <w:rFonts w:ascii="Arial" w:cs="Arial" w:eastAsia="Arial" w:hAnsi="Arial"/>
          <w:sz w:val="16"/>
          <w:szCs w:val="16"/>
          <w:b w:val="1"/>
          <w:bCs w:val="1"/>
          <w:color w:val="auto"/>
        </w:rPr>
        <w:t xml:space="preserve"> </w:t>
      </w:r>
      <w:r>
        <w:rPr>
          <w:rFonts w:ascii="Arial" w:cs="Arial" w:eastAsia="Arial" w:hAnsi="Arial"/>
          <w:sz w:val="16"/>
          <w:szCs w:val="16"/>
          <w:color w:val="auto"/>
        </w:rPr>
        <w:t>the requirements of Section 422 of the Code, or non-qualified stock options, which are not intended to meet those requirements. Incentive stock options may be granted to employees of Vringo and its affiliates. Non-qualified options may be granted to employees, directors and consultants of Vringo and its affiliates. The exercise price of a stock option may not be less than 100% of the fair market value of Vringo common stock on the date of grant. If an incentive stock option is granted to an individual who owns more than 10% of the combined voting power of all classes of the Vringo capital stock, the exercise price may not be less than 110% of the fair market value of Vringo common stock on the date of grant and the term of the option may not be longer than five years.</w:t>
      </w:r>
    </w:p>
    <w:p>
      <w:pPr>
        <w:spacing w:after="0" w:line="71"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12 months after termination of service on account of death or total and permanent disability.</w:t>
      </w:r>
    </w:p>
    <w:p>
      <w:pPr>
        <w:spacing w:after="0" w:line="44" w:lineRule="exact"/>
        <w:rPr>
          <w:sz w:val="20"/>
          <w:szCs w:val="20"/>
          <w:color w:val="auto"/>
        </w:rPr>
      </w:pPr>
    </w:p>
    <w:p>
      <w:pPr>
        <w:jc w:val="both"/>
        <w:ind w:left="40" w:right="1239" w:firstLine="251"/>
        <w:spacing w:after="0" w:line="309" w:lineRule="auto"/>
        <w:rPr>
          <w:sz w:val="20"/>
          <w:szCs w:val="20"/>
          <w:color w:val="auto"/>
        </w:rPr>
      </w:pP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Restricted stock is common stock that is subject to restrictions, including a prohibition against transfer and a</w:t>
      </w:r>
      <w:r>
        <w:rPr>
          <w:rFonts w:ascii="Arial" w:cs="Arial" w:eastAsia="Arial" w:hAnsi="Arial"/>
          <w:sz w:val="15"/>
          <w:szCs w:val="15"/>
          <w:b w:val="1"/>
          <w:bCs w:val="1"/>
          <w:color w:val="auto"/>
        </w:rPr>
        <w:t xml:space="preserve"> </w:t>
      </w:r>
      <w:r>
        <w:rPr>
          <w:rFonts w:ascii="Arial" w:cs="Arial" w:eastAsia="Arial" w:hAnsi="Arial"/>
          <w:sz w:val="15"/>
          <w:szCs w:val="15"/>
          <w:color w:val="auto"/>
        </w:rPr>
        <w:t>substantial risk of forfeiture, until the end of a “restricted period” during which the grantee must satisfy certain vesting conditions. If the grantee does not satisfy the vesting conditions by the end of the restricted period, the restricted stock is forfeited.</w:t>
      </w:r>
    </w:p>
    <w:p>
      <w:pPr>
        <w:spacing w:after="0" w:line="3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During the restricted period, the holder of restricted stock has the rights and privileges of a regular stockholder, except that the restrictions set forth in the applicable award agreement apply. For example, the holder of restricted stock may vote and receive dividends on the restricted shares; but he or she may not sell the shares until the restrictions are lifted.</w:t>
      </w:r>
    </w:p>
    <w:p>
      <w:pPr>
        <w:spacing w:after="0" w:line="54"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 xml:space="preserve">Other Stock-Based Awards. </w:t>
      </w:r>
      <w:r>
        <w:rPr>
          <w:rFonts w:ascii="Arial" w:cs="Arial" w:eastAsia="Arial" w:hAnsi="Arial"/>
          <w:sz w:val="17"/>
          <w:szCs w:val="17"/>
          <w:color w:val="auto"/>
        </w:rPr>
        <w:t>The 2012 Plan also authorizes the grant of other types of stock-based compensation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but not limited to stock appreciation rights, phantom stock awards, and stock unit awards.</w:t>
      </w:r>
    </w:p>
    <w:p>
      <w:pPr>
        <w:spacing w:after="0" w:line="58"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In accordance with the terms of the 2012 Plan, the Vringo board of directors has authorized its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to administer the 2012 Plan. The Compensation Committee may delegate part of its authority and powers under the 2012 Plan to one or more of Vringo’s directors and/or officers, but only the Compensation Committee can make awards to participants who are directors or executive officers of Vringo. In accordance with the provisions of the 2012 Plan, the Compensation Committee determines the terms of awards, including:</w:t>
      </w:r>
    </w:p>
    <w:p>
      <w:pPr>
        <w:spacing w:after="0" w:line="64" w:lineRule="exact"/>
        <w:rPr>
          <w:sz w:val="20"/>
          <w:szCs w:val="20"/>
          <w:color w:val="auto"/>
        </w:rPr>
      </w:pPr>
    </w:p>
    <w:p>
      <w:pPr>
        <w:ind w:left="560" w:hanging="300"/>
        <w:spacing w:after="0"/>
        <w:tabs>
          <w:tab w:leader="none" w:pos="5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which employees, directors and consultants will be granted awards;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number of shares subject to each award;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vesting provisions of each award;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termination or cancellation provisions applicable to awards;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all other terms and conditions upon which each award may be granted in accordance with the 2012 Plan.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addition, the Compensation Committee may, in its discretion, amend any term or condition of an outstanding award provided</w:t>
      </w:r>
    </w:p>
    <w:p>
      <w:pPr>
        <w:spacing w:after="0" w:line="40" w:lineRule="exact"/>
        <w:rPr>
          <w:sz w:val="20"/>
          <w:szCs w:val="20"/>
          <w:color w:val="auto"/>
        </w:rPr>
      </w:pPr>
    </w:p>
    <w:p>
      <w:pPr>
        <w:jc w:val="both"/>
        <w:ind w:left="40" w:right="1239" w:firstLine="7"/>
        <w:spacing w:after="0" w:line="268" w:lineRule="auto"/>
        <w:tabs>
          <w:tab w:leader="none" w:pos="25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such term or condition as amended is permitted by the 2012 Plan, and (ii) any such amendment shall be made only with the consent of the participant to whom such award was made, if the amendment is adverse to the participant; and provided, further, that, without the prior approval of our stockholders, options and stock appreciation rights will not be repriced, replaced or regranted through cancellation or by lowering the exercise price of a previously granted award.</w:t>
      </w:r>
    </w:p>
    <w:p>
      <w:pPr>
        <w:spacing w:after="0" w:line="64"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Stock Dividends and Stock Splits. </w:t>
      </w:r>
      <w:r>
        <w:rPr>
          <w:rFonts w:ascii="Arial" w:cs="Arial" w:eastAsia="Arial" w:hAnsi="Arial"/>
          <w:sz w:val="17"/>
          <w:szCs w:val="17"/>
          <w:color w:val="auto"/>
        </w:rPr>
        <w:t>If Vringo common stock shall be subdivided or combined into a greater or smaller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or if we issue any shares of common stock as a stock dividend, the number of shares of Vringo common stock deliverable upon exercise of an option issued or upon issuance of</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67" w:lineRule="auto"/>
        <w:rPr>
          <w:sz w:val="20"/>
          <w:szCs w:val="20"/>
          <w:color w:val="auto"/>
        </w:rPr>
      </w:pPr>
      <w:r>
        <w:rPr>
          <w:rFonts w:ascii="Arial" w:cs="Arial" w:eastAsia="Arial" w:hAnsi="Arial"/>
          <w:sz w:val="17"/>
          <w:szCs w:val="17"/>
          <w:color w:val="auto"/>
        </w:rPr>
        <w:t>an award shall be appropriately increased or decreased proportionately, and appropriate adjustments shall be made in the purchase price per share to reflect such subdivision, combination or stock dividend.</w:t>
      </w:r>
    </w:p>
    <w:p>
      <w:pPr>
        <w:spacing w:after="0" w:line="62" w:lineRule="exact"/>
        <w:rPr>
          <w:sz w:val="20"/>
          <w:szCs w:val="20"/>
          <w:color w:val="auto"/>
        </w:rPr>
      </w:pPr>
    </w:p>
    <w:p>
      <w:pPr>
        <w:ind w:left="40" w:right="1239" w:firstLine="251"/>
        <w:spacing w:after="0" w:line="304" w:lineRule="auto"/>
        <w:rPr>
          <w:sz w:val="20"/>
          <w:szCs w:val="20"/>
          <w:color w:val="auto"/>
        </w:rPr>
      </w:pPr>
      <w:r>
        <w:rPr>
          <w:rFonts w:ascii="Arial" w:cs="Arial" w:eastAsia="Arial" w:hAnsi="Arial"/>
          <w:sz w:val="16"/>
          <w:szCs w:val="16"/>
          <w:b w:val="1"/>
          <w:bCs w:val="1"/>
          <w:color w:val="auto"/>
        </w:rPr>
        <w:t xml:space="preserve">Corporate Transactions. </w:t>
      </w:r>
      <w:r>
        <w:rPr>
          <w:rFonts w:ascii="Arial" w:cs="Arial" w:eastAsia="Arial" w:hAnsi="Arial"/>
          <w:sz w:val="16"/>
          <w:szCs w:val="16"/>
          <w:color w:val="auto"/>
        </w:rPr>
        <w:t>Upon a merger or other reorganization event, the Vringo board of directors, may,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take any one or more of the following actions pursuant to the 2012 Plan, as to some or all outstanding awards:</w:t>
      </w:r>
    </w:p>
    <w:p>
      <w:pPr>
        <w:spacing w:after="0" w:line="39" w:lineRule="exact"/>
        <w:rPr>
          <w:sz w:val="20"/>
          <w:szCs w:val="20"/>
          <w:color w:val="auto"/>
        </w:rPr>
      </w:pPr>
    </w:p>
    <w:p>
      <w:pPr>
        <w:ind w:left="560" w:hanging="300"/>
        <w:spacing w:after="0"/>
        <w:tabs>
          <w:tab w:leader="none" w:pos="5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provide that all outstanding options shall be assumed or substituted by the successor corporation;</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upon written notice to a participant provide that the participant’s unexercised options will terminate immediately prior to the consummation of such transaction unless exercised by the participant;</w:t>
      </w:r>
    </w:p>
    <w:p>
      <w:pPr>
        <w:spacing w:after="0" w:line="66" w:lineRule="exact"/>
        <w:rPr>
          <w:rFonts w:ascii="Arial" w:cs="Arial" w:eastAsia="Arial" w:hAnsi="Arial"/>
          <w:sz w:val="17"/>
          <w:szCs w:val="17"/>
          <w:color w:val="auto"/>
        </w:rPr>
      </w:pPr>
    </w:p>
    <w:p>
      <w:pPr>
        <w:jc w:val="both"/>
        <w:ind w:left="560" w:right="1239" w:hanging="300"/>
        <w:spacing w:after="0" w:line="274" w:lineRule="auto"/>
        <w:tabs>
          <w:tab w:leader="none" w:pos="5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event of a merger pursuant to which holders of Vringo common stock will receive a cash payment for each share surrendered in the merger, make or provide for a cash payment to the participants equal to the difference between the merger price times the number of shares of Vringo common stock subject to such outstanding options, and the aggregate exercise price of all such outstanding options, in exchange for the termination of such options;</w:t>
      </w:r>
    </w:p>
    <w:p>
      <w:pPr>
        <w:spacing w:after="0" w:line="61" w:lineRule="exact"/>
        <w:rPr>
          <w:rFonts w:ascii="Arial" w:cs="Arial" w:eastAsia="Arial" w:hAnsi="Arial"/>
          <w:sz w:val="16"/>
          <w:szCs w:val="16"/>
          <w:color w:val="auto"/>
        </w:rPr>
      </w:pPr>
    </w:p>
    <w:p>
      <w:pPr>
        <w:jc w:val="both"/>
        <w:ind w:left="560" w:right="1239" w:hanging="300"/>
        <w:spacing w:after="0" w:line="256" w:lineRule="auto"/>
        <w:tabs>
          <w:tab w:leader="none" w:pos="5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provide that outstanding awards shall be assumed or substituted by the successor corporation, become realizable or deliverable, or restrictions applicable to an award will lapse, in whole or in part, prior to or upon the merger or reorganization event.</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72"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b w:val="1"/>
          <w:bCs w:val="1"/>
          <w:color w:val="auto"/>
        </w:rPr>
        <w:t xml:space="preserve">Amendment and Termination. </w:t>
      </w:r>
      <w:r>
        <w:rPr>
          <w:rFonts w:ascii="Arial" w:cs="Arial" w:eastAsia="Arial" w:hAnsi="Arial"/>
          <w:sz w:val="15"/>
          <w:szCs w:val="15"/>
          <w:color w:val="auto"/>
        </w:rPr>
        <w:t>the 2012 Plan may be amended by Vringo stockholders. It may also be amended by the Vringo</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provided that any amendment approved by the Vringo board of directors which is of a scope that requires stockholder approval as required by the rules of the NYSE Amex, in order to ensure favorable federal income tax treatment for any incentive stock options under Code Section 422, or for any other reason is subject to obtaining such stockholder approval. In addition, if the NYSE Amex amends its corporate governance rules so that such rules no longer require stockholder approval of “material amendments” of equity compensation plans, then, from and after the effective date of such an amendment to the NYSE Amex rules, no amendment of the 2012 Plan which (i) materially increases the number of shares to be issued under the 2012 Plan (other than to reflect a reorganization, stock split, merger, spin off or similar transaction); (ii) materially increases the benefits to participants, including any material change to: (a) permit a repricing (or decrease in exercise price) of outstanding options, (b) reduce the price at which awards may be offered, or (c) extend the duration of the 2012 Plan; (iii) materially expands the class of participants eligible to participate in the 2012 Plan; or (iv) expands the types of awards provided under the 2012 Plan shall become effective unless stockholder approval is obtained. The 2012 Plan expires on the date which is ten years from the earlier of the date of its adoption by the Board of Directors and the date of its approval by the shareholders of the Company.</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U.S. Federal Income Tax Considerations</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material federal income tax consequences of the issuance and exercise of stock options and other awards under the 2012 Plan, based on the current provisions of the Code and regulations, are as follows. Changes to these laws could alter the tax consequences described below. This summary assumes that all awards granted under the 2012 Plan are exempt from or comply with, the rules under Section 409A of the Code related to nonqualified deferred compensation.</w:t>
      </w:r>
    </w:p>
    <w:p>
      <w:pPr>
        <w:spacing w:after="0" w:line="200" w:lineRule="exact"/>
        <w:rPr>
          <w:sz w:val="20"/>
          <w:szCs w:val="20"/>
          <w:color w:val="auto"/>
        </w:rPr>
      </w:pPr>
    </w:p>
    <w:p>
      <w:pPr>
        <w:spacing w:after="0" w:line="28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4742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p>
      <w:pPr>
        <w:spacing w:after="0" w:line="60" w:lineRule="exact"/>
        <w:rPr>
          <w:sz w:val="20"/>
          <w:szCs w:val="20"/>
          <w:color w:val="auto"/>
        </w:rPr>
      </w:pPr>
    </w:p>
    <w:p>
      <w:pPr>
        <w:ind w:left="2360" w:hanging="2355"/>
        <w:spacing w:after="0" w:line="263" w:lineRule="auto"/>
        <w:tabs>
          <w:tab w:leader="none" w:pos="2340" w:val="left"/>
        </w:tabs>
        <w:rPr>
          <w:sz w:val="20"/>
          <w:szCs w:val="20"/>
          <w:color w:val="auto"/>
        </w:rPr>
      </w:pPr>
      <w:r>
        <w:rPr>
          <w:rFonts w:ascii="Arial" w:cs="Arial" w:eastAsia="Arial" w:hAnsi="Arial"/>
          <w:sz w:val="17"/>
          <w:szCs w:val="17"/>
          <w:b w:val="1"/>
          <w:bCs w:val="1"/>
          <w:color w:val="auto"/>
        </w:rPr>
        <w:t>Incentive Stock Options:</w:t>
      </w:r>
      <w:r>
        <w:rPr>
          <w:sz w:val="20"/>
          <w:szCs w:val="20"/>
          <w:color w:val="auto"/>
        </w:rPr>
        <w:tab/>
      </w:r>
      <w:r>
        <w:rPr>
          <w:rFonts w:ascii="Arial" w:cs="Arial" w:eastAsia="Arial" w:hAnsi="Arial"/>
          <w:sz w:val="16"/>
          <w:szCs w:val="16"/>
          <w:color w:val="auto"/>
        </w:rPr>
        <w:t>Incentive stock options are intended to qualify for treatment under Section 422 of the Code. An incentive stock option does not result in taxable income to the optionee or deduction to Vringo at the time it is granted or exercised, provided that no disposition is made by the optionee of the shares acquired pursuant to the option within two years after the date of grant of the option nor within one year after the date of issuance of shares to the optionee (referred to as the “</w:t>
      </w:r>
      <w:r>
        <w:rPr>
          <w:rFonts w:ascii="Arial" w:cs="Arial" w:eastAsia="Arial" w:hAnsi="Arial"/>
          <w:sz w:val="16"/>
          <w:szCs w:val="16"/>
          <w:b w:val="1"/>
          <w:bCs w:val="1"/>
          <w:color w:val="auto"/>
        </w:rPr>
        <w:t>ISO holding period</w:t>
      </w:r>
      <w:r>
        <w:rPr>
          <w:rFonts w:ascii="Arial" w:cs="Arial" w:eastAsia="Arial" w:hAnsi="Arial"/>
          <w:sz w:val="16"/>
          <w:szCs w:val="16"/>
          <w:color w:val="auto"/>
        </w:rPr>
        <w:t>”). However, the difference between the fair market value of the shares on the date of exercise and the option price will be an item of tax preference includible in “alternative minimum taxable income” of the optionee. Upon disposition of the shares after the expiration of the ISO holding period, the optionee will generally recognize long term capital gain or loss based on the difference between the disposition proceeds and the option price paid for the shares. If the shares are disposed of prior to the expiration of the ISO holding period, the optionee generally will recognize taxable compensation, and Vringo will have a corresponding deduction, in the year of the disposition, equal to the excess of the fair market value of the shares on the date of exercise of the option over the option price. Any additional gain realized on the disposition will normally constitute capital gain. If the amount realized upon such a disqualifying disposition is less than fair market value of the shares on the date of exercise, the amount of compensation income will be limited to the excess of the amount realized over the optionee’s adjusted basis in the shares.</w:t>
      </w:r>
    </w:p>
    <w:p>
      <w:pPr>
        <w:spacing w:after="0" w:line="2" w:lineRule="exact"/>
        <w:rPr>
          <w:sz w:val="20"/>
          <w:szCs w:val="20"/>
          <w:color w:val="auto"/>
        </w:rPr>
      </w:pPr>
    </w:p>
    <w:p>
      <w:pPr>
        <w:ind w:left="2360" w:right="200" w:hanging="2355"/>
        <w:spacing w:after="0" w:line="246" w:lineRule="auto"/>
        <w:tabs>
          <w:tab w:leader="none" w:pos="2340" w:val="left"/>
        </w:tabs>
        <w:rPr>
          <w:sz w:val="20"/>
          <w:szCs w:val="20"/>
          <w:color w:val="auto"/>
        </w:rPr>
      </w:pPr>
      <w:r>
        <w:rPr>
          <w:rFonts w:ascii="Arial" w:cs="Arial" w:eastAsia="Arial" w:hAnsi="Arial"/>
          <w:sz w:val="17"/>
          <w:szCs w:val="17"/>
          <w:b w:val="1"/>
          <w:bCs w:val="1"/>
          <w:color w:val="auto"/>
        </w:rPr>
        <w:t>Non-Qualified Options:</w:t>
      </w:r>
      <w:r>
        <w:rPr>
          <w:sz w:val="20"/>
          <w:szCs w:val="20"/>
          <w:color w:val="auto"/>
        </w:rPr>
        <w:tab/>
      </w:r>
      <w:r>
        <w:rPr>
          <w:rFonts w:ascii="Arial" w:cs="Arial" w:eastAsia="Arial" w:hAnsi="Arial"/>
          <w:sz w:val="17"/>
          <w:szCs w:val="17"/>
          <w:color w:val="auto"/>
        </w:rPr>
        <w:t>Options otherwise qualifying as incentive stock options, to the extent the aggregate fair market value of shares with respect to which such options are first exercisable by an individual in any calendar year exceeds $100,000, and options designated as non-qualified options will be treated as options that are not incentive stock options.</w:t>
      </w:r>
    </w:p>
    <w:p>
      <w:pPr>
        <w:ind w:left="2360" w:right="40"/>
        <w:spacing w:after="0" w:line="278" w:lineRule="auto"/>
        <w:rPr>
          <w:sz w:val="20"/>
          <w:szCs w:val="20"/>
          <w:color w:val="auto"/>
        </w:rPr>
      </w:pPr>
      <w:r>
        <w:rPr>
          <w:rFonts w:ascii="Arial" w:cs="Arial" w:eastAsia="Arial" w:hAnsi="Arial"/>
          <w:sz w:val="15"/>
          <w:szCs w:val="15"/>
          <w:color w:val="auto"/>
        </w:rPr>
        <w:t>A non-qualified option ordinarily will not result in income to the optionee or deduction to Vringo at the time of grant. The optionee will recognize compensation income at the time of exercise of such non-qualified option in an amount equal to the excess of the then value of the shares over the option price per share. Such compensation income of optionees may be subject to withholding taxes, and a deduction may then be allowable to Vringo in an amount equal to the optionee’s compensation income.</w:t>
      </w:r>
    </w:p>
    <w:p>
      <w:pPr>
        <w:spacing w:after="0" w:line="3" w:lineRule="exact"/>
        <w:rPr>
          <w:sz w:val="20"/>
          <w:szCs w:val="20"/>
          <w:color w:val="auto"/>
        </w:rPr>
      </w:pPr>
    </w:p>
    <w:p>
      <w:pPr>
        <w:ind w:left="2360" w:right="40"/>
        <w:spacing w:after="0" w:line="246" w:lineRule="auto"/>
        <w:rPr>
          <w:sz w:val="20"/>
          <w:szCs w:val="20"/>
          <w:color w:val="auto"/>
        </w:rPr>
      </w:pPr>
      <w:r>
        <w:rPr>
          <w:rFonts w:ascii="Arial" w:cs="Arial" w:eastAsia="Arial" w:hAnsi="Arial"/>
          <w:sz w:val="17"/>
          <w:szCs w:val="17"/>
          <w:color w:val="auto"/>
        </w:rPr>
        <w:t>An optionee’s initial basis in shares so acquired will be the amount paid on exercise of the non-qualified option plus the amount of any corresponding compensation income. Any gain or loss as a result of a subsequent disposition of the shares so acquired will be capital gain or loss.</w:t>
      </w:r>
    </w:p>
    <w:p>
      <w:pPr>
        <w:ind w:left="2360" w:right="40" w:hanging="2355"/>
        <w:spacing w:after="0" w:line="247" w:lineRule="auto"/>
        <w:tabs>
          <w:tab w:leader="none" w:pos="2340" w:val="left"/>
        </w:tabs>
        <w:rPr>
          <w:sz w:val="20"/>
          <w:szCs w:val="20"/>
          <w:color w:val="auto"/>
        </w:rPr>
      </w:pPr>
      <w:r>
        <w:rPr>
          <w:rFonts w:ascii="Arial" w:cs="Arial" w:eastAsia="Arial" w:hAnsi="Arial"/>
          <w:sz w:val="17"/>
          <w:szCs w:val="17"/>
          <w:b w:val="1"/>
          <w:bCs w:val="1"/>
          <w:color w:val="auto"/>
        </w:rPr>
        <w:t>Stock Grants:</w:t>
      </w:r>
      <w:r>
        <w:rPr>
          <w:sz w:val="20"/>
          <w:szCs w:val="20"/>
          <w:color w:val="auto"/>
        </w:rPr>
        <w:tab/>
      </w:r>
      <w:r>
        <w:rPr>
          <w:rFonts w:ascii="Arial" w:cs="Arial" w:eastAsia="Arial" w:hAnsi="Arial"/>
          <w:sz w:val="17"/>
          <w:szCs w:val="17"/>
          <w:color w:val="auto"/>
        </w:rPr>
        <w:t>With respect to stock grants under the 2012 Plan that result in the issuance of shares that are either not restricted as to transferability or not subject to a substantial risk of forfeiture, the grantee must generally recognize ordinary income equal to the fair market value of shares received. Thus, deferral of the time of issuance will generally result in the deferral of the time the grantee will be liable for income taxes with respect to such issuance. We generally will be entitled to a deduction in an amount equal to the ordinary income recognized by the grantee.</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78105</wp:posOffset>
            </wp:positionV>
            <wp:extent cx="5674360" cy="571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1400"/>
          </w:cols>
          <w:pgMar w:left="360" w:top="746" w:right="139" w:bottom="1440" w:gutter="0" w:footer="0" w:header="0"/>
        </w:sectPr>
      </w:pPr>
    </w:p>
    <w:bookmarkStart w:id="134" w:name="page135"/>
    <w:bookmarkEnd w:id="134"/>
    <w:p>
      <w:pPr>
        <w:ind w:left="2460"/>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ind w:left="2360" w:right="40"/>
        <w:spacing w:after="0" w:line="263" w:lineRule="auto"/>
        <w:rPr>
          <w:sz w:val="20"/>
          <w:szCs w:val="20"/>
          <w:color w:val="auto"/>
        </w:rPr>
      </w:pPr>
      <w:r>
        <w:rPr>
          <w:rFonts w:ascii="Arial" w:cs="Arial" w:eastAsia="Arial" w:hAnsi="Arial"/>
          <w:sz w:val="16"/>
          <w:szCs w:val="16"/>
          <w:color w:val="auto"/>
        </w:rPr>
        <w:t>With respect to stock grants involving the issuance of shares that are restricted as to transferability and subject to a substantial risk of forfeiture, the grantee must generally recognize ordinary income equal to the fair market value of the shares received at the first time the shares become transferable or are not subject to a substantial risk of forfeiture, whichever occurs earlier. A grantee may elect to be taxed at the time of receipt of shares rather than upon lapse of restrictions on transferability or substantial risk of forfeiture, but if the grantee subsequently forfeits such shares, the grantee would not be entitled to any tax deduction, including as a capital loss, for the value of the shares on which he previously paid tax. The grantee must file such election with the Internal Revenue Service within 30 days of the receipt of the shares. Vringo generally will be entitled to a deduction in an amount equal to the ordinary income recognized by the grantee.</w:t>
      </w:r>
    </w:p>
    <w:p>
      <w:pPr>
        <w:spacing w:after="0" w:line="3" w:lineRule="exact"/>
        <w:rPr>
          <w:sz w:val="20"/>
          <w:szCs w:val="20"/>
          <w:color w:val="auto"/>
        </w:rPr>
      </w:pPr>
    </w:p>
    <w:p>
      <w:pPr>
        <w:ind w:left="2360" w:hanging="2355"/>
        <w:spacing w:after="0" w:line="249" w:lineRule="auto"/>
        <w:tabs>
          <w:tab w:leader="none" w:pos="2340" w:val="left"/>
        </w:tabs>
        <w:rPr>
          <w:sz w:val="20"/>
          <w:szCs w:val="20"/>
          <w:color w:val="auto"/>
        </w:rPr>
      </w:pPr>
      <w:r>
        <w:rPr>
          <w:rFonts w:ascii="Arial" w:cs="Arial" w:eastAsia="Arial" w:hAnsi="Arial"/>
          <w:sz w:val="17"/>
          <w:szCs w:val="17"/>
          <w:b w:val="1"/>
          <w:bCs w:val="1"/>
          <w:color w:val="auto"/>
        </w:rPr>
        <w:t>Stock Units:</w:t>
      </w:r>
      <w:r>
        <w:rPr>
          <w:sz w:val="20"/>
          <w:szCs w:val="20"/>
          <w:color w:val="auto"/>
        </w:rPr>
        <w:tab/>
      </w:r>
      <w:r>
        <w:rPr>
          <w:rFonts w:ascii="Arial" w:cs="Arial" w:eastAsia="Arial" w:hAnsi="Arial"/>
          <w:sz w:val="17"/>
          <w:szCs w:val="17"/>
          <w:color w:val="auto"/>
        </w:rPr>
        <w:t>The grantee recognizes no income until the issuance of the shares. At that time, the grantee must generally recognize ordinary income equal to the fair market value of the shares received. Vringo generally will be entitled to a deduction in an amount equal to the ordinary income recognized by the grantee.</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Rules Particular to Specific Countries</w:t>
      </w:r>
    </w:p>
    <w:p>
      <w:pPr>
        <w:spacing w:after="0" w:line="109" w:lineRule="exact"/>
        <w:rPr>
          <w:sz w:val="20"/>
          <w:szCs w:val="20"/>
          <w:color w:val="auto"/>
        </w:rPr>
      </w:pPr>
    </w:p>
    <w:p>
      <w:pPr>
        <w:jc w:val="both"/>
        <w:ind w:left="40" w:right="2540" w:firstLine="251"/>
        <w:spacing w:after="0" w:line="288" w:lineRule="auto"/>
        <w:rPr>
          <w:sz w:val="20"/>
          <w:szCs w:val="20"/>
          <w:color w:val="auto"/>
        </w:rPr>
      </w:pPr>
      <w:r>
        <w:rPr>
          <w:rFonts w:ascii="Arial" w:cs="Arial" w:eastAsia="Arial" w:hAnsi="Arial"/>
          <w:sz w:val="15"/>
          <w:szCs w:val="15"/>
          <w:color w:val="auto"/>
        </w:rPr>
        <w:t>The terms and conditions of the Plan may be amended with respect to particular types of Participant as determined by the board of directors (for example — Israeli employees) by an appendix to the Plan (the “</w:t>
      </w:r>
      <w:r>
        <w:rPr>
          <w:rFonts w:ascii="Arial" w:cs="Arial" w:eastAsia="Arial" w:hAnsi="Arial"/>
          <w:sz w:val="15"/>
          <w:szCs w:val="15"/>
          <w:b w:val="1"/>
          <w:bCs w:val="1"/>
          <w:color w:val="auto"/>
        </w:rPr>
        <w:t>Appendix</w:t>
      </w:r>
      <w:r>
        <w:rPr>
          <w:rFonts w:ascii="Arial" w:cs="Arial" w:eastAsia="Arial" w:hAnsi="Arial"/>
          <w:sz w:val="15"/>
          <w:szCs w:val="15"/>
          <w:color w:val="auto"/>
        </w:rPr>
        <w:t>”). Vringo may adopt one or more Appendices. Each Appendix shall be approved by the board of directors and as required or advisable under applicable law. The terms of an Appendix shall govern only with respect to the types of Participant specified in such Appendix. In the case that the terms and conditions set forth in an Appendix conflict with any provisions of the Plan, the provisions of the Appendix shall govern with respect to Participant that are subject to such Appendix, provided, however, that such Appendix shall not be construed to grant the Participant rights not consistent with the terms of the Plan, unless specifically provided in such Appendix.</w:t>
      </w:r>
    </w:p>
    <w:p>
      <w:pPr>
        <w:spacing w:after="0" w:line="55" w:lineRule="exact"/>
        <w:rPr>
          <w:sz w:val="20"/>
          <w:szCs w:val="20"/>
          <w:color w:val="auto"/>
        </w:rPr>
      </w:pPr>
    </w:p>
    <w:p>
      <w:pPr>
        <w:jc w:val="both"/>
        <w:ind w:left="40" w:right="2540" w:firstLine="251"/>
        <w:spacing w:after="0" w:line="280" w:lineRule="auto"/>
        <w:rPr>
          <w:sz w:val="20"/>
          <w:szCs w:val="20"/>
          <w:color w:val="auto"/>
        </w:rPr>
      </w:pPr>
      <w:r>
        <w:rPr>
          <w:rFonts w:ascii="Arial" w:cs="Arial" w:eastAsia="Arial" w:hAnsi="Arial"/>
          <w:sz w:val="16"/>
          <w:szCs w:val="16"/>
          <w:color w:val="auto"/>
        </w:rPr>
        <w:t>The amounts of future grants under the 2012 Plan are not determinable as awards under the 2012 Plan and will be granted at the sole discretion of the Compensation Committee, or other delegated persons and Vringo cannot determine at this time either the persons who will receive awards under the 2012 Plan or the amount or types of any such awards.</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May 25, 2012, the closing market price per share of our common stock was $3.39, as reported by the NYSE Amex.</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2540" w:firstLine="251"/>
        <w:spacing w:after="0" w:line="256" w:lineRule="auto"/>
        <w:rPr>
          <w:sz w:val="20"/>
          <w:szCs w:val="20"/>
          <w:color w:val="auto"/>
        </w:rPr>
      </w:pPr>
      <w:r>
        <w:rPr>
          <w:rFonts w:ascii="Arial" w:cs="Arial" w:eastAsia="Arial" w:hAnsi="Arial"/>
          <w:sz w:val="17"/>
          <w:szCs w:val="17"/>
          <w:color w:val="auto"/>
        </w:rPr>
        <w:t>The affirmative vote of the holders of a majority of the shares of Vringo common stock present and entitled to vote on the matter either in person or by proxy at the Vringo annual meeting is required to approve the 2012 Equity Incentive Plan. Abstentions will be counted AGAINST this proposal.</w:t>
      </w:r>
    </w:p>
    <w:p>
      <w:pPr>
        <w:spacing w:after="0" w:line="172" w:lineRule="exact"/>
        <w:rPr>
          <w:sz w:val="20"/>
          <w:szCs w:val="20"/>
          <w:color w:val="auto"/>
        </w:rPr>
      </w:pPr>
    </w:p>
    <w:p>
      <w:pPr>
        <w:jc w:val="center"/>
        <w:ind w:right="2540"/>
        <w:spacing w:after="0"/>
        <w:rPr>
          <w:sz w:val="20"/>
          <w:szCs w:val="20"/>
          <w:color w:val="auto"/>
        </w:rPr>
      </w:pPr>
      <w:r>
        <w:rPr>
          <w:rFonts w:ascii="Arial" w:cs="Arial" w:eastAsia="Arial" w:hAnsi="Arial"/>
          <w:sz w:val="17"/>
          <w:szCs w:val="17"/>
          <w:b w:val="1"/>
          <w:bCs w:val="1"/>
          <w:color w:val="auto"/>
        </w:rPr>
        <w:t>THE VRINGO BOARD OF DIRECTORS RECOMMENDS A VOTE “FOR” THE APPROVAL OF THE 2012 EQUITY</w:t>
      </w:r>
    </w:p>
    <w:p>
      <w:pPr>
        <w:spacing w:after="0" w:line="21" w:lineRule="exact"/>
        <w:rPr>
          <w:sz w:val="20"/>
          <w:szCs w:val="20"/>
          <w:color w:val="auto"/>
        </w:rPr>
      </w:pPr>
    </w:p>
    <w:p>
      <w:pPr>
        <w:jc w:val="center"/>
        <w:ind w:right="2540"/>
        <w:spacing w:after="0"/>
        <w:rPr>
          <w:sz w:val="20"/>
          <w:szCs w:val="20"/>
          <w:color w:val="auto"/>
        </w:rPr>
      </w:pPr>
      <w:r>
        <w:rPr>
          <w:rFonts w:ascii="Arial" w:cs="Arial" w:eastAsia="Arial" w:hAnsi="Arial"/>
          <w:sz w:val="17"/>
          <w:szCs w:val="17"/>
          <w:b w:val="1"/>
          <w:bCs w:val="1"/>
          <w:color w:val="auto"/>
        </w:rPr>
        <w:t>INCENTIVE PLAN PROPOSAL.</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1400"/>
          </w:cols>
          <w:pgMar w:left="360" w:top="721" w:right="13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Proposal No. 6: Ratification of the Appointment of Vringo’s Independent Registered Public Accounting Firm</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audit committee of Vringo has appointed Somekh Chaikin, a member firm of KPMG International, as Vringo’s independent registered public accounting firm for the fiscal year ending December 31, 2012. Although this appointment does not require ratification, the Vringo board of directors has directed that the appointment of Somekh Chaikin, a member firm of KPMG International, be submitted to Vringo’s stockholders for ratification due to the significance of their appointment to Vringo. If Vringo stockholders do not ratify the appointment of Somekh Chaikin, a member firm of KPMG International the audit committee of Vringo will consider the appointment of another independent registered public accounting firm for the fiscal year ending December 31, 2012. A representative of Somekh Chaikin, a member firm of KPMG International, is expected to participate via teleconference at the annual meeting of stockholders.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Fees Billed to Vringo’s Independent Registered Public Accounting Firm During Fiscal Years 2011 and 2010</w:t>
      </w:r>
    </w:p>
    <w:p>
      <w:pPr>
        <w:spacing w:after="0" w:line="11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Somekh Chaikin, a member firm of KPMG International, served as Vringo’s independent registered public accounting firm for the fiscal year ended December 31, 2011.</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the aggregate fees billed to Vringo for the fiscal years ended December 31, 2011 and 2010 by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Somekh Chaikin, a member firm of KPMG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4081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4"/>
                <w:szCs w:val="14"/>
                <w:color w:val="auto"/>
              </w:rPr>
            </w:pPr>
          </w:p>
        </w:tc>
      </w:tr>
      <w:tr>
        <w:trPr>
          <w:trHeight w:val="231"/>
        </w:trPr>
        <w:tc>
          <w:tcPr>
            <w:tcW w:w="5080" w:type="dxa"/>
            <w:vAlign w:val="bottom"/>
            <w:gridSpan w:val="2"/>
            <w:shd w:val="clear" w:color="auto" w:fill="CCFFCC"/>
          </w:tcPr>
          <w:p>
            <w:pPr>
              <w:spacing w:after="0" w:line="231"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w w:val="94"/>
              </w:rPr>
              <w:t>172,000</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422,000</w:t>
            </w:r>
          </w:p>
        </w:tc>
      </w:tr>
      <w:tr>
        <w:trPr>
          <w:trHeight w:val="238"/>
        </w:trPr>
        <w:tc>
          <w:tcPr>
            <w:tcW w:w="5080" w:type="dxa"/>
            <w:vAlign w:val="bottom"/>
            <w:gridSpan w:val="2"/>
          </w:tcPr>
          <w:p>
            <w:pPr>
              <w:spacing w:after="0" w:line="239" w:lineRule="exact"/>
              <w:rPr>
                <w:sz w:val="20"/>
                <w:szCs w:val="20"/>
                <w:color w:val="auto"/>
              </w:rPr>
            </w:pPr>
            <w:r>
              <w:rPr>
                <w:rFonts w:ascii="Arial" w:cs="Arial" w:eastAsia="Arial" w:hAnsi="Arial"/>
                <w:sz w:val="17"/>
                <w:szCs w:val="17"/>
                <w:color w:val="auto"/>
              </w:rPr>
              <w:t>Audit Related Fees</w:t>
            </w:r>
            <w:r>
              <w:rPr>
                <w:rFonts w:ascii="Arial" w:cs="Arial" w:eastAsia="Arial" w:hAnsi="Arial"/>
                <w:sz w:val="27"/>
                <w:szCs w:val="27"/>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44,000</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8"/>
        </w:trPr>
        <w:tc>
          <w:tcPr>
            <w:tcW w:w="508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Tax Fees</w:t>
            </w:r>
            <w:r>
              <w:rPr>
                <w:rFonts w:ascii="Arial" w:cs="Arial" w:eastAsia="Arial" w:hAnsi="Arial"/>
                <w:sz w:val="27"/>
                <w:szCs w:val="27"/>
                <w:color w:val="auto"/>
                <w:vertAlign w:val="superscript"/>
              </w:rPr>
              <w:t>(3)</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8,000</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2,500</w:t>
            </w:r>
          </w:p>
        </w:tc>
      </w:tr>
      <w:tr>
        <w:trPr>
          <w:trHeight w:val="20"/>
        </w:trPr>
        <w:tc>
          <w:tcPr>
            <w:tcW w:w="900" w:type="dxa"/>
            <w:vAlign w:val="bottom"/>
            <w:shd w:val="clear" w:color="auto" w:fill="CCFFCC"/>
          </w:tcPr>
          <w:p>
            <w:pPr>
              <w:spacing w:after="0" w:line="20" w:lineRule="exact"/>
              <w:rPr>
                <w:sz w:val="1"/>
                <w:szCs w:val="1"/>
                <w:color w:val="auto"/>
              </w:rPr>
            </w:pPr>
          </w:p>
        </w:tc>
        <w:tc>
          <w:tcPr>
            <w:tcW w:w="41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080" w:type="dxa"/>
            <w:vAlign w:val="bottom"/>
            <w:gridSpan w:val="2"/>
          </w:tcPr>
          <w:p>
            <w:pPr>
              <w:spacing w:after="0" w:line="193" w:lineRule="exact"/>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3" w:lineRule="exact"/>
              <w:rPr>
                <w:sz w:val="20"/>
                <w:szCs w:val="20"/>
                <w:color w:val="auto"/>
              </w:rPr>
            </w:pPr>
            <w:r>
              <w:rPr>
                <w:rFonts w:ascii="Arial" w:cs="Arial" w:eastAsia="Arial" w:hAnsi="Arial"/>
                <w:sz w:val="17"/>
                <w:szCs w:val="17"/>
                <w:color w:val="auto"/>
                <w:w w:val="94"/>
              </w:rPr>
              <w:t>224,000</w:t>
            </w:r>
          </w:p>
        </w:tc>
        <w:tc>
          <w:tcPr>
            <w:tcW w:w="34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424,500</w:t>
            </w:r>
          </w:p>
        </w:tc>
      </w:tr>
      <w:tr>
        <w:trPr>
          <w:trHeight w:val="20"/>
        </w:trPr>
        <w:tc>
          <w:tcPr>
            <w:tcW w:w="9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6"/>
        </w:trPr>
        <w:tc>
          <w:tcPr>
            <w:tcW w:w="900" w:type="dxa"/>
            <w:vAlign w:val="bottom"/>
            <w:tcBorders>
              <w:bottom w:val="single" w:sz="8" w:color="auto"/>
            </w:tcBorders>
          </w:tcPr>
          <w:p>
            <w:pPr>
              <w:spacing w:after="0"/>
              <w:rPr>
                <w:sz w:val="21"/>
                <w:szCs w:val="21"/>
                <w:color w:val="auto"/>
              </w:rPr>
            </w:pPr>
          </w:p>
        </w:tc>
        <w:tc>
          <w:tcPr>
            <w:tcW w:w="4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4408170" cy="167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408170" cy="167005"/>
                    </a:xfrm>
                    <a:prstGeom prst="rect">
                      <a:avLst/>
                    </a:prstGeom>
                    <a:noFill/>
                  </pic:spPr>
                </pic:pic>
              </a:graphicData>
            </a:graphic>
          </wp:anchor>
        </w:drawing>
      </w:r>
    </w:p>
    <w:p>
      <w:pPr>
        <w:spacing w:after="0" w:line="218" w:lineRule="exact"/>
        <w:rPr>
          <w:sz w:val="20"/>
          <w:szCs w:val="20"/>
          <w:color w:val="auto"/>
        </w:rPr>
      </w:pPr>
    </w:p>
    <w:p>
      <w:pPr>
        <w:jc w:val="both"/>
        <w:ind w:left="260" w:right="1239" w:hanging="250"/>
        <w:spacing w:after="0" w:line="251" w:lineRule="auto"/>
        <w:tabs>
          <w:tab w:leader="none" w:pos="2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This category includes fees associated with the annual audits of Vringo’s financial statements, quarterly reviews of Vringo’s financial statements, and services that are normally provided by the independent registered public accounting firm in connection with statutory and regulatory filings or engagements. In addition, fees paid in 2010, include amounts of $210,000 paid in connection with Vringo’s initial public offering and $71,000 paid as issuance cost in connection with Vringo’s initial public offering.</w:t>
      </w:r>
    </w:p>
    <w:p>
      <w:pPr>
        <w:spacing w:after="0" w:line="80"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This category includes audit related fees. In particular, 2011 fees include $44,000 paid in connection with merger and acquisition activities.</w:t>
      </w:r>
    </w:p>
    <w:p>
      <w:pPr>
        <w:spacing w:after="0" w:line="66" w:lineRule="exact"/>
        <w:rPr>
          <w:rFonts w:ascii="Arial" w:cs="Arial" w:eastAsia="Arial" w:hAnsi="Arial"/>
          <w:sz w:val="17"/>
          <w:szCs w:val="17"/>
          <w:color w:val="auto"/>
        </w:rPr>
      </w:pPr>
    </w:p>
    <w:p>
      <w:pPr>
        <w:ind w:left="260" w:hanging="250"/>
        <w:spacing w:after="0"/>
        <w:tabs>
          <w:tab w:leader="none" w:pos="2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Tax fees represent the aggregate fees billed for tax compliance, tax advice, and tax planning.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Audit committee Pre-Approval Policies and Procedures</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Pursuant to Vringo’s charter, and consistent with SEC policies and guidelines regarding audit independence, the audit committee is responsible for the pre-approval of all audit and permissible non-audit services provided by Vringo’s principal independent accountants on a case-by-case basis. Vringo’s audit committee has established a policy regarding approval of all audit and permissible non-audit services provided by Vringo’s principal independent accountants. Vringo’s audit committee pre-approves these services by category and service. Vringo’s audit committee has preapproved all of the services provided by Vringo’s principal independent registered public accounting firms in 2011.</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affirmative vote of the holders of a majority of the shares of Vringo common stock present and entitled to vote on the matter either in person or by proxy at the Vringo annual meeting is required to ratify the appointment of Somekh Chaikin, a member firm of KPMG International, as Vringo’s independent registered public accounting firm for the fiscal year ending December 31, 2012. Abstentions will be counted AGAINST this proposal.</w:t>
      </w:r>
    </w:p>
    <w:p>
      <w:pPr>
        <w:spacing w:after="0" w:line="174"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BOARD OF DIRECTORS RECOMMENDS A VOTE “FOR” THE RATIFICATION OF</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APPOINTMENT OF SOMEKH CHAIKIN, A MEMBER FIRM OF KPMG INTERNATIONAL, AS VRINGO’S</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INDEPENDENT</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REGISTERED PUBLIC ACCOUNTING FIRM FOR THE</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FISCAL YEAR ENDING DECEMBER 31, 2012.</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7"/>
          <w:szCs w:val="17"/>
          <w:b w:val="1"/>
          <w:bCs w:val="1"/>
          <w:color w:val="auto"/>
        </w:rPr>
        <w:t>Vringo Proposal No. 7: Approval of the Adjournment of the Vringo Annual Meeting, if Necessary, to Solicit Additional Proxies if There Are Not Sufficient Votes in Favor of the Vringo Merger Proposals</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is asking its stockholders to vote on a proposal to approve the adjournment of the Vringo annual meeting, if necessary, to solicit additional proxies if there are not sufficient votes in favor of the Vringo Merger Proposals.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Approval of the adjournment of the Vringo annual meeting, if necessary, to solicit additional proxies if there are not sufficient votes in favor of the Vringo Merger Proposals requires the affirmative vote of the holders of a majority of the shares of Vringo common stock present and entitled to vote either in person or by proxy at the Vringo annual meeting. A “broker non-vote” or a failure to submit a proxy or vote at the Vringo annual meeting will have no effect on the outcome of the vote for this Vringo Proposal No. 7. For purposes of the vote on this Vringo Proposal No. 6, an abstention will have the same effect as a vote “AGAINST” such proposal.</w:t>
      </w:r>
    </w:p>
    <w:p>
      <w:pPr>
        <w:spacing w:after="0" w:line="178" w:lineRule="exact"/>
        <w:rPr>
          <w:sz w:val="20"/>
          <w:szCs w:val="20"/>
          <w:color w:val="auto"/>
        </w:rPr>
      </w:pPr>
    </w:p>
    <w:p>
      <w:pPr>
        <w:jc w:val="center"/>
        <w:ind w:right="1239"/>
        <w:spacing w:after="0" w:line="259" w:lineRule="auto"/>
        <w:rPr>
          <w:sz w:val="20"/>
          <w:szCs w:val="20"/>
          <w:color w:val="auto"/>
        </w:rPr>
      </w:pPr>
      <w:r>
        <w:rPr>
          <w:rFonts w:ascii="Arial" w:cs="Arial" w:eastAsia="Arial" w:hAnsi="Arial"/>
          <w:sz w:val="17"/>
          <w:szCs w:val="17"/>
          <w:b w:val="1"/>
          <w:bCs w:val="1"/>
          <w:color w:val="auto"/>
        </w:rPr>
        <w:t>THE VRINGO BOARD OF DIRECTORS RECOMMENDS A VOTE “FOR” THE ADJOURNMENT OF THE VRINGO ANNUAL MEETING, IF NECESSARY, TO SOLICIT ADDITIONAL PROXIES IF THERE ARE NOT SUFFICIENT VOTES IN FAVOR OF THE VRINGO MERGER PROPOSALS.</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VRINGO’S BUSINESS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Vringo provides a range of software products for mobile video entertainment, personalization and mobile social applications. Vringo’s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Vringo’s applications and services have been launched with ten carriers in eight markets. The billing integrations that Vringo has with these operators are of significant strategic value to its operations. In addition, Vringo has deals in place with two of the four largest handset makers in the world. Vringo also believes that social network information and updates will be shared regularly when friends regularly communicate by voice and by text. Vringo’s video ringtone solutions and other mobile social and video applications, which encompass a suite of mobile and PC-based tools, enable users to create, download and share video and other social content with ease as part of the normal communication process, and provide Vringo’s business partners with a consumer-friendly and easy-to-integrate monetization platform. While Vringo’s current portfolio of applications and services represents what it believes to be cutting edge mobile technology that can work across many operating systems, Vringo recognizes that the pace at which the mobile landscape is changing has increased and the two most dominant operating systems are Google’s Android and Apple’s iOS. Moving forward, Vringo intends to develop additional applications and services for these two key operating systems, as well as other dominant smartphone operating systems that may emerge. Vringo believes that it can leverage its existing distribution and relationships to promote apps and services for these two operating systems.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date, Vringo has developed four different mobile video, personalization and mobile social application platforms:</w:t>
      </w:r>
    </w:p>
    <w:p>
      <w:pPr>
        <w:spacing w:after="0" w:line="113" w:lineRule="exact"/>
        <w:rPr>
          <w:sz w:val="20"/>
          <w:szCs w:val="20"/>
          <w:color w:val="auto"/>
        </w:rPr>
      </w:pPr>
    </w:p>
    <w:p>
      <w:pPr>
        <w:ind w:left="560" w:right="1239" w:hanging="300"/>
        <w:spacing w:after="0" w:line="272" w:lineRule="auto"/>
        <w:tabs>
          <w:tab w:leader="none" w:pos="56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 xml:space="preserve">Video Ringtones — </w:t>
      </w:r>
      <w:r>
        <w:rPr>
          <w:rFonts w:ascii="Arial" w:cs="Arial" w:eastAsia="Arial" w:hAnsi="Arial"/>
          <w:sz w:val="17"/>
          <w:szCs w:val="17"/>
          <w:color w:val="auto"/>
        </w:rPr>
        <w:t>Vringo’s original product platform that allows users to create, download and share mobile</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content in the form of video ringtones for mobile phones;</w:t>
      </w:r>
    </w:p>
    <w:p>
      <w:pPr>
        <w:spacing w:after="0" w:line="60" w:lineRule="exact"/>
        <w:rPr>
          <w:rFonts w:ascii="Arial" w:cs="Arial" w:eastAsia="Arial" w:hAnsi="Arial"/>
          <w:sz w:val="17"/>
          <w:szCs w:val="17"/>
          <w:color w:val="auto"/>
        </w:rPr>
      </w:pPr>
    </w:p>
    <w:p>
      <w:pPr>
        <w:ind w:left="560" w:hanging="300"/>
        <w:spacing w:after="0"/>
        <w:tabs>
          <w:tab w:leader="none" w:pos="560" w:val="left"/>
        </w:tabs>
        <w:numPr>
          <w:ilvl w:val="0"/>
          <w:numId w:val="115"/>
        </w:numPr>
        <w:rPr>
          <w:rFonts w:ascii="Arial" w:cs="Arial" w:eastAsia="Arial" w:hAnsi="Arial"/>
          <w:sz w:val="33"/>
          <w:szCs w:val="33"/>
          <w:color w:val="auto"/>
          <w:vertAlign w:val="superscript"/>
        </w:rPr>
      </w:pPr>
      <w:r>
        <w:rPr>
          <w:rFonts w:ascii="Arial" w:cs="Arial" w:eastAsia="Arial" w:hAnsi="Arial"/>
          <w:sz w:val="17"/>
          <w:szCs w:val="17"/>
          <w:b w:val="1"/>
          <w:bCs w:val="1"/>
          <w:color w:val="auto"/>
        </w:rPr>
        <w:t>Facetones</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 </w:t>
      </w:r>
      <w:r>
        <w:rPr>
          <w:rFonts w:ascii="Arial" w:cs="Arial" w:eastAsia="Arial" w:hAnsi="Arial"/>
          <w:sz w:val="17"/>
          <w:szCs w:val="17"/>
          <w:color w:val="auto"/>
        </w:rPr>
        <w:t>a visual ringtone experience based on social network pictures from a user’s friends;</w:t>
      </w:r>
    </w:p>
    <w:p>
      <w:pPr>
        <w:ind w:left="560" w:right="1239" w:hanging="300"/>
        <w:spacing w:after="0" w:line="250" w:lineRule="auto"/>
        <w:tabs>
          <w:tab w:leader="none" w:pos="56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 xml:space="preserve">Video ReMix — </w:t>
      </w:r>
      <w:r>
        <w:rPr>
          <w:rFonts w:ascii="Arial" w:cs="Arial" w:eastAsia="Arial" w:hAnsi="Arial"/>
          <w:sz w:val="17"/>
          <w:szCs w:val="17"/>
          <w:color w:val="auto"/>
        </w:rPr>
        <w:t>an application that allows a user to create his or her own music video by tapping on a smartphone or</w:t>
      </w:r>
      <w:r>
        <w:rPr>
          <w:rFonts w:ascii="Arial" w:cs="Arial" w:eastAsia="Arial" w:hAnsi="Arial"/>
          <w:sz w:val="17"/>
          <w:szCs w:val="17"/>
          <w:b w:val="1"/>
          <w:bCs w:val="1"/>
          <w:color w:val="auto"/>
        </w:rPr>
        <w:t xml:space="preserve"> </w:t>
      </w:r>
      <w:r>
        <w:rPr>
          <w:rFonts w:ascii="Arial" w:cs="Arial" w:eastAsia="Arial" w:hAnsi="Arial"/>
          <w:sz w:val="17"/>
          <w:szCs w:val="17"/>
          <w:color w:val="auto"/>
        </w:rPr>
        <w:t>tablet, in partnership with music artists and brands; and</w:t>
      </w:r>
    </w:p>
    <w:p>
      <w:pPr>
        <w:spacing w:after="0" w:line="75" w:lineRule="exact"/>
        <w:rPr>
          <w:rFonts w:ascii="Arial" w:cs="Arial" w:eastAsia="Arial" w:hAnsi="Arial"/>
          <w:sz w:val="17"/>
          <w:szCs w:val="17"/>
          <w:color w:val="auto"/>
        </w:rPr>
      </w:pPr>
    </w:p>
    <w:p>
      <w:pPr>
        <w:ind w:left="560" w:right="1239" w:hanging="300"/>
        <w:spacing w:after="0" w:line="272" w:lineRule="auto"/>
        <w:tabs>
          <w:tab w:leader="none" w:pos="56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 xml:space="preserve">Fan Loyalty — </w:t>
      </w:r>
      <w:r>
        <w:rPr>
          <w:rFonts w:ascii="Arial" w:cs="Arial" w:eastAsia="Arial" w:hAnsi="Arial"/>
          <w:sz w:val="17"/>
          <w:szCs w:val="17"/>
          <w:color w:val="auto"/>
        </w:rPr>
        <w:t>a platform that allows users to obtain video and video ringtones, view information on certain reality</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series and stars and vote for contestants.</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To develop these platforms, Vringo has leveraged its existing technology, intellectual property and its extensive experience with mobile video, personalization and social applications. Vringo believes that these platforms will represent a significant component of its business going forward.</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Vringo’s ability to compete successfully depends on its ability to ensure a continuing and timely introduction of innovative new products and technologies to the marketplace. As a result, Vringo must make significant investments in research and development. To date, Vringo filed over 24 patents, three of the patents that have been filed have been granted by the USPTO and Vringo has received a notice of allowance for one patent in Europe.</w:t>
      </w:r>
    </w:p>
    <w:p>
      <w:pPr>
        <w:spacing w:after="0" w:line="112" w:lineRule="exact"/>
        <w:rPr>
          <w:sz w:val="20"/>
          <w:szCs w:val="20"/>
          <w:color w:val="auto"/>
        </w:rPr>
      </w:pPr>
    </w:p>
    <w:p>
      <w:pPr>
        <w:jc w:val="center"/>
        <w:ind w:right="8459"/>
        <w:spacing w:after="0"/>
        <w:rPr>
          <w:sz w:val="20"/>
          <w:szCs w:val="20"/>
          <w:color w:val="auto"/>
        </w:rPr>
      </w:pPr>
      <w:r>
        <w:rPr>
          <w:rFonts w:ascii="Arial" w:cs="Arial" w:eastAsia="Arial" w:hAnsi="Arial"/>
          <w:sz w:val="15"/>
          <w:szCs w:val="15"/>
          <w:b w:val="1"/>
          <w:bCs w:val="1"/>
          <w:color w:val="auto"/>
        </w:rPr>
        <w:t>Recent Developments</w:t>
      </w:r>
    </w:p>
    <w:p>
      <w:pPr>
        <w:spacing w:after="0" w:line="170" w:lineRule="exact"/>
        <w:rPr>
          <w:sz w:val="20"/>
          <w:szCs w:val="20"/>
          <w:color w:val="auto"/>
        </w:rPr>
      </w:pPr>
    </w:p>
    <w:p>
      <w:pPr>
        <w:jc w:val="center"/>
        <w:ind w:right="8459"/>
        <w:spacing w:after="0"/>
        <w:rPr>
          <w:sz w:val="20"/>
          <w:szCs w:val="20"/>
          <w:color w:val="auto"/>
        </w:rPr>
      </w:pPr>
      <w:r>
        <w:rPr>
          <w:rFonts w:ascii="Arial" w:cs="Arial" w:eastAsia="Arial" w:hAnsi="Arial"/>
          <w:sz w:val="17"/>
          <w:szCs w:val="17"/>
          <w:b w:val="1"/>
          <w:bCs w:val="1"/>
          <w:i w:val="1"/>
          <w:iCs w:val="1"/>
          <w:color w:val="auto"/>
        </w:rPr>
        <w:t>Facebook, Inc.</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On February 9, 2012, Vringo entered into an agreement with Facebook, Inc. relating to the use of Vringo’s Facetones mark and domain name (the “</w:t>
      </w:r>
      <w:r>
        <w:rPr>
          <w:rFonts w:ascii="Arial" w:cs="Arial" w:eastAsia="Arial" w:hAnsi="Arial"/>
          <w:sz w:val="15"/>
          <w:szCs w:val="15"/>
          <w:b w:val="1"/>
          <w:bCs w:val="1"/>
          <w:color w:val="auto"/>
        </w:rPr>
        <w:t>Facetones Mark</w:t>
      </w:r>
      <w:r>
        <w:rPr>
          <w:rFonts w:ascii="Arial" w:cs="Arial" w:eastAsia="Arial" w:hAnsi="Arial"/>
          <w:sz w:val="15"/>
          <w:szCs w:val="15"/>
          <w:color w:val="auto"/>
        </w:rPr>
        <w:t>”). Prior to the agreement, the parties had a potential dispute regarding the Facetones Mark. By entering into the agreement, the potential dispute has been favorably resolved to the satisfaction of both parties. The agreement clarifies Vringo’s permitted use of the Facetones Mark including making certain changes to its U.S. trademark application to clarify the description of the Facetones service and agreeing to certain limitations on its use of the Facetones Mark.</w:t>
      </w:r>
    </w:p>
    <w:p>
      <w:pPr>
        <w:spacing w:after="0" w:line="200" w:lineRule="exact"/>
        <w:rPr>
          <w:sz w:val="20"/>
          <w:szCs w:val="20"/>
          <w:color w:val="auto"/>
        </w:rPr>
      </w:pPr>
    </w:p>
    <w:p>
      <w:pPr>
        <w:spacing w:after="0" w:line="26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8" w:name="page139"/>
    <w:bookmarkEnd w:id="1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Business</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Vringo’s video ringtone platform was its primary product of focus from inception through the launch of Vringo’s Facetones product in the third quarter of 2011. Vringo continues to develop business for this product. Vringo believes that its comprehensive video ringtone service represents the next stage in the evolution of the ringtone market from standard audio ringtones to high-quality video ringtones, with social networking capability and integration with web systems. Vringo’s solution, which encompasses a suite of mobile and PC-based tools, enables users to create, download and share video ringtones with ease. Vringo’s solution, furthermore, provides its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Vringo has amassed a library of over 12,000 video ringtones that Vringo provides for its users in various territories. Certain portions of this library are geographically restricted. Vringo also has developed substantial tools for users to create their own video ringtones and for mobile</w:t>
      </w:r>
    </w:p>
    <w:p>
      <w:pPr>
        <w:spacing w:after="0" w:line="3" w:lineRule="exact"/>
        <w:rPr>
          <w:sz w:val="20"/>
          <w:szCs w:val="20"/>
          <w:color w:val="auto"/>
        </w:rPr>
      </w:pPr>
    </w:p>
    <w:p>
      <w:pPr>
        <w:jc w:val="both"/>
        <w:ind w:left="40" w:right="1239"/>
        <w:spacing w:after="0" w:line="222" w:lineRule="auto"/>
        <w:rPr>
          <w:sz w:val="20"/>
          <w:szCs w:val="20"/>
          <w:color w:val="auto"/>
        </w:rPr>
      </w:pPr>
      <w:r>
        <w:rPr>
          <w:rFonts w:ascii="Arial" w:cs="Arial" w:eastAsia="Arial" w:hAnsi="Arial"/>
          <w:sz w:val="17"/>
          <w:szCs w:val="17"/>
          <w:color w:val="auto"/>
        </w:rPr>
        <w:t>carriers and other partners to include their own content and deliver it exclusively to their customers. Vringo’s VringForward</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video ringtone technology allows users to enjoy a rich social experience by sharing video ringtones from its library or which they created.</w:t>
      </w:r>
    </w:p>
    <w:p>
      <w:pPr>
        <w:spacing w:after="0" w:line="89"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Until the end of 2009, Vringo’s video ringtone service was offered to consumers for free. At that point, Vringo moved to a paid service model together with mobile carriers and other partners around the world. The revenue model for its video ringtone service offered through the carriers is generally a subscription-based model where users pay a monthly fee for access to Vringo’s service and additional fees for premium content. Vringo’s free version is still available in markets where Vringo has not entered into commercial arrangements with carriers or other partners. Vringo has built its video ringtone platform with a flexible back-end and front-end that is easy to integrate with the back-end systems of mobile carriers and easy to co-brand with mobile carriers. To date, Vringo has filed 24 patent applications for its platform, three of which have been issued in the United States and Vringo has received one notice of allowance in Europe to date, and Vringo continues to create new intellectual property.</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May 25, 2012, Vringo has commercial video ringtone services with the following eight carriers and partners:</w:t>
      </w:r>
    </w:p>
    <w:p>
      <w:pPr>
        <w:spacing w:after="0" w:line="105" w:lineRule="exact"/>
        <w:rPr>
          <w:sz w:val="20"/>
          <w:szCs w:val="20"/>
          <w:color w:val="auto"/>
        </w:rPr>
      </w:pPr>
    </w:p>
    <w:p>
      <w:pPr>
        <w:jc w:val="both"/>
        <w:ind w:left="560" w:right="1239" w:hanging="300"/>
        <w:spacing w:after="0" w:line="251" w:lineRule="auto"/>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Celcom AxiataBerhad, or Celcom, a mobile carrier in Malaysia, with 11.0 million subscribers. Celcom is one of the largest mobile telecommunications operators in Malaysia with the widest national 2G and 3G coverage in the country, with 26,000 subscribers to Vringo’s paid service. Celcom is a Vodafone partner and is part of the Axiata Group of Companies, one of the world’s largest telecommunications companies with more than 160 million customers across 10 Asian markets (launched in October 2011);</w:t>
      </w:r>
    </w:p>
    <w:p>
      <w:pPr>
        <w:spacing w:after="0" w:line="80"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Maxis Mobile Services SDN BHD, or Maxis, a mobile carrier in Malaysia with 11.4 million subscribers, of which there are 143,000 subscribers to Vringo’s paid service and an additional 2,000 subscribers on a free trial basis (launched in September 2009);</w:t>
      </w:r>
    </w:p>
    <w:p>
      <w:pPr>
        <w:spacing w:after="0" w:line="76" w:lineRule="exact"/>
        <w:rPr>
          <w:rFonts w:ascii="Arial" w:cs="Arial" w:eastAsia="Arial" w:hAnsi="Arial"/>
          <w:sz w:val="17"/>
          <w:szCs w:val="17"/>
          <w:color w:val="auto"/>
        </w:rPr>
      </w:pPr>
    </w:p>
    <w:p>
      <w:pPr>
        <w:jc w:val="both"/>
        <w:ind w:left="560" w:right="1239" w:hanging="300"/>
        <w:spacing w:after="0" w:line="280" w:lineRule="auto"/>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Emirates Telecommunications Corporation, or Etisalat, a mobile carrier with 7.3 million subscribers in the United Arab Emirates and which has more than 94.0 million subscribers worldwide, where Vringo has launched its products and services and has 23,000 subscribers to Vringo’s paid service, (launched in January 2010);</w:t>
      </w:r>
    </w:p>
    <w:p>
      <w:pPr>
        <w:spacing w:after="0" w:line="57" w:lineRule="exact"/>
        <w:rPr>
          <w:rFonts w:ascii="Arial" w:cs="Arial" w:eastAsia="Arial" w:hAnsi="Arial"/>
          <w:sz w:val="16"/>
          <w:szCs w:val="16"/>
          <w:color w:val="auto"/>
        </w:rPr>
      </w:pPr>
    </w:p>
    <w:p>
      <w:pPr>
        <w:jc w:val="both"/>
        <w:ind w:left="560" w:right="1239" w:hanging="300"/>
        <w:spacing w:after="0" w:line="307" w:lineRule="auto"/>
        <w:tabs>
          <w:tab w:leader="none" w:pos="5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Everything Everywhere Limited (EEL), a mobile carrier with almost 30.0 million subscribers in the United Kingdom. Vringo’s video ringtone platform launched was with Orange UK, a large mobile communications company and subsidiary of EEL, with 16.0 million subscribers and Vringo has 35,000 subscribers to its paid service (launched in February 2011);</w:t>
      </w:r>
    </w:p>
    <w:p>
      <w:pPr>
        <w:spacing w:after="0" w:line="39" w:lineRule="exact"/>
        <w:rPr>
          <w:rFonts w:ascii="Arial" w:cs="Arial" w:eastAsia="Arial" w:hAnsi="Arial"/>
          <w:sz w:val="15"/>
          <w:szCs w:val="15"/>
          <w:color w:val="auto"/>
        </w:rPr>
      </w:pPr>
    </w:p>
    <w:p>
      <w:pPr>
        <w:ind w:left="560" w:right="1239" w:hanging="300"/>
        <w:spacing w:after="0" w:line="267" w:lineRule="auto"/>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Starhub, a mobile carrier with 2.0 million subscribers in Singapore (initially launched in February 2011 and re-launched in the first quarter 2012);</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hanging="300"/>
        <w:spacing w:after="0" w:line="280" w:lineRule="auto"/>
        <w:tabs>
          <w:tab w:leader="none" w:pos="5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RTL in Belgium, part of the Bertelsman RTL Television network, has offered together with Vringo, a subscription service on all three Belgian mobile operators (with a combined subscriber base of 1 million) that includes RTL content (launched in June 2010 with limited subscribers due to regulatory limitations introduced on mobile services);</w:t>
      </w:r>
    </w:p>
    <w:p>
      <w:pPr>
        <w:spacing w:after="0" w:line="57" w:lineRule="exact"/>
        <w:rPr>
          <w:rFonts w:ascii="Arial" w:cs="Arial" w:eastAsia="Arial" w:hAnsi="Arial"/>
          <w:sz w:val="16"/>
          <w:szCs w:val="16"/>
          <w:color w:val="auto"/>
        </w:rPr>
      </w:pPr>
    </w:p>
    <w:p>
      <w:pPr>
        <w:jc w:val="both"/>
        <w:ind w:left="560" w:right="1239" w:hanging="300"/>
        <w:spacing w:after="0" w:line="307" w:lineRule="auto"/>
        <w:tabs>
          <w:tab w:leader="none" w:pos="5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Hungama, a content and mobile services aggregator in India. The service with Hungama is being offered to customers of 15 different mobile carriers in India. Vringo’s paid service was on temporary hold as a result of regional legalities in India, however, Vringo on March 22, 2012 re-launched the service in partnership with Hungama and Tata DOCOMO; and</w:t>
      </w:r>
    </w:p>
    <w:p>
      <w:pPr>
        <w:spacing w:after="0" w:line="39" w:lineRule="exact"/>
        <w:rPr>
          <w:rFonts w:ascii="Arial" w:cs="Arial" w:eastAsia="Arial" w:hAnsi="Arial"/>
          <w:sz w:val="15"/>
          <w:szCs w:val="15"/>
          <w:color w:val="auto"/>
        </w:rPr>
      </w:pPr>
    </w:p>
    <w:p>
      <w:pPr>
        <w:ind w:left="560" w:right="1239" w:hanging="300"/>
        <w:spacing w:after="0" w:line="299" w:lineRule="auto"/>
        <w:tabs>
          <w:tab w:leader="none" w:pos="5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Emirates Integrated Telecommunications Company (du Networks), a mobile carrier with 5.0 million subscribers in the United Arab Emirates, where Vringo has launched its products and services in February 2012.</w:t>
      </w:r>
    </w:p>
    <w:p>
      <w:pPr>
        <w:spacing w:after="0" w:line="4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is currently in discussions with several other mobile carriers and it will be pursuing additional agreements with mobile carriers over the next 12 to 24 months. As of May 25, 2012, Vringo’s partners have an aggregate of approximately 700 million subscribers, of which 233,000 are paid subscribers to Vringo’s service, and another 4,000 subscribers have enrolled on a free-trial basis.</w:t>
      </w:r>
    </w:p>
    <w:p>
      <w:pPr>
        <w:spacing w:after="0" w:line="105" w:lineRule="exact"/>
        <w:rPr>
          <w:sz w:val="20"/>
          <w:szCs w:val="20"/>
          <w:color w:val="auto"/>
        </w:rPr>
      </w:pPr>
    </w:p>
    <w:p>
      <w:pPr>
        <w:jc w:val="both"/>
        <w:ind w:left="40" w:right="1239" w:firstLine="251"/>
        <w:spacing w:after="0" w:line="255" w:lineRule="auto"/>
        <w:rPr>
          <w:sz w:val="20"/>
          <w:szCs w:val="20"/>
          <w:color w:val="auto"/>
        </w:rPr>
      </w:pPr>
      <w:r>
        <w:rPr>
          <w:rFonts w:ascii="Arial" w:cs="Arial" w:eastAsia="Arial" w:hAnsi="Arial"/>
          <w:sz w:val="15"/>
          <w:szCs w:val="15"/>
          <w:color w:val="auto"/>
        </w:rPr>
        <w:t>Vringo’s new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social ringtone platform generates social visual ringtone content automatically by aggregating and displaying a user’s friends’ pictures from social networks and then displaying as a video ringtone, as well as a video ringback tone. These ringtones do not replace, but rather enhance, standard ringtone and ringback tones with relevant, current social content that is</w:t>
      </w:r>
    </w:p>
    <w:p>
      <w:pPr>
        <w:spacing w:after="0" w:line="4" w:lineRule="exact"/>
        <w:rPr>
          <w:sz w:val="20"/>
          <w:szCs w:val="20"/>
          <w:color w:val="auto"/>
        </w:rPr>
      </w:pPr>
    </w:p>
    <w:p>
      <w:pPr>
        <w:jc w:val="both"/>
        <w:ind w:left="40" w:right="1239"/>
        <w:spacing w:after="0" w:line="223" w:lineRule="auto"/>
        <w:rPr>
          <w:sz w:val="20"/>
          <w:szCs w:val="20"/>
          <w:color w:val="auto"/>
        </w:rPr>
      </w:pPr>
      <w:r>
        <w:rPr>
          <w:rFonts w:ascii="Arial" w:cs="Arial" w:eastAsia="Arial" w:hAnsi="Arial"/>
          <w:sz w:val="16"/>
          <w:szCs w:val="16"/>
          <w:color w:val="auto"/>
        </w:rPr>
        <w:t>visually displayed. The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product is available for devices running Android, iOS, and Nokia’s Symbian S3. Vringo is currently working together with mobile handset makers to develop this application for other operating systems.</w:t>
      </w:r>
    </w:p>
    <w:p>
      <w:pPr>
        <w:spacing w:after="0" w:line="115" w:lineRule="exact"/>
        <w:rPr>
          <w:sz w:val="20"/>
          <w:szCs w:val="20"/>
          <w:color w:val="auto"/>
        </w:rPr>
      </w:pPr>
    </w:p>
    <w:p>
      <w:pPr>
        <w:jc w:val="both"/>
        <w:ind w:left="40" w:right="1239" w:firstLine="251"/>
        <w:spacing w:after="0"/>
        <w:rPr>
          <w:sz w:val="20"/>
          <w:szCs w:val="20"/>
          <w:color w:val="auto"/>
        </w:rPr>
      </w:pPr>
      <w:r>
        <w:rPr>
          <w:rFonts w:ascii="Arial" w:cs="Arial" w:eastAsia="Arial" w:hAnsi="Arial"/>
          <w:sz w:val="15"/>
          <w:szCs w:val="15"/>
          <w:color w:val="auto"/>
        </w:rPr>
        <w:t>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is experiencing growth both in consumer downloads and in the number of commercial deals with major partners already announced. The product is being made available to consumers in several different configurations and with a variety of</w:t>
      </w:r>
    </w:p>
    <w:p>
      <w:pPr>
        <w:spacing w:after="0" w:line="15" w:lineRule="exact"/>
        <w:rPr>
          <w:sz w:val="20"/>
          <w:szCs w:val="20"/>
          <w:color w:val="auto"/>
        </w:rPr>
      </w:pPr>
    </w:p>
    <w:p>
      <w:pPr>
        <w:jc w:val="both"/>
        <w:ind w:left="40" w:right="1239"/>
        <w:spacing w:after="0" w:line="213" w:lineRule="auto"/>
        <w:rPr>
          <w:sz w:val="20"/>
          <w:szCs w:val="20"/>
          <w:color w:val="auto"/>
        </w:rPr>
      </w:pPr>
      <w:r>
        <w:rPr>
          <w:rFonts w:ascii="Arial" w:cs="Arial" w:eastAsia="Arial" w:hAnsi="Arial"/>
          <w:sz w:val="17"/>
          <w:szCs w:val="17"/>
          <w:color w:val="auto"/>
        </w:rPr>
        <w:t>distribution and monetization methods. As of May 5, 2012, the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free ad-supported version had more than a million downloads and is generating more than 3.8 million requests in mobile ad inventory on a weekly basis.</w:t>
      </w:r>
    </w:p>
    <w:p>
      <w:pPr>
        <w:spacing w:after="0" w:line="115" w:lineRule="exact"/>
        <w:rPr>
          <w:sz w:val="20"/>
          <w:szCs w:val="20"/>
          <w:color w:val="auto"/>
        </w:rPr>
      </w:pPr>
    </w:p>
    <w:p>
      <w:pPr>
        <w:jc w:val="both"/>
        <w:ind w:left="40" w:right="1239" w:firstLine="251"/>
        <w:spacing w:after="0" w:line="261" w:lineRule="auto"/>
        <w:rPr>
          <w:sz w:val="20"/>
          <w:szCs w:val="20"/>
          <w:color w:val="auto"/>
        </w:rPr>
      </w:pPr>
      <w:r>
        <w:rPr>
          <w:rFonts w:ascii="Arial" w:cs="Arial" w:eastAsia="Arial" w:hAnsi="Arial"/>
          <w:sz w:val="15"/>
          <w:szCs w:val="15"/>
          <w:color w:val="auto"/>
        </w:rPr>
        <w:t>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is offered directly to consumers via leading mobile application stores and download sites where both for purchase versions (at prices ranging from $1 to $5), as well as ad-supported free versions are available. Facetones is available in application stores integrated into popular handsets such as the Google Android Market and Apple App Store. Vringo has announced placement deals for the app with GetJar, the world’s largest independent app store, Mobango and AppBrain. In August 2011, Vringo launched</w:t>
      </w:r>
    </w:p>
    <w:p>
      <w:pPr>
        <w:spacing w:after="0" w:line="2" w:lineRule="exact"/>
        <w:rPr>
          <w:sz w:val="20"/>
          <w:szCs w:val="20"/>
          <w:color w:val="auto"/>
        </w:rPr>
      </w:pPr>
    </w:p>
    <w:p>
      <w:pPr>
        <w:jc w:val="both"/>
        <w:ind w:left="40" w:right="1239"/>
        <w:spacing w:after="0"/>
        <w:rPr>
          <w:sz w:val="20"/>
          <w:szCs w:val="20"/>
          <w:color w:val="auto"/>
        </w:rPr>
      </w:pPr>
      <w:r>
        <w:rPr>
          <w:rFonts w:ascii="Arial" w:cs="Arial" w:eastAsia="Arial" w:hAnsi="Arial"/>
          <w:sz w:val="15"/>
          <w:szCs w:val="15"/>
          <w:color w:val="auto"/>
        </w:rPr>
        <w:t>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in Japan for Android users through the DOCOMO market, a mobile internet portal operated by NTT DOCOMO, INC., the largest mobile phone operator in Japan, with more than 50 million users. In October 2011, Verizon, the largest mobile</w:t>
      </w:r>
    </w:p>
    <w:p>
      <w:pPr>
        <w:spacing w:after="0" w:line="15" w:lineRule="exact"/>
        <w:rPr>
          <w:sz w:val="20"/>
          <w:szCs w:val="20"/>
          <w:color w:val="auto"/>
        </w:rPr>
      </w:pPr>
    </w:p>
    <w:p>
      <w:pPr>
        <w:jc w:val="both"/>
        <w:ind w:left="40" w:right="1239"/>
        <w:spacing w:after="0" w:line="234" w:lineRule="auto"/>
        <w:rPr>
          <w:sz w:val="20"/>
          <w:szCs w:val="20"/>
          <w:color w:val="auto"/>
        </w:rPr>
      </w:pPr>
      <w:r>
        <w:rPr>
          <w:rFonts w:ascii="Arial" w:cs="Arial" w:eastAsia="Arial" w:hAnsi="Arial"/>
          <w:sz w:val="15"/>
          <w:szCs w:val="15"/>
          <w:color w:val="auto"/>
        </w:rPr>
        <w:t>operator in the United States, announced the launch of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as a subscription service for Verizon subscribers for $0.99 a month. Vringo continues to pursue business for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together with handset manufacturers. In December 2011, Vringo</w:t>
      </w:r>
    </w:p>
    <w:p>
      <w:pPr>
        <w:jc w:val="both"/>
        <w:ind w:left="40" w:right="1239"/>
        <w:spacing w:after="0" w:line="218" w:lineRule="auto"/>
        <w:rPr>
          <w:sz w:val="20"/>
          <w:szCs w:val="20"/>
          <w:color w:val="auto"/>
        </w:rPr>
      </w:pPr>
      <w:r>
        <w:rPr>
          <w:rFonts w:ascii="Arial" w:cs="Arial" w:eastAsia="Arial" w:hAnsi="Arial"/>
          <w:sz w:val="17"/>
          <w:szCs w:val="17"/>
          <w:color w:val="auto"/>
        </w:rPr>
        <w:t>launched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for Symbian in cooperation with Nokia. In January 2012, Vringo launched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for iPhone which generates, as of the end of February 2012, close to a thousand daily downloads without any promotion. In March 2012, Vringo shifted from providing an ad-based free-of-charge for iPhone to a one-time fee ads-free app.</w:t>
      </w:r>
    </w:p>
    <w:p>
      <w:pPr>
        <w:spacing w:after="0" w:line="115" w:lineRule="exact"/>
        <w:rPr>
          <w:sz w:val="20"/>
          <w:szCs w:val="20"/>
          <w:color w:val="auto"/>
        </w:rPr>
      </w:pPr>
    </w:p>
    <w:p>
      <w:pPr>
        <w:jc w:val="both"/>
        <w:ind w:left="40" w:right="1239" w:firstLine="251"/>
        <w:spacing w:after="0" w:line="255" w:lineRule="auto"/>
        <w:rPr>
          <w:sz w:val="20"/>
          <w:szCs w:val="20"/>
          <w:color w:val="auto"/>
        </w:rPr>
      </w:pPr>
      <w:r>
        <w:rPr>
          <w:rFonts w:ascii="Arial" w:cs="Arial" w:eastAsia="Arial" w:hAnsi="Arial"/>
          <w:sz w:val="15"/>
          <w:szCs w:val="15"/>
          <w:color w:val="auto"/>
        </w:rPr>
        <w:t>In addition to Vringo’s direct to consumer and carrier marketed versions of the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application, Vringo believes that licensing its software to handset makers will provide a growing and significant revenue stream during 2012 and beyond. In November 2011, Vringo announced an agreement with ZTE Corporation, the largest handset maker in China and fourth-largest</w:t>
      </w:r>
    </w:p>
    <w:p>
      <w:pPr>
        <w:spacing w:after="0" w:line="4" w:lineRule="exact"/>
        <w:rPr>
          <w:sz w:val="20"/>
          <w:szCs w:val="20"/>
          <w:color w:val="auto"/>
        </w:rPr>
      </w:pPr>
    </w:p>
    <w:p>
      <w:pPr>
        <w:jc w:val="both"/>
        <w:ind w:left="40" w:right="1239"/>
        <w:spacing w:after="0" w:line="230" w:lineRule="auto"/>
        <w:rPr>
          <w:sz w:val="20"/>
          <w:szCs w:val="20"/>
          <w:color w:val="auto"/>
        </w:rPr>
      </w:pPr>
      <w:r>
        <w:rPr>
          <w:rFonts w:ascii="Arial" w:cs="Arial" w:eastAsia="Arial" w:hAnsi="Arial"/>
          <w:sz w:val="17"/>
          <w:szCs w:val="17"/>
          <w:color w:val="auto"/>
        </w:rPr>
        <w:t>globally, to preload the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application on Android handsets manufactured by ZTE. ZTE will pay Vringo a royalty for each device that Vringo’s software is pre-loaded on. These ZTE handsets will be sold via mobile phone operators and through various OEM contracts to brand name handset manufacturers. In addition, Vringo has entered into a development contract with Nokia, the world’s largest handset maker, to supply Facetones for Nokia’s S3 devices, subsequent to delivering this version of Vringo’s application it was recently launched on the Nokia Ovi Store.</w:t>
      </w:r>
    </w:p>
    <w:p>
      <w:pPr>
        <w:spacing w:after="0" w:line="200" w:lineRule="exact"/>
        <w:rPr>
          <w:sz w:val="20"/>
          <w:szCs w:val="20"/>
          <w:color w:val="auto"/>
        </w:rPr>
      </w:pPr>
    </w:p>
    <w:p>
      <w:pPr>
        <w:spacing w:after="0" w:line="30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Early in 2011, Vringo launched its new Video ReMix platform that allows users to download an application for iOS (iPhone, iPad, iPod) or Android phones and create their own music video by tapping on a variety of music beats and video files. Essentially, the user is able to “Remix” this music video content and add his own user generated video to the mix and then view this content or share it with friends via Facebook® or other social networks. This application turns the smartphone or tablet into a virtual video ReMix sound/video board where this “mixing” is accomplished by simple tapping on the touch screen interface. The Video ReMix applications are branded with an artist or sponsor and then monetized via advertising, sponsorship, a-la carte sales or in app store purchases.</w:t>
      </w:r>
    </w:p>
    <w:p>
      <w:pPr>
        <w:spacing w:after="0" w:line="84"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 initial Video ReMix application “Booty Symphony” was developed with Nappy Boy Enterprises, the music production company of the artist T-Pain. Booty Symphony was released in an ad-supported free Android version as well as paid versions for iOS and Android. Vringo’s newest application on Vringo’s Video ReMix platform was delivered in the second quarter of 2011 to partner Corso Communications and its client Heineken. This sponsored version highlighted music and video of the group Dirty Vegas, and was used by Heineken “brand ambassadors” at the Coachella Music festival. Vringo later created an additional version of this application for Heineken in the third quarter of 2011. Vringo continues to seek new business for this platform with other recording artists and sponsored by additional major brands.</w:t>
      </w:r>
    </w:p>
    <w:p>
      <w:pPr>
        <w:spacing w:after="0" w:line="71"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Vringo’s Fan Loyalty platform was launched in mid-2011 by co-branding its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featured exclusive content and fully integrated live voting capabilities for the blockbuster “Star Academy” reality music show, which reached over 300 million viewers and was available in over 10 countries in the region. In the first quarter of 2012, Vringo entered into an agreement with Endemol, a producer of entertainment and realty TV programming, to work together an additional sponsored versions of this application.</w:t>
      </w:r>
    </w:p>
    <w:p>
      <w:pPr>
        <w:spacing w:after="0" w:line="6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Fan Loyalty application for Star Academy was made available exclusively for download on the Ovi Store, and had more than 200,000 downloads during the season. Vringo is in discussions with several other entertainment groups regarding potential deals for this Fan Loyalty platform.</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Strategy</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Vringo’s goal is to become a leading global provider and licensor of mobile video and mobile social applications, services and software, including mobile personalization, and interactive services via Vringo’s different software platforms and maximize the benefits of Vringo’s intellectual property. To achieve this goal, Vringo plans to:</w:t>
      </w:r>
    </w:p>
    <w:p>
      <w:pPr>
        <w:spacing w:after="0" w:line="76"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i w:val="1"/>
          <w:iCs w:val="1"/>
          <w:color w:val="auto"/>
        </w:rPr>
        <w:t>Grow Vringo’s business</w:t>
      </w:r>
      <w:r>
        <w:rPr>
          <w:rFonts w:ascii="Arial" w:cs="Arial" w:eastAsia="Arial" w:hAnsi="Arial"/>
          <w:sz w:val="15"/>
          <w:szCs w:val="15"/>
          <w:color w:val="auto"/>
        </w:rPr>
        <w:t>. The objectives of the Merger are to maximize the economic benefits of Vringo’s intellectual property</w:t>
      </w:r>
      <w:r>
        <w:rPr>
          <w:rFonts w:ascii="Arial" w:cs="Arial" w:eastAsia="Arial" w:hAnsi="Arial"/>
          <w:sz w:val="15"/>
          <w:szCs w:val="15"/>
          <w:i w:val="1"/>
          <w:iCs w:val="1"/>
          <w:color w:val="auto"/>
        </w:rPr>
        <w:t xml:space="preserve"> </w:t>
      </w:r>
      <w:r>
        <w:rPr>
          <w:rFonts w:ascii="Arial" w:cs="Arial" w:eastAsia="Arial" w:hAnsi="Arial"/>
          <w:sz w:val="15"/>
          <w:szCs w:val="15"/>
          <w:color w:val="auto"/>
        </w:rPr>
        <w:t>assets, add significant talent in technological innovation, and be positioned to enhance Vringo’s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Vringo believes that the Merger, if consummated, will potentially enhance Vringo’s technology leadership, Vringo’s portfolio of intellectual property, and as a result open new business opportunities for Vringo.</w:t>
      </w:r>
    </w:p>
    <w:p>
      <w:pPr>
        <w:spacing w:after="0" w:line="5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i w:val="1"/>
          <w:iCs w:val="1"/>
          <w:color w:val="auto"/>
        </w:rPr>
        <w:t>Maintain and grow Vringo’s product technology and monetization of intellectual property</w:t>
      </w:r>
      <w:r>
        <w:rPr>
          <w:rFonts w:ascii="Arial" w:cs="Arial" w:eastAsia="Arial" w:hAnsi="Arial"/>
          <w:sz w:val="16"/>
          <w:szCs w:val="16"/>
          <w:color w:val="auto"/>
        </w:rPr>
        <w:t>. Vringo’s technical team is made up</w:t>
      </w:r>
      <w:r>
        <w:rPr>
          <w:rFonts w:ascii="Arial" w:cs="Arial" w:eastAsia="Arial" w:hAnsi="Arial"/>
          <w:sz w:val="16"/>
          <w:szCs w:val="16"/>
          <w:i w:val="1"/>
          <w:iCs w:val="1"/>
          <w:color w:val="auto"/>
        </w:rPr>
        <w:t xml:space="preserve"> </w:t>
      </w:r>
      <w:r>
        <w:rPr>
          <w:rFonts w:ascii="Arial" w:cs="Arial" w:eastAsia="Arial" w:hAnsi="Arial"/>
          <w:sz w:val="16"/>
          <w:szCs w:val="16"/>
          <w:color w:val="auto"/>
        </w:rPr>
        <w:t>of highly regarded industry professionals that continually ensure that Vringo’s product is on the cutting-edge in terms of ease of use, functionality and look and feel. Vringo’s applications and services have millions of downloads and registered users, however there is no guarantee that we can maintain this position. Separately, the mobile video and mobile social networking industries are in their infancy and in order to create a user base with scale and ultimately substantial revenue, Vringo will need to spend additional capital resources. In addition to product leadership, Vringo continues to grow its portfolio of intellectual property through internal development. Vringo plans to continue to allocate technical resources to remain ahead of Vringo’s competition and provide users with a product that is easy-to-use and cutting-edge. Vringo has filed 24 patent applications for its platform (three of which have been issued to date) and Vringo</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continues to create new intellectual property. Vringo believes that, if consummated, the Merger will add significant talent in technological innovation, and position the combined company for potential enhanced opportunities and revenue generation through the monetization of the combined company’s assets.</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i w:val="1"/>
          <w:iCs w:val="1"/>
          <w:color w:val="auto"/>
        </w:rPr>
        <w:t xml:space="preserve">Continue to maintain a base of strategically important intellectual property. </w:t>
      </w:r>
      <w:r>
        <w:rPr>
          <w:rFonts w:ascii="Arial" w:cs="Arial" w:eastAsia="Arial" w:hAnsi="Arial"/>
          <w:sz w:val="17"/>
          <w:szCs w:val="17"/>
          <w:color w:val="auto"/>
        </w:rPr>
        <w:t>If consummated, the Merger will substantially</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Vringo’s intellectual property portfolio. Vringo believes that there are additional intellectual property assets that Vringo will be able to partner with, license or acquire. Vringo’s success depends on not just the monetization of the existing portfolio of patents, but expanding it further.</w:t>
      </w:r>
    </w:p>
    <w:p>
      <w:pPr>
        <w:spacing w:after="0" w:line="78"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i w:val="1"/>
          <w:iCs w:val="1"/>
          <w:color w:val="auto"/>
        </w:rPr>
        <w:t xml:space="preserve">Create additional applications and services. </w:t>
      </w:r>
      <w:r>
        <w:rPr>
          <w:rFonts w:ascii="Arial" w:cs="Arial" w:eastAsia="Arial" w:hAnsi="Arial"/>
          <w:sz w:val="15"/>
          <w:szCs w:val="15"/>
          <w:color w:val="auto"/>
        </w:rPr>
        <w:t>Vringo intends to develop, license or acquire additional applications and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to distribute through Vringo’s carrier, handset and application store partners. While Vringo has gained significant user adoption for its products and services, Vringo believes that to achieve substantial revenue, it will need to create new products in particular for Apple’s iOS devices. Apple is currently the dominant operating system for the monetization of mobile applications followed by Android. Vringo has already deployed 4 applications for Apple’s iOS and generated over 1 million downloads on Android alone for Vringo’s Facetones product. To be competitive, Vringo will continue to focus on the two most dominant smartphone platforms.</w:t>
      </w:r>
    </w:p>
    <w:p>
      <w:pPr>
        <w:spacing w:after="0" w:line="53"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i w:val="1"/>
          <w:iCs w:val="1"/>
          <w:color w:val="auto"/>
        </w:rPr>
        <w:t>Grow Vringo’s subscription services through mobile carrier partnerships</w:t>
      </w:r>
      <w:r>
        <w:rPr>
          <w:rFonts w:ascii="Arial" w:cs="Arial" w:eastAsia="Arial" w:hAnsi="Arial"/>
          <w:sz w:val="15"/>
          <w:szCs w:val="15"/>
          <w:color w:val="auto"/>
        </w:rPr>
        <w:t>. Vringo has built Vringo’s products so as to be easily</w:t>
      </w:r>
      <w:r>
        <w:rPr>
          <w:rFonts w:ascii="Arial" w:cs="Arial" w:eastAsia="Arial" w:hAnsi="Arial"/>
          <w:sz w:val="15"/>
          <w:szCs w:val="15"/>
          <w:i w:val="1"/>
          <w:iCs w:val="1"/>
          <w:color w:val="auto"/>
        </w:rPr>
        <w:t xml:space="preserve"> </w:t>
      </w:r>
      <w:r>
        <w:rPr>
          <w:rFonts w:ascii="Arial" w:cs="Arial" w:eastAsia="Arial" w:hAnsi="Arial"/>
          <w:sz w:val="15"/>
          <w:szCs w:val="15"/>
          <w:color w:val="auto"/>
        </w:rPr>
        <w:t>integrated with mobile carriers and content aggregators. We believe the mobile carrier channel is one of the most cost effective channels to grow Vringo’s user base and to monetize its products. Vringo’s subscription services are currently live in Belgium, India, Malaysia, Singapore, the United Kingdom and the United Arab Emirates and in limited release in the United States.</w:t>
      </w:r>
    </w:p>
    <w:p>
      <w:pPr>
        <w:spacing w:after="0" w:line="4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i w:val="1"/>
          <w:iCs w:val="1"/>
          <w:color w:val="auto"/>
        </w:rPr>
        <w:t xml:space="preserve">Generate revenue via software licensing partnerships. </w:t>
      </w:r>
      <w:r>
        <w:rPr>
          <w:rFonts w:ascii="Arial" w:cs="Arial" w:eastAsia="Arial" w:hAnsi="Arial"/>
          <w:sz w:val="17"/>
          <w:szCs w:val="17"/>
          <w:color w:val="auto"/>
        </w:rPr>
        <w:t>Vringo has licensed Vringo’s software to two of the four largest handset</w:t>
      </w:r>
      <w:r>
        <w:rPr>
          <w:rFonts w:ascii="Arial" w:cs="Arial" w:eastAsia="Arial" w:hAnsi="Arial"/>
          <w:sz w:val="17"/>
          <w:szCs w:val="17"/>
          <w:i w:val="1"/>
          <w:iCs w:val="1"/>
          <w:color w:val="auto"/>
        </w:rPr>
        <w:t xml:space="preserve"> </w:t>
      </w:r>
      <w:r>
        <w:rPr>
          <w:rFonts w:ascii="Arial" w:cs="Arial" w:eastAsia="Arial" w:hAnsi="Arial"/>
          <w:sz w:val="17"/>
          <w:szCs w:val="17"/>
          <w:color w:val="auto"/>
        </w:rPr>
        <w:t>makers in the world, ZTE and Nokia. Vringo believes that the market for pre-loaded software for mobile devices is a fast growing market that provides broad reach and sustainable recurring revenue.</w:t>
      </w:r>
    </w:p>
    <w:p>
      <w:pPr>
        <w:spacing w:after="0" w:line="76" w:lineRule="exact"/>
        <w:rPr>
          <w:sz w:val="20"/>
          <w:szCs w:val="20"/>
          <w:color w:val="auto"/>
        </w:rPr>
      </w:pPr>
    </w:p>
    <w:p>
      <w:pPr>
        <w:jc w:val="both"/>
        <w:ind w:left="40" w:right="1239" w:firstLine="251"/>
        <w:spacing w:after="0" w:line="273" w:lineRule="auto"/>
        <w:rPr>
          <w:sz w:val="20"/>
          <w:szCs w:val="20"/>
          <w:color w:val="auto"/>
        </w:rPr>
      </w:pPr>
      <w:r>
        <w:rPr>
          <w:rFonts w:ascii="Arial" w:cs="Arial" w:eastAsia="Arial" w:hAnsi="Arial"/>
          <w:sz w:val="16"/>
          <w:szCs w:val="16"/>
          <w:i w:val="1"/>
          <w:iCs w:val="1"/>
          <w:color w:val="auto"/>
        </w:rPr>
        <w:t xml:space="preserve">Enhance Vringo’s viral and social tools. </w:t>
      </w:r>
      <w:r>
        <w:rPr>
          <w:rFonts w:ascii="Arial" w:cs="Arial" w:eastAsia="Arial" w:hAnsi="Arial"/>
          <w:sz w:val="16"/>
          <w:szCs w:val="16"/>
          <w:color w:val="auto"/>
        </w:rPr>
        <w:t>Vringo believes that there is substantial opportunity to increase the social and viral</w:t>
      </w:r>
      <w:r>
        <w:rPr>
          <w:rFonts w:ascii="Arial" w:cs="Arial" w:eastAsia="Arial" w:hAnsi="Arial"/>
          <w:sz w:val="16"/>
          <w:szCs w:val="16"/>
          <w:i w:val="1"/>
          <w:iCs w:val="1"/>
          <w:color w:val="auto"/>
        </w:rPr>
        <w:t xml:space="preserve"> </w:t>
      </w:r>
      <w:r>
        <w:rPr>
          <w:rFonts w:ascii="Arial" w:cs="Arial" w:eastAsia="Arial" w:hAnsi="Arial"/>
          <w:sz w:val="16"/>
          <w:szCs w:val="16"/>
          <w:color w:val="auto"/>
        </w:rPr>
        <w:t>nature of Vringo’s products, which will be critical for Vringo’s growth. Vringo will continue to add features to the product platforms to enhance their viral and social aspects and which enable users to connect with their existing social networks on</w:t>
      </w:r>
    </w:p>
    <w:p>
      <w:pPr>
        <w:ind w:left="40"/>
        <w:spacing w:after="0"/>
        <w:rPr>
          <w:sz w:val="20"/>
          <w:szCs w:val="20"/>
          <w:color w:val="auto"/>
        </w:rPr>
      </w:pPr>
      <w:r>
        <w:rPr>
          <w:rFonts w:ascii="Arial" w:cs="Arial" w:eastAsia="Arial" w:hAnsi="Arial"/>
          <w:sz w:val="17"/>
          <w:szCs w:val="17"/>
          <w:color w:val="auto"/>
        </w:rPr>
        <w:t>platforms such as Facebook</w:t>
      </w:r>
      <w:r>
        <w:rPr>
          <w:rFonts w:ascii="Arial" w:cs="Arial" w:eastAsia="Arial" w:hAnsi="Arial"/>
          <w:sz w:val="27"/>
          <w:szCs w:val="27"/>
          <w:color w:val="auto"/>
          <w:vertAlign w:val="superscript"/>
        </w:rPr>
        <w:t>TM</w:t>
      </w:r>
      <w:r>
        <w:rPr>
          <w:rFonts w:ascii="Arial" w:cs="Arial" w:eastAsia="Arial" w:hAnsi="Arial"/>
          <w:sz w:val="17"/>
          <w:szCs w:val="17"/>
          <w:color w:val="auto"/>
        </w:rPr>
        <w:t>, Twitter</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and LinkedIn</w:t>
      </w:r>
      <w:r>
        <w:rPr>
          <w:rFonts w:ascii="Arial" w:cs="Arial" w:eastAsia="Arial" w:hAnsi="Arial"/>
          <w:sz w:val="27"/>
          <w:szCs w:val="27"/>
          <w:color w:val="auto"/>
          <w:vertAlign w:val="superscript"/>
        </w:rPr>
        <w:t>TM</w:t>
      </w:r>
      <w:r>
        <w:rPr>
          <w:rFonts w:ascii="Arial" w:cs="Arial" w:eastAsia="Arial" w:hAnsi="Arial"/>
          <w:sz w:val="17"/>
          <w:szCs w:val="17"/>
          <w:color w:val="auto"/>
        </w:rPr>
        <w:t>.</w:t>
      </w:r>
    </w:p>
    <w:p>
      <w:pPr>
        <w:spacing w:after="0" w:line="40"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i w:val="1"/>
          <w:iCs w:val="1"/>
          <w:color w:val="auto"/>
        </w:rPr>
        <w:t xml:space="preserve">Build a strong revenue base of recurring revenue. </w:t>
      </w:r>
      <w:r>
        <w:rPr>
          <w:rFonts w:ascii="Arial" w:cs="Arial" w:eastAsia="Arial" w:hAnsi="Arial"/>
          <w:sz w:val="15"/>
          <w:szCs w:val="15"/>
          <w:color w:val="auto"/>
        </w:rPr>
        <w:t>Vringo will focus on recurring revenue stream generated by operator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and advertising. Vringo believes that Vringo’s products and services are well suited for monetization through these avenues. While the mobile advertising market is promising, it is still in its infancy and Vringo’s success is dependent on the growth of the market as a whole. Vringo’s aim is to penetrate this market through Vringo’s established partnerships; however Vringo recognizes that the realization of this model on a significant scale will continue to require investment over a sustained period of time.</w:t>
      </w:r>
    </w:p>
    <w:p>
      <w:pPr>
        <w:spacing w:after="0" w:line="54"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i w:val="1"/>
          <w:iCs w:val="1"/>
          <w:color w:val="auto"/>
        </w:rPr>
        <w:t xml:space="preserve">Find new forms of distribution. </w:t>
      </w:r>
      <w:r>
        <w:rPr>
          <w:rFonts w:ascii="Arial" w:cs="Arial" w:eastAsia="Arial" w:hAnsi="Arial"/>
          <w:sz w:val="17"/>
          <w:szCs w:val="17"/>
          <w:color w:val="auto"/>
        </w:rPr>
        <w:t>While Vringo is currently focused on the mobile carrier distribution channel, Vringo believes</w:t>
      </w:r>
      <w:r>
        <w:rPr>
          <w:rFonts w:ascii="Arial" w:cs="Arial" w:eastAsia="Arial" w:hAnsi="Arial"/>
          <w:sz w:val="17"/>
          <w:szCs w:val="17"/>
          <w:i w:val="1"/>
          <w:iCs w:val="1"/>
          <w:color w:val="auto"/>
        </w:rPr>
        <w:t xml:space="preserve"> </w:t>
      </w:r>
      <w:r>
        <w:rPr>
          <w:rFonts w:ascii="Arial" w:cs="Arial" w:eastAsia="Arial" w:hAnsi="Arial"/>
          <w:sz w:val="17"/>
          <w:szCs w:val="17"/>
          <w:color w:val="auto"/>
        </w:rPr>
        <w:t>there are other avenues that could be successful distribution channels for Vringo. Specifically, Vringo believes broadcasters and content owners could greatly benefit by promoting Vringo’s service to their customers by monetizing either their content or leveraging their relationship with advertisers via ads.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Legal Proceedings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Vringo is not currently engaged in any material legal proceedings.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Employees</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As of May 25, 2012, Vringo had 24 full-time employees and three part-time employees. None of Vringo’s employees are covered by collective bargaining arrangements and management considers relations with Vringo’s employees to be good.</w:t>
      </w:r>
    </w:p>
    <w:p>
      <w:pPr>
        <w:spacing w:after="0" w:line="200" w:lineRule="exact"/>
        <w:rPr>
          <w:sz w:val="20"/>
          <w:szCs w:val="20"/>
          <w:color w:val="auto"/>
        </w:rPr>
      </w:pPr>
    </w:p>
    <w:p>
      <w:pPr>
        <w:spacing w:after="0" w:line="25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Property and Facilities</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Vringo’s corporate office is located at 44 West 28th Street, Suite 1414, New York, New York 10001. In addition, the research and development facility of Vringo’s subsidiary, Vringo (Israel), Ltd., and Vringo’s finance department is located on the 2nd floor of the BIG Center Building, in 1 Yigal Allon St., Beit Shemesh, Israel. Vringo believes that its existing facilities are adequate to accommodate its business needs.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Corporate Information</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was incorporated in January 2006 and is still a development stage company. Vringo’s principal executive offices are located in New York, NY, and in addition, Vringo has a wholly-owned subsidiary, Vringo (Israel) Ltd., located in Bet-Shemesh, Israel.</w:t>
      </w:r>
    </w:p>
    <w:p>
      <w:pPr>
        <w:spacing w:after="0" w:line="7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Vringo maintains a website at </w:t>
      </w:r>
      <w:r>
        <w:rPr>
          <w:rFonts w:ascii="Arial" w:cs="Arial" w:eastAsia="Arial" w:hAnsi="Arial"/>
          <w:sz w:val="17"/>
          <w:szCs w:val="17"/>
          <w:i w:val="1"/>
          <w:iCs w:val="1"/>
          <w:color w:val="auto"/>
        </w:rPr>
        <w:t>www.vringo.com</w:t>
      </w:r>
      <w:r>
        <w:rPr>
          <w:rFonts w:ascii="Arial" w:cs="Arial" w:eastAsia="Arial" w:hAnsi="Arial"/>
          <w:sz w:val="17"/>
          <w:szCs w:val="17"/>
          <w:color w:val="auto"/>
        </w:rPr>
        <w:t xml:space="preserve">. Vringo makes available, free of charge, on its website its Annual Report on Form 10-K, Quarterly Reports on Form 10-Q, Current Reports on Form 8-K and amendments to those reports filed or furnished pursuant to Section 13(a) or 15(d) of the Exchange Act, as soon as reasonably practicable after such reports are electronically filed with, or furnished to, the SEC. Vringo’s reports filed with, or furnished to, the SEC are also available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9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VRINGO’S MANAGEMENT’S DISCUSSION AND ANALYSIS OF</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93"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i w:val="1"/>
          <w:iCs w:val="1"/>
          <w:color w:val="auto"/>
        </w:rPr>
        <w:t>This discussion of Vringo’s financial condition and results of operations should be read together with the financial statements and notes contained elsewhere in this proxy statement/prospectus. Certain statements in this section and other sections are forward-looking. While Vringo believes these statements are accurate, its business is dependent on many factors, some of which are discussed the section entitled “Risk Factors” and Vringo’s Business. Many of these factors are beyond Vringo’s control and any of these and other factors could cause actual results to differ materially from the forward-looking statements made in this proxy statement/prospectus. See the section entitled “Risk Factors” for further information regarding these factors. Vringo undertakes no obligation to release publicly the results of any revisions to the statements contained in this section to reflect events or circumstances that occur subsequent to the date of this proxy statement/prospectus.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Vringo provides a range of software products for mobile video entertainment, personalization and mobile social applications. Vringo believes that the Merger will help it further develop and evolve Vringo’s mobile applications and services business through the addition of proven management, namely through the addition of Andrew K. Lang as Chief Technology Officer. Vringo’s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Vringo’s applications and services have been launched with ten carriers in eight markets. The billing integrations that Vringo has with these operators are of significant strategic value to its operations. In addition, Vringo has deals in place with two of the four largest handset makers in the world. Vringo believes that social network information and updates will be shared regularly when friends regularly communicate by voice and by text. Vringo’s video ringtone solutions and other mobile social and video applications, which encompass a suite of mobile and PC-based tools, enable users to create, download and share video and other social content with ease as part of the normal communication process, and provide Vringo’s business partners with a consumer-friendly and easy-to-integrate monetization platform. While Vringo’s current portfolio of applications and services represent what Vringo believes to be cutting edge mobile technology that can work across many operating systems, Vringo recognizes that the pace at which the mobile landscape is changing has increased and the two most dominant operating systems are Google’s Android and Apple’s iOS. Moving forward, Vringo intends to develop additional applications and services for these two key operating systems, as well as other dominant smartphone operating systems that may emerge. Vringo believes that it can leverage its existing distribution and relationships to promote apps and services for these two operating systems. In addition, Vringo plans to more aggressively attempt to monetize the intellectual property that it owns as well as additional intellectual property that it may choose to acquire in the future. In furtherance of such strategy, Vringo and Innovate/Protect have begun to jointly investigate certain opportunities to make acquisitions of patent portfolios or other intellectual property assets and they expect to continue to pursue acquisitions of intellectual property assets following the consummation of the Merger.</w:t>
      </w:r>
    </w:p>
    <w:p>
      <w:pPr>
        <w:spacing w:after="0" w:line="67"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Vringo is a development stage company. From inception through March 31, 2012, Vringo has raised approximately $34.8 million. These amounts have been used to finance Vringo’s operations, as until now, Vringo has not yet generated any significant revenues. From inception through March 31, 2012, Vringo recorded losses of $43.2 million and net cash outflow from operations of $30.5 million. Vringo’s average monthly cash burn rate from operations for the year ended December 31, 2011 was approximately $0.45 million. For the three month period ended March 31, 2012, the operational cash burn rate from operations was approximately $0.4 million, which included expenses incurred in connection with merger and acquisition activities.</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July 2011, Vringo raised an aggregate amount of $2.5 million through the issuance of convertible notes in a private placement. On December 1, 2011, Vringo raised additional $0.85 million through the issuance of additional 817,303 shares of common stock (“</w:t>
      </w:r>
      <w:r>
        <w:rPr>
          <w:rFonts w:ascii="Arial" w:cs="Arial" w:eastAsia="Arial" w:hAnsi="Arial"/>
          <w:sz w:val="17"/>
          <w:szCs w:val="17"/>
          <w:b w:val="1"/>
          <w:bCs w:val="1"/>
          <w:color w:val="auto"/>
        </w:rPr>
        <w:t>December 2011 financing</w:t>
      </w:r>
      <w:r>
        <w:rPr>
          <w:rFonts w:ascii="Arial" w:cs="Arial" w:eastAsia="Arial" w:hAnsi="Arial"/>
          <w:sz w:val="17"/>
          <w:szCs w:val="17"/>
          <w:color w:val="auto"/>
        </w:rPr>
        <w:t>”). Pursuant to the December 2011 financing, all convertible notes (and accrued interest) were converted into 2,671,026 shares of common stock. In February 2012, Vringo entered into agreements with holders (the “</w:t>
      </w:r>
      <w:r>
        <w:rPr>
          <w:rFonts w:ascii="Arial" w:cs="Arial" w:eastAsia="Arial" w:hAnsi="Arial"/>
          <w:sz w:val="17"/>
          <w:szCs w:val="17"/>
          <w:b w:val="1"/>
          <w:bCs w:val="1"/>
          <w:color w:val="auto"/>
        </w:rPr>
        <w:t>Holders</w:t>
      </w:r>
      <w:r>
        <w:rPr>
          <w:rFonts w:ascii="Arial" w:cs="Arial" w:eastAsia="Arial" w:hAnsi="Arial"/>
          <w:sz w:val="17"/>
          <w:szCs w:val="17"/>
          <w:color w:val="auto"/>
        </w:rPr>
        <w:t>”) of certain of</w:t>
      </w:r>
    </w:p>
    <w:p>
      <w:pPr>
        <w:spacing w:after="0" w:line="200" w:lineRule="exact"/>
        <w:rPr>
          <w:sz w:val="20"/>
          <w:szCs w:val="20"/>
          <w:color w:val="auto"/>
        </w:rPr>
      </w:pPr>
    </w:p>
    <w:p>
      <w:pPr>
        <w:spacing w:after="0" w:line="30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its outstanding special bridge and conversion warrants, pursuant to which the Holders exercised warrants to purchase 3,828,993 shares of Vringo common stock for aggregate proceeds of $3.6 million. For further information, please refer to Note 17 to the consolidated financial statements of Vringo.</w:t>
      </w:r>
    </w:p>
    <w:p>
      <w:pPr>
        <w:spacing w:after="0" w:line="7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Subsequent to year end, on March 12, 2012, Vringo entered into an Agreement and Plan of Merger with VIP Merger Sub, Inc., a Delaware corporation and its wholly-owned subsidiary, and Innovate/Protect, Inc., a Delaware corporation and an intellectual property firm founded in 2011 whose wholly-owned subsidiary, I/P Engine, holds eight patents that were acquired from Lycos Inc., pursuant to which Innovate/Protect will merge with and into Merger Sub, with Merger Sub being the surviving corporation through an exchange of capital stock of Innovate/Protect for capital stock of Vringo.</w:t>
      </w:r>
    </w:p>
    <w:p>
      <w:pPr>
        <w:spacing w:after="0" w:line="68"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Under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25, 2012, shall be initially convertible into an aggregate of 20,136,445 shares of Vringo common stock (or at a current conversion rate of 3,017.6). 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5"/>
          <w:szCs w:val="15"/>
          <w:u w:val="single" w:color="auto"/>
          <w:color w:val="auto"/>
        </w:rPr>
        <w:t>Annex E</w:t>
      </w:r>
      <w:r>
        <w:rPr>
          <w:rFonts w:ascii="Arial" w:cs="Arial" w:eastAsia="Arial" w:hAnsi="Arial"/>
          <w:sz w:val="15"/>
          <w:szCs w:val="15"/>
          <w:color w:val="auto"/>
        </w:rPr>
        <w:t xml:space="preserve"> to be filed by Vringo prior to closing.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67"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In addition, 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53"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Immediately following the completion of the Merger, the former stockholders of Innovate/Protect are expected to own approximately 56.30% of the outstanding common stock of the combined company, and Vringo current stockholders are expected to own approximately 43.70% of the outstanding common stock of the combined company. On a fully diluted basis, the former stockholders of Innovate/Protect are expected to own approximately 67.55% of the outstanding common stock of the combined company, and Vringo current stockholders are expected to own approximately 32.45% of the outstanding common stock of the combined company.</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Vringo has expended significant effort and management attention on the proposed transaction. There is no assurance that the transaction contemplated by the Merger Agreement will be consummated. If the transaction is not consummated for any reason, Vringo business and operations, as well as the market price of its stock and warrants may be adversely affected. For accounting purposes, Innovate/Protect was identified as the “Acquirer”, as it is defined in FASB Topic ASC 805. As a result, in the post-combination consolidated financial statements, Innovate/Protect’s assets and liabilities will be presented at its pre-combination amounts, and Vringo’s assets and liabilities will be recognized and measured in accordance with the guidance for business combinations in ASC 805. The Merger requires approval by the stockholders of both companies. Vringo currently estimates that the Merger will be consummated in the third quarter of 2012.</w:t>
      </w:r>
    </w:p>
    <w:p>
      <w:pPr>
        <w:spacing w:after="0" w:line="7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As of March 31, 2012, Vringo had approximately $3.6 million in cash and cash equivalents. Vringo believes that current cash levels, after taking into effect the Merger with Innovate/Protect, will be sufficient to support Vringo’s activity into the fourth quarter of 2012. The continuation of Vringo’s business, as a going concern is dependent upon the successful consummation of the Merger with Innovate/Protect, or similar merger or acquisition, financing, and upon the further development of Vringo’s products. In addition, a significant portion of Vringo’s issued and outstanding warrants are currently “in the money” and the shares of common stock underlying such warrants will become freely tradable upon exercise after registration, with the potential of up to $5 million of incoming funds for Vringo. A Form S-3 Registration Statement was filed on March 30, 2012 and is pending approval by the Securities Exchange Commission. Provided that Vringo’s stock price remains at or near its current level, Vringo expects that the exercise of these instruments will generate substantial additional funds for its operations. There can be no assurance, however, that any such opportunities will materialize. All of Vringo’s audited consolidated financial statements since inception have contained a “going concern” reference by Vringo’s auditors, expressing substantial doubt about Vringo’s ability to continue as a going concern.</w:t>
      </w:r>
    </w:p>
    <w:p>
      <w:pPr>
        <w:spacing w:after="0" w:line="6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Vringo’s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Vringo is not able to continue as a going concern.</w:t>
      </w:r>
    </w:p>
    <w:p>
      <w:pPr>
        <w:spacing w:after="0" w:line="7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April 26, 2012, the NYSE Amex notified Vringo that it had resolved the continued listing deficiency referenced in the NYSE Amex’s letter dated May 24, 2011, which stated that Vringo was not in compliance with Section 1003(a) (iv) of the NYSE Amex’s continued listing standards. The NYSE Amex’s conclusion was based on a review of available information, including Vringo’s filings with the Securities and Exchange Commission. Vringo’s continued listing eligibility will be assessed on an ongoing basis.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Revenue</w:t>
      </w:r>
    </w:p>
    <w:p>
      <w:pPr>
        <w:spacing w:after="0" w:line="105"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color w:val="auto"/>
        </w:rPr>
        <w:t>Vringo recognizes revenue from monthly subscription from carriers, development projects and content sales when all the conditions for revenue recognition are met: (i) persuasive evidence of an arrangement exists, (ii) collection of the fee is probable,</w:t>
      </w:r>
    </w:p>
    <w:p>
      <w:pPr>
        <w:spacing w:after="0" w:line="1" w:lineRule="exact"/>
        <w:rPr>
          <w:sz w:val="20"/>
          <w:szCs w:val="20"/>
          <w:color w:val="auto"/>
        </w:rPr>
      </w:pPr>
    </w:p>
    <w:p>
      <w:pPr>
        <w:jc w:val="both"/>
        <w:ind w:left="40" w:right="1239" w:firstLine="7"/>
        <w:spacing w:after="0" w:line="284" w:lineRule="auto"/>
        <w:tabs>
          <w:tab w:leader="none" w:pos="341"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sales price is fixed and determinable and (iv) delivery has occurred or services have been rendered. Vringo’s subscription service arrangements are evidenced by a written document signed by both parties. Vringo’s revenues from monthly subscription fees, content purchases and advertisement revenues are recognized when Vringo has received confirmation that the amount is due to it, which provides proof that the services have been rendered, and making collection probable. Vringo recognizes revenue from non-refundable up-front fees relating to set-up and billing integration across the period of the contract for the subscription service as these fees are part of hosting solution that Vringo provides to the carrier. The hosting is provided on Vringo’s servers for the entire period of the arrangement with this carrier, and the revenues relating to the monthly subscription, set-up fees and billing integration have been recognized over the period in the agreement.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Cost of revenue consists primarily of third party expenses directly related to providing Vringo’s service in launched markets. In addition, these costs include royalty fees for content sales and amortization of prepaid content licenses. Cost of revenue does not include expenses related to product development, integration, and support. These costs are included in research and development and marketing expenses.</w:t>
      </w:r>
    </w:p>
    <w:p>
      <w:pPr>
        <w:spacing w:after="0" w:line="200" w:lineRule="exact"/>
        <w:rPr>
          <w:sz w:val="20"/>
          <w:szCs w:val="20"/>
          <w:color w:val="auto"/>
        </w:rPr>
      </w:pPr>
    </w:p>
    <w:p>
      <w:pPr>
        <w:spacing w:after="0" w:line="29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Research and development expenses consist primarily of salary expenses of Vringo’s development and quality assurance engineers in Vringo’s research and development facility in Israel, outsourcing of certain development activities, preparation of patent filings, labor cost incurred in connection with customer integration, server and support functions for Vringo’s development environment.</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Marketing expenses</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Marketing expenses include the salary of all business development and marketing personnel, travel expenses relating to business development activity and trade shows, as well as public relations, advertising, ongoing customer relations and customer acquisition expenses. As Vringo increases its sales, certain commissions to agents will affect marketing expenses.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05"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General and administrative expenses primarily include the salary of Vringo’s finance and administrative personnel, rental costs, legal and accounting fees, insurance, telephone and other office expenses including depreciation and amortization.</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Non-operating income (expenses)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and the Conversion Warrants, which are highly influenced by Vringo’s stock price at the period end (revaluation date). In addition, in the year December 31, 2011, non-operating income (expenses) includes a gain on restructuring of venture loan in light of the settlement agreement signed on June 8, 2011. Finally, in the first quarter of 2012, non-operating income included non-recurring expense related to the issuance of the Reload Warrants (see also Notes 3 and 5 to the financial statements for the three months ended March 31, 2012).</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Income taxes</w:t>
      </w:r>
    </w:p>
    <w:p>
      <w:pPr>
        <w:spacing w:after="0" w:line="109"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Vringo’s effective tax rate differs from the statutory federal rate primarily due to differences between income and expense recognition prescribed by income tax regulations and generally accepted accounting principles. Vringo’s utilizes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Vringo’s income tax expense has been adjusted for the effect of foreign income from its wholly-owned Israeli subsidiary. At March 31, 2012 and December 31, 2011, Vringo’s deferred tax assets generated from its U.S. activities were entirely offset by a valuation allowance because realization depends on generating future taxable income, which, in Vringo’s estimation, is not more likely than not to be generated. The deferred tax assets and liabilities generated from Vringo’s subsidiary’s operations are not offset by an allowance, as in Vringo’s estimation, they are more likely than not to be realized.</w:t>
      </w:r>
    </w:p>
    <w:p>
      <w:pPr>
        <w:spacing w:after="0" w:line="74"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Vringo’s subsidiary generates net taxable income from services it provides to Vringo. The subsidiary charges Vringo for research, development, certain management and other services provided to Vringo, plus a profit margin on such costs, which is currently 8%. On December 5, 2011, the Knesset (Israel’s Parliament) approved the Law to Change the Tax Burden (Legislative Amendments) — 2011. According to the new law, the corporate tax rate will be 25% starting in 2012.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 2008. In January 2011, new legislation amending the Investment Law was enacted. According to the amendment, the uniform tax rate applicable to a “Beneficiary Enterprise” in the zone where the production facilities of the subsidiary are located would be 15% in 2011 and 2012, 12.5% in 2013 and 2014, and 12% in 2015 and thereafter. Under the transitory provisions of the newly legislated amendment, the subsidiary irrevocably implemented the new law while waiving benefits provided under the current law.</w:t>
      </w:r>
    </w:p>
    <w:p>
      <w:pPr>
        <w:spacing w:after="0" w:line="200" w:lineRule="exact"/>
        <w:rPr>
          <w:sz w:val="20"/>
          <w:szCs w:val="20"/>
          <w:color w:val="auto"/>
        </w:rPr>
      </w:pPr>
    </w:p>
    <w:p>
      <w:pPr>
        <w:spacing w:after="0" w:line="29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Results of Operations</w:t>
      </w:r>
    </w:p>
    <w:p>
      <w:pPr>
        <w:spacing w:after="0" w:line="147"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b w:val="1"/>
          <w:bCs w:val="1"/>
          <w:i w:val="1"/>
          <w:iCs w:val="1"/>
          <w:color w:val="auto"/>
        </w:rPr>
        <w:t>Three months ended March 31, 2012, compared to the three months ended March 31, 2011 and the development stage period (cumulative from inception through March 31, 2012)</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following analysis compares the results of Vringo’s operations for the three month period ended March 31, 2012, to the results of operations for the three month period ended March 31, 2011 and the results of Vringo’s operations from inception through March 31, 2012.</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100" w:type="dxa"/>
            <w:vAlign w:val="bottom"/>
            <w:gridSpan w:val="6"/>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31,</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gridSpan w:val="2"/>
          </w:tcPr>
          <w:p>
            <w:pPr>
              <w:jc w:val="center"/>
              <w:ind w:left="265"/>
              <w:spacing w:after="0"/>
              <w:rPr>
                <w:sz w:val="20"/>
                <w:szCs w:val="20"/>
                <w:color w:val="auto"/>
              </w:rPr>
            </w:pPr>
            <w:r>
              <w:rPr>
                <w:rFonts w:ascii="Arial" w:cs="Arial" w:eastAsia="Arial" w:hAnsi="Arial"/>
                <w:sz w:val="13"/>
                <w:szCs w:val="13"/>
                <w:b w:val="1"/>
                <w:bCs w:val="1"/>
                <w:color w:val="auto"/>
                <w:w w:val="89"/>
              </w:rPr>
              <w:t>2012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w w:val="88"/>
              </w:rPr>
              <w:t>($ – in thousands)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Revenue</w:t>
            </w:r>
          </w:p>
        </w:tc>
        <w:tc>
          <w:tcPr>
            <w:tcW w:w="600" w:type="dxa"/>
            <w:vAlign w:val="bottom"/>
            <w:tcBorders>
              <w:right w:val="single" w:sz="8" w:color="CCFFCC"/>
            </w:tcBorders>
            <w:shd w:val="clear" w:color="auto" w:fill="CCFFCC"/>
          </w:tcPr>
          <w:p>
            <w:pPr>
              <w:jc w:val="right"/>
              <w:ind w:right="8"/>
              <w:spacing w:after="0"/>
              <w:rPr>
                <w:sz w:val="20"/>
                <w:szCs w:val="20"/>
                <w:color w:val="auto"/>
              </w:rPr>
            </w:pPr>
            <w:r>
              <w:rPr>
                <w:rFonts w:ascii="Arial" w:cs="Arial" w:eastAsia="Arial" w:hAnsi="Arial"/>
                <w:sz w:val="17"/>
                <w:szCs w:val="17"/>
                <w:color w:val="auto"/>
              </w:rPr>
              <w:t>106</w:t>
            </w:r>
          </w:p>
        </w:tc>
        <w:tc>
          <w:tcPr>
            <w:tcW w:w="7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147</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(41)</w:t>
            </w:r>
          </w:p>
        </w:tc>
        <w:tc>
          <w:tcPr>
            <w:tcW w:w="14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During the three month period ended March 31, 2012, Vringo recorded total revenues of $106,000, which represents decrease of $41,000 (or 28%) compared to revenues recorded in the three month period ended March 31, 2011. The decrease, compared to the first quarter of 2011, was mainly due to a decrease in revenue recorded in connection with one time set up fees in Singapore and Armenia. Additional decrease in revenues was due to Video ReMix platform revenue recorded in the first quarter of 2011, in the total amount of $23,000, which did not occur in 2012. In addition, in the first quarter of 2012, the number of subscribers in Maxis was reduced due to system updates of recycled numbers from the regulated carrier database, as a result revenue decreased by $40,000 (or 50%), compared to the first quarter of 2011. The decrease was offset by revenue from new subscription agreement in Malaysia ($16,000 recorded in the first quarter of 2012) and an increase in revenue in the UK (an increase of $17,000, compared to the first quarter of 2011). Overall, Vringo does not expect the abovementioned decrease in subscribers in Maxis to have a material effect on its future revenue.</w:t>
      </w:r>
    </w:p>
    <w:p>
      <w:pPr>
        <w:spacing w:after="0" w:line="74"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During the three month period ended March 31, 2011, Vringo recorded revenues of $147,000, which represents an increase of $117,000 (or 390%) from revenues recorded for the three month period ended March 31, 2010. The recognized revenue in the first quarter of 2011 was mainly from Vringo’s revenue-sharing agreements in Malaysia ($77,000 recorded, an increase of $67,000 compared to the first quarter of 2010). In addition, Vringo recognized revenue for one time set up fees in Singapore ($9,000 in the first quarter of 2011 and Armenia ($9,000 in the first quarter of 2011). Revenue for Vringo’s Video ReMix platform commenced this quarter, with the recognition of $23,000 in March 2011. The revenue in the first quarter of 2010 was mainly comprised of Vringo’s then new revenue-sharing agreements in Malaysia, the United Arab Emirates and Armenia, whereby Vringo recognized approximately $10,000 for each one of these customers.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From inception through March 31, 2012, Vringo recorded revenues of $1,055,000, which includes $726,000 from revenue share</w:t>
      </w:r>
    </w:p>
    <w:p>
      <w:pPr>
        <w:spacing w:after="0" w:line="55" w:lineRule="exact"/>
        <w:rPr>
          <w:sz w:val="20"/>
          <w:szCs w:val="20"/>
          <w:color w:val="auto"/>
        </w:rPr>
      </w:pPr>
    </w:p>
    <w:p>
      <w:pPr>
        <w:jc w:val="both"/>
        <w:ind w:left="40" w:right="1239"/>
        <w:spacing w:after="0" w:line="213" w:lineRule="auto"/>
        <w:rPr>
          <w:sz w:val="20"/>
          <w:szCs w:val="20"/>
          <w:color w:val="auto"/>
        </w:rPr>
      </w:pPr>
      <w:r>
        <w:rPr>
          <w:rFonts w:ascii="Arial" w:cs="Arial" w:eastAsia="Arial" w:hAnsi="Arial"/>
          <w:sz w:val="17"/>
          <w:szCs w:val="17"/>
          <w:color w:val="auto"/>
        </w:rPr>
        <w:t>subscription services, $118,000 from one-time setup fees, $91,000 from Facetones</w:t>
      </w:r>
      <w:r>
        <w:rPr>
          <w:rFonts w:ascii="Arial" w:cs="Arial" w:eastAsia="Arial" w:hAnsi="Arial"/>
          <w:sz w:val="27"/>
          <w:szCs w:val="27"/>
          <w:color w:val="auto"/>
          <w:vertAlign w:val="superscript"/>
        </w:rPr>
        <w:t>TM</w:t>
      </w:r>
      <w:r>
        <w:rPr>
          <w:rFonts w:ascii="Arial" w:cs="Arial" w:eastAsia="Arial" w:hAnsi="Arial"/>
          <w:sz w:val="17"/>
          <w:szCs w:val="17"/>
          <w:color w:val="auto"/>
        </w:rPr>
        <w:t>, $80,000 from Fan Loyalty application formats, $30,000 from Video ReMix platform and $10,000 from applications sold.</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Vringo expects to continue to generate a substantial portion of its future revenues from: (i)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preloads through the</w:t>
      </w:r>
    </w:p>
    <w:p>
      <w:pPr>
        <w:jc w:val="both"/>
        <w:ind w:left="40" w:right="1239"/>
        <w:spacing w:after="0" w:line="228" w:lineRule="auto"/>
        <w:rPr>
          <w:sz w:val="20"/>
          <w:szCs w:val="20"/>
          <w:color w:val="auto"/>
        </w:rPr>
      </w:pPr>
      <w:r>
        <w:rPr>
          <w:rFonts w:ascii="Arial" w:cs="Arial" w:eastAsia="Arial" w:hAnsi="Arial"/>
          <w:sz w:val="17"/>
          <w:szCs w:val="17"/>
          <w:color w:val="auto"/>
        </w:rPr>
        <w:t>agreement with ZTE as well as the development of additional business from handset makers, (ii)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app, and Fan Loyalty application platforms, (iii) revenue-sharing agreements in India, Malaysia, Singapore, United Arab Emirates and UK, (iv) new revenue-sharing agreements for subscription-based services in new territories, (v) one-time service fees for customized production and development of the Facetones and Fan Loyalty application platforms, (vi) monetization of Vringo’s intellectual property.</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100" w:type="dxa"/>
            <w:vAlign w:val="bottom"/>
            <w:gridSpan w:val="7"/>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3"/>
                <w:szCs w:val="13"/>
                <w:b w:val="1"/>
                <w:bCs w:val="1"/>
                <w:color w:val="auto"/>
              </w:rPr>
              <w:t>31,</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gridSpan w:val="2"/>
          </w:tcPr>
          <w:p>
            <w:pPr>
              <w:jc w:val="center"/>
              <w:ind w:left="325"/>
              <w:spacing w:after="0"/>
              <w:rPr>
                <w:sz w:val="20"/>
                <w:szCs w:val="20"/>
                <w:color w:val="auto"/>
              </w:rPr>
            </w:pPr>
            <w:r>
              <w:rPr>
                <w:rFonts w:ascii="Arial" w:cs="Arial" w:eastAsia="Arial" w:hAnsi="Arial"/>
                <w:sz w:val="13"/>
                <w:szCs w:val="13"/>
                <w:b w:val="1"/>
                <w:bCs w:val="1"/>
                <w:color w:val="auto"/>
                <w:w w:val="89"/>
              </w:rPr>
              <w:t>2012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Arial" w:cs="Arial" w:eastAsia="Arial" w:hAnsi="Arial"/>
                <w:sz w:val="13"/>
                <w:szCs w:val="13"/>
                <w:color w:val="auto"/>
                <w:w w:val="88"/>
              </w:rPr>
              <w:t>($ – in thousands)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600" w:type="dxa"/>
            <w:vAlign w:val="bottom"/>
            <w:tcBorders>
              <w:right w:val="single" w:sz="8" w:color="CCFFCC"/>
            </w:tcBorders>
            <w:shd w:val="clear" w:color="auto" w:fill="CCFFCC"/>
          </w:tcPr>
          <w:p>
            <w:pPr>
              <w:jc w:val="right"/>
              <w:ind w:right="8"/>
              <w:spacing w:after="0"/>
              <w:rPr>
                <w:sz w:val="20"/>
                <w:szCs w:val="20"/>
                <w:color w:val="auto"/>
              </w:rPr>
            </w:pPr>
            <w:r>
              <w:rPr>
                <w:rFonts w:ascii="Arial" w:cs="Arial" w:eastAsia="Arial" w:hAnsi="Arial"/>
                <w:sz w:val="17"/>
                <w:szCs w:val="17"/>
                <w:color w:val="auto"/>
              </w:rPr>
              <w:t>31</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25</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6</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During the three month period ended March 31, 2012, Vringo’s cost of revenue was $31,000, which represents an increase of $6,000 (or 24%) compared to its cost of revenue for the three month period ended March 31, 2011. During the three month period ended March 31, 2011 and 2010, Vringo’s cost of revenue was $25,000 and $34,000, respectively, which represents a decrease of $9,000 (or 26%) compared to cost of revenue for the three month period ended March 31, 2010. Vringo’s cost of revenue is mainly comprised of cost of services related to the provision of content to end-users and cost of hosted servers needed to support Vringo’s service in markets where Vringo has launched its product. The change in cost of revenue between the presented periods was mainly related to changes in content amortization expenses.</w:t>
      </w:r>
    </w:p>
    <w:p>
      <w:pPr>
        <w:spacing w:after="0" w:line="71"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Vringo expects that cost of revenue will increase over time, as Vringo diversifies the portfolio of its products. As some of these costs are fixed irrespective of its revenues, Vringo expects its gross margin to increase, as its revenues increase.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100" w:type="dxa"/>
            <w:vAlign w:val="bottom"/>
            <w:gridSpan w:val="6"/>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31,</w:t>
            </w: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gridSpan w:val="2"/>
          </w:tcPr>
          <w:p>
            <w:pPr>
              <w:jc w:val="center"/>
              <w:ind w:left="225"/>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w w:val="88"/>
              </w:rPr>
              <w:t>($ – in thousands)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Research and development</w:t>
            </w:r>
          </w:p>
        </w:tc>
        <w:tc>
          <w:tcPr>
            <w:tcW w:w="600" w:type="dxa"/>
            <w:vAlign w:val="bottom"/>
            <w:tcBorders>
              <w:right w:val="single" w:sz="8" w:color="CCFFCC"/>
            </w:tcBorders>
            <w:shd w:val="clear" w:color="auto" w:fill="CCFFCC"/>
          </w:tcPr>
          <w:p>
            <w:pPr>
              <w:jc w:val="right"/>
              <w:ind w:right="8"/>
              <w:spacing w:after="0"/>
              <w:rPr>
                <w:sz w:val="20"/>
                <w:szCs w:val="20"/>
                <w:color w:val="auto"/>
              </w:rPr>
            </w:pPr>
            <w:r>
              <w:rPr>
                <w:rFonts w:ascii="Arial" w:cs="Arial" w:eastAsia="Arial" w:hAnsi="Arial"/>
                <w:sz w:val="17"/>
                <w:szCs w:val="17"/>
                <w:color w:val="auto"/>
              </w:rPr>
              <w:t>512</w:t>
            </w:r>
          </w:p>
        </w:tc>
        <w:tc>
          <w:tcPr>
            <w:tcW w:w="7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519</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(7)</w:t>
            </w:r>
          </w:p>
        </w:tc>
        <w:tc>
          <w:tcPr>
            <w:tcW w:w="14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13,883</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Research and development expenses decreased from $519,000 to $512,000 (or 1%) during the three month period ended March 31, 2012, compared to the three month period ended March 31, 2011. In the first quarter of 2012, Vringo’s research and development expenses mainly consisted of workforce and consulting related costs ($371,000, compared to $374,000 in the first quarter of 2011), as well as share based compensation costs ($35,000, compared to $82,000 in the first quarter of 2011). The decrease was mainly due to a decrease in shares based compensation expense, offset by higher patent expenses (an increase of $36,000 in the first quarter of 2012), following Vringo’s decision to enhance and diversify its intellectual property portfolio.</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Research and development expenses decreased from $587,000 to $519,000 (12%) during the three month period ended March 31, 2011, compared to the three month period ended March 31, 2010. The decrease is mainly due to a separation agreement that Vringo entered into with its former Chief Technology Officer. This was offset by an increase in share based compensation expense in connection with 2011 and 2010 grants.</w:t>
      </w:r>
    </w:p>
    <w:p>
      <w:pPr>
        <w:spacing w:after="0" w:line="7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From inception through March 31, 2012, research and development expenses amounted to approximately $13.9 million. Of this amount, approximately $9.0 million was attributed to salaries and related expenses, $0.6 million to share based payments, $2.2 million was attributed to sub-contracting and consulting services, $0.9 million was attributed to operating expenses, $0.3 million was attributed to overhead and $0.9 million was attributed to patent expenses.</w:t>
      </w:r>
    </w:p>
    <w:p>
      <w:pPr>
        <w:spacing w:after="0" w:line="62"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Vringo anticipates that its research and development costs will remain constant until after the consummation of the proposed Merger with Innovate/Protect. Following the completion of the proposed Merger, those costs may increase should Vringo seek to develop additional technology and intellectual property to diversify and enhance its business.</w:t>
      </w:r>
    </w:p>
    <w:p>
      <w:pPr>
        <w:spacing w:after="0" w:line="200" w:lineRule="exact"/>
        <w:rPr>
          <w:sz w:val="20"/>
          <w:szCs w:val="20"/>
          <w:color w:val="auto"/>
        </w:rPr>
      </w:pPr>
    </w:p>
    <w:p>
      <w:pPr>
        <w:spacing w:after="0" w:line="27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100" w:type="dxa"/>
            <w:vAlign w:val="bottom"/>
            <w:gridSpan w:val="6"/>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31,</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gridSpan w:val="2"/>
          </w:tcPr>
          <w:p>
            <w:pPr>
              <w:jc w:val="center"/>
              <w:ind w:left="225"/>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w w:val="88"/>
              </w:rPr>
              <w:t>($ – in thousands)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Marketing</w:t>
            </w:r>
          </w:p>
        </w:tc>
        <w:tc>
          <w:tcPr>
            <w:tcW w:w="600" w:type="dxa"/>
            <w:vAlign w:val="bottom"/>
            <w:tcBorders>
              <w:right w:val="single" w:sz="8" w:color="CCFFCC"/>
            </w:tcBorders>
            <w:shd w:val="clear" w:color="auto" w:fill="CCFFCC"/>
          </w:tcPr>
          <w:p>
            <w:pPr>
              <w:jc w:val="right"/>
              <w:ind w:right="8"/>
              <w:spacing w:after="0"/>
              <w:rPr>
                <w:sz w:val="20"/>
                <w:szCs w:val="20"/>
                <w:color w:val="auto"/>
              </w:rPr>
            </w:pPr>
            <w:r>
              <w:rPr>
                <w:rFonts w:ascii="Arial" w:cs="Arial" w:eastAsia="Arial" w:hAnsi="Arial"/>
                <w:sz w:val="17"/>
                <w:szCs w:val="17"/>
                <w:color w:val="auto"/>
              </w:rPr>
              <w:t>759</w:t>
            </w:r>
          </w:p>
        </w:tc>
        <w:tc>
          <w:tcPr>
            <w:tcW w:w="7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621</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138</w:t>
            </w:r>
          </w:p>
        </w:tc>
        <w:tc>
          <w:tcPr>
            <w:tcW w:w="14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11,970</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During the three month period ended March 31, 2012, marketing expenses increased by $138,000 (or 22%), to $759,000, from $621,000 in the three month period ended March 31, 2011. The increase in Vringo’s marketing expenses in the first quarter of 2012 was mainly due to an increase of $254,000 in non-cash share-based compensation expenses related to new grants in 2012 and the effect of the separation agreement signed between Vringo and its former CEO (an increase of $0.16 million). This increase was offset by a decrease of $81,000 in payroll expenses related to reclassification of 50% of the cost of Vringo’s President and newly appointed CEO in the United States, as of March 2012, to general and administrative expenses.</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increase in Vringo’s marketing expenses for the three month period ended March 31, 2011 was in part due to the hiring, in April 2010, of its President in the United States, whose efforts are focused on marketing and business development. In addition, the increase relates to the 2011 and 2010 options grants for marketing employees, thereby increasing the respective compensation expense. Furthermore, Vringo had an increase in public relations and advertising costs in connection with new commercial launches in 2011.</w:t>
      </w:r>
    </w:p>
    <w:p>
      <w:pPr>
        <w:spacing w:after="0" w:line="8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From inception through March 31, 2012, marketing expenses amounted to approximately $12 million. Of this amount, approximately $5.2 million was attributed to salaries, $1.4 million was attributed to share based payments and related expenses, $2.2 million was attributed to travel and trade shows, $1.6 million was attributed to sub-contracting and consulting services, $1.4 million was attributed to public relations services and customer acquisition expenses and $0.2 million was attributed to overhead expenses.</w:t>
      </w:r>
    </w:p>
    <w:p>
      <w:pPr>
        <w:spacing w:after="0" w:line="8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A significant portion of Vringo’s marketing activity relates to the launching of services with its global partners and building a pipeline for further agreements. In addition, Vringo conducts direct-to-consumer marketing activities in countries where Vringo has launched its services to build on the efforts of its partners. While Vringo does not expect to invest heavily in direct-to-consumer marketing activities in the future, Vringo does expect an increase in marketing expenses as it continues launching its service in different global markets. In certain markets, Vringo’s marketing efforts may include hiring local personnel to introduce Vringo to the market and purchasing rights to certain local content. As Vringo’s market reach grows, it expects its marketing expenses to continue to increase its visibility to potential partners.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2100" w:type="dxa"/>
            <w:vAlign w:val="bottom"/>
            <w:gridSpan w:val="6"/>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3"/>
                <w:szCs w:val="13"/>
                <w:b w:val="1"/>
                <w:bCs w:val="1"/>
                <w:color w:val="auto"/>
              </w:rPr>
              <w:t>31,</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gridSpan w:val="2"/>
          </w:tcPr>
          <w:p>
            <w:pPr>
              <w:jc w:val="center"/>
              <w:ind w:left="265"/>
              <w:spacing w:after="0"/>
              <w:rPr>
                <w:sz w:val="20"/>
                <w:szCs w:val="20"/>
                <w:color w:val="auto"/>
              </w:rPr>
            </w:pPr>
            <w:r>
              <w:rPr>
                <w:rFonts w:ascii="Arial" w:cs="Arial" w:eastAsia="Arial" w:hAnsi="Arial"/>
                <w:sz w:val="13"/>
                <w:szCs w:val="13"/>
                <w:b w:val="1"/>
                <w:bCs w:val="1"/>
                <w:color w:val="auto"/>
                <w:w w:val="89"/>
              </w:rPr>
              <w:t>2012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w w:val="88"/>
              </w:rPr>
              <w:t>($ – in thousands)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General and administrative</w:t>
            </w:r>
          </w:p>
        </w:tc>
        <w:tc>
          <w:tcPr>
            <w:tcW w:w="60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w w:val="93"/>
              </w:rPr>
              <w:t>1,460</w:t>
            </w:r>
          </w:p>
        </w:tc>
        <w:tc>
          <w:tcPr>
            <w:tcW w:w="140" w:type="dxa"/>
            <w:vAlign w:val="bottom"/>
            <w:shd w:val="clear" w:color="auto" w:fill="CCFFCC"/>
          </w:tcPr>
          <w:p>
            <w:pPr>
              <w:spacing w:after="0"/>
              <w:rPr>
                <w:sz w:val="19"/>
                <w:szCs w:val="19"/>
                <w:color w:val="auto"/>
              </w:rPr>
            </w:pPr>
          </w:p>
        </w:tc>
        <w:tc>
          <w:tcPr>
            <w:tcW w:w="6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665</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795</w:t>
            </w:r>
          </w:p>
        </w:tc>
        <w:tc>
          <w:tcPr>
            <w:tcW w:w="14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9,729</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During the three month period ended March 31, 2012, general and administrative expenses increased by $795,000 (or 120%), to $1,460,000, from $665,000 during the three month period ended March 31, 2011. General and administrative expenses increased mostly due to the increase in various professional fees in connection with increased merger and acquisition activity (an increase of approximately $0.4 million, compared to the first quarter of 2011). In addition, there was an increase due to non-cash share based compensation expenses due to new option grants in 2012 and the effect of the separation agreement signed between Vringo and its former CEO (an increase of $0.16 million). Finally, an additional increase in expense in the first quarter of 2012, compared to the first quarter of 2011, was due to an increase in payroll expenses of $76,000, related mainly to reclassification of 50% of the cost of Vringo’s President and new CEO in the United States to general and administrative expenses.</w:t>
      </w:r>
    </w:p>
    <w:p>
      <w:pPr>
        <w:spacing w:after="0" w:line="6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During the three month period ended March 31, 2011, general and administrative expenses increased $471,000 (or 242%), to $665,000, from $194,000 in the three month period ended March 31, 2010. The</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0" w:name="page151"/>
    <w:bookmarkEnd w:id="1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increase is mostly due to increase in various professional fees in connection with becoming a public company. In addition, there was an increase due to additional insurance costs for Vringo’s directors’ and officers’ liability insurance and an increase in share based compensation expenses due to new option grants in 2011 and 2010.</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From inception through March 31, 2012, general and administrative expenses totaled approximately $9.7 million. Of this amount, approximately $2.4 million was attributed to salaries and related expenses, $2.1 million was attributed to share based payments, $1.8 million was attributed to various office expenses, $2.8 million was attributed to professional fees and $0.6 million was attributed to depreciation and amortization.</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expects that its general and administrative expenses will remain high, as Vringo expects to incur significant costs in connection with future merger, acquisition and financing activities. These costs will be reflected in increased accounting, legal and insurance costs. Vringo also expects that its compensation costs will increase significantly due to the recording of expense related to management share based compensation.</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374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30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94"/>
              </w:rPr>
              <w:t>Three month period ended March 31,</w:t>
            </w: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30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gridSpan w:val="2"/>
            <w:vMerge w:val="restart"/>
          </w:tcPr>
          <w:p>
            <w:pPr>
              <w:jc w:val="right"/>
              <w:ind w:right="193"/>
              <w:spacing w:after="0" w:line="138" w:lineRule="exact"/>
              <w:rPr>
                <w:sz w:val="20"/>
                <w:szCs w:val="20"/>
                <w:color w:val="auto"/>
              </w:rPr>
            </w:pPr>
            <w:r>
              <w:rPr>
                <w:rFonts w:ascii="Arial" w:cs="Arial" w:eastAsia="Arial" w:hAnsi="Arial"/>
                <w:sz w:val="13"/>
                <w:szCs w:val="13"/>
                <w:b w:val="1"/>
                <w:bCs w:val="1"/>
                <w:color w:val="auto"/>
              </w:rPr>
              <w:t>31,</w:t>
            </w: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4060" w:type="dxa"/>
            <w:vAlign w:val="bottom"/>
          </w:tcPr>
          <w:p>
            <w:pPr>
              <w:spacing w:after="0"/>
              <w:rPr>
                <w:sz w:val="7"/>
                <w:szCs w:val="7"/>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3"/>
                <w:szCs w:val="13"/>
                <w:b w:val="1"/>
                <w:bCs w:val="1"/>
                <w:color w:val="auto"/>
              </w:rPr>
              <w:t>2012</w:t>
            </w:r>
          </w:p>
        </w:tc>
        <w:tc>
          <w:tcPr>
            <w:tcW w:w="740" w:type="dxa"/>
            <w:vAlign w:val="bottom"/>
            <w:gridSpan w:val="2"/>
            <w:vMerge w:val="restart"/>
          </w:tcPr>
          <w:p>
            <w:pPr>
              <w:jc w:val="center"/>
              <w:ind w:left="8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104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0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right"/>
              <w:ind w:right="133"/>
              <w:spacing w:after="0" w:line="113" w:lineRule="exact"/>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3"/>
                <w:szCs w:val="13"/>
                <w:color w:val="auto"/>
                <w:w w:val="90"/>
              </w:rPr>
              <w:t>($ – in thousands)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Non-operating income (expense), net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(2,968)</w:t>
            </w:r>
          </w:p>
        </w:tc>
        <w:tc>
          <w:tcPr>
            <w:tcW w:w="74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592</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(3,560)</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(8,127)</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-294005</wp:posOffset>
            </wp:positionV>
            <wp:extent cx="7004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During the three month period ended March 31, 2012, non-operating income (expense) changed by $3.6 million (or -603%), to an expense of $3.0 million, from an income of $0.6 million, in the three month period ended March 31, 2011.</w:t>
      </w:r>
    </w:p>
    <w:p>
      <w:pPr>
        <w:spacing w:after="0" w:line="43"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In the three month period ended March 31, 2012, Vringo recorded non-operating expense in the amount of $3.0 million, which was mainly comprised of an expense of $2.6 million recorded in connection with issuance of the Reload Warrants accounted for as an inducement to convert convertible debt (see Notes 3 and 5 to the accompanying financial statements for the three months ended March 31, 2012), as well as an additional expense of $0.4 million, recorded due to adjustment of fair value of the Preferential Reload Warrants, Special Bridge Warrants and the Conversion Warrants.</w:t>
      </w:r>
    </w:p>
    <w:p>
      <w:pPr>
        <w:spacing w:after="0" w:line="68"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In the three month period ended March 31, 2011, Vringo recorded non-operating income in the amount of $0.6 million, which was mainly comprised of an income of $0.7 million recorded due to decrease in the fair value of the Special Bridge Warrants and the Conversion Warrants and an expense on $0.1 million in connection with interest on venture loan.</w:t>
      </w:r>
    </w:p>
    <w:p>
      <w:pPr>
        <w:spacing w:after="0" w:line="5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non-operating expense in the first quarter of 2010 was mainly comprised of $0.5 million in connection with the bridge financing and an interest expense of $0.1 million relating to the bridge notes and the venture loan.</w:t>
      </w:r>
    </w:p>
    <w:p>
      <w:pPr>
        <w:spacing w:after="0" w:line="66"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From inception through March 31, 2012, non-operating income (expense) totaled approximately $8.1 million. This amount mainly included: income from interest on deposits of $0.2 million, interest expense on venture loan of $1.6 million,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$1.3 million as additional interest expense for warrants granted to lead investors of the Bridge Financing, $1.0 million income in connection with the settlement of the venture loan and $1.3 million expense recorded in connection with amortization of discount on convertible notes, and non-operating income of $0.1 million for the adjustment of the fair value of the Preferential Reload, Special Bridge and the Conversion Warrants. Finally, additional non-operating expense of approximately $2.6 million was recorded due to issuance of the Reload Warrants, accounted for as an inducement to convert convertible debt.</w:t>
      </w:r>
    </w:p>
    <w:p>
      <w:pPr>
        <w:spacing w:after="0" w:line="200" w:lineRule="exact"/>
        <w:rPr>
          <w:sz w:val="20"/>
          <w:szCs w:val="20"/>
          <w:color w:val="auto"/>
        </w:rPr>
      </w:pPr>
    </w:p>
    <w:p>
      <w:pPr>
        <w:spacing w:after="0" w:line="28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100" w:type="dxa"/>
            <w:vAlign w:val="bottom"/>
            <w:gridSpan w:val="7"/>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3"/>
                <w:szCs w:val="13"/>
                <w:b w:val="1"/>
                <w:bCs w:val="1"/>
                <w:color w:val="auto"/>
              </w:rPr>
              <w:t>31,</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gridSpan w:val="2"/>
          </w:tcPr>
          <w:p>
            <w:pPr>
              <w:jc w:val="center"/>
              <w:ind w:left="325"/>
              <w:spacing w:after="0"/>
              <w:rPr>
                <w:sz w:val="20"/>
                <w:szCs w:val="20"/>
                <w:color w:val="auto"/>
              </w:rPr>
            </w:pPr>
            <w:r>
              <w:rPr>
                <w:rFonts w:ascii="Arial" w:cs="Arial" w:eastAsia="Arial" w:hAnsi="Arial"/>
                <w:sz w:val="13"/>
                <w:szCs w:val="13"/>
                <w:b w:val="1"/>
                <w:bCs w:val="1"/>
                <w:color w:val="auto"/>
                <w:w w:val="89"/>
              </w:rPr>
              <w:t>2012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Arial" w:cs="Arial" w:eastAsia="Arial" w:hAnsi="Arial"/>
                <w:sz w:val="13"/>
                <w:szCs w:val="13"/>
                <w:color w:val="auto"/>
                <w:w w:val="88"/>
              </w:rPr>
              <w:t>($ – in thousands)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Income tax expense (benefit)</w:t>
            </w:r>
          </w:p>
        </w:tc>
        <w:tc>
          <w:tcPr>
            <w:tcW w:w="600" w:type="dxa"/>
            <w:vAlign w:val="bottom"/>
            <w:tcBorders>
              <w:right w:val="single" w:sz="8" w:color="CCFFCC"/>
            </w:tcBorders>
            <w:shd w:val="clear" w:color="auto" w:fill="CCFFCC"/>
          </w:tcPr>
          <w:p>
            <w:pPr>
              <w:jc w:val="right"/>
              <w:ind w:right="8"/>
              <w:spacing w:after="0"/>
              <w:rPr>
                <w:sz w:val="20"/>
                <w:szCs w:val="20"/>
                <w:color w:val="auto"/>
              </w:rPr>
            </w:pPr>
            <w:r>
              <w:rPr>
                <w:rFonts w:ascii="Arial" w:cs="Arial" w:eastAsia="Arial" w:hAnsi="Arial"/>
                <w:sz w:val="17"/>
                <w:szCs w:val="17"/>
                <w:color w:val="auto"/>
              </w:rPr>
              <w:t>20</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18</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During the three month period ended March 31, 2012, Vringo recorded an income tax expense in the total amount of $20,000, which reflects an increase of $2,000 compared to tax expense of $18,000 recorded in the three month period ended March 31, 2011. In addition, income tax expense recorded during the three month period ended March 31, 2011 reflect a decrease of $2,000 compared to tax expense of $20,000 recorded in the three month period ended March 31, 2010.</w:t>
      </w:r>
    </w:p>
    <w:p>
      <w:pPr>
        <w:spacing w:after="0" w:line="62"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Taxes on income are mainly due to taxable profits generated by Vringo’s subsidiary as a result of the intercompany cost plus agreement between Vringo and the subsidiary, whereby the subsidiary performs development and other services for Vringo and is reimbursed for its expenses plus 8%. For financial statements purposes, these profits are eliminated upon consolidation. The profits of the subsidiary benefitted from a tax holiday in the 2007 – 2008 tax years and a taxable loss in 2009, 2010 and 2011. Vringo expects a taxable income in its subsidiary in 2012 under the terms of the intercompany agreement. In addition, during the three month period ended March 31, 2012, 2011 and 2010, Vringo recorded income tax expense of $7,000, $12,000 and $0, respectively, in connection with tax withheld at source by Vringo’s partner in Malaysia, which Vringo does not expect to be reclaimed.</w:t>
      </w:r>
    </w:p>
    <w:p>
      <w:pPr>
        <w:spacing w:after="0" w:line="55"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From inception through March 31, 2012, income tax expense totaled $139,000. Vringo expects tax expense to increase as its business grows and as Vringo’s subsidiary continues to generate taxable income under the intercompany cost plus agreement.</w:t>
      </w:r>
    </w:p>
    <w:p>
      <w:pPr>
        <w:spacing w:after="0" w:line="57" w:lineRule="exact"/>
        <w:rPr>
          <w:sz w:val="20"/>
          <w:szCs w:val="20"/>
          <w:color w:val="auto"/>
        </w:rPr>
      </w:pPr>
    </w:p>
    <w:p>
      <w:pPr>
        <w:ind w:left="40" w:right="1239"/>
        <w:spacing w:after="0" w:line="349" w:lineRule="auto"/>
        <w:rPr>
          <w:sz w:val="20"/>
          <w:szCs w:val="20"/>
          <w:color w:val="auto"/>
        </w:rPr>
      </w:pPr>
      <w:r>
        <w:rPr>
          <w:rFonts w:ascii="Arial" w:cs="Arial" w:eastAsia="Arial" w:hAnsi="Arial"/>
          <w:sz w:val="17"/>
          <w:szCs w:val="17"/>
          <w:b w:val="1"/>
          <w:bCs w:val="1"/>
          <w:i w:val="1"/>
          <w:iCs w:val="1"/>
          <w:color w:val="auto"/>
        </w:rPr>
        <w:t>Year ended December 31, 2011, 2010 and the development stage period (cumulative from inception through December 31, 2011)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47104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 2011</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0"/>
                <w:szCs w:val="10"/>
                <w:color w:val="auto"/>
              </w:rPr>
            </w:pPr>
          </w:p>
        </w:tc>
        <w:tc>
          <w:tcPr>
            <w:tcW w:w="2700" w:type="dxa"/>
            <w:vAlign w:val="bottom"/>
            <w:tcBorders>
              <w:bottom w:val="single" w:sz="8" w:color="auto"/>
            </w:tcBorders>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Revenue</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718</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211</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507</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color w:val="auto"/>
        </w:rPr>
        <w:t>During the year ended December 31, 2011, Vringo recorded revenues of $718,000, which represents an increase of $507,000 (or 240%) from revenues recorded for the year ended December 31, 2010. The increase was mainly due to increased video ringtone subscription revenue in Malaysia ($312,000 in 2011, compared to the $94,000 in 2010), and the United Arab Emirates ($90,000 in</w:t>
      </w:r>
    </w:p>
    <w:p>
      <w:pPr>
        <w:spacing w:after="0" w:line="1" w:lineRule="exact"/>
        <w:rPr>
          <w:sz w:val="20"/>
          <w:szCs w:val="20"/>
          <w:color w:val="auto"/>
        </w:rPr>
      </w:pPr>
    </w:p>
    <w:p>
      <w:pPr>
        <w:jc w:val="both"/>
        <w:ind w:left="40" w:right="1239"/>
        <w:spacing w:after="0" w:line="227" w:lineRule="auto"/>
        <w:rPr>
          <w:sz w:val="20"/>
          <w:szCs w:val="20"/>
          <w:color w:val="auto"/>
        </w:rPr>
      </w:pPr>
      <w:r>
        <w:rPr>
          <w:rFonts w:ascii="Arial" w:cs="Arial" w:eastAsia="Arial" w:hAnsi="Arial"/>
          <w:sz w:val="17"/>
          <w:szCs w:val="17"/>
          <w:color w:val="auto"/>
        </w:rPr>
        <w:t>2011, compared to the $54,000 in 2010), development of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($75,000 recognized in 2011), development of Fan Loyalty application ($80,000 recognized in 2011), Video ReMix platform ($30,000 recognized in 2011). In the first quarter of 2012, the number of subscribers in Malaysia was reduced due to system updates of recycled numbers from the regulated carrier database. Vringo does not expect this change to have a material effect on its revenue.</w:t>
      </w:r>
    </w:p>
    <w:p>
      <w:pPr>
        <w:spacing w:after="0" w:line="9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At the end of 2009, Vringo commenced monetization of its subscription service by launching with carriers primarily in Malaysia and Armenia. As a result, the increase in revenue in 2010, in the total amount of $191,000, was mainly related to revenues from those revenue-sharing agreements. In Malaysia, Vringo recognized $94,000 (compared to $2,000 in 2009). In Armenia, Vringo recognized $35,000 (compared to $17,000 in 2009). In addition, Vringo recorded $54,000 from subscription service launched in 2010 in the United Arab Emirates.</w:t>
      </w:r>
    </w:p>
    <w:p>
      <w:pPr>
        <w:spacing w:after="0" w:line="200" w:lineRule="exact"/>
        <w:rPr>
          <w:sz w:val="20"/>
          <w:szCs w:val="20"/>
          <w:color w:val="auto"/>
        </w:rPr>
      </w:pPr>
    </w:p>
    <w:p>
      <w:pPr>
        <w:spacing w:after="0" w:line="29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 2011</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0"/>
                <w:szCs w:val="10"/>
                <w:color w:val="auto"/>
              </w:rPr>
            </w:pPr>
          </w:p>
        </w:tc>
        <w:tc>
          <w:tcPr>
            <w:tcW w:w="2700" w:type="dxa"/>
            <w:vAlign w:val="bottom"/>
            <w:tcBorders>
              <w:bottom w:val="single" w:sz="8" w:color="auto"/>
            </w:tcBorders>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180</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(25)</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During the year ended December 31, 2011, Vringo’s cost of revenue was $155,000, which represents an increase of $180,000 (-14%) from Vringo’s cost of revenue for the year ended December 31, 2010. Vringo’s cost of revenue is mainly comprised of cost of services related to the provision of content to end-users and cost of hosted servers needed to support Vringo’s service in markets where Vringo has launched its product. The decrease in cost of revenue recorded year ended December 31, 2011, compared with year ended December 31, 2010, is mainly related to a decrease in content purchases and content related amortization expenses.</w:t>
      </w:r>
    </w:p>
    <w:p>
      <w:pPr>
        <w:spacing w:after="0" w:line="5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commenced monetization of its subscription service model at the end of 2009. As a result, cost of revenue recorded in 2010 increased by 481%, or $149,000, compared to 2009.</w:t>
      </w:r>
    </w:p>
    <w:p>
      <w:pPr>
        <w:spacing w:after="0" w:line="66"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Vringo expects that cost of revenue will increase over time, as Vringo diversifies the portfolio of its products. As some of these costs are fixed irrespective of Vringo’s revenues, Vringo expects its gross margin to increase, as its revenues increase.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 2011</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0"/>
                <w:szCs w:val="10"/>
                <w:color w:val="auto"/>
              </w:rPr>
            </w:pPr>
          </w:p>
        </w:tc>
        <w:tc>
          <w:tcPr>
            <w:tcW w:w="2700" w:type="dxa"/>
            <w:vAlign w:val="bottom"/>
            <w:tcBorders>
              <w:bottom w:val="single" w:sz="8" w:color="auto"/>
            </w:tcBorders>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Research and development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2,017</w:t>
            </w:r>
          </w:p>
        </w:tc>
        <w:tc>
          <w:tcPr>
            <w:tcW w:w="9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2,503</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(486)</w:t>
            </w:r>
          </w:p>
        </w:tc>
        <w:tc>
          <w:tcPr>
            <w:tcW w:w="12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13,371</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Research and development expenses decreased from $2,503,000 to $2,017,000 (-19%) during the year ended December 31, 2011, compared to the year ended December 31, 2010. The decrease is primarily due to lower salary and compensation expenses, a result of salary reductions (a decrease of $351,000 compared to 2010), offset by the effect of a separation agreement signed with one of the officers, and lower consulting costs (a decrease of $170,000 compared to 2010), all as part of the cost saving plan implemented by Vringo in early 2011.</w:t>
      </w:r>
    </w:p>
    <w:p>
      <w:pPr>
        <w:spacing w:after="0" w:line="80"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Research and development expenses increased from $1,975,000 to $2,503,000 (27%) in the year ended December 31, 2010, compared to the year ended December 31, 2009. The increase in 2010 was mainly due to enhanced research and development efforts and increased share based compensation expenses, related to options granted in connection with the IPO in 2010.</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 2011</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0"/>
                <w:szCs w:val="10"/>
                <w:color w:val="auto"/>
              </w:rPr>
            </w:pPr>
          </w:p>
        </w:tc>
        <w:tc>
          <w:tcPr>
            <w:tcW w:w="2700" w:type="dxa"/>
            <w:vAlign w:val="bottom"/>
            <w:tcBorders>
              <w:bottom w:val="single" w:sz="8" w:color="auto"/>
            </w:tcBorders>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ind w:left="60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Marketing</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2,193</w:t>
            </w:r>
          </w:p>
        </w:tc>
        <w:tc>
          <w:tcPr>
            <w:tcW w:w="9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2,183</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w:t>
            </w:r>
          </w:p>
        </w:tc>
        <w:tc>
          <w:tcPr>
            <w:tcW w:w="12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11,211</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ind w:left="40" w:right="1239" w:firstLine="251"/>
        <w:spacing w:after="0" w:line="297" w:lineRule="auto"/>
        <w:rPr>
          <w:sz w:val="20"/>
          <w:szCs w:val="20"/>
          <w:color w:val="auto"/>
        </w:rPr>
      </w:pPr>
      <w:r>
        <w:rPr>
          <w:rFonts w:ascii="Arial" w:cs="Arial" w:eastAsia="Arial" w:hAnsi="Arial"/>
          <w:sz w:val="15"/>
          <w:szCs w:val="15"/>
          <w:color w:val="auto"/>
        </w:rPr>
        <w:t>Marketing expenses increased slightly from $2,183,000 to $2,193,000 (0%) during the year ended December 31, 2011, compared to the year ended December 31, 2010. The main changes were higher advertising costs, mainly in connection with</w:t>
      </w:r>
    </w:p>
    <w:p>
      <w:pPr>
        <w:spacing w:after="0" w:line="1" w:lineRule="exact"/>
        <w:rPr>
          <w:sz w:val="20"/>
          <w:szCs w:val="20"/>
          <w:color w:val="auto"/>
        </w:rPr>
      </w:pPr>
    </w:p>
    <w:p>
      <w:pPr>
        <w:ind w:left="40" w:right="1239"/>
        <w:spacing w:after="0" w:line="223" w:lineRule="auto"/>
        <w:rPr>
          <w:sz w:val="20"/>
          <w:szCs w:val="20"/>
          <w:color w:val="auto"/>
        </w:rPr>
      </w:pPr>
      <w:r>
        <w:rPr>
          <w:rFonts w:ascii="Arial" w:cs="Arial" w:eastAsia="Arial" w:hAnsi="Arial"/>
          <w:sz w:val="16"/>
          <w:szCs w:val="16"/>
          <w:color w:val="auto"/>
        </w:rPr>
        <w:t>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launch ($498,000 in 2011 compared to $279,000 in 2010), offset by a decrease in consulting costs mainly related to the cost saving plan implemented by Vringo in early 2011 ($195,000 in 2011 compared to $36,000 in 2010).</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During the year ended December 31, 2010, marketing expenses increased by $431,000 (25%), to $2,183,000, from $1,752,000 in the year ended December 31, 2009. The growth in Vringo’s marketing expenses for the year ended December 31, 2010, was in part due to the hiring, in April 2010, of Mr. Perlman, Vringo’s current Chief Executive Officer, whose efforts are focused on marketing and business development. In addition, the growth relates to the vesting of 2010 options grants for employees, thereby increasing the respective compensation expense. Furthermore, Vringo had an increase in public relations and advertising costs in connection with new commercial launches in 2010.</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3"/>
                <w:szCs w:val="13"/>
                <w:color w:val="auto"/>
              </w:rPr>
            </w:pPr>
          </w:p>
        </w:tc>
        <w:tc>
          <w:tcPr>
            <w:tcW w:w="2700" w:type="dxa"/>
            <w:vAlign w:val="bottom"/>
            <w:tcBorders>
              <w:bottom w:val="single" w:sz="8" w:color="auto"/>
            </w:tcBorders>
            <w:gridSpan w:val="8"/>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 2011</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General and administrative</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2,777</w:t>
            </w:r>
          </w:p>
        </w:tc>
        <w:tc>
          <w:tcPr>
            <w:tcW w:w="9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1,840</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937</w:t>
            </w:r>
          </w:p>
        </w:tc>
        <w:tc>
          <w:tcPr>
            <w:tcW w:w="12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8,269</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General and administrative expenses increased from $1,840,000 to $2,777,000 (51%) during the year ended December 31, 2011, compared to the year ended December 31, 2010. The increase was mainly due to higher professional fees connected to aborted merger and acquisition activities, venture loan settlement and December 2011 financing (an increase of $643,000 compared to 2010), due to increased share-based compensation (an increase of $290,000 compared to 2010), and increased cost of labor and expenses incurred in connection with being a public company (an increase of $45,000 compared to 2010).</w:t>
      </w:r>
    </w:p>
    <w:p>
      <w:pPr>
        <w:spacing w:after="0" w:line="53"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During the year ended December 31, 2010, general and administrative expenses increased $272,000 (17.3%), to $1,840,000, from $1,568,000 in the year ended December 31, 2009. The increase is mostly due to the increase in various professional fees in connection with becoming a public company. In addition, there was an increase of in additional insurance costs for Vringo’s directors’ and officers’ liability insurance and an increase in compensation expenses due to new option grants in 2010.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50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5043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2"/>
              </w:rPr>
              <w:t>Year Ended December 31,</w:t>
            </w:r>
          </w:p>
        </w:tc>
        <w:tc>
          <w:tcPr>
            <w:tcW w:w="160" w:type="dxa"/>
            <w:vAlign w:val="bottom"/>
          </w:tcPr>
          <w:p>
            <w:pPr>
              <w:spacing w:after="0"/>
              <w:rPr>
                <w:sz w:val="11"/>
                <w:szCs w:val="11"/>
                <w:color w:val="auto"/>
              </w:rPr>
            </w:pPr>
          </w:p>
        </w:tc>
        <w:tc>
          <w:tcPr>
            <w:tcW w:w="10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2700" w:type="dxa"/>
            <w:vAlign w:val="bottom"/>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gridSpan w:val="2"/>
            <w:vMerge w:val="restart"/>
          </w:tcPr>
          <w:p>
            <w:pPr>
              <w:jc w:val="center"/>
              <w:ind w:left="265"/>
              <w:spacing w:after="0"/>
              <w:rPr>
                <w:sz w:val="20"/>
                <w:szCs w:val="20"/>
                <w:color w:val="auto"/>
              </w:rPr>
            </w:pPr>
            <w:r>
              <w:rPr>
                <w:rFonts w:ascii="Arial" w:cs="Arial" w:eastAsia="Arial" w:hAnsi="Arial"/>
                <w:sz w:val="13"/>
                <w:szCs w:val="13"/>
                <w:b w:val="1"/>
                <w:bCs w:val="1"/>
                <w:color w:val="auto"/>
                <w:w w:val="89"/>
              </w:rPr>
              <w:t>2011</w:t>
            </w: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00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720" w:type="dxa"/>
            <w:vAlign w:val="bottom"/>
          </w:tcPr>
          <w:p>
            <w:pPr>
              <w:spacing w:after="0"/>
              <w:rPr>
                <w:sz w:val="4"/>
                <w:szCs w:val="4"/>
                <w:color w:val="auto"/>
              </w:rPr>
            </w:pPr>
          </w:p>
        </w:tc>
        <w:tc>
          <w:tcPr>
            <w:tcW w:w="64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vMerge w:val="continue"/>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3"/>
                <w:szCs w:val="13"/>
                <w:color w:val="auto"/>
              </w:rPr>
              <w:t>U.S.$ thousands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CFFCC"/>
          </w:tcPr>
          <w:p>
            <w:pPr>
              <w:spacing w:after="0"/>
              <w:rPr>
                <w:sz w:val="20"/>
                <w:szCs w:val="20"/>
                <w:color w:val="auto"/>
              </w:rPr>
            </w:pPr>
            <w:r>
              <w:rPr>
                <w:rFonts w:ascii="Arial" w:cs="Arial" w:eastAsia="Arial" w:hAnsi="Arial"/>
                <w:sz w:val="17"/>
                <w:szCs w:val="17"/>
                <w:color w:val="auto"/>
              </w:rPr>
              <w:t>Non-operating income (expense), net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(965)</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(3,412)</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(2,447)</w:t>
            </w:r>
          </w:p>
        </w:tc>
        <w:tc>
          <w:tcPr>
            <w:tcW w:w="120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(5,159)</w:t>
            </w:r>
          </w:p>
        </w:tc>
        <w:tc>
          <w:tcPr>
            <w:tcW w:w="0" w:type="dxa"/>
            <w:vAlign w:val="bottom"/>
          </w:tcPr>
          <w:p>
            <w:pPr>
              <w:spacing w:after="0"/>
              <w:rPr>
                <w:sz w:val="1"/>
                <w:szCs w:val="1"/>
                <w:color w:val="auto"/>
              </w:rPr>
            </w:pPr>
          </w:p>
        </w:tc>
      </w:tr>
      <w:tr>
        <w:trPr>
          <w:trHeight w:val="20"/>
        </w:trPr>
        <w:tc>
          <w:tcPr>
            <w:tcW w:w="37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During the year ended December 31, 2011, Vringo recorded net non-operating expense in the amount of $1.0 million, compared to a net non-operating expense in the amount of $3.4 million, in the year ended December 31, 2010.</w:t>
      </w:r>
    </w:p>
    <w:p>
      <w:pPr>
        <w:spacing w:after="0" w:line="4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During the year ended December 31, 2011, Vringo recorded $1.0 million income in connection with the settlement of the venture loan. This income was offset by non-operating expense of approximately $0.4 million recorded in connection with the revaluation of the special bridge warrants and the conversion warrants and $1.5 million recorded in connection with interest and amortization of a discount on the venture loan and the convertible notes (including the recording of an additional beneficial conversion feature on the convertible notes).</w:t>
      </w:r>
    </w:p>
    <w:p>
      <w:pPr>
        <w:spacing w:after="0" w:line="80"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During 2010, Vringo recorded non-operating expense, net in the amount of $3.4 million, primarily due to the recording of the bridge notes, issued on December 29, 2009, at their residual value at the closing of bridge financing, pursuant to which Vringo recorded additional interest costs for the bridge notes of $1.1 million. In addition, as a result of the conversion of the bridge notes Vringo recorded an additional interest expense of approximately $1.1 million on account of the beneficial conversion feature from the loan and an additional $0.1 million on account of the additional special bridge warrants issued to investors in the bridge financing, in addition to the original 795,200 such warrants issued upon the closing of bridge financing. Additional interest expense on account of the loan amortization of $0.3 million in addition to the interest expense recorded for the venture loan was also recorded in this period. In connection with the granting of the lead investor warrants</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307" w:lineRule="auto"/>
        <w:rPr>
          <w:sz w:val="20"/>
          <w:szCs w:val="20"/>
          <w:color w:val="auto"/>
        </w:rPr>
      </w:pPr>
      <w:r>
        <w:rPr>
          <w:rFonts w:ascii="Arial" w:cs="Arial" w:eastAsia="Arial" w:hAnsi="Arial"/>
          <w:sz w:val="15"/>
          <w:szCs w:val="15"/>
          <w:color w:val="auto"/>
        </w:rPr>
        <w:t>Vringo recorded additional interest expense of $1.3 million. Vringo also recorded approximately $0.1 million of interest expense for bridge notes and approximately $0.4 million of interest expense for the venture loan. In addition, Vringo recorded $1.0 million income in connection with the adjustment of the fair value of the special bridge warrants and conversion warrants.</w:t>
      </w:r>
    </w:p>
    <w:p>
      <w:pPr>
        <w:spacing w:after="0" w:line="40"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During 2009, Vringo recorded non-operating expenses primarily in connection with interest on venture loan. In addition, Vringo recorded a loss of $0.18 million on extinguished debt from the modification of the terms of the venture loan in December 2009.</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374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38"/>
        </w:trPr>
        <w:tc>
          <w:tcPr>
            <w:tcW w:w="3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38"/>
        </w:trPr>
        <w:tc>
          <w:tcPr>
            <w:tcW w:w="3860" w:type="dxa"/>
            <w:vAlign w:val="bottom"/>
          </w:tcPr>
          <w:p>
            <w:pPr>
              <w:spacing w:after="0"/>
              <w:rPr>
                <w:sz w:val="11"/>
                <w:szCs w:val="11"/>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38"/>
        </w:trPr>
        <w:tc>
          <w:tcPr>
            <w:tcW w:w="3860" w:type="dxa"/>
            <w:vAlign w:val="bottom"/>
          </w:tcPr>
          <w:p>
            <w:pPr>
              <w:spacing w:after="0"/>
              <w:rPr>
                <w:sz w:val="11"/>
                <w:szCs w:val="11"/>
                <w:color w:val="auto"/>
              </w:rPr>
            </w:pPr>
          </w:p>
        </w:tc>
        <w:tc>
          <w:tcPr>
            <w:tcW w:w="2700" w:type="dxa"/>
            <w:vAlign w:val="bottom"/>
            <w:gridSpan w:val="8"/>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gridSpan w:val="2"/>
            <w:vMerge w:val="restart"/>
          </w:tcPr>
          <w:p>
            <w:pPr>
              <w:jc w:val="center"/>
              <w:ind w:left="225"/>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92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vMerge w:val="continue"/>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ind w:left="50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CFFCC"/>
          </w:tcPr>
          <w:p>
            <w:pPr>
              <w:spacing w:after="0"/>
              <w:rPr>
                <w:sz w:val="20"/>
                <w:szCs w:val="20"/>
                <w:color w:val="auto"/>
              </w:rPr>
            </w:pPr>
            <w:r>
              <w:rPr>
                <w:rFonts w:ascii="Arial" w:cs="Arial" w:eastAsia="Arial" w:hAnsi="Arial"/>
                <w:sz w:val="17"/>
                <w:szCs w:val="17"/>
                <w:color w:val="auto"/>
              </w:rPr>
              <w:t>Taxes on income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90</w:t>
            </w:r>
          </w:p>
        </w:tc>
        <w:tc>
          <w:tcPr>
            <w:tcW w:w="940" w:type="dxa"/>
            <w:vAlign w:val="bottom"/>
            <w:gridSpan w:val="3"/>
            <w:shd w:val="clear" w:color="auto" w:fill="CCFFCC"/>
          </w:tcPr>
          <w:p>
            <w:pPr>
              <w:ind w:left="660"/>
              <w:spacing w:after="0"/>
              <w:rPr>
                <w:sz w:val="20"/>
                <w:szCs w:val="20"/>
                <w:color w:val="auto"/>
              </w:rPr>
            </w:pPr>
            <w:r>
              <w:rPr>
                <w:rFonts w:ascii="Arial" w:cs="Arial" w:eastAsia="Arial" w:hAnsi="Arial"/>
                <w:sz w:val="17"/>
                <w:szCs w:val="17"/>
                <w:color w:val="auto"/>
              </w:rPr>
              <w:t>35</w:t>
            </w:r>
          </w:p>
        </w:tc>
        <w:tc>
          <w:tcPr>
            <w:tcW w:w="9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55</w:t>
            </w:r>
          </w:p>
        </w:tc>
        <w:tc>
          <w:tcPr>
            <w:tcW w:w="10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
        </w:trPr>
        <w:tc>
          <w:tcPr>
            <w:tcW w:w="38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During the year ended December 31, 2011, Vringo recorded income tax expense in the total amount of $90,000, which reflects an increase of $55,000 compared to tax expense of $35,000 recorded in the year ended December 31, 2010. In addition, income tax expense recorded during the year ended December 31, 2010, which reflects a decrease of $38,000 compared to tax expense of $73,000 recorded in the year ended December 31, 2009. Taxes on income are mainly due to taxable profits generated by Vringo’s Israeli subsidiary, as a result of the intercompany cost plus agreement between Vringo and the subsidiary, whereby the subsidiary performs development and other services for Vringo and is reimbursed for its expenses plus 8%. In addition, during the year ended December 31, 2011 and 2010, Vringo recorded income tax expense of $35,000 and $5,000, respectively, in connection with tax withheld at source by Vringo’s partner in Malaysia, which Vringo does not expect to be reclaimed.</w:t>
      </w:r>
    </w:p>
    <w:p>
      <w:pPr>
        <w:spacing w:after="0" w:line="6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From inception through December 31, 2011, income tax expense totaled $119,000. Vringo expects tax expense to increase as its business grows and as its subsidiary continues to profit from the cost plus agreement.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 and Capital Resources</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As of March 31, 2012, Vringo had a cash balance of $3.6 million and $2.7 million in net working capital. The increase of $2.4 million in Vringo’s cash balance from December 31, 2011 was mainly due to $3.65 million cash received from the exercise of approximately 90% of the then outstanding Special Bridge Warrants and Conversion Warrants in February 2012, offset by net cash used by Vringo in its business operations ($0.8 million) and cash used to fund the Merger with Innovate/Protect (approximately $0.4 million). As of March 31, 2012, Vringo’s total deficit in stockholders’ equity was approximately $1.0 million, mainly due to the exercise of the abovementioned warrants, offset by continued operating deficits from inception to date.</w:t>
      </w:r>
    </w:p>
    <w:p>
      <w:pPr>
        <w:spacing w:after="0" w:line="53"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Company believes that its current cash levels will be sufficient to support its activity into the first quarter of 2013. Based on current operating plans, additional resources that may be required for the continuation of Vringo’s operations approximates $0.9 million and $4.4 million, for the twelve month periods ending March 31, 2013 and March 31, 2014, respectively. After taking into effect the Merger with Innovate/Protect, additional resources that may be required for the continuation of the combined operations approximates $4.3 million and $11.8 million, for the twelve month periods ending March 31, 2013 and March 31, 2014, respectively. These estimates include a projected $0.7 million cash outflow for merger and integration costs relating to the Innovate/Protect combination, specifically for legal, accounting and exchange fees, as well as an expected increase in D&amp;O insurance.</w:t>
      </w:r>
    </w:p>
    <w:p>
      <w:pPr>
        <w:spacing w:after="0" w:line="82"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In addition, a significant portion of Vringo’s issued and outstanding warrants are currently “in the money” and the shares of common stock underlying such warrants will become freely tradable upon exercise after registration, with the potential of up to $5 million of incoming funds for Vringo. A Form S-3 Registration Statement was filed on March 30, 2012 and is pending approval by the Securities Exchange Commission. Provided that Vringo’s stock price remains at or near its current level, Vringo expects that the exercise of these instruments will generate substantial additional funds for its operations.</w:t>
      </w:r>
    </w:p>
    <w:p>
      <w:pPr>
        <w:spacing w:after="0" w:line="200" w:lineRule="exact"/>
        <w:rPr>
          <w:sz w:val="20"/>
          <w:szCs w:val="20"/>
          <w:color w:val="auto"/>
        </w:rPr>
      </w:pPr>
    </w:p>
    <w:p>
      <w:pPr>
        <w:spacing w:after="0" w:line="28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5" w:name="page156"/>
    <w:bookmarkEnd w:id="1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will be guaranteed by each of the Vringo entities and secured by a first priority lien on all assets of the Vringo entities. Although the combined company will have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259"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The continuation of Vringo’s business, as a going concern is dependent upon the successful consummation of the proposed Merger with Innovate/Protect, or similar merger or acquisition, financing, and upon the further development of Vringo’s products. There can be no assurance, however, that any such opportunities will materialize. Vringo anticipates that it will continue to issue equity and/or debt securities as a source of liquidity, when needed, until Vringo generates positive cash flow to support its operations. Vringo cannot give any assurance that the necessary capital will be raised or that, if funds are raised, it will be on favorable terms. Any future sales of securities to finance Vringo’s operations may require stockholder approval and will dilute existing stockholders’ ownership. Vringo cannot guarantee when or if Vringo will ever generate positive cash flow.</w:t>
      </w:r>
    </w:p>
    <w:p>
      <w:pPr>
        <w:spacing w:after="0" w:line="55"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The Vringo preferred stock to be issued to the holders of Innovate/Protect preferred stock will have the powers, designations, preferences and other rights as will be set forth in a Certificate of Designations, Preferences and Rights of Series A Convertible Preferred Stock in the form attached to this proxy statement/prospectus as Annex E which is to be filed by Vringo prior to closing. The rights of the holders of Vringo preferred stock could adversely affect the combined company’s ability to raise additional funds, in particular,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 As of May 31,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200" w:lineRule="exact"/>
        <w:rPr>
          <w:sz w:val="20"/>
          <w:szCs w:val="20"/>
          <w:color w:val="auto"/>
        </w:rPr>
      </w:pPr>
    </w:p>
    <w:p>
      <w:pPr>
        <w:spacing w:after="0" w:line="27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2700" w:type="dxa"/>
            <w:vAlign w:val="bottom"/>
            <w:gridSpan w:val="5"/>
            <w:vMerge w:val="restart"/>
          </w:tcPr>
          <w:p>
            <w:pPr>
              <w:jc w:val="right"/>
              <w:ind w:right="213"/>
              <w:spacing w:after="0"/>
              <w:rPr>
                <w:sz w:val="20"/>
                <w:szCs w:val="20"/>
                <w:color w:val="auto"/>
              </w:rPr>
            </w:pPr>
            <w:r>
              <w:rPr>
                <w:rFonts w:ascii="Arial" w:cs="Arial" w:eastAsia="Arial" w:hAnsi="Arial"/>
                <w:sz w:val="13"/>
                <w:szCs w:val="13"/>
                <w:b w:val="1"/>
                <w:bCs w:val="1"/>
                <w:color w:val="auto"/>
              </w:rPr>
              <w:t>Three month period ended March 31,</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Cumulative 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270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3"/>
              </w:rPr>
              <w:t>inception to March</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gridSpan w:val="2"/>
            <w:vMerge w:val="restart"/>
          </w:tcPr>
          <w:p>
            <w:pPr>
              <w:jc w:val="right"/>
              <w:ind w:right="413"/>
              <w:spacing w:after="0" w:line="138" w:lineRule="exact"/>
              <w:rPr>
                <w:sz w:val="20"/>
                <w:szCs w:val="20"/>
                <w:color w:val="auto"/>
              </w:rPr>
            </w:pPr>
            <w:r>
              <w:rPr>
                <w:rFonts w:ascii="Arial" w:cs="Arial" w:eastAsia="Arial" w:hAnsi="Arial"/>
                <w:sz w:val="13"/>
                <w:szCs w:val="13"/>
                <w:b w:val="1"/>
                <w:bCs w:val="1"/>
                <w:color w:val="auto"/>
              </w:rPr>
              <w:t>31,</w:t>
            </w:r>
          </w:p>
        </w:tc>
        <w:tc>
          <w:tcPr>
            <w:tcW w:w="0" w:type="dxa"/>
            <w:vAlign w:val="bottom"/>
          </w:tcPr>
          <w:p>
            <w:pPr>
              <w:spacing w:after="0"/>
              <w:rPr>
                <w:sz w:val="1"/>
                <w:szCs w:val="1"/>
                <w:color w:val="auto"/>
              </w:rPr>
            </w:pPr>
          </w:p>
        </w:tc>
      </w:tr>
      <w:tr>
        <w:trPr>
          <w:trHeight w:val="85"/>
        </w:trPr>
        <w:tc>
          <w:tcPr>
            <w:tcW w:w="3660" w:type="dxa"/>
            <w:vAlign w:val="bottom"/>
          </w:tcPr>
          <w:p>
            <w:pPr>
              <w:spacing w:after="0"/>
              <w:rPr>
                <w:sz w:val="7"/>
                <w:szCs w:val="7"/>
                <w:color w:val="auto"/>
              </w:rPr>
            </w:pPr>
          </w:p>
        </w:tc>
        <w:tc>
          <w:tcPr>
            <w:tcW w:w="800" w:type="dxa"/>
            <w:vAlign w:val="bottom"/>
            <w:vMerge w:val="restart"/>
          </w:tcPr>
          <w:p>
            <w:pPr>
              <w:jc w:val="right"/>
              <w:ind w:right="183"/>
              <w:spacing w:after="0"/>
              <w:rPr>
                <w:sz w:val="20"/>
                <w:szCs w:val="20"/>
                <w:color w:val="auto"/>
              </w:rPr>
            </w:pPr>
            <w:r>
              <w:rPr>
                <w:rFonts w:ascii="Arial" w:cs="Arial" w:eastAsia="Arial" w:hAnsi="Arial"/>
                <w:sz w:val="13"/>
                <w:szCs w:val="13"/>
                <w:b w:val="1"/>
                <w:bCs w:val="1"/>
                <w:color w:val="auto"/>
              </w:rPr>
              <w:t>2012</w:t>
            </w:r>
          </w:p>
        </w:tc>
        <w:tc>
          <w:tcPr>
            <w:tcW w:w="940" w:type="dxa"/>
            <w:vAlign w:val="bottom"/>
            <w:gridSpan w:val="2"/>
            <w:vMerge w:val="restart"/>
          </w:tcPr>
          <w:p>
            <w:pPr>
              <w:jc w:val="right"/>
              <w:ind w:right="193"/>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7"/>
                <w:szCs w:val="7"/>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Change</w:t>
            </w: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restart"/>
          </w:tcPr>
          <w:p>
            <w:pPr>
              <w:jc w:val="right"/>
              <w:ind w:right="353"/>
              <w:spacing w:after="0" w:line="113" w:lineRule="exact"/>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23"/>
        </w:trPr>
        <w:tc>
          <w:tcPr>
            <w:tcW w:w="3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173"/>
              <w:spacing w:after="0"/>
              <w:rPr>
                <w:sz w:val="20"/>
                <w:szCs w:val="20"/>
                <w:color w:val="auto"/>
              </w:rPr>
            </w:pPr>
            <w:r>
              <w:rPr>
                <w:rFonts w:ascii="Arial" w:cs="Arial" w:eastAsia="Arial" w:hAnsi="Arial"/>
                <w:sz w:val="13"/>
                <w:szCs w:val="13"/>
                <w:color w:val="auto"/>
              </w:rPr>
              <w:t>($ – in thousands)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Net cash used in operating activities</w:t>
            </w:r>
          </w:p>
        </w:tc>
        <w:tc>
          <w:tcPr>
            <w:tcW w:w="800" w:type="dxa"/>
            <w:vAlign w:val="bottom"/>
            <w:shd w:val="clear" w:color="auto" w:fill="CCFFCC"/>
          </w:tcPr>
          <w:p>
            <w:pPr>
              <w:jc w:val="right"/>
              <w:ind w:right="3"/>
              <w:spacing w:after="0"/>
              <w:rPr>
                <w:sz w:val="20"/>
                <w:szCs w:val="20"/>
                <w:color w:val="auto"/>
              </w:rPr>
            </w:pPr>
            <w:r>
              <w:rPr>
                <w:rFonts w:ascii="Arial" w:cs="Arial" w:eastAsia="Arial" w:hAnsi="Arial"/>
                <w:sz w:val="17"/>
                <w:szCs w:val="17"/>
                <w:color w:val="auto"/>
              </w:rPr>
              <w:t>(1,215)</w:t>
            </w:r>
          </w:p>
        </w:tc>
        <w:tc>
          <w:tcPr>
            <w:tcW w:w="940" w:type="dxa"/>
            <w:vAlign w:val="bottom"/>
            <w:gridSpan w:val="2"/>
            <w:shd w:val="clear" w:color="auto" w:fill="CCFFCC"/>
          </w:tcPr>
          <w:p>
            <w:pPr>
              <w:jc w:val="right"/>
              <w:ind w:right="13"/>
              <w:spacing w:after="0"/>
              <w:rPr>
                <w:sz w:val="20"/>
                <w:szCs w:val="20"/>
                <w:color w:val="auto"/>
              </w:rPr>
            </w:pPr>
            <w:r>
              <w:rPr>
                <w:rFonts w:ascii="Arial" w:cs="Arial" w:eastAsia="Arial" w:hAnsi="Arial"/>
                <w:sz w:val="17"/>
                <w:szCs w:val="17"/>
                <w:color w:val="auto"/>
              </w:rPr>
              <w:t>(1,517)</w:t>
            </w:r>
          </w:p>
        </w:tc>
        <w:tc>
          <w:tcPr>
            <w:tcW w:w="960" w:type="dxa"/>
            <w:vAlign w:val="bottom"/>
            <w:gridSpan w:val="2"/>
            <w:shd w:val="clear" w:color="auto" w:fill="CCFFCC"/>
          </w:tcPr>
          <w:p>
            <w:pPr>
              <w:jc w:val="right"/>
              <w:ind w:right="93"/>
              <w:spacing w:after="0"/>
              <w:rPr>
                <w:sz w:val="20"/>
                <w:szCs w:val="20"/>
                <w:color w:val="auto"/>
              </w:rPr>
            </w:pPr>
            <w:r>
              <w:rPr>
                <w:rFonts w:ascii="Arial" w:cs="Arial" w:eastAsia="Arial" w:hAnsi="Arial"/>
                <w:sz w:val="17"/>
                <w:szCs w:val="17"/>
                <w:color w:val="auto"/>
              </w:rPr>
              <w:t>302</w:t>
            </w:r>
          </w:p>
        </w:tc>
        <w:tc>
          <w:tcPr>
            <w:tcW w:w="126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(30,518)</w:t>
            </w:r>
          </w:p>
        </w:tc>
        <w:tc>
          <w:tcPr>
            <w:tcW w:w="0" w:type="dxa"/>
            <w:vAlign w:val="bottom"/>
          </w:tcPr>
          <w:p>
            <w:pPr>
              <w:spacing w:after="0"/>
              <w:rPr>
                <w:sz w:val="1"/>
                <w:szCs w:val="1"/>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7"/>
                <w:szCs w:val="17"/>
                <w:color w:val="auto"/>
                <w:w w:val="97"/>
              </w:rPr>
              <w:t>Net cash provided by (used in) investing activities</w:t>
            </w:r>
          </w:p>
        </w:tc>
        <w:tc>
          <w:tcPr>
            <w:tcW w:w="800" w:type="dxa"/>
            <w:vAlign w:val="bottom"/>
          </w:tcPr>
          <w:p>
            <w:pPr>
              <w:jc w:val="right"/>
              <w:ind w:right="3"/>
              <w:spacing w:after="0"/>
              <w:rPr>
                <w:sz w:val="20"/>
                <w:szCs w:val="20"/>
                <w:color w:val="auto"/>
              </w:rPr>
            </w:pPr>
            <w:r>
              <w:rPr>
                <w:rFonts w:ascii="Arial" w:cs="Arial" w:eastAsia="Arial" w:hAnsi="Arial"/>
                <w:sz w:val="17"/>
                <w:szCs w:val="17"/>
                <w:color w:val="auto"/>
              </w:rPr>
              <w:t>(5)</w:t>
            </w:r>
          </w:p>
        </w:tc>
        <w:tc>
          <w:tcPr>
            <w:tcW w:w="940" w:type="dxa"/>
            <w:vAlign w:val="bottom"/>
            <w:gridSpan w:val="2"/>
          </w:tcPr>
          <w:p>
            <w:pPr>
              <w:jc w:val="right"/>
              <w:ind w:right="53"/>
              <w:spacing w:after="0"/>
              <w:rPr>
                <w:sz w:val="20"/>
                <w:szCs w:val="20"/>
                <w:color w:val="auto"/>
              </w:rPr>
            </w:pPr>
            <w:r>
              <w:rPr>
                <w:rFonts w:ascii="Arial" w:cs="Arial" w:eastAsia="Arial" w:hAnsi="Arial"/>
                <w:sz w:val="17"/>
                <w:szCs w:val="17"/>
                <w:color w:val="auto"/>
              </w:rPr>
              <w:t>14</w:t>
            </w:r>
          </w:p>
        </w:tc>
        <w:tc>
          <w:tcPr>
            <w:tcW w:w="960" w:type="dxa"/>
            <w:vAlign w:val="bottom"/>
            <w:gridSpan w:val="2"/>
          </w:tcPr>
          <w:p>
            <w:pPr>
              <w:jc w:val="right"/>
              <w:ind w:right="33"/>
              <w:spacing w:after="0"/>
              <w:rPr>
                <w:sz w:val="20"/>
                <w:szCs w:val="20"/>
                <w:color w:val="auto"/>
              </w:rPr>
            </w:pPr>
            <w:r>
              <w:rPr>
                <w:rFonts w:ascii="Arial" w:cs="Arial" w:eastAsia="Arial" w:hAnsi="Arial"/>
                <w:sz w:val="17"/>
                <w:szCs w:val="17"/>
                <w:color w:val="auto"/>
              </w:rPr>
              <w:t>(19)</w:t>
            </w:r>
          </w:p>
        </w:tc>
        <w:tc>
          <w:tcPr>
            <w:tcW w:w="1260" w:type="dxa"/>
            <w:vAlign w:val="bottom"/>
            <w:gridSpan w:val="2"/>
          </w:tcPr>
          <w:p>
            <w:pPr>
              <w:jc w:val="right"/>
              <w:ind w:right="53"/>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00"/>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Net cash provided by financing activities</w:t>
            </w:r>
          </w:p>
        </w:tc>
        <w:tc>
          <w:tcPr>
            <w:tcW w:w="800" w:type="dxa"/>
            <w:vAlign w:val="bottom"/>
            <w:shd w:val="clear" w:color="auto" w:fill="CCFFCC"/>
          </w:tcPr>
          <w:p>
            <w:pPr>
              <w:jc w:val="right"/>
              <w:ind w:right="63"/>
              <w:spacing w:after="0"/>
              <w:rPr>
                <w:sz w:val="20"/>
                <w:szCs w:val="20"/>
                <w:color w:val="auto"/>
              </w:rPr>
            </w:pPr>
            <w:r>
              <w:rPr>
                <w:rFonts w:ascii="Arial" w:cs="Arial" w:eastAsia="Arial" w:hAnsi="Arial"/>
                <w:sz w:val="17"/>
                <w:szCs w:val="17"/>
                <w:color w:val="auto"/>
              </w:rPr>
              <w:t>3,652</w:t>
            </w:r>
          </w:p>
        </w:tc>
        <w:tc>
          <w:tcPr>
            <w:tcW w:w="940" w:type="dxa"/>
            <w:vAlign w:val="bottom"/>
            <w:gridSpan w:val="2"/>
            <w:shd w:val="clear" w:color="auto" w:fill="CCFFCC"/>
          </w:tcPr>
          <w:p>
            <w:pPr>
              <w:jc w:val="right"/>
              <w:ind w:right="13"/>
              <w:spacing w:after="0"/>
              <w:rPr>
                <w:sz w:val="20"/>
                <w:szCs w:val="20"/>
                <w:color w:val="auto"/>
              </w:rPr>
            </w:pPr>
            <w:r>
              <w:rPr>
                <w:rFonts w:ascii="Arial" w:cs="Arial" w:eastAsia="Arial" w:hAnsi="Arial"/>
                <w:sz w:val="17"/>
                <w:szCs w:val="17"/>
                <w:color w:val="auto"/>
              </w:rPr>
              <w:t>(345)</w:t>
            </w:r>
          </w:p>
        </w:tc>
        <w:tc>
          <w:tcPr>
            <w:tcW w:w="960" w:type="dxa"/>
            <w:vAlign w:val="bottom"/>
            <w:gridSpan w:val="2"/>
            <w:shd w:val="clear" w:color="auto" w:fill="CCFFCC"/>
          </w:tcPr>
          <w:p>
            <w:pPr>
              <w:jc w:val="right"/>
              <w:ind w:right="93"/>
              <w:spacing w:after="0"/>
              <w:rPr>
                <w:sz w:val="20"/>
                <w:szCs w:val="20"/>
                <w:color w:val="auto"/>
              </w:rPr>
            </w:pPr>
            <w:r>
              <w:rPr>
                <w:rFonts w:ascii="Arial" w:cs="Arial" w:eastAsia="Arial" w:hAnsi="Arial"/>
                <w:sz w:val="17"/>
                <w:szCs w:val="17"/>
                <w:color w:val="auto"/>
              </w:rPr>
              <w:t>3,997</w:t>
            </w:r>
          </w:p>
        </w:tc>
        <w:tc>
          <w:tcPr>
            <w:tcW w:w="1260" w:type="dxa"/>
            <w:vAlign w:val="bottom"/>
            <w:gridSpan w:val="2"/>
            <w:shd w:val="clear" w:color="auto" w:fill="CCFFCC"/>
          </w:tcPr>
          <w:p>
            <w:pPr>
              <w:jc w:val="right"/>
              <w:ind w:right="113"/>
              <w:spacing w:after="0"/>
              <w:rPr>
                <w:sz w:val="20"/>
                <w:szCs w:val="20"/>
                <w:color w:val="auto"/>
              </w:rPr>
            </w:pPr>
            <w:r>
              <w:rPr>
                <w:rFonts w:ascii="Arial" w:cs="Arial" w:eastAsia="Arial" w:hAnsi="Arial"/>
                <w:sz w:val="17"/>
                <w:szCs w:val="17"/>
                <w:color w:val="auto"/>
              </w:rPr>
              <w:t>34,812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-516255</wp:posOffset>
            </wp:positionV>
            <wp:extent cx="7004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During the three month period ended March 31, 2012, net cash used in operating activities totaled $1.2 million. During the three month period ended March 31, 2011, net cash used in operating activities totaled $1.5 million. The decrease of $0.3 million in cash used in operating activities was mainly due to increased collection of receivables ($0.3 million the first quarter of 2012, compared to $0.1 million in the first quarter of 2011), as well as reduction in workforce related costs. The operating activities included merger and acquisition related expenses (increase of $0.45 million compared to the first quarter of 2011).</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During the three month period ended March 31, 2011, net cash used in operating activities totaled $1.5 million. During the quarter ended March 31, 2010, net cash used in operating activities totaled $1.7 million. The decrease of $0.2 million used in operating activities was mainly due to reduction in workforce related costs in connection with the cost reduction plan implemented in the first quarter of 2011.</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Vringo expects its net cash used in operating activities to increase due to costs related to merger and acquisition activity, as well as due to possible future financing activity. As Vringo moves towards greater revenue generation, Vringo expects that these amounts will be offset by revenue. Since Vringo receives most of its revenues directly from carriers whose payment schedules are generally net 90 days or longer, and Vringo’s suppliers’ payment schedules are generally net 30 days, Vringo does not expect the increase in revenue will initially increase its net cash from operating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During the three month period ended March 31, 2012, net cash used in investing activities totaled $5,000. During the three month period ended March 31, 2011, net cash provided by investing activities totaled $14,000. This change of $19,000 in cash provided by investing activities was primarily due to the release of a short-term deposit, which was offset by the purchase of fixed assets in the first quarter of 2011. Fixed asset purchases in the three month period ended March 31, 2012, amounted to $5,000 compared to $7,000 for the three month period ended March 31, 2011.</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expects that net cash used in investing activities will increase as it intends to continue to upgrade its computers and software in 2012. Moreover, as Vringo’s service continues to grow, it will need to increase its server capacity to meet the needs of its customers.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During the three month period ended March 31, 2012, net cash provided by financing activities totaled $3.65 million, which relates to the exercise of warrants in February 2012. Pursuant to agreements with warrant holders, Vringo issued Reload Warrants at an exercise price of $1.76 per share, with the potential for raising up to an additional $5.0 million.</w:t>
      </w:r>
    </w:p>
    <w:p>
      <w:pPr>
        <w:spacing w:after="0" w:line="200" w:lineRule="exact"/>
        <w:rPr>
          <w:sz w:val="20"/>
          <w:szCs w:val="20"/>
          <w:color w:val="auto"/>
        </w:rPr>
      </w:pPr>
    </w:p>
    <w:p>
      <w:pPr>
        <w:spacing w:after="0" w:line="28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Vringo expects to continue to see a net cash inflow from financing activities, as a result of possible inflows from the exercise of warrants and options granted to employees management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139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3880" w:type="dxa"/>
            <w:vAlign w:val="bottom"/>
          </w:tcPr>
          <w:p>
            <w:pPr>
              <w:spacing w:after="0"/>
              <w:rPr>
                <w:sz w:val="12"/>
                <w:szCs w:val="12"/>
                <w:color w:val="auto"/>
              </w:rPr>
            </w:pPr>
          </w:p>
        </w:tc>
        <w:tc>
          <w:tcPr>
            <w:tcW w:w="2440" w:type="dxa"/>
            <w:vAlign w:val="bottom"/>
            <w:gridSpan w:val="5"/>
          </w:tcPr>
          <w:p>
            <w:pPr>
              <w:jc w:val="right"/>
              <w:ind w:right="413"/>
              <w:spacing w:after="0" w:line="139" w:lineRule="exact"/>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Cumulative</w:t>
            </w:r>
          </w:p>
        </w:tc>
      </w:tr>
      <w:tr>
        <w:trPr>
          <w:trHeight w:val="138"/>
        </w:trPr>
        <w:tc>
          <w:tcPr>
            <w:tcW w:w="3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from inception</w:t>
            </w:r>
          </w:p>
        </w:tc>
      </w:tr>
      <w:tr>
        <w:trPr>
          <w:trHeight w:val="158"/>
        </w:trPr>
        <w:tc>
          <w:tcPr>
            <w:tcW w:w="38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to December 31,</w:t>
            </w:r>
          </w:p>
        </w:tc>
      </w:tr>
      <w:tr>
        <w:trPr>
          <w:trHeight w:val="180"/>
        </w:trPr>
        <w:tc>
          <w:tcPr>
            <w:tcW w:w="3880" w:type="dxa"/>
            <w:vAlign w:val="bottom"/>
          </w:tcPr>
          <w:p>
            <w:pPr>
              <w:spacing w:after="0"/>
              <w:rPr>
                <w:sz w:val="15"/>
                <w:szCs w:val="15"/>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r>
      <w:tr>
        <w:trPr>
          <w:trHeight w:val="188"/>
        </w:trPr>
        <w:tc>
          <w:tcPr>
            <w:tcW w:w="3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right"/>
              <w:ind w:right="73"/>
              <w:spacing w:after="0"/>
              <w:rPr>
                <w:sz w:val="20"/>
                <w:szCs w:val="20"/>
                <w:color w:val="auto"/>
              </w:rPr>
            </w:pPr>
            <w:r>
              <w:rPr>
                <w:rFonts w:ascii="Arial" w:cs="Arial" w:eastAsia="Arial" w:hAnsi="Arial"/>
                <w:sz w:val="13"/>
                <w:szCs w:val="13"/>
                <w:color w:val="auto"/>
              </w:rPr>
              <w:t>U.S.$ thousands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3880" w:type="dxa"/>
            <w:vAlign w:val="bottom"/>
            <w:shd w:val="clear" w:color="auto" w:fill="CCFFCC"/>
          </w:tcPr>
          <w:p>
            <w:pPr>
              <w:spacing w:after="0"/>
              <w:rPr>
                <w:sz w:val="20"/>
                <w:szCs w:val="20"/>
                <w:color w:val="auto"/>
              </w:rPr>
            </w:pPr>
            <w:r>
              <w:rPr>
                <w:rFonts w:ascii="Arial" w:cs="Arial" w:eastAsia="Arial" w:hAnsi="Arial"/>
                <w:sz w:val="17"/>
                <w:szCs w:val="17"/>
                <w:color w:val="auto"/>
              </w:rPr>
              <w:t>Net cash used in operating activities</w:t>
            </w:r>
          </w:p>
        </w:tc>
        <w:tc>
          <w:tcPr>
            <w:tcW w:w="720" w:type="dxa"/>
            <w:vAlign w:val="bottom"/>
            <w:shd w:val="clear" w:color="auto" w:fill="CCFFCC"/>
          </w:tcPr>
          <w:p>
            <w:pPr>
              <w:jc w:val="right"/>
              <w:ind w:right="3"/>
              <w:spacing w:after="0"/>
              <w:rPr>
                <w:sz w:val="20"/>
                <w:szCs w:val="20"/>
                <w:color w:val="auto"/>
              </w:rPr>
            </w:pPr>
            <w:r>
              <w:rPr>
                <w:rFonts w:ascii="Arial" w:cs="Arial" w:eastAsia="Arial" w:hAnsi="Arial"/>
                <w:sz w:val="17"/>
                <w:szCs w:val="17"/>
                <w:color w:val="auto"/>
              </w:rPr>
              <w:t>(5,380)</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(6,361)</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(981)</w:t>
            </w:r>
          </w:p>
        </w:tc>
        <w:tc>
          <w:tcPr>
            <w:tcW w:w="1300" w:type="dxa"/>
            <w:vAlign w:val="bottom"/>
            <w:gridSpan w:val="2"/>
            <w:shd w:val="clear" w:color="auto" w:fill="CCFFCC"/>
          </w:tcPr>
          <w:p>
            <w:pPr>
              <w:jc w:val="right"/>
              <w:ind w:right="73"/>
              <w:spacing w:after="0"/>
              <w:rPr>
                <w:sz w:val="20"/>
                <w:szCs w:val="20"/>
                <w:color w:val="auto"/>
              </w:rPr>
            </w:pPr>
            <w:r>
              <w:rPr>
                <w:rFonts w:ascii="Arial" w:cs="Arial" w:eastAsia="Arial" w:hAnsi="Arial"/>
                <w:sz w:val="17"/>
                <w:szCs w:val="17"/>
                <w:color w:val="auto"/>
              </w:rPr>
              <w:t>(29,303)</w:t>
            </w:r>
          </w:p>
        </w:tc>
      </w:tr>
      <w:tr>
        <w:trPr>
          <w:trHeight w:val="200"/>
        </w:trPr>
        <w:tc>
          <w:tcPr>
            <w:tcW w:w="388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720" w:type="dxa"/>
            <w:vAlign w:val="bottom"/>
          </w:tcPr>
          <w:p>
            <w:pPr>
              <w:jc w:val="right"/>
              <w:ind w:right="3"/>
              <w:spacing w:after="0"/>
              <w:rPr>
                <w:sz w:val="20"/>
                <w:szCs w:val="20"/>
                <w:color w:val="auto"/>
              </w:rPr>
            </w:pPr>
            <w:r>
              <w:rPr>
                <w:rFonts w:ascii="Arial" w:cs="Arial" w:eastAsia="Arial" w:hAnsi="Arial"/>
                <w:sz w:val="17"/>
                <w:szCs w:val="17"/>
                <w:color w:val="auto"/>
              </w:rPr>
              <w:t>(6)</w:t>
            </w:r>
          </w:p>
        </w:tc>
        <w:tc>
          <w:tcPr>
            <w:tcW w:w="860" w:type="dxa"/>
            <w:vAlign w:val="bottom"/>
            <w:gridSpan w:val="2"/>
          </w:tcPr>
          <w:p>
            <w:pPr>
              <w:jc w:val="right"/>
              <w:ind w:right="53"/>
              <w:spacing w:after="0"/>
              <w:rPr>
                <w:sz w:val="20"/>
                <w:szCs w:val="20"/>
                <w:color w:val="auto"/>
              </w:rPr>
            </w:pPr>
            <w:r>
              <w:rPr>
                <w:rFonts w:ascii="Arial" w:cs="Arial" w:eastAsia="Arial" w:hAnsi="Arial"/>
                <w:sz w:val="17"/>
                <w:szCs w:val="17"/>
                <w:color w:val="auto"/>
              </w:rPr>
              <w:t>2,499</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(2,505)</w:t>
            </w:r>
          </w:p>
        </w:tc>
        <w:tc>
          <w:tcPr>
            <w:tcW w:w="1300" w:type="dxa"/>
            <w:vAlign w:val="bottom"/>
            <w:gridSpan w:val="2"/>
          </w:tcPr>
          <w:p>
            <w:pPr>
              <w:jc w:val="right"/>
              <w:ind w:right="73"/>
              <w:spacing w:after="0"/>
              <w:rPr>
                <w:sz w:val="20"/>
                <w:szCs w:val="20"/>
                <w:color w:val="auto"/>
              </w:rPr>
            </w:pPr>
            <w:r>
              <w:rPr>
                <w:rFonts w:ascii="Arial" w:cs="Arial" w:eastAsia="Arial" w:hAnsi="Arial"/>
                <w:sz w:val="17"/>
                <w:szCs w:val="17"/>
                <w:color w:val="auto"/>
              </w:rPr>
              <w:t>(606)</w:t>
            </w:r>
          </w:p>
        </w:tc>
      </w:tr>
      <w:tr>
        <w:trPr>
          <w:trHeight w:val="200"/>
        </w:trPr>
        <w:tc>
          <w:tcPr>
            <w:tcW w:w="3880" w:type="dxa"/>
            <w:vAlign w:val="bottom"/>
            <w:shd w:val="clear" w:color="auto" w:fill="CCFFCC"/>
          </w:tcPr>
          <w:p>
            <w:pPr>
              <w:spacing w:after="0"/>
              <w:rPr>
                <w:sz w:val="20"/>
                <w:szCs w:val="20"/>
                <w:color w:val="auto"/>
              </w:rPr>
            </w:pPr>
            <w:r>
              <w:rPr>
                <w:rFonts w:ascii="Arial" w:cs="Arial" w:eastAsia="Arial" w:hAnsi="Arial"/>
                <w:sz w:val="17"/>
                <w:szCs w:val="17"/>
                <w:color w:val="auto"/>
              </w:rPr>
              <w:t>Net cash provided by financing activities</w:t>
            </w:r>
          </w:p>
        </w:tc>
        <w:tc>
          <w:tcPr>
            <w:tcW w:w="720" w:type="dxa"/>
            <w:vAlign w:val="bottom"/>
            <w:shd w:val="clear" w:color="auto" w:fill="CCFFCC"/>
          </w:tcPr>
          <w:p>
            <w:pPr>
              <w:jc w:val="right"/>
              <w:ind w:right="43"/>
              <w:spacing w:after="0"/>
              <w:rPr>
                <w:sz w:val="20"/>
                <w:szCs w:val="20"/>
                <w:color w:val="auto"/>
              </w:rPr>
            </w:pPr>
            <w:r>
              <w:rPr>
                <w:rFonts w:ascii="Arial" w:cs="Arial" w:eastAsia="Arial" w:hAnsi="Arial"/>
                <w:sz w:val="17"/>
                <w:szCs w:val="17"/>
                <w:color w:val="auto"/>
              </w:rPr>
              <w:t>1,198</w:t>
            </w:r>
          </w:p>
        </w:tc>
        <w:tc>
          <w:tcPr>
            <w:tcW w:w="86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8,520</w:t>
            </w:r>
          </w:p>
        </w:tc>
        <w:tc>
          <w:tcPr>
            <w:tcW w:w="86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7,322</w:t>
            </w:r>
          </w:p>
        </w:tc>
        <w:tc>
          <w:tcPr>
            <w:tcW w:w="1300" w:type="dxa"/>
            <w:vAlign w:val="bottom"/>
            <w:gridSpan w:val="2"/>
            <w:shd w:val="clear" w:color="auto" w:fill="CCFFCC"/>
          </w:tcPr>
          <w:p>
            <w:pPr>
              <w:jc w:val="right"/>
              <w:ind w:right="133"/>
              <w:spacing w:after="0"/>
              <w:rPr>
                <w:sz w:val="20"/>
                <w:szCs w:val="20"/>
                <w:color w:val="auto"/>
              </w:rPr>
            </w:pPr>
            <w:r>
              <w:rPr>
                <w:rFonts w:ascii="Arial" w:cs="Arial" w:eastAsia="Arial" w:hAnsi="Arial"/>
                <w:sz w:val="17"/>
                <w:szCs w:val="17"/>
                <w:color w:val="auto"/>
              </w:rPr>
              <w:t>31,160</w:t>
            </w:r>
          </w:p>
        </w:tc>
      </w:tr>
    </w:tbl>
    <w:p>
      <w:pPr>
        <w:spacing w:after="0" w:line="11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During the year ended December 31, 2011, net cash used in operating activities totaled $5.4 million. During the year ended December 31, 2010, net cash used in operating activities totaled $6.4 million. The $1.1 million decrease in net cash used in operating activities was primarily due to increase in revenue and a reduction in workforce related costs, in connection with the cost reduction plan implemented in the early part of 2011.</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During the year ended December 31, 2009, net cash used in operating activities totaled $4.8 million. The increase of $1.6 million used in operating activities, compared to 2009, was mainly due to payments to service providers in connection with the IPO, and other payments made in connection with becoming a public company. These costs included: auditors fees, increased directors insurance and legal counsel.</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During the year ended December 31, 2011, net cash used in investing activities totaled $6,000. These included a decrease in restricted deposit in the total amount of $21,000 and asset purchases in 2011, in the total amount of $27,000. Fixed asset purchases in the year ended December 31, 2010 amounted to $86,000 compared to $34,000 for the year ended December 31, 2009. The increase in fixed asset purchases in 2010 was due to the need to replace certain fixed assets that had fully depreciated and to improve the servers in the research and development facility of our Israeli subsidiary.</w:t>
      </w:r>
    </w:p>
    <w:p>
      <w:pPr>
        <w:spacing w:after="0" w:line="6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During the year ended December 31, 2010, net cash provided by investing activities totaled $2.5 million. During the year ended December 31, 2009, net cash used in investing activities totaled $2.6 million. This increase of $5.1 million provided by investing activities is primarily due to the release of proceeds from the bridge financing from escrow, which was slightly offset by the purchase of fixed assets.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During the year ended December 31, 2011, net cash provided by financing activities totaled $1.2 million, which relates to the repayment and settlement of the venture loan in the total amount of $2.1 million on the one hand, and receipt of proceeds from issuance of convertible notes, in the total amount of $2.5 million, plus, receipt of proceeds from December 2011 financing in the total amount of $0.85 million, on the other. See also Notes 8, 9 and 11, to the accompanying financial statements for the year ended December 31, 2011.</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During the year ended December 31, 2010, net cash provided by financing activities totaled $8.5 million, which relates to the net proceeds received as a result of the IPO, partially offset by repayment of principal on the venture loan, in the total amount of $0.8 million.</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During the year ended December 31, 2009, net cash provided by financing activities totaled $2.2 million, which relates to issuance of Bridge Notes, in the total amount of $2.98 million, partially offset by repayment of principal on the venture loan, in the total amount of $0.8 million.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Future operations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March 2012, Vringo entered into the Merger Agreement with Innovate/Protect. Vringo believes that the Merger, if consummated, will maximize the economic benefits of Vringo’s intellectual property portfolio, add significant talent in technological innovation, and potentially enhance Vringo’s opportunities for revenue</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7" w:lineRule="auto"/>
        <w:rPr>
          <w:sz w:val="20"/>
          <w:szCs w:val="20"/>
          <w:color w:val="auto"/>
        </w:rPr>
      </w:pPr>
      <w:r>
        <w:rPr>
          <w:rFonts w:ascii="Arial" w:cs="Arial" w:eastAsia="Arial" w:hAnsi="Arial"/>
          <w:sz w:val="15"/>
          <w:szCs w:val="15"/>
          <w:color w:val="auto"/>
        </w:rPr>
        <w:t>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The completion of the Merger is subject to a number of conditions and there can be no assurance that the conditions to the completion of the Merger will be satisfied and the Merger will be consummated.</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the fourth quarter of 2011, Vringo announced an agreement with ZTE Corporation, the largest handset maker in China and</w:t>
      </w:r>
    </w:p>
    <w:p>
      <w:pPr>
        <w:spacing w:after="0" w:line="55" w:lineRule="exact"/>
        <w:rPr>
          <w:sz w:val="20"/>
          <w:szCs w:val="20"/>
          <w:color w:val="auto"/>
        </w:rPr>
      </w:pPr>
    </w:p>
    <w:p>
      <w:pPr>
        <w:jc w:val="both"/>
        <w:ind w:left="40" w:right="1239"/>
        <w:spacing w:after="0" w:line="239" w:lineRule="auto"/>
        <w:rPr>
          <w:sz w:val="20"/>
          <w:szCs w:val="20"/>
          <w:color w:val="auto"/>
        </w:rPr>
      </w:pPr>
      <w:r>
        <w:rPr>
          <w:rFonts w:ascii="Arial" w:cs="Arial" w:eastAsia="Arial" w:hAnsi="Arial"/>
          <w:sz w:val="16"/>
          <w:szCs w:val="16"/>
          <w:color w:val="auto"/>
        </w:rPr>
        <w:t>fourth-largest globally, to preload the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application on Android handsets, which is scheduled to commence late in the second quarter or in the third quarter of 2012. As part of the commercial terms of the agreement, these handsets will be sold via mobile phone operators and through various OEM contracts. Similar arrangement are being pursued with other handset manufacturers, although there can be no assurance that any such opportunities may arise.</w:t>
      </w:r>
    </w:p>
    <w:p>
      <w:pPr>
        <w:spacing w:after="0" w:line="9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is currently in discussions with several potential strategic partners and mobile carriers and Vringo will be pursuing additional agreements over the next 12 to 24 months. In addition, Vringo is continuing to explore further opportunities for strategic business alliances, however, there can be no assurance that any such opportunities may arise, or that any such opportunities will be consummated.</w:t>
      </w:r>
    </w:p>
    <w:p>
      <w:pPr>
        <w:spacing w:after="0" w:line="78"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If the Merger is consummated, together with the executive team from Innovate/Protect, Vringo anticipates the creation of additional products and services that will be distributed through Vringo’s existing operator and handset relationships.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Off-Balance Sheet Arrangements</w:t>
      </w:r>
    </w:p>
    <w:p>
      <w:pPr>
        <w:spacing w:after="0" w:line="109"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Vringo has no obligations, assets or liabilities which would be considered off-balance sheet arrangements. Vringo does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Critical Accounting Estimates</w:t>
      </w:r>
    </w:p>
    <w:p>
      <w:pPr>
        <w:spacing w:after="0" w:line="10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While Vringo’s significant accounting policies are more fully described in the notes to Vringo’s consolidated financial statements for the year ended December 31, 2011, Vringo believes the following accounting policies to be the most critical in understanding the judgments and estimates Vringo use in preparing its consolidated financial statements.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Accounting for Stock-based Compensation</w:t>
      </w:r>
    </w:p>
    <w:p>
      <w:pPr>
        <w:spacing w:after="0" w:line="105"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Vringo accounts for stock-based awards under FASB ASC718, “</w:t>
      </w:r>
      <w:r>
        <w:rPr>
          <w:rFonts w:ascii="Arial" w:cs="Arial" w:eastAsia="Arial" w:hAnsi="Arial"/>
          <w:sz w:val="15"/>
          <w:szCs w:val="15"/>
          <w:i w:val="1"/>
          <w:iCs w:val="1"/>
          <w:color w:val="auto"/>
        </w:rPr>
        <w:t>Compensation — Stock Compensatio</w:t>
      </w:r>
      <w:r>
        <w:rPr>
          <w:rFonts w:ascii="Arial" w:cs="Arial" w:eastAsia="Arial" w:hAnsi="Arial"/>
          <w:sz w:val="15"/>
          <w:szCs w:val="15"/>
          <w:color w:val="auto"/>
        </w:rPr>
        <w:t>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5"/>
          <w:szCs w:val="15"/>
          <w:i w:val="1"/>
          <w:iCs w:val="1"/>
          <w:color w:val="auto"/>
        </w:rPr>
        <w:t>Equity-Based Payments to Non Employees</w:t>
      </w:r>
      <w:r>
        <w:rPr>
          <w:rFonts w:ascii="Arial" w:cs="Arial" w:eastAsia="Arial" w:hAnsi="Arial"/>
          <w:sz w:val="15"/>
          <w:szCs w:val="15"/>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Vringo’s estimates, such amounts will be recorded as a cumulative adjustment in the period estimates are revised. Vringo considers various factors when estimating expected forfeitures, including historical experience. Actual results may differ substantially from these estimates.</w:t>
      </w:r>
    </w:p>
    <w:p>
      <w:pPr>
        <w:spacing w:after="0" w:line="61"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Vringo determines the fair value of stock options granted to employees, directors and consultants using the Black-Scholes-Merton and the Lattice (for out-of-money option grants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Vringo estimates its expected stock volatility based on historical stock volatility from comparable companies.</w:t>
      </w:r>
    </w:p>
    <w:p>
      <w:pPr>
        <w:spacing w:after="0" w:line="200" w:lineRule="exact"/>
        <w:rPr>
          <w:sz w:val="20"/>
          <w:szCs w:val="20"/>
          <w:color w:val="auto"/>
        </w:rPr>
      </w:pPr>
    </w:p>
    <w:p>
      <w:pPr>
        <w:spacing w:after="0" w:line="26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9" w:name="page160"/>
    <w:bookmarkEnd w:id="1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In January 2012, Vringo’s board of directors approved an acceleration of option vesting for all option holders should Vringo be subject to a change of control in a merger and/or acquisition transaction. In addition, in March 2012, the board of director approved participation of all outstanding options, except for those grants pursuant to separation arrangements, in future dividends, if any, as well as the acceleration of vesting of certain outstanding options, according certain market conditions. In addition, upon a subsequent change of control, defined as a more than 50% change in shareholder ownership excluding the transaction Innovate/Protect, 75% of the then unvested options held by each grantee shall automatically vest. Moreover, all outstanding options granted to members of the board of directors shall fully vest if a member of the board of directors ceases to be a director at any time during the six-month period immediately following a change of control. As of March 31, 2012, Vringo expects to account for no dividends payouts, acceleration of vesting triggered by the Merger with Innovate/Protect will be accounted for upon the consummation of the proposed Merger; moreover, it assumes that the estimated effect of acceleration pursuant to meeting the abovementioned market conditions will be immaterial, due to low probability of occurrence, please refer to Note 5 to the accompanying financial statements for the three months ended March 31, 2012.</w:t>
      </w:r>
    </w:p>
    <w:p>
      <w:pPr>
        <w:spacing w:after="0" w:line="57"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These option pricing models utilize various inputs and assumptions, which are highly subjective. Had Vringo used different assumptions, its results may have been significantly different. For further information on judgments and assessments used, please refer to Note 11 to the consolidated financial statements of Vringo for the year ended December 31, 2011.</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On December 29, 2009, Vringo consummated a bridge financing pursuant to which Vringo issued 5% subordinated convertible promissory notes, ("Bridge Notes"), in the aggregate amount of $2.98 million in a private placement, as well as warrants to purchase 795,200 shares of common stock (the“Special Bridge Warrants", and collectively with the Bridge Notes, the“Bridge Financing"). Proceeds from the Bridge Financing were first allocated to the Special Bridge Warrants, which were classified as a derivative liability and recorded at fair value, with the residual amount allocated to the Bridge Notes.</w:t>
      </w:r>
    </w:p>
    <w:p>
      <w:pPr>
        <w:spacing w:after="0" w:line="5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On December 1, 2011, Vringo entered into financing agreements which triggered anti-dilution provisions in certain of its outstanding warrants. As a result, the exercise price was reduced to $0.94 and the number of Special Bridge Warrants outstanding was adjusted to 2,528,615. Between February 6 and February 14, 2012, Vringo entered into agreements with holders of the Special Bridge Warrants, pursuant to which such holders exercised 2,274,235 Special Bridge Warrants (see also to Notes 3 and 5 to the accompanying financial statements). As of March 31, 2012,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As of March 31, 2012, Vringo estimated 30% probability of such protection being activated in September 2012. Vringo had estimated the value of the down-round protection using a Monte-Carlo simulation. The following assumptions were used: 82.95% expected volatility, a risk-free interest rate of 0.50%, estimated life of 2.75 years and no dividend yield.</w:t>
      </w:r>
    </w:p>
    <w:p>
      <w:pPr>
        <w:spacing w:after="0" w:line="60"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Upon the consummation of the IPO, the Bridge Notes automatically converted into 864,332 shares of common stock and 1,728,664 warrants (the“Conversion Warrants"). The Conversion Warrants have down-round protection clauses, i.e. in a new issuance of common shares at a lower price than the current exercise price, the current exercise price will be adjusted to the new issuance price. On December 1, 2011, Vringo entered into financing agreements which triggered anti-dilution provisions in certain of its outstanding warrants. As a result, the exercise price was reduced to $0.94. Between February 6 and February 14, 2012, Vringo entered into agreements with holders of the Special Bridge Warrants and Conversion Warrants, pursuant to which such holders exercised 1,554,758 Conversion Warrants (see also to Notes 3 and 5 to the accompanying financial statements). As of March 31, 2012, the Conversion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As of March 31, 2012, Vringo estimated 30% probability of such protection being activated in September, 2012. Vringo had estimated the value of the</w:t>
      </w:r>
    </w:p>
    <w:p>
      <w:pPr>
        <w:spacing w:after="0" w:line="200" w:lineRule="exact"/>
        <w:rPr>
          <w:sz w:val="20"/>
          <w:szCs w:val="20"/>
          <w:color w:val="auto"/>
        </w:rPr>
      </w:pPr>
    </w:p>
    <w:p>
      <w:pPr>
        <w:spacing w:after="0" w:line="28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0" w:name="page161"/>
    <w:bookmarkEnd w:id="1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down-round protection using a Monte-Carlo simulation. The following assumptions were used: 79.26% expected volatility, a risk-free interest rate of 0.60%, estimated life of 3.23 years and no dividend yield.</w:t>
      </w:r>
    </w:p>
    <w:p>
      <w:pPr>
        <w:spacing w:after="0" w:line="66"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Between February 6 and February 14, 2012, Vringo entered into agreements with holders of the Special Bridge Warrants and Conversion Warrants, pursuant to which such holders exercised 2,274,235 Special Bridge Warrants and 1,554,758 Conversion Warrants to purchase an aggregate of 3,828,993 shares of its common stock for aggregate proceeds of approximately $3.6 million. In addition, Vringo issued Reload Warrants to purchase an aggregate of 2,660,922 shares of common stock at an exercise price of $1.76 per share in consideration for the immediate exercise of the warrants. 1,392,972 of the Reload Warrants bear down-round protection clauses; as a result, they will be classified as a long term derivative liability and recorded at fair value (“Preferential Reload Warrants”). At the issuance date fair value, in the total amount of $1,476 thousand was calculated using the Black-Scholes-Merton and the Monte-Carlo models (see also to Notes 3 and 5 to the accompanying financial statements), using the following assumptions: 72.89% expected volatility, a risk-free interest rate of 0.79%, estimated life of 5 years and no dividend yield. The fair value of the common stock was $1.76. Vringo estimated there is a 30% probability that down-round protection will be activated in September 2012. As of March 31, 2012 fair value of the Preferential Reload Warrants was calculated using the Black-Scholes-Merton and the Monte-Carlo models, using the following assumptions: 73.13% expected volatility, a risk-free interest rate of 1.05%, estimated life of 4.86 years and no dividend yield. Vringo estimated there is a 30% probability that down-round protection will be activated in September 2012.</w:t>
      </w:r>
    </w:p>
    <w:p>
      <w:pPr>
        <w:spacing w:after="0" w:line="74"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Had Vringo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its net loss and net loss per share amounts could have been significantly different.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As part of the process of preparing Vringo’s consolidated financial statements, Vringo is required to estimate its income taxes in each of the jurisdictions in which Vringo operates. This process involves management estimating Vringo’s actual current tax exposure together with assessing temporary differences resulting from differing treatment of items for tax and accounting purposes. These differences result in deferred tax assets and liabilities, which are included within Vringo’s consolidated balance sheet. Vringo must then assess the likelihood that its deferred tax assets will be recovered from future taxable income and, to the extent Vringo believes that recovery is not more likely than not, Vringo must establish a valuation allowance. Significant management judgment is required in determining Vringo’s provision for income taxes, Vringo’s deferred tax assets and liabilities and any valuation allowance recorded against Vringo’s net deferred tax assets. At March 31, 2012 and December 31, 2011, Vringo has fully offset its U.S. net deferred tax asset with a valuation allowance. Vringo’s lack of earnings history and the uncertainty surrounding its ability to generate U.S. taxable income prior to the expiration of such deferred tax assets were the primary factors considered by management in establishing the valuation allowance.</w:t>
      </w:r>
    </w:p>
    <w:p>
      <w:pPr>
        <w:spacing w:after="0" w:line="71"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ASC 740, “</w:t>
      </w:r>
      <w:r>
        <w:rPr>
          <w:rFonts w:ascii="Arial" w:cs="Arial" w:eastAsia="Arial" w:hAnsi="Arial"/>
          <w:sz w:val="15"/>
          <w:szCs w:val="15"/>
          <w:i w:val="1"/>
          <w:iCs w:val="1"/>
          <w:color w:val="auto"/>
        </w:rPr>
        <w:t>Income Taxes</w:t>
      </w:r>
      <w:r>
        <w:rPr>
          <w:rFonts w:ascii="Arial" w:cs="Arial" w:eastAsia="Arial" w:hAnsi="Arial"/>
          <w:sz w:val="15"/>
          <w:szCs w:val="15"/>
          <w:color w:val="auto"/>
        </w:rPr>
        <w:t>” (formerly FASB Interpretation No. 48, “</w:t>
      </w:r>
      <w:r>
        <w:rPr>
          <w:rFonts w:ascii="Arial" w:cs="Arial" w:eastAsia="Arial" w:hAnsi="Arial"/>
          <w:sz w:val="15"/>
          <w:szCs w:val="15"/>
          <w:i w:val="1"/>
          <w:iCs w:val="1"/>
          <w:color w:val="auto"/>
        </w:rPr>
        <w:t>Accounting for Uncertainty in Income Taxes — an</w:t>
      </w:r>
      <w:r>
        <w:rPr>
          <w:rFonts w:ascii="Arial" w:cs="Arial" w:eastAsia="Arial" w:hAnsi="Arial"/>
          <w:sz w:val="15"/>
          <w:szCs w:val="15"/>
          <w:color w:val="auto"/>
        </w:rPr>
        <w:t xml:space="preserve"> </w:t>
      </w:r>
      <w:r>
        <w:rPr>
          <w:rFonts w:ascii="Arial" w:cs="Arial" w:eastAsia="Arial" w:hAnsi="Arial"/>
          <w:sz w:val="15"/>
          <w:szCs w:val="15"/>
          <w:i w:val="1"/>
          <w:iCs w:val="1"/>
          <w:color w:val="auto"/>
        </w:rPr>
        <w:t>Interpretation of FASB Statement 109</w:t>
      </w:r>
      <w:r>
        <w:rPr>
          <w:rFonts w:ascii="Arial" w:cs="Arial" w:eastAsia="Arial" w:hAnsi="Arial"/>
          <w:sz w:val="15"/>
          <w:szCs w:val="15"/>
          <w:color w:val="auto"/>
        </w:rPr>
        <w:t>”), prescribes how a company should recognize, measure, present and disclose in its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the first quarter of 2012 did not have an impact on Vringo’s financial position, results of operations, or cash flows.</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1" w:name="page162"/>
    <w:bookmarkEnd w:id="1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 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the first quarter of 2012 did not have an impact on Vringo’s financial position, results of operations, or cash flows.</w:t>
      </w:r>
    </w:p>
    <w:p>
      <w:pPr>
        <w:spacing w:after="0" w:line="7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Vringo does not expect the adoption of ASU 2011-11 in the first quarter of 2013 to have an impact on Vringo’s financial position, results of operations, or cash flows.</w:t>
      </w:r>
    </w:p>
    <w:p>
      <w:pPr>
        <w:spacing w:after="0" w:line="200" w:lineRule="exact"/>
        <w:rPr>
          <w:sz w:val="20"/>
          <w:szCs w:val="20"/>
          <w:color w:val="auto"/>
        </w:rPr>
      </w:pPr>
    </w:p>
    <w:p>
      <w:pPr>
        <w:spacing w:after="0" w:line="28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2" w:name="page163"/>
    <w:bookmarkEnd w:id="1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INNOVATE/PROTECT’S BUSINESS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Innovate/Protect was formed in June 2011 to maximize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76" w:lineRule="exact"/>
        <w:rPr>
          <w:sz w:val="20"/>
          <w:szCs w:val="20"/>
          <w:color w:val="auto"/>
        </w:rPr>
      </w:pPr>
    </w:p>
    <w:p>
      <w:pPr>
        <w:ind w:left="560" w:hanging="300"/>
        <w:spacing w:after="0"/>
        <w:tabs>
          <w:tab w:leader="none" w:pos="5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licensing,</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customized technology solutions,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strategic partnerships;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litigation.</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Innovate/Protect’s management team and board of directors are comprised of accomplished inventors, experienced investors and persons it believes are leaders in the intellectual property enforcement industry. Innovate/Protect’s management team has access to leading patent attorneys, patent brokers, company liquidators and others who will assist Innovate/Protect in exploring, acquiring, developing and monetizing intellectual property assets. Innovate/Protect believes that the depth and experience of its management provides Innovate/Protect with important competitive strengths as it seeks to execute and expand its business model.</w:t>
      </w:r>
    </w:p>
    <w:p>
      <w:pPr>
        <w:spacing w:after="0" w:line="53"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While Innovate/Protect’s present operations are limited to prosecuting its initial claims relating to the Lycos’s patents, its plan of operation over the next 12 months, in addition to continuing the prosecution of such claims, will be to expand its business through acquisitions of additional patent and other intellectual property assets that it will seek to monetize.</w:t>
      </w:r>
    </w:p>
    <w:p>
      <w:pPr>
        <w:spacing w:after="0" w:line="5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Innovate/Protect was incorporated under the laws of the State of Delaware on June 8, 2011. On September 6, 2011, it changed its name from Labrador Search Corporation to Innovate/Protect, Inc. Innovate/Protect has two wholly-owned subsidiaries, I/P Engine and I/P Labs. I/P Engine was incorporated in Virginia on June 14, 2011 under the name Smart Search Labs, Inc. and its name was changed from Smart Search Labs, Inc. to I/P Engine, Inc. in September 2011. I/P Labs was incorporated in Delaware on June 8, 2011 under the name Scottish Terrier Capital, Inc. and its name was changed from Scottish Terrier Capital, Inc. to I/P Labs, Inc. in September 2011.</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Background of the Lycos Patents</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Upon formation in June 2011, Innovate/Protect acquired its initial patent assets from Lycos through its wholly-owned subsidiary, I/P Engine. Such assets were comprised of eight patents (the “</w:t>
      </w:r>
      <w:r>
        <w:rPr>
          <w:rFonts w:ascii="Arial" w:cs="Arial" w:eastAsia="Arial" w:hAnsi="Arial"/>
          <w:sz w:val="16"/>
          <w:szCs w:val="16"/>
          <w:b w:val="1"/>
          <w:bCs w:val="1"/>
          <w:color w:val="auto"/>
        </w:rPr>
        <w:t>Lycos Patents</w:t>
      </w:r>
      <w:r>
        <w:rPr>
          <w:rFonts w:ascii="Arial" w:cs="Arial" w:eastAsia="Arial" w:hAnsi="Arial"/>
          <w:sz w:val="16"/>
          <w:szCs w:val="16"/>
          <w:color w:val="auto"/>
        </w:rPr>
        <w:t>”) relating to information filtering and search technologies. Andrew Kennedy Lang, Innovate/Protect’s Chief Executive Officer, Chief Technology Officer, President and director, and Donald Kosak, a consultant to I/P Engine, are the inventors of the Lycos Patents. As described further below, Innovate/Protect is initially seeking to monetize the Lycos Patents through litigation.</w:t>
      </w:r>
    </w:p>
    <w:p>
      <w:pPr>
        <w:spacing w:after="0" w:line="68"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In the mid-to-late 1990s, the amount of content (e.g., web pages) available on the Internet was relatively small compared to today. Users frequently accessed Internet web pages by visiting portal sites, which presented content categorized into directories through which the users could select links to available web pages. Lycos was one of the leading portal sites of this time, which initially launched its website in 1994. Lycos’ website included a directory-based portal and a query-based search engine, pursuant to which both systems provided access to its content catalog. By 1996, Lycos’ content catalog had grown substantially and it was one of the largest websites of its kind. Other large portal search sites at the time also maintained large content catalogs. As the volume of available Internet content continued to grow, manual categorization processes presented efficiency and resource challenges in terms of the amount of material to be categorized and the accuracy of such categorization.</w:t>
      </w:r>
    </w:p>
    <w:p>
      <w:pPr>
        <w:spacing w:after="0" w:line="6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Lycos engaged WiseWire Corporation, which was formed by Mr. Lang in 1995 and also employed Mr. Kosak, to develop filtering techniques to more efficiently, and automatically, categorize content for Lycos’ directories. Messrs. Lang and Kosak adapted their filtering techniques to apply to search systems and invented</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3" w:name="page164"/>
    <w:bookmarkEnd w:id="1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0" w:lineRule="auto"/>
        <w:rPr>
          <w:sz w:val="20"/>
          <w:szCs w:val="20"/>
          <w:color w:val="auto"/>
        </w:rPr>
      </w:pPr>
      <w:r>
        <w:rPr>
          <w:rFonts w:ascii="Arial" w:cs="Arial" w:eastAsia="Arial" w:hAnsi="Arial"/>
          <w:sz w:val="15"/>
          <w:szCs w:val="15"/>
          <w:color w:val="auto"/>
        </w:rPr>
        <w:t>filtering systems and methods that filter items such as web pages and advertisements for content relevancy to a search query (known as a wire). Messrs. Lang and Kosak’s inventions incorporate feedback information from prior users, and in filtering the items, combine the provided feedback information with the content relevancy information to determine whether (or where) an item should be included, or ranked, in a search results response to the query or the wire. After working together on several projects for Lycos’ website, Lycos acquired WiseWire for $39.75 million. Messrs. Lang and Kosak then joined Lycos, with Mr. Lang as Chief Technology Officer and Mr. Kosak as Senior Director of Engineering. Mr. Kosak later became Lycos’ Chief Technology Officer.</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Lycos Patents are comprised of eight patents relating to information filtering and search technologies. Below is a summary of the Lycos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374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880" w:type="dxa"/>
            <w:vAlign w:val="bottom"/>
          </w:tcPr>
          <w:p>
            <w:pPr>
              <w:spacing w:after="0" w:line="131" w:lineRule="exact"/>
              <w:rPr>
                <w:sz w:val="20"/>
                <w:szCs w:val="20"/>
                <w:color w:val="auto"/>
              </w:rPr>
            </w:pPr>
            <w:r>
              <w:rPr>
                <w:rFonts w:ascii="Arial" w:cs="Arial" w:eastAsia="Arial" w:hAnsi="Arial"/>
                <w:sz w:val="13"/>
                <w:szCs w:val="13"/>
                <w:b w:val="1"/>
                <w:bCs w:val="1"/>
                <w:color w:val="auto"/>
              </w:rPr>
              <w:t>Application</w:t>
            </w:r>
          </w:p>
        </w:tc>
        <w:tc>
          <w:tcPr>
            <w:tcW w:w="10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Country</w:t>
            </w:r>
          </w:p>
        </w:tc>
        <w:tc>
          <w:tcPr>
            <w:tcW w:w="10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2"/>
              </w:rPr>
              <w:t>Filing</w:t>
            </w:r>
          </w:p>
        </w:tc>
        <w:tc>
          <w:tcPr>
            <w:tcW w:w="8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5"/>
              </w:rPr>
              <w:t>Patent</w:t>
            </w:r>
          </w:p>
        </w:tc>
        <w:tc>
          <w:tcPr>
            <w:tcW w:w="8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Grant</w:t>
            </w:r>
          </w:p>
        </w:tc>
        <w:tc>
          <w:tcPr>
            <w:tcW w:w="10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3"/>
                <w:szCs w:val="13"/>
                <w:b w:val="1"/>
                <w:bCs w:val="1"/>
                <w:color w:val="auto"/>
              </w:rPr>
              <w:t>Expiration</w:t>
            </w:r>
          </w:p>
        </w:tc>
        <w:tc>
          <w:tcPr>
            <w:tcW w:w="100" w:type="dxa"/>
            <w:vAlign w:val="bottom"/>
          </w:tcPr>
          <w:p>
            <w:pPr>
              <w:spacing w:after="0"/>
              <w:rPr>
                <w:sz w:val="11"/>
                <w:szCs w:val="11"/>
                <w:color w:val="auto"/>
              </w:rPr>
            </w:pPr>
          </w:p>
        </w:tc>
        <w:tc>
          <w:tcPr>
            <w:tcW w:w="2360" w:type="dxa"/>
            <w:vAlign w:val="bottom"/>
          </w:tcPr>
          <w:p>
            <w:pPr>
              <w:ind w:left="1040"/>
              <w:spacing w:after="0" w:line="131" w:lineRule="exact"/>
              <w:rPr>
                <w:sz w:val="20"/>
                <w:szCs w:val="20"/>
                <w:color w:val="auto"/>
              </w:rPr>
            </w:pPr>
            <w:r>
              <w:rPr>
                <w:rFonts w:ascii="Arial" w:cs="Arial" w:eastAsia="Arial" w:hAnsi="Arial"/>
                <w:sz w:val="13"/>
                <w:szCs w:val="13"/>
                <w:b w:val="1"/>
                <w:bCs w:val="1"/>
                <w:color w:val="auto"/>
              </w:rPr>
              <w:t>Title</w:t>
            </w:r>
          </w:p>
        </w:tc>
      </w:tr>
      <w:tr>
        <w:trPr>
          <w:trHeight w:val="158"/>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3"/>
                <w:szCs w:val="13"/>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Date</w:t>
            </w:r>
          </w:p>
        </w:tc>
        <w:tc>
          <w:tcPr>
            <w:tcW w:w="100" w:type="dxa"/>
            <w:vAlign w:val="bottom"/>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r>
      <w:tr>
        <w:trPr>
          <w:trHeight w:val="172"/>
        </w:trPr>
        <w:tc>
          <w:tcPr>
            <w:tcW w:w="880" w:type="dxa"/>
            <w:vAlign w:val="bottom"/>
          </w:tcPr>
          <w:p>
            <w:pPr>
              <w:spacing w:after="0"/>
              <w:rPr>
                <w:sz w:val="20"/>
                <w:szCs w:val="20"/>
                <w:color w:val="auto"/>
              </w:rPr>
            </w:pPr>
            <w:r>
              <w:rPr>
                <w:rFonts w:ascii="Arial" w:cs="Arial" w:eastAsia="Arial" w:hAnsi="Arial"/>
                <w:sz w:val="15"/>
                <w:szCs w:val="15"/>
                <w:color w:val="auto"/>
              </w:rPr>
              <w:t>09204149</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0"/>
              </w:rPr>
              <w:t>12/03/1998</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5"/>
                <w:szCs w:val="15"/>
                <w:color w:val="auto"/>
                <w:w w:val="88"/>
              </w:rPr>
              <w:t>6314420</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0"/>
              </w:rPr>
              <w:t>11/06/2001</w:t>
            </w:r>
          </w:p>
        </w:tc>
        <w:tc>
          <w:tcPr>
            <w:tcW w:w="10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5"/>
                <w:szCs w:val="15"/>
                <w:color w:val="auto"/>
                <w:w w:val="90"/>
              </w:rPr>
              <w:t>12/03/2018</w:t>
            </w:r>
          </w:p>
        </w:tc>
        <w:tc>
          <w:tcPr>
            <w:tcW w:w="10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2"/>
              </w:rPr>
              <w:t>Collaborative/Adaptive Search Engine</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10045198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10/22/2001</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6775664</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08/10/2004</w:t>
            </w:r>
          </w:p>
        </w:tc>
        <w:tc>
          <w:tcPr>
            <w:tcW w:w="100" w:type="dxa"/>
            <w:vAlign w:val="bottom"/>
          </w:tcPr>
          <w:p>
            <w:pPr>
              <w:spacing w:after="0"/>
              <w:rPr>
                <w:sz w:val="16"/>
                <w:szCs w:val="16"/>
                <w:color w:val="auto"/>
              </w:rPr>
            </w:pPr>
          </w:p>
        </w:tc>
        <w:tc>
          <w:tcPr>
            <w:tcW w:w="3200" w:type="dxa"/>
            <w:vAlign w:val="bottom"/>
            <w:gridSpan w:val="3"/>
          </w:tcPr>
          <w:p>
            <w:pPr>
              <w:ind w:left="40"/>
              <w:spacing w:after="0"/>
              <w:rPr>
                <w:sz w:val="20"/>
                <w:szCs w:val="20"/>
                <w:color w:val="auto"/>
              </w:rPr>
            </w:pPr>
            <w:r>
              <w:rPr>
                <w:rFonts w:ascii="Arial" w:cs="Arial" w:eastAsia="Arial" w:hAnsi="Arial"/>
                <w:sz w:val="15"/>
                <w:szCs w:val="15"/>
                <w:color w:val="auto"/>
                <w:w w:val="94"/>
              </w:rPr>
              <w:t>10/22/2021  Information Filter System and Method</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for Integrated Content-Based and</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Collaborative/Adaptive Feedback</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Queries</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08627436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04/04/1996</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5867799</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02/02/1999</w:t>
            </w:r>
          </w:p>
        </w:tc>
        <w:tc>
          <w:tcPr>
            <w:tcW w:w="100" w:type="dxa"/>
            <w:vAlign w:val="bottom"/>
          </w:tcPr>
          <w:p>
            <w:pPr>
              <w:spacing w:after="0"/>
              <w:rPr>
                <w:sz w:val="16"/>
                <w:szCs w:val="16"/>
                <w:color w:val="auto"/>
              </w:rPr>
            </w:pPr>
          </w:p>
        </w:tc>
        <w:tc>
          <w:tcPr>
            <w:tcW w:w="3200" w:type="dxa"/>
            <w:vAlign w:val="bottom"/>
            <w:gridSpan w:val="3"/>
          </w:tcPr>
          <w:p>
            <w:pPr>
              <w:ind w:left="40"/>
              <w:spacing w:after="0"/>
              <w:rPr>
                <w:sz w:val="20"/>
                <w:szCs w:val="20"/>
                <w:color w:val="auto"/>
              </w:rPr>
            </w:pPr>
            <w:r>
              <w:rPr>
                <w:rFonts w:ascii="Arial" w:cs="Arial" w:eastAsia="Arial" w:hAnsi="Arial"/>
                <w:sz w:val="15"/>
                <w:szCs w:val="15"/>
                <w:color w:val="auto"/>
                <w:w w:val="98"/>
              </w:rPr>
              <w:t>04/04/2016  An Information System and Method</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for Filtering a Massive Flow of</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Information Entities to Meet User</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Information Classification Needs</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09186407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11/05/1998</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5983214</w:t>
            </w:r>
          </w:p>
        </w:tc>
        <w:tc>
          <w:tcPr>
            <w:tcW w:w="800" w:type="dxa"/>
            <w:vAlign w:val="bottom"/>
            <w:gridSpan w:val="2"/>
          </w:tcPr>
          <w:p>
            <w:pPr>
              <w:jc w:val="center"/>
              <w:ind w:left="5"/>
              <w:spacing w:after="0"/>
              <w:rPr>
                <w:sz w:val="20"/>
                <w:szCs w:val="20"/>
                <w:color w:val="auto"/>
              </w:rPr>
            </w:pPr>
            <w:r>
              <w:rPr>
                <w:rFonts w:ascii="Arial" w:cs="Arial" w:eastAsia="Arial" w:hAnsi="Arial"/>
                <w:sz w:val="15"/>
                <w:szCs w:val="15"/>
                <w:color w:val="auto"/>
                <w:w w:val="90"/>
              </w:rPr>
              <w:t>11/09/1999</w:t>
            </w:r>
          </w:p>
        </w:tc>
        <w:tc>
          <w:tcPr>
            <w:tcW w:w="100" w:type="dxa"/>
            <w:vAlign w:val="bottom"/>
          </w:tcPr>
          <w:p>
            <w:pPr>
              <w:spacing w:after="0"/>
              <w:rPr>
                <w:sz w:val="16"/>
                <w:szCs w:val="16"/>
                <w:color w:val="auto"/>
              </w:rPr>
            </w:pPr>
          </w:p>
        </w:tc>
        <w:tc>
          <w:tcPr>
            <w:tcW w:w="3200" w:type="dxa"/>
            <w:vAlign w:val="bottom"/>
            <w:gridSpan w:val="3"/>
          </w:tcPr>
          <w:p>
            <w:pPr>
              <w:ind w:left="40"/>
              <w:spacing w:after="0"/>
              <w:rPr>
                <w:sz w:val="20"/>
                <w:szCs w:val="20"/>
                <w:color w:val="auto"/>
              </w:rPr>
            </w:pPr>
            <w:r>
              <w:rPr>
                <w:rFonts w:ascii="Arial" w:cs="Arial" w:eastAsia="Arial" w:hAnsi="Arial"/>
                <w:sz w:val="15"/>
                <w:szCs w:val="15"/>
                <w:color w:val="auto"/>
              </w:rPr>
              <w:t>11/05/2018  System and Method Employing</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7"/>
              </w:rPr>
              <w:t>Individual User Content-Based Data</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0"/>
              </w:rPr>
              <w:t>and User Collaborative Feedback Data</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to Evaluate the Content of an</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Information Entity in a Large</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6"/>
              </w:rPr>
              <w:t>Information Communication Network</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09195709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11/19/1998</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6029161</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02/22/2000</w:t>
            </w:r>
          </w:p>
        </w:tc>
        <w:tc>
          <w:tcPr>
            <w:tcW w:w="840" w:type="dxa"/>
            <w:vAlign w:val="bottom"/>
            <w:gridSpan w:val="2"/>
          </w:tcPr>
          <w:p>
            <w:pPr>
              <w:ind w:left="140"/>
              <w:spacing w:after="0"/>
              <w:rPr>
                <w:sz w:val="20"/>
                <w:szCs w:val="20"/>
                <w:color w:val="auto"/>
              </w:rPr>
            </w:pPr>
            <w:r>
              <w:rPr>
                <w:rFonts w:ascii="Arial" w:cs="Arial" w:eastAsia="Arial" w:hAnsi="Arial"/>
                <w:sz w:val="15"/>
                <w:szCs w:val="15"/>
                <w:color w:val="auto"/>
                <w:w w:val="90"/>
              </w:rPr>
              <w:t>11/19/2018</w:t>
            </w: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Multi-level Mindpool System</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Especially Adapted to Provide</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8"/>
              </w:rPr>
              <w:t>Collaborative Filter Data for a Large</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Scale Information Filtering System</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09195708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11/19/1998</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6308175</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10/23/2001</w:t>
            </w:r>
          </w:p>
        </w:tc>
        <w:tc>
          <w:tcPr>
            <w:tcW w:w="840" w:type="dxa"/>
            <w:vAlign w:val="bottom"/>
            <w:gridSpan w:val="2"/>
          </w:tcPr>
          <w:p>
            <w:pPr>
              <w:ind w:left="140"/>
              <w:spacing w:after="0"/>
              <w:rPr>
                <w:sz w:val="20"/>
                <w:szCs w:val="20"/>
                <w:color w:val="auto"/>
              </w:rPr>
            </w:pPr>
            <w:r>
              <w:rPr>
                <w:rFonts w:ascii="Arial" w:cs="Arial" w:eastAsia="Arial" w:hAnsi="Arial"/>
                <w:sz w:val="15"/>
                <w:szCs w:val="15"/>
                <w:color w:val="auto"/>
                <w:w w:val="90"/>
              </w:rPr>
              <w:t>11/19/2018</w:t>
            </w: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Integrated Collaborative/Content-</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Based Filter Structure Employing</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Selectively Shared, Content-Based</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8"/>
              </w:rPr>
              <w:t>Profile Data to Evaluate Information</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Entities in a Massive Information</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Network</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09587144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06/02/2000</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6640218</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10/28/2003</w:t>
            </w:r>
          </w:p>
        </w:tc>
        <w:tc>
          <w:tcPr>
            <w:tcW w:w="100" w:type="dxa"/>
            <w:vAlign w:val="bottom"/>
          </w:tcPr>
          <w:p>
            <w:pPr>
              <w:spacing w:after="0"/>
              <w:rPr>
                <w:sz w:val="16"/>
                <w:szCs w:val="16"/>
                <w:color w:val="auto"/>
              </w:rPr>
            </w:pPr>
          </w:p>
        </w:tc>
        <w:tc>
          <w:tcPr>
            <w:tcW w:w="3200" w:type="dxa"/>
            <w:vAlign w:val="bottom"/>
            <w:gridSpan w:val="3"/>
          </w:tcPr>
          <w:p>
            <w:pPr>
              <w:ind w:left="40"/>
              <w:spacing w:after="0"/>
              <w:rPr>
                <w:sz w:val="20"/>
                <w:szCs w:val="20"/>
                <w:color w:val="auto"/>
              </w:rPr>
            </w:pPr>
            <w:r>
              <w:rPr>
                <w:rFonts w:ascii="Arial" w:cs="Arial" w:eastAsia="Arial" w:hAnsi="Arial"/>
                <w:sz w:val="15"/>
                <w:szCs w:val="15"/>
                <w:color w:val="auto"/>
                <w:w w:val="95"/>
              </w:rPr>
              <w:t>06/02/2020  Estimating the Usefulness of an Item</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in a Collection of Information</w:t>
            </w:r>
          </w:p>
        </w:tc>
      </w:tr>
      <w:tr>
        <w:trPr>
          <w:trHeight w:val="190"/>
        </w:trPr>
        <w:tc>
          <w:tcPr>
            <w:tcW w:w="880" w:type="dxa"/>
            <w:vAlign w:val="bottom"/>
          </w:tcPr>
          <w:p>
            <w:pPr>
              <w:spacing w:after="0"/>
              <w:rPr>
                <w:sz w:val="20"/>
                <w:szCs w:val="20"/>
                <w:color w:val="auto"/>
              </w:rPr>
            </w:pPr>
            <w:r>
              <w:rPr>
                <w:rFonts w:ascii="Arial" w:cs="Arial" w:eastAsia="Arial" w:hAnsi="Arial"/>
                <w:sz w:val="15"/>
                <w:szCs w:val="15"/>
                <w:color w:val="auto"/>
              </w:rPr>
              <w:t>09803540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03/09/2001</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7228493</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06/05/2007</w:t>
            </w:r>
          </w:p>
        </w:tc>
        <w:tc>
          <w:tcPr>
            <w:tcW w:w="100" w:type="dxa"/>
            <w:vAlign w:val="bottom"/>
          </w:tcPr>
          <w:p>
            <w:pPr>
              <w:spacing w:after="0"/>
              <w:rPr>
                <w:sz w:val="16"/>
                <w:szCs w:val="16"/>
                <w:color w:val="auto"/>
              </w:rPr>
            </w:pPr>
          </w:p>
        </w:tc>
        <w:tc>
          <w:tcPr>
            <w:tcW w:w="3200" w:type="dxa"/>
            <w:vAlign w:val="bottom"/>
            <w:gridSpan w:val="3"/>
          </w:tcPr>
          <w:p>
            <w:pPr>
              <w:ind w:left="40"/>
              <w:spacing w:after="0"/>
              <w:rPr>
                <w:sz w:val="20"/>
                <w:szCs w:val="20"/>
                <w:color w:val="auto"/>
              </w:rPr>
            </w:pPr>
            <w:r>
              <w:rPr>
                <w:rFonts w:ascii="Arial" w:cs="Arial" w:eastAsia="Arial" w:hAnsi="Arial"/>
                <w:sz w:val="15"/>
                <w:szCs w:val="15"/>
                <w:color w:val="auto"/>
              </w:rPr>
              <w:t>03/09/2021  Serving Content to a Client</w:t>
            </w:r>
          </w:p>
        </w:tc>
      </w:tr>
    </w:tbl>
    <w:p>
      <w:pPr>
        <w:spacing w:after="0" w:line="94"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The Senior Secured Notes issued to Hudson Bay and discussed further below are secured by a first priority perfected security interest in all of Innovate/Protect’s and Innovate/Protect’s subsidiaries’ assets, including but not limited to the patents described above, as evidenced by a pledge and security agreement and guaranties of the subsidiaries of Innovate/Protect.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Background on Intellectual Property Asset Enforcement Market</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United States patent system grants the holder of a patent the exclusive right to exclude others from practicing the patented technology for the term of the patent, and leaves the holder to his, her or its own devices to enforce these rights when such patented technology is infringed upon by others. The term of a patent is the maximum period during which it can be maintained into force. Under current United States law, the term of a patent is 20 years from the earliest claimed filing date (which can be extended via Patent Term Adjustment and Patent Term Extension). For applications filed before June 8, 1995, the term is 17 years from the issue date or 20 years from the earliest claimed domestic priority date, the longer term applying.</w:t>
      </w:r>
    </w:p>
    <w:p>
      <w:pPr>
        <w:spacing w:after="0" w:line="200" w:lineRule="exact"/>
        <w:rPr>
          <w:sz w:val="20"/>
          <w:szCs w:val="20"/>
          <w:color w:val="auto"/>
        </w:rPr>
      </w:pPr>
    </w:p>
    <w:p>
      <w:pPr>
        <w:spacing w:after="0" w:line="27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Aggrieved patent holders may seek to bring enforcement actions against the infringing parties. They may engage attorneys on a full-fee basis, or enter into a contingency agreement. In a contingency arrangement, attorneys seek a portion of the revenue derived from licensing the patented technology.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Innovate/Protect’s Initial Litigation</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48"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 xml:space="preserve">The court docket for the case, including the parties’ briefs, is publicly available on the Public Access to Court Electronic Records website (“PACER”), </w:t>
      </w:r>
      <w:r>
        <w:rPr>
          <w:rFonts w:ascii="Arial" w:cs="Arial" w:eastAsia="Arial" w:hAnsi="Arial"/>
          <w:sz w:val="16"/>
          <w:szCs w:val="16"/>
          <w:i w:val="1"/>
          <w:iCs w:val="1"/>
          <w:color w:val="auto"/>
        </w:rPr>
        <w:t>www.pacer.gov</w:t>
      </w:r>
      <w:r>
        <w:rPr>
          <w:rFonts w:ascii="Arial" w:cs="Arial" w:eastAsia="Arial" w:hAnsi="Arial"/>
          <w:sz w:val="16"/>
          <w:szCs w:val="16"/>
          <w:color w:val="auto"/>
        </w:rPr>
        <w:t>, which is operated by the Administrative Office of the U.S. Courts.</w:t>
      </w:r>
    </w:p>
    <w:p>
      <w:pPr>
        <w:spacing w:after="0" w:line="4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5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7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7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80"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48"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6"/>
          <w:szCs w:val="16"/>
          <w:i w:val="1"/>
          <w:iCs w:val="1"/>
          <w:color w:val="auto"/>
        </w:rPr>
        <w:t>Markman</w:t>
      </w:r>
      <w:r>
        <w:rPr>
          <w:rFonts w:ascii="Arial" w:cs="Arial" w:eastAsia="Arial" w:hAnsi="Arial"/>
          <w:sz w:val="16"/>
          <w:szCs w:val="16"/>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9" w:lineRule="auto"/>
        <w:rPr>
          <w:sz w:val="20"/>
          <w:szCs w:val="20"/>
          <w:color w:val="auto"/>
        </w:rPr>
      </w:pPr>
      <w:r>
        <w:rPr>
          <w:rFonts w:ascii="Arial" w:cs="Arial" w:eastAsia="Arial" w:hAnsi="Arial"/>
          <w:sz w:val="16"/>
          <w:szCs w:val="16"/>
          <w:color w:val="auto"/>
        </w:rPr>
        <w:t xml:space="preserve">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failing to follow to the requirements set forth in the USPTO’s regulations. On May 24, 2012, Google submitted their request to the USPTO. This resubmission purports to address the issues identified by the USPTO. Google’s request has not resulted in any delay of the dates set out in the Court's scheduling order dated February 15, 2012.</w:t>
      </w:r>
    </w:p>
    <w:p>
      <w:pPr>
        <w:spacing w:after="0" w:line="66"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58"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Within the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or claim construction process, the court will review the parties competing definitions for specific terms within the asserted claims. Both parties have already submitted two rounds of briefing to the court that provide argument for their proposed definitions. The opening claim construction briefs were filed on April 12, 2012, and the responsive claim construction briefs were filed on May 3, 2012. At the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which is currently scheduled for June 4, 2012, the court will hear arguments from both sides in support of their positions. At some point after the hearing but before the close of discovery, the court will issue an order providing binding definitions for the contested terms. The court’s definitions to the patent claims establish the boundary markings of the claimed technology and will inform both parties’ expert reports and testimony as well as the parties’ arguments to the jury.</w:t>
      </w:r>
    </w:p>
    <w:p>
      <w:pPr>
        <w:spacing w:after="0" w:line="8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Innovate/Protect anticipates the claim construction hearing will be open to the public; that the transcript of such hearing will be publicly available; and that the court’s order construing the contested terms will be publicly available.</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Although Innovate/Protect’s intention is to expand its business through the acquisition of additional patent and intellectual property assets, the viability of Innovate/Protect currently depends on the outcome of this lawsuit.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Growth Strategy</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Through Innovate/Protect’s wholly owned subsidiary, I/P Engine, Innovate/Protect intends to continue to seek to generate license revenue and related cash flows from parties who infringe on or use the Lycos Patents.</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addition to prosecuting and seeking to monetize Innovate/Protect’s rights in the Lycos Patents, Innovate/Protect intends to acquire additional intellectual property assets and monetize the value therefrom, although it is not a party to any agreement or understanding to acquire any such assets as of the date of this prospectus.</w:t>
      </w:r>
    </w:p>
    <w:p>
      <w:pPr>
        <w:spacing w:after="0" w:line="76"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A key element of Innovate/Protect’s business plan will be its ability to provide liquidity to inventors and other intellectual property holders by allowing them to sell all of, or interests in, such intellectual property to Innovate/Protect in exchange for cash or other interests. Such other interests could include interests in existing intellectual property litigation claims. Leveraging the extensive experience of Innovate/Protect’s management, through engaging in a robust due diligence and risk underwriting process aimed at evaluating the merits and potential value of these assets, Innovate/Protect seeks to structure its investments in these assets in a manner that will create the potential for Innovate/Protect to achieve superior risk-adjusted returns. Innovate/Protect believes that its capital resources and potential access to capital, together with the strength of its management team in the intellectual property arena, will allow Innovate/Protect to assemble a portfolio of quality assets with short- and long-term revenue opportunities.</w:t>
      </w:r>
    </w:p>
    <w:p>
      <w:pPr>
        <w:spacing w:after="0" w:line="6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Innovate/Protect also intends to seek the continued involvement of the inventors of the respective intellectual property assets, and intend to partner with such inventors in its efforts to maximize the revenue that can be realized from the intellectual property assets. Innovate/Protect believes that involving the respective inventors in the monetization of their inventions will make it an attractive partner for the inventor community, and Innovate/Protect believes that securing access to the inventors’ knowledge will help it in its efforts to monetize these assets.</w:t>
      </w:r>
    </w:p>
    <w:p>
      <w:pPr>
        <w:spacing w:after="0" w:line="200" w:lineRule="exact"/>
        <w:rPr>
          <w:sz w:val="20"/>
          <w:szCs w:val="20"/>
          <w:color w:val="auto"/>
        </w:rPr>
      </w:pPr>
    </w:p>
    <w:p>
      <w:pPr>
        <w:spacing w:after="0" w:line="30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Beyond potential licensing or other revenue Innovate/Protect may receive from companies that make use of its intellectual property, Innovate/Protect believes there are further opportunities to generate revenue from companies that could improve their products and revenue through the addition of Innovate/Protect’s technology to their products. In addition to being a potential revenue source for Innovate/Protect, this aspect of Innovate/Protect’s business may lead to further innovations and new intellectual property being developed, which it will seek to retain and monetize.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Competition</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Innovate/Protect expects to encounter significant competition from others seeking to acquire interests in intellectual property assets and monetize such assets. Most of Innovate/Protect’s competitors have much longer operating histories, and significantly greater financial and human resources, than it has. Entities such as VirnetX (NYSE:VHC), Acacia Research Corporation (NASDAQ:ACTG), Allied Security Trust, Altitude Capital Partners, Augme Technologies Inc. (OTCBB:AUGT) Intellectual Ventures, Coller IP, Ocean Tomo, RPX Corporation (NASDAQ:RPXC), Rembrandt IP Management and others presently market themselves as being in the business of creating, acquiring, licensing or leveraging the value of intellectual property assets. Innovate/Protect expects others to enter the market as the true value of intellectual property is increasingly recognized and validated. In addition, competitors may seek to acquire the same or similar patents and technologies that it may seek to acquire, making it more difficult for Innovate/Protect to realize the value of its assets.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Relationship with Hudson Bay Master Fund Ltd.</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Hudson Bay is the principal stockholder of Innovate/Protect and holds significant control rights with respect to the management of its business and assets. On June 22, 2011, Innovate/Protect consummated a private placement transaction with Hudson Bay whereby Hudson Bay purchased 6,968 shares of Innovate/Protect’s Series A Preferred for $1,800,000 and Senior Secured Note of Innovate/Protect in the aggregate principal amount of $3,200,000.</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shares of Series A Preferred may be converted by Hudson Bay into shares of Innovate/Protect’s common stock. The conversion formula is subject to adjustments and anti-dilution protections, including but not limited to, adjusting the conversion price to account for the issuance of additional securities by Innovate/Protect below the existing conversion price and for stock splits, stock dividends and recapitalizations of Innovate/Protect’s capital stock.</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Hudson Bay is entitled to vote the shares of Series A Preferred on an as converted basis, giving Hudson Bay effective control over Innovate/Protect, and as the Series A Preferred holder, Hudson Bay is entitled to vote together with the holders of the common stock as a single class on all matters. As the holder of Series A Preferred, Hudson Bay also has the right to vote separately as a class to elect a majority of Innovate/Protect’s board of directors and the terms of the Series A Preferred restricts Innovate/Protect from performing certain actions without the prior consent of Hudson Bay.</w:t>
      </w:r>
    </w:p>
    <w:p>
      <w:pPr>
        <w:spacing w:after="0" w:line="6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At Hudson Bay’s option, the shares of the Series A Preferred are also subject to redemption upon certain triggering events such as (i) Innovate/Protect’s failure or refusal to convert the Series A Preferred into shares of common stock, (ii) Innovate/Protect’s failure to have a sufficient number of authorized shares of common stock reserved for conversion of the Series A Preferred, (iii) any default, redemption or acceleration of any indebtedness of Innovate/Protect or its subsidiaries, (iv) Innovate/Protect voluntarily commences a bankruptcy proceeding on Innovate/Protect’s behalf, Innovate/Protect consents to involuntary bankruptcy, appointment of a receiver, trustee, assignee, liquidator or similar official for bankruptcy purposes, a general assignment for the benefit of creditors or admit in writing that Innovate/Protect is generally unable to pay its debts as they become due, or (v) a judgment against Innovate/Protect in an amount in excess of $250,000. In addition, pursuant to the terms of the Series A Preferred, Innovate/Protect’s board of directors must obtain written approval from Hudson Bay to issue any capital stock superior, pari-passu or junior in rank to the Series A Preferred.</w:t>
      </w:r>
    </w:p>
    <w:p>
      <w:pPr>
        <w:spacing w:after="0" w:line="74"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Pursuant to its terms, the Senior Secured Note matures on June 22, 2014 and accrues interest at a rate of 0.46%, with interest being payable on the first calendar day of each quarter after the issuance date. In the event of default, the interest rate will increase to 18%. The Senior Secured Note is also subject to redemption rights,</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whereby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Innovate/Protect to redeem up to $2,000,000 of the aggregate principal amount of the Senior Secured Note.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Hudson Bay agreed that until the earlier of (i) any termination of the Merger Agreement pursuant to the terms of the Merger Agreement and (ii) the effective time of the Merger, it shall not sell, transfer, dispose of or encumber (x) the Senior Secured Note or any portion thereof or interest thereon unless the recipient of such Senior Secured Note agrees in writing with Innovate/Protect to adhere to Hudson Bay’s obligations pursuant to the letter agreement or (y) any shares of Innovate/Protect Series A Stock, unless the recipient of such Innovate/Protect Series A Stock grants Hudson Bay a proxy with respect to the voting of such Innovate/Protect Series A Stock with respect to the Merger Agreement, the Merger and any related matter or agrees in writing with Hudson Bay to vote in accordance with any and all instructions that Hudson Bay may deliver to such recipient with respect to the Merger Agreement, the Merger or any related matter. The Senior Secured Note ranks senior to all outstanding and future indebtedness of Innovate/Protect and is secured by a first priority perfected security interest in all of Innovate/Protect and its subsidiaries’ assets (including the Lycos Patents).</w:t>
      </w:r>
    </w:p>
    <w:p>
      <w:pPr>
        <w:spacing w:after="0" w:line="26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September 1, 2011, Innovate/Protect issued to Hudson Bay a warrant to purchase 250,000 shares of common stock in exchange for Hudson Bay agreeing to waive its anti-dilution rights with respect to certain transactions and for waiving its right to future directors’ fees for its principals. The warrant is exercisable for five years to purchase one share of Innovate/Protect’s common stock at an exercise price of $1.00 per share. Such warrant is immediately exercisable and subject to cashless exercise provisions.</w:t>
      </w:r>
    </w:p>
    <w:p>
      <w:pPr>
        <w:spacing w:after="0" w:line="80"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Hudson Bay’s commitment to provide</w:t>
      </w:r>
    </w:p>
    <w:p>
      <w:pPr>
        <w:spacing w:after="0" w:line="200" w:lineRule="exact"/>
        <w:rPr>
          <w:sz w:val="20"/>
          <w:szCs w:val="20"/>
          <w:color w:val="auto"/>
        </w:rPr>
      </w:pPr>
    </w:p>
    <w:p>
      <w:pPr>
        <w:spacing w:after="0" w:line="28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8" w:name="page169"/>
    <w:bookmarkEnd w:id="1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such facility is subject to (a) the consummation of the Merger without any amendment or modification (unless consented to in writing by Hudson Bay), (b) 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Innovate/Protect and Hudson Bay of all documents necessary for the consummation of the transaction contemplated by the commitment on terms and conditions in all respects acceptable and satisfactory to Innovate/Protect and Hudson Bay, (e) no Vringo entity shall have, pursuant to or within the meaning of Title 11, U.S. Code, or any similar Federal, foreign or state law for the relief of debtors (collectively, “Bankruptcy Law”), (A) 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6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Yoav Roth, the former chairman of Innovate/Protect’s board of directors, is a founding partner of Hudson Bay Capital Management LP, the investment manager of Hudson Bay. Mr. Roth tendered his resignation from Innovate/Protect’s board of directors, effective March 15, 2012. Alexander R. Berger, Innovate/Protect’s Secretary, Treasurer, Chief Operating Officer, Chief Financial Officer and Director, was an employee of Hudson Bay Capital from February 2008 to August 2011, most recently as Vice President.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Previous Financings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Innovate/Protect raised an aggregate of $5,145,229 through the sale of its common stock to investors other than Hudson Bay pursuant to private placement transactions. Such private placements are described below.</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On August 31, 2011, Innovate/Protect closed a private placement of 1,250,000 shares of its common stock to an aggregate of five accredited investors for an aggregate purchase price of $1,250,000.</w:t>
      </w:r>
    </w:p>
    <w:p>
      <w:pPr>
        <w:spacing w:after="0" w:line="6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On October 26, 2011, Innovate/Protect conducted the final closing of a private placement of an aggregate 1,000,000 shares of its common stock to an aggregate of 32 accredited investors for an aggregate purchase price of $3,000,000. On December 30, 2011, Innovate/Protect conducted the final closing of a private placement of an aggregate 225,758 shares of its common stock to an aggregate of six accredited investors for an aggregate purchase price of $745,001.</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Employees</w:t>
      </w:r>
    </w:p>
    <w:p>
      <w:pPr>
        <w:spacing w:after="0" w:line="109"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As of May 25, 2012, Innovate/Protect had three full-time employees and one part-time employee. None of Innovate/Protect’s employees are subject to a collective bargaining agreement, and Innovate/Protect believes its employee relations to be good.</w:t>
      </w:r>
    </w:p>
    <w:p>
      <w:pPr>
        <w:spacing w:after="0" w:line="200" w:lineRule="exact"/>
        <w:rPr>
          <w:sz w:val="20"/>
          <w:szCs w:val="20"/>
          <w:color w:val="auto"/>
        </w:rPr>
      </w:pPr>
    </w:p>
    <w:p>
      <w:pPr>
        <w:spacing w:after="0" w:line="23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Property and Facilities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Innovate/Protect  leases  its  principal executive  offices at  380  Madison Avenue,  22nd Floor,  New  York,  New  York.</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Innovate/Protect’s lease term ends in January 25, 2014. Innovate/Protect pays $3,602 per month for its headquarters space.</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Legal Proceedings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Other than Innovate/Protect’s subsidiary I/P Engine’s litigation against AOL, Inc., Google, Inc., IAC Search &amp; Media, Inc., Gannett Company, Inc. and Target Corporation as described herein, Innovate/Protect is not currently a party to any legal proceedings.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Corporate Information</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Innovate/Protect is headquartered in New York, New York and was incorporated in Delaware in 2011. Innovate/Protect’s</w:t>
      </w:r>
    </w:p>
    <w:p>
      <w:pPr>
        <w:spacing w:after="0" w:line="43" w:lineRule="exact"/>
        <w:rPr>
          <w:sz w:val="20"/>
          <w:szCs w:val="20"/>
          <w:color w:val="auto"/>
        </w:rPr>
      </w:pPr>
    </w:p>
    <w:p>
      <w:pPr>
        <w:jc w:val="both"/>
        <w:ind w:left="40" w:right="1239"/>
        <w:spacing w:after="0" w:line="222" w:lineRule="auto"/>
        <w:rPr>
          <w:sz w:val="20"/>
          <w:szCs w:val="20"/>
          <w:color w:val="auto"/>
        </w:rPr>
      </w:pPr>
      <w:r>
        <w:rPr>
          <w:rFonts w:ascii="Arial" w:cs="Arial" w:eastAsia="Arial" w:hAnsi="Arial"/>
          <w:sz w:val="17"/>
          <w:szCs w:val="17"/>
          <w:color w:val="auto"/>
        </w:rPr>
        <w:t>principal offices are located at 380 Madison Avenue, 22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 New York, New York 10017 and its telephone number is (212) 309-7549. Innovate/Protect’s principal website is </w:t>
      </w:r>
      <w:r>
        <w:rPr>
          <w:rFonts w:ascii="Arial" w:cs="Arial" w:eastAsia="Arial" w:hAnsi="Arial"/>
          <w:sz w:val="17"/>
          <w:szCs w:val="17"/>
          <w:i w:val="1"/>
          <w:iCs w:val="1"/>
          <w:color w:val="auto"/>
        </w:rPr>
        <w:t>www.InnovateProtect.com</w:t>
      </w:r>
      <w:r>
        <w:rPr>
          <w:rFonts w:ascii="Arial" w:cs="Arial" w:eastAsia="Arial" w:hAnsi="Arial"/>
          <w:sz w:val="17"/>
          <w:szCs w:val="17"/>
          <w:color w:val="auto"/>
        </w:rPr>
        <w:t>. The information on or that can be accessed through Innovate/Protect’s website is not part of this proxy statement/prospectus.</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0" w:name="page171"/>
    <w:bookmarkEnd w:id="1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line="272" w:lineRule="auto"/>
        <w:rPr>
          <w:sz w:val="20"/>
          <w:szCs w:val="20"/>
          <w:color w:val="auto"/>
        </w:rPr>
      </w:pPr>
      <w:r>
        <w:rPr>
          <w:rFonts w:ascii="Arial" w:cs="Arial" w:eastAsia="Arial" w:hAnsi="Arial"/>
          <w:sz w:val="17"/>
          <w:szCs w:val="17"/>
          <w:b w:val="1"/>
          <w:bCs w:val="1"/>
          <w:color w:val="auto"/>
        </w:rPr>
        <w:t>INNOVATE/PROTECT’S MANAGEMENT’S DISCUSSION AND ANALYSIS OF FINANCIAL CONDITION AND RESULTS OF OPERATIONS</w:t>
      </w:r>
    </w:p>
    <w:p>
      <w:pPr>
        <w:spacing w:after="0" w:line="62"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i w:val="1"/>
          <w:iCs w:val="1"/>
          <w:color w:val="auto"/>
        </w:rPr>
        <w:t>This discussion of Innovate/Protect’s financial condition and results of operations should be read together with the consolidated financial statements and notes contained elsewhere in this proxy statement/prospectus. Certain statements in this section and other sections are forward-looking. While Innovate/Protect believes these statements are accurate, its business is dependent on many factors, some of which are discussed in the sections entitled “Risk Factors” and “Innovate/Protect’s Business.” Many of these factors are beyond Innovate/Protect’s control and any of these and other factors could cause actual results to differ materially from the forward-looking statements made in this proxy statement/prospectus. See the section entitled “Risk Factors” for further information regarding these factors. Innovate/Protect undertakes no obligation to release publicly the results of any revisions to the statements contained in this report to reflect events or circumstances that occur subsequent to the date of this proxy statement/prospectus.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 and Plan of Operations</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Innovate/Protect is a recently formed development stage company and has generated no revenues to date. Innovate/Protect’s strategic objective is to maximize, for inventors and investors, the economic benefits of intellectual property assets. Innovate/Protect’s business model is to leverage the extensive background and expertise of its management and advisors to acquire or internally develop patents and other intellectual property assets (or interests therein), and to then monetize these assets through a variety of value-enhancing initiatives, including, but not limited to, licensing, customized technology solutions, strategic partnerships and litigation.</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Since its inception in June 2011, Innovate/Protect has been engaged in the following activities:</w:t>
      </w:r>
    </w:p>
    <w:p>
      <w:pPr>
        <w:spacing w:after="0" w:line="105" w:lineRule="exact"/>
        <w:rPr>
          <w:sz w:val="20"/>
          <w:szCs w:val="20"/>
          <w:color w:val="auto"/>
        </w:rPr>
      </w:pPr>
    </w:p>
    <w:p>
      <w:pPr>
        <w:ind w:left="560" w:hanging="300"/>
        <w:spacing w:after="0"/>
        <w:tabs>
          <w:tab w:leader="none" w:pos="5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securing initial debt and equity capital from Hudson Bay;</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performing due diligence on, negotiating and completing the purchase of the Lycos Patents;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recruiting management team, board of directors and advisors;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establishing a physical location from which to operate;</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establishing systems of internal control over financial reporting and implementation of financial operation systems;</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securing subsequent equity capital from private investors;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initiating and prosecuting lawsuit against those Innovate/Protect believes infringe on the Lycos Patents;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developing Innovate/Protect’s business plan as described herein and planning for future business activities; and</w:t>
      </w:r>
    </w:p>
    <w:p>
      <w:pPr>
        <w:spacing w:after="0" w:line="116"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selecting registered independent auditing firm and undertaking an audit of financial statements from inception through December 31, 2011; and</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Identifying and pursuing general and specific strategic opportunities and engaging in discussions intended to further develop the opportunities.</w:t>
      </w:r>
    </w:p>
    <w:p>
      <w:pPr>
        <w:spacing w:after="0" w:line="62" w:lineRule="exact"/>
        <w:rPr>
          <w:sz w:val="20"/>
          <w:szCs w:val="20"/>
          <w:color w:val="auto"/>
        </w:rPr>
      </w:pPr>
    </w:p>
    <w:p>
      <w:pPr>
        <w:ind w:left="40" w:right="1239" w:firstLine="251"/>
        <w:spacing w:after="0" w:line="272" w:lineRule="auto"/>
        <w:rPr>
          <w:sz w:val="20"/>
          <w:szCs w:val="20"/>
          <w:color w:val="auto"/>
        </w:rPr>
      </w:pPr>
      <w:r>
        <w:rPr>
          <w:rFonts w:ascii="Arial" w:cs="Arial" w:eastAsia="Arial" w:hAnsi="Arial"/>
          <w:sz w:val="17"/>
          <w:szCs w:val="17"/>
          <w:color w:val="auto"/>
        </w:rPr>
        <w:t>On March 12, 2012, Innovate/Protect entered into an Agreement and Plan of Merger with Vringo, Inc. (“</w:t>
      </w:r>
      <w:r>
        <w:rPr>
          <w:rFonts w:ascii="Arial" w:cs="Arial" w:eastAsia="Arial" w:hAnsi="Arial"/>
          <w:sz w:val="17"/>
          <w:szCs w:val="17"/>
          <w:b w:val="1"/>
          <w:bCs w:val="1"/>
          <w:color w:val="auto"/>
        </w:rPr>
        <w:t>Vringo</w:t>
      </w:r>
      <w:r>
        <w:rPr>
          <w:rFonts w:ascii="Arial" w:cs="Arial" w:eastAsia="Arial" w:hAnsi="Arial"/>
          <w:sz w:val="17"/>
          <w:szCs w:val="17"/>
          <w:color w:val="auto"/>
        </w:rPr>
        <w:t>”) and VIP Merger Sub, Inc. (the “</w:t>
      </w:r>
      <w:r>
        <w:rPr>
          <w:rFonts w:ascii="Arial" w:cs="Arial" w:eastAsia="Arial" w:hAnsi="Arial"/>
          <w:sz w:val="17"/>
          <w:szCs w:val="17"/>
          <w:b w:val="1"/>
          <w:bCs w:val="1"/>
          <w:color w:val="auto"/>
        </w:rPr>
        <w:t>Merger Agreement</w:t>
      </w:r>
      <w:r>
        <w:rPr>
          <w:rFonts w:ascii="Arial" w:cs="Arial" w:eastAsia="Arial" w:hAnsi="Arial"/>
          <w:sz w:val="17"/>
          <w:szCs w:val="17"/>
          <w:color w:val="auto"/>
        </w:rPr>
        <w:t>”).</w:t>
      </w:r>
    </w:p>
    <w:p>
      <w:pPr>
        <w:spacing w:after="0" w:line="62" w:lineRule="exact"/>
        <w:rPr>
          <w:sz w:val="20"/>
          <w:szCs w:val="20"/>
          <w:color w:val="auto"/>
        </w:rPr>
      </w:pPr>
    </w:p>
    <w:p>
      <w:pPr>
        <w:ind w:left="40" w:right="1239" w:firstLine="251"/>
        <w:spacing w:after="0" w:line="299" w:lineRule="auto"/>
        <w:rPr>
          <w:sz w:val="20"/>
          <w:szCs w:val="20"/>
          <w:color w:val="auto"/>
        </w:rPr>
      </w:pPr>
      <w:r>
        <w:rPr>
          <w:rFonts w:ascii="Arial" w:cs="Arial" w:eastAsia="Arial" w:hAnsi="Arial"/>
          <w:sz w:val="16"/>
          <w:szCs w:val="16"/>
          <w:color w:val="auto"/>
        </w:rPr>
        <w:t>Innovate/Protect’s financial operating results for the period from inception through March 31, 2012 reflect these activities, which activities are discussed in further detail in the section of this prospectus captioned “Innovate/Protect’s Business.”</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Innovate/Protect’s plan of operation for the foreseeable future will be to:</w:t>
      </w:r>
    </w:p>
    <w:p>
      <w:pPr>
        <w:spacing w:after="0" w:line="105" w:lineRule="exact"/>
        <w:rPr>
          <w:sz w:val="20"/>
          <w:szCs w:val="20"/>
          <w:color w:val="auto"/>
        </w:rPr>
      </w:pPr>
    </w:p>
    <w:p>
      <w:pPr>
        <w:jc w:val="both"/>
        <w:ind w:left="560" w:right="1239" w:hanging="300"/>
        <w:spacing w:after="0" w:line="280" w:lineRule="auto"/>
        <w:tabs>
          <w:tab w:leader="none" w:pos="5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continue prosecution of the litigation against AOL, Inc., Google, Inc., IAC Search &amp; Media, Inc., Gannett Company, Inc., and Target Corporation for infringement of the Lycos Patents, with a goal of achieving a positive verdict or settlement (including, potentially, a licensing arrangement on terms beneficial to Innovate/Protect); and</w:t>
      </w:r>
    </w:p>
    <w:p>
      <w:pPr>
        <w:spacing w:after="0" w:line="200" w:lineRule="exact"/>
        <w:rPr>
          <w:sz w:val="20"/>
          <w:szCs w:val="20"/>
          <w:color w:val="auto"/>
        </w:rPr>
      </w:pPr>
    </w:p>
    <w:p>
      <w:pPr>
        <w:spacing w:after="0" w:line="28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1" w:name="page172"/>
    <w:bookmarkEnd w:id="1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right="1239" w:hanging="300"/>
        <w:spacing w:after="0" w:line="267" w:lineRule="auto"/>
        <w:tabs>
          <w:tab w:leader="none" w:pos="5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the extent that time and resources allow, seek strategic opportunities and seek to acquire or internally develop additional intellectual property assets that Innovate/Protect will then seek to monetize.</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Formation and Issuance and Valuation of Securities at Inception</w:t>
      </w:r>
    </w:p>
    <w:p>
      <w:pPr>
        <w:spacing w:after="0" w:line="109"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Innovate/Protect was incorporated under the laws of the state of Delaware on June 8, 2011 under the name Labrador Search Corporation. On September 6, 2011, Innovate/Protect changed its name to Innovate/Protect, Inc. Innovate/Protect is a holding company, which, at December 31, 2011, owned 100% of the issued and outstanding common stock of I/P Engine and I/P Labs.</w:t>
      </w:r>
    </w:p>
    <w:p>
      <w:pPr>
        <w:spacing w:after="0" w:line="40"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I/P Engine was incorporated in Virginia on June 14, 2011 as Smart Search Labs, Inc. and changed its name to I/P Engine, Inc. on September 9, 2011. I/P Engine is the current holder of the Lycos Patents (which Innovate/Protect contributed to I/P Engine at its formation), through which Innovate/Protect is prosecuting its initial litigation relating to the Lycos Patents and through which Innovate/Protect will also seek to acquire and monetize other intellectual property assets in the future.</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I/P Labs was incorporated in Delaware on June 8, 2011 as Scottish Terrier Capital, Inc. and changed its name to I/P Labs, Inc. on September 9, 2011. Through I/P Labs, Innovate/Protect will seek to internally develop its own intellectual property assets and provide consulting services to other intellectual property owners.</w:t>
      </w:r>
    </w:p>
    <w:p>
      <w:pPr>
        <w:spacing w:after="0" w:line="76"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At inception, Innovate/Protect was funded with a loan of $3,200,000 and a $1,800,000 investment of Series A Preferred from a single investor, Hudson Bay. Hudson Bay funded $3,200,000 as a loan in the form of a Senior Secured Note, which bears interest at a rate of 0.46% per annum. Given the development stage and speculative nature of Innovate/Protect, it is not likely that Innovate/Protect could have acquired external debt funding at any reasonable interest rate, thus the interest rate being paid to Hudson Bay is significantly more favorable than rates Innovate/Protect could have negotiated externally. The $3,200,000 amount of the Senior Secured Note was intended to approximate the purchase price of the Lycos Patents. The loan evidenced by the Senior Secured Note is for a term of 36 months.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to redeem up to $2,000,000 of the aggregate principal amount of the Senior Secured Note.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w:t>
      </w:r>
    </w:p>
    <w:p>
      <w:pPr>
        <w:spacing w:after="0" w:line="65"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Senior Secured Note ranks senior to all outstanding and future indebtedness of Innovate/Protect and is secured by a first priority perfected security interest in all of Innovate/Protect’s and its subsidiaries’ assets (including the Lycos Patents).</w:t>
      </w:r>
    </w:p>
    <w:p>
      <w:pPr>
        <w:spacing w:after="0" w:line="4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Hudson Bay’s $1,800,000 investment in the shares of Series A Preferred was initially convertible on demand into 6,968,000 shares of Innovate/Protect common stock. The initial valuation of the Series A</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2" w:lineRule="auto"/>
        <w:rPr>
          <w:sz w:val="20"/>
          <w:szCs w:val="20"/>
          <w:color w:val="auto"/>
        </w:rPr>
      </w:pPr>
      <w:r>
        <w:rPr>
          <w:rFonts w:ascii="Arial" w:cs="Arial" w:eastAsia="Arial" w:hAnsi="Arial"/>
          <w:sz w:val="15"/>
          <w:szCs w:val="15"/>
          <w:color w:val="auto"/>
        </w:rPr>
        <w:t>Preferred was developed by dividing the $1,800,000 investment by 6,968,000 common shares, presuming Hudson Bay’s ultimate conversion of their Series A Preferred into common stock. This calculation resulted in an initial valuation of $0.25832 per share of common stock, which was used to calculate certain subsequent common stock grants or sales. Because Hudson Bay’s investment in the Series A Preferred occurred at the earliest stage of Innovate/Protect’s formation, prior to the conduct of any business activity, it does not lend itself to a comparison of any known comparable market transactions.</w:t>
      </w:r>
    </w:p>
    <w:p>
      <w:pPr>
        <w:spacing w:after="0" w:line="5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$1,800,000 funding level was determined by reference to Innovate/Protect’s near term funding requirements at the time, reflecting expected cash needs in excess of the Lycos Patents purchase price, to fund operating expenses which include significant legal expenses required to seek monetization of the Lycos Patents, and to retain a modest contingency for unforeseen expenses until additional private equity funding could be achieved. Such additional equity funding occurred during the period from July to December 2011 in the form of multiple separate private placement transactions priced at $1.00, $3.00 and $3.30 per share. The increasing price at which shares were sold to private investors, including members of Innovate/Protect’s board of directors, reflected Innovate/Protect’s achievement of certain milestones such as the filing of the initial lawsuit relating to the Lycos Patents and the recruitment of additional board members.</w:t>
      </w:r>
    </w:p>
    <w:p>
      <w:pPr>
        <w:spacing w:after="0" w:line="7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Innovate/Protect estimates its legal fees to be approximately $275,000 in April, $775,000 in May, $275,000 for each of June, July, August and September, and $750,000 in October 2012. The elevated amount in May relates to fees associated with the preparation of the case, and the elevated amount in October relates to fees estimated with the trial, which is scheduled for October. Therefore, the total amount budgeted for legal fees for the April to October period is $2.9 million. Expenses thereafter are dependent on the outcome of the litigation, and are therefore difficult to estimate. In the event that the case is appealed, legal fees over the course of the next 18 months are estimated to be $100,000 per month. In addition, third-party expenses associated with the litigation are estimated to be approximately $140,000 per month from April to October, or $980,000 for the April to October period. Therefore, the total amount budgeted for legal fees and third-party expenses associated with the litigation are estimated to be $3.88 million.</w:t>
      </w:r>
    </w:p>
    <w:p>
      <w:pPr>
        <w:spacing w:after="0" w:line="6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Innovate/Protect estimates that its short term operating expenses will be approximately $210,000 per month from April to December 2012, or $1.89 million for the period. Short term operating expenses include Note interest expense, payroll and employee benefit expenses, occupancy (rent) expenses, telecom expenses, transportation and lodging expenses, public relations expenses, and a reserve contingency. Notably, the reserve contingency is $100,000 per month for unforeseen costs and delays. Innovate/Protect budgeted a large contingency amount, relative to the total budget, given the uncertainty inherent with litigation and its limited operating history.</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Results of Operations</w:t>
      </w:r>
    </w:p>
    <w:p>
      <w:pPr>
        <w:spacing w:after="0" w:line="109" w:lineRule="exact"/>
        <w:rPr>
          <w:sz w:val="20"/>
          <w:szCs w:val="20"/>
          <w:color w:val="auto"/>
        </w:rPr>
      </w:pPr>
    </w:p>
    <w:p>
      <w:pPr>
        <w:jc w:val="both"/>
        <w:ind w:left="40" w:right="1239"/>
        <w:spacing w:after="0" w:line="280" w:lineRule="auto"/>
        <w:rPr>
          <w:sz w:val="20"/>
          <w:szCs w:val="20"/>
          <w:color w:val="auto"/>
        </w:rPr>
      </w:pPr>
      <w:r>
        <w:rPr>
          <w:rFonts w:ascii="Arial" w:cs="Arial" w:eastAsia="Arial" w:hAnsi="Arial"/>
          <w:sz w:val="16"/>
          <w:szCs w:val="16"/>
          <w:color w:val="auto"/>
        </w:rPr>
        <w:t>The following table reflects Innovate/Protect's consolidated operating results for the three months ended March 31, 2012, from June 8, 2011 (Inception) through March 31, 2012, and from June 8, 2011 (Inception)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1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6"/>
              </w:rPr>
              <w:t>For the Three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5"/>
              </w:rPr>
              <w:t>Period from</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Period from</w:t>
            </w:r>
          </w:p>
        </w:tc>
        <w:tc>
          <w:tcPr>
            <w:tcW w:w="3100" w:type="dxa"/>
            <w:vAlign w:val="bottom"/>
          </w:tcPr>
          <w:p>
            <w:pPr>
              <w:spacing w:after="0"/>
              <w:rPr>
                <w:sz w:val="12"/>
                <w:szCs w:val="12"/>
                <w:color w:val="auto"/>
              </w:rPr>
            </w:pPr>
          </w:p>
        </w:tc>
      </w:tr>
      <w:tr>
        <w:trPr>
          <w:trHeight w:val="138"/>
        </w:trPr>
        <w:tc>
          <w:tcPr>
            <w:tcW w:w="1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Months Ended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0"/>
              </w:rPr>
              <w:t>June 8, 2011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June 8, 2011</w:t>
            </w:r>
          </w:p>
        </w:tc>
        <w:tc>
          <w:tcPr>
            <w:tcW w:w="310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6"/>
              </w:rPr>
              <w:t>March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4"/>
              </w:rPr>
              <w:t>(Inception) to</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4"/>
              </w:rPr>
              <w:t>(Inception) to</w:t>
            </w:r>
          </w:p>
        </w:tc>
        <w:tc>
          <w:tcPr>
            <w:tcW w:w="310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6"/>
              </w:rPr>
              <w:t>March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3100" w:type="dxa"/>
            <w:vAlign w:val="bottom"/>
          </w:tcPr>
          <w:p>
            <w:pPr>
              <w:spacing w:after="0"/>
              <w:rPr>
                <w:sz w:val="11"/>
                <w:szCs w:val="11"/>
                <w:color w:val="auto"/>
              </w:rPr>
            </w:pPr>
          </w:p>
        </w:tc>
      </w:tr>
      <w:tr>
        <w:trPr>
          <w:trHeight w:val="158"/>
        </w:trPr>
        <w:tc>
          <w:tcPr>
            <w:tcW w:w="1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tcBorders>
              <w:bottom w:val="single" w:sz="8" w:color="auto"/>
            </w:tcBorders>
          </w:tcPr>
          <w:p>
            <w:pPr>
              <w:spacing w:after="0"/>
              <w:rPr>
                <w:sz w:val="13"/>
                <w:szCs w:val="13"/>
                <w:color w:val="auto"/>
              </w:rPr>
            </w:pPr>
          </w:p>
        </w:tc>
        <w:tc>
          <w:tcPr>
            <w:tcW w:w="3100" w:type="dxa"/>
            <w:vAlign w:val="bottom"/>
          </w:tcPr>
          <w:p>
            <w:pPr>
              <w:spacing w:after="0"/>
              <w:rPr>
                <w:sz w:val="13"/>
                <w:szCs w:val="13"/>
                <w:color w:val="auto"/>
              </w:rPr>
            </w:pPr>
          </w:p>
        </w:tc>
      </w:tr>
      <w:tr>
        <w:trPr>
          <w:trHeight w:val="193"/>
        </w:trPr>
        <w:tc>
          <w:tcPr>
            <w:tcW w:w="33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Revenue</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0</w:t>
            </w:r>
          </w:p>
        </w:tc>
        <w:tc>
          <w:tcPr>
            <w:tcW w:w="26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0</w:t>
            </w:r>
          </w:p>
        </w:tc>
        <w:tc>
          <w:tcPr>
            <w:tcW w:w="28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0</w:t>
            </w:r>
          </w:p>
        </w:tc>
        <w:tc>
          <w:tcPr>
            <w:tcW w:w="3100" w:type="dxa"/>
            <w:vAlign w:val="bottom"/>
          </w:tcPr>
          <w:p>
            <w:pPr>
              <w:spacing w:after="0"/>
              <w:rPr>
                <w:sz w:val="16"/>
                <w:szCs w:val="16"/>
                <w:color w:val="auto"/>
              </w:rPr>
            </w:pPr>
          </w:p>
        </w:tc>
      </w:tr>
      <w:tr>
        <w:trPr>
          <w:trHeight w:val="200"/>
        </w:trPr>
        <w:tc>
          <w:tcPr>
            <w:tcW w:w="33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0"/>
        </w:trPr>
        <w:tc>
          <w:tcPr>
            <w:tcW w:w="33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Legal</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1,171,920</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2,274,020</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1,102,100</w:t>
            </w:r>
          </w:p>
        </w:tc>
        <w:tc>
          <w:tcPr>
            <w:tcW w:w="3100" w:type="dxa"/>
            <w:vAlign w:val="bottom"/>
          </w:tcPr>
          <w:p>
            <w:pPr>
              <w:spacing w:after="0"/>
              <w:rPr>
                <w:sz w:val="17"/>
                <w:szCs w:val="17"/>
                <w:color w:val="auto"/>
              </w:rPr>
            </w:pPr>
          </w:p>
        </w:tc>
      </w:tr>
      <w:tr>
        <w:trPr>
          <w:trHeight w:val="200"/>
        </w:trPr>
        <w:tc>
          <w:tcPr>
            <w:tcW w:w="3380" w:type="dxa"/>
            <w:vAlign w:val="bottom"/>
            <w:gridSpan w:val="2"/>
          </w:tcPr>
          <w:p>
            <w:pPr>
              <w:ind w:left="160"/>
              <w:spacing w:after="0"/>
              <w:rPr>
                <w:sz w:val="20"/>
                <w:szCs w:val="20"/>
                <w:color w:val="auto"/>
              </w:rPr>
            </w:pPr>
            <w:r>
              <w:rPr>
                <w:rFonts w:ascii="Arial" w:cs="Arial" w:eastAsia="Arial" w:hAnsi="Arial"/>
                <w:sz w:val="17"/>
                <w:szCs w:val="17"/>
                <w:color w:val="auto"/>
              </w:rPr>
              <w:t>Compensation</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378,408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1,375,321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996,913</w:t>
            </w:r>
          </w:p>
        </w:tc>
        <w:tc>
          <w:tcPr>
            <w:tcW w:w="3100" w:type="dxa"/>
            <w:vAlign w:val="bottom"/>
          </w:tcPr>
          <w:p>
            <w:pPr>
              <w:spacing w:after="0"/>
              <w:rPr>
                <w:sz w:val="17"/>
                <w:szCs w:val="17"/>
                <w:color w:val="auto"/>
              </w:rPr>
            </w:pPr>
          </w:p>
        </w:tc>
      </w:tr>
      <w:tr>
        <w:trPr>
          <w:trHeight w:val="200"/>
        </w:trPr>
        <w:tc>
          <w:tcPr>
            <w:tcW w:w="33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Amortization and depreciation</w:t>
            </w: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156,137</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484,415</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105,971</w:t>
            </w:r>
          </w:p>
        </w:tc>
        <w:tc>
          <w:tcPr>
            <w:tcW w:w="3100" w:type="dxa"/>
            <w:vAlign w:val="bottom"/>
          </w:tcPr>
          <w:p>
            <w:pPr>
              <w:spacing w:after="0"/>
              <w:rPr>
                <w:sz w:val="17"/>
                <w:szCs w:val="17"/>
                <w:color w:val="auto"/>
              </w:rPr>
            </w:pPr>
          </w:p>
        </w:tc>
      </w:tr>
      <w:tr>
        <w:trPr>
          <w:trHeight w:val="200"/>
        </w:trPr>
        <w:tc>
          <w:tcPr>
            <w:tcW w:w="3380" w:type="dxa"/>
            <w:vAlign w:val="bottom"/>
            <w:gridSpan w:val="2"/>
          </w:tcPr>
          <w:p>
            <w:pPr>
              <w:ind w:left="16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161,605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374,797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328,278</w:t>
            </w:r>
          </w:p>
        </w:tc>
        <w:tc>
          <w:tcPr>
            <w:tcW w:w="3100" w:type="dxa"/>
            <w:vAlign w:val="bottom"/>
          </w:tcPr>
          <w:p>
            <w:pPr>
              <w:spacing w:after="0"/>
              <w:rPr>
                <w:sz w:val="17"/>
                <w:szCs w:val="17"/>
                <w:color w:val="auto"/>
              </w:rPr>
            </w:pPr>
          </w:p>
        </w:tc>
      </w:tr>
      <w:tr>
        <w:trPr>
          <w:trHeight w:val="200"/>
        </w:trPr>
        <w:tc>
          <w:tcPr>
            <w:tcW w:w="33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Startup and organizational costs</w:t>
            </w: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105,971</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105,971</w:t>
            </w:r>
          </w:p>
        </w:tc>
        <w:tc>
          <w:tcPr>
            <w:tcW w:w="3100" w:type="dxa"/>
            <w:vAlign w:val="bottom"/>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24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3380" w:type="dxa"/>
            <w:vAlign w:val="bottom"/>
            <w:gridSpan w:val="2"/>
          </w:tcPr>
          <w:p>
            <w:pPr>
              <w:ind w:left="340"/>
              <w:spacing w:after="0" w:line="193" w:lineRule="exact"/>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1,868,070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4,614,524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2,746,454</w:t>
            </w:r>
          </w:p>
        </w:tc>
        <w:tc>
          <w:tcPr>
            <w:tcW w:w="3100" w:type="dxa"/>
            <w:vAlign w:val="bottom"/>
          </w:tcPr>
          <w:p>
            <w:pPr>
              <w:spacing w:after="0"/>
              <w:rPr>
                <w:sz w:val="16"/>
                <w:szCs w:val="16"/>
                <w:color w:val="auto"/>
              </w:rPr>
            </w:pPr>
          </w:p>
        </w:tc>
      </w:tr>
      <w:tr>
        <w:trPr>
          <w:trHeight w:val="200"/>
        </w:trPr>
        <w:tc>
          <w:tcPr>
            <w:tcW w:w="33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(1,868,070)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w w:val="94"/>
              </w:rPr>
              <w:t>(4,614,524)</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(2,746,454)</w:t>
            </w:r>
          </w:p>
        </w:tc>
        <w:tc>
          <w:tcPr>
            <w:tcW w:w="3100" w:type="dxa"/>
            <w:vAlign w:val="bottom"/>
          </w:tcPr>
          <w:p>
            <w:pPr>
              <w:spacing w:after="0"/>
              <w:rPr>
                <w:sz w:val="17"/>
                <w:szCs w:val="17"/>
                <w:color w:val="auto"/>
              </w:rPr>
            </w:pPr>
          </w:p>
        </w:tc>
      </w:tr>
      <w:tr>
        <w:trPr>
          <w:trHeight w:val="200"/>
        </w:trPr>
        <w:tc>
          <w:tcPr>
            <w:tcW w:w="338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3,680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11,408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7,728</w:t>
            </w:r>
          </w:p>
        </w:tc>
        <w:tc>
          <w:tcPr>
            <w:tcW w:w="3100" w:type="dxa"/>
            <w:vAlign w:val="bottom"/>
          </w:tcPr>
          <w:p>
            <w:pPr>
              <w:spacing w:after="0"/>
              <w:rPr>
                <w:sz w:val="17"/>
                <w:szCs w:val="17"/>
                <w:color w:val="auto"/>
              </w:rPr>
            </w:pPr>
          </w:p>
        </w:tc>
      </w:tr>
      <w:tr>
        <w:trPr>
          <w:trHeight w:val="200"/>
        </w:trPr>
        <w:tc>
          <w:tcPr>
            <w:tcW w:w="33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applicable to common shareholders</w:t>
            </w: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(1,871,750)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w w:val="94"/>
              </w:rPr>
              <w:t>(4,625,932)</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(2,754,182)</w:t>
            </w:r>
          </w:p>
        </w:tc>
        <w:tc>
          <w:tcPr>
            <w:tcW w:w="3100" w:type="dxa"/>
            <w:vAlign w:val="bottom"/>
          </w:tcPr>
          <w:p>
            <w:pPr>
              <w:spacing w:after="0"/>
              <w:rPr>
                <w:sz w:val="17"/>
                <w:szCs w:val="17"/>
                <w:color w:val="auto"/>
              </w:rPr>
            </w:pPr>
          </w:p>
        </w:tc>
      </w:tr>
      <w:tr>
        <w:trPr>
          <w:trHeight w:val="727"/>
        </w:trPr>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159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-1105535</wp:posOffset>
            </wp:positionV>
            <wp:extent cx="4408170" cy="135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Operating Expenses</w:t>
      </w:r>
    </w:p>
    <w:p>
      <w:pPr>
        <w:spacing w:after="0" w:line="109"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Operating and administrative expenses for the period from inception through December 31, 2011 reflect expenses incurred in connection with Innovate/Protect’s formation and commencement of operations. The net loss for the period of $2,754,182 is not comparable to a previous period. The loss for the period includes legal expenses totaling $1,208,071, of which $105,971 were to organize Innovate/Protect, and $1,102,100 to prepare and file a lawsuit against those Innovate/Protect believes have infringed on the Lycos Patents. Compensation expense includes $141,996 of salary and expenses directly related to the salaries of two executive officers, and $474,108 of stock-based compensation to the two executive officers, two members of the board and a consultant. Amortization and depreciation includes $327,596 of patent amortization expenses and $682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$195,188, have been capitalized in the cost of the patents and are being amortized along with the purchase price.</w:t>
      </w:r>
    </w:p>
    <w:p>
      <w:pPr>
        <w:spacing w:after="0" w:line="60" w:lineRule="exact"/>
        <w:rPr>
          <w:sz w:val="20"/>
          <w:szCs w:val="20"/>
          <w:color w:val="auto"/>
        </w:rPr>
      </w:pPr>
    </w:p>
    <w:p>
      <w:pPr>
        <w:jc w:val="both"/>
        <w:ind w:left="40" w:right="1239"/>
        <w:spacing w:after="0" w:line="284" w:lineRule="auto"/>
        <w:rPr>
          <w:sz w:val="20"/>
          <w:szCs w:val="20"/>
          <w:color w:val="auto"/>
        </w:rPr>
      </w:pPr>
      <w:r>
        <w:rPr>
          <w:rFonts w:ascii="Arial" w:cs="Arial" w:eastAsia="Arial" w:hAnsi="Arial"/>
          <w:sz w:val="15"/>
          <w:szCs w:val="15"/>
          <w:color w:val="auto"/>
        </w:rPr>
        <w:t>Operating and administrative expenses for the period from inception through March 31, 2012 reflect expenses incurred in connection with Innovate/Protect’s formation and commencement of operations. The net loss for the period of $4,625,931 is not comparable to a previous period. The loss for the period includes legal expenses totaling $2,274,020, of which $105,971 were to organize Innovate/Protect, and the balance to prepare, file and commence a lawsuit against those parties that Innovate/Protect believes have infringed on the Lycos Patents. Compensation expense includes $246,251 of salary and expenses directly related to the salaries of two executive officers, and $558,373 of stock-based compensation to the two executive officers, two members of the board and a consultant. Amortization and depreciation includes $482,862 of patent amortization expenses and $1,553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in the amount of $195,188 have been capitalized in the cost of the patents and are being amortized along with the purchase price.</w:t>
      </w:r>
    </w:p>
    <w:p>
      <w:pPr>
        <w:spacing w:after="0" w:line="6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Operating and administrative expenses for the quarter ended March 31, 2012 reflect expenses incurred in connection with Innovate/Protect’s litigation and overhead. The net loss for the period of $1,871,750 is not comparable to a previous period. The loss for the period includes legal expenses totaling $1,171,920. Compensation expense was $378,408, including $84,255 of stock based compensation. Amortization and depreciation expense of $156,137 are mainly related to period amortization of Innovate/Protect's patents.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Interest Expense</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Interest expense reflects an interest rate of 0.46% on the principal amount of $3,200,000 under the Senior Secured Note held by Hudson Bay for ten days in June and for the remainder of the year ended December 31, 2011. Interest was all paid in cash and none was accrued at March 31, 2012.</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Critical Accounting Estimates</w:t>
      </w:r>
    </w:p>
    <w:p>
      <w:pPr>
        <w:spacing w:after="0" w:line="109" w:lineRule="exact"/>
        <w:rPr>
          <w:sz w:val="20"/>
          <w:szCs w:val="20"/>
          <w:color w:val="auto"/>
        </w:rPr>
      </w:pPr>
    </w:p>
    <w:p>
      <w:pPr>
        <w:jc w:val="both"/>
        <w:ind w:left="40" w:right="1239"/>
        <w:spacing w:after="0" w:line="250" w:lineRule="auto"/>
        <w:rPr>
          <w:sz w:val="20"/>
          <w:szCs w:val="20"/>
          <w:color w:val="auto"/>
        </w:rPr>
      </w:pPr>
      <w:r>
        <w:rPr>
          <w:rFonts w:ascii="Arial" w:cs="Arial" w:eastAsia="Arial" w:hAnsi="Arial"/>
          <w:sz w:val="17"/>
          <w:szCs w:val="17"/>
          <w:b w:val="1"/>
          <w:bCs w:val="1"/>
          <w:i w:val="1"/>
          <w:iCs w:val="1"/>
          <w:color w:val="auto"/>
        </w:rPr>
        <w:t xml:space="preserve">Related party debt: </w:t>
      </w:r>
      <w:r>
        <w:rPr>
          <w:rFonts w:ascii="Arial" w:cs="Arial" w:eastAsia="Arial" w:hAnsi="Arial"/>
          <w:sz w:val="17"/>
          <w:szCs w:val="17"/>
          <w:color w:val="auto"/>
        </w:rPr>
        <w:t>Innovate/Protect is obligated under a note payable to Hudson Bay with an outstanding balance of $3,200,000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2011 and March 31, 2012 (the “</w:t>
      </w:r>
      <w:r>
        <w:rPr>
          <w:rFonts w:ascii="Arial" w:cs="Arial" w:eastAsia="Arial" w:hAnsi="Arial"/>
          <w:sz w:val="17"/>
          <w:szCs w:val="17"/>
          <w:b w:val="1"/>
          <w:bCs w:val="1"/>
          <w:color w:val="auto"/>
        </w:rPr>
        <w:t>Hudson Bay Note</w:t>
      </w:r>
      <w:r>
        <w:rPr>
          <w:rFonts w:ascii="Arial" w:cs="Arial" w:eastAsia="Arial" w:hAnsi="Arial"/>
          <w:sz w:val="17"/>
          <w:szCs w:val="17"/>
          <w:color w:val="auto"/>
        </w:rPr>
        <w:t>”). At March 31, 2011, Hudson Bay owned a sufficient amount of the outstanding preferred stock of Innovate/Protect, convertible upon demand to common stock sufficient to control Innovate/Protect. The Hudson Bay Note accrues interest at 0.46% per annum and matures on June 22, 2014. Innovate/Protect has granted Hudson Bay a security interest in all tangible and intangible personal property of Innovate/Protect and its subsidiaries to secure its obligations under the Hudson Bay Note.</w:t>
      </w:r>
    </w:p>
    <w:p>
      <w:pPr>
        <w:spacing w:after="0" w:line="81"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Hudson Bay has the option of requiring Innovate/Protect to redeem up to $2,000,000 aggregate principal of the Hudson Bay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w:t>
      </w:r>
    </w:p>
    <w:p>
      <w:pPr>
        <w:spacing w:after="0" w:line="200" w:lineRule="exact"/>
        <w:rPr>
          <w:sz w:val="20"/>
          <w:szCs w:val="20"/>
          <w:color w:val="auto"/>
        </w:rPr>
      </w:pPr>
    </w:p>
    <w:p>
      <w:pPr>
        <w:spacing w:after="0" w:line="26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Innovate/Protect to redeem the Hudson Bay Note in the event of a change of control or in event of default at a redemption price, pursuant to a formula, of up to 125% of the sum of the portion of the principal amount and any accrued and unpaid interest. On May 8, 2012, Hudson Bay and Innovate/Protect entered into a letter agreement to clarify the mutual understanding between the parties that the transactions contemplated by the Merger Agreement do not constitute a change in control.</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March 31, 2012, there were no known conditions of default.</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Innovate/Protect determined there was an embedded derivative since certain redemption options were determined not to be clearly and closely related to the debt host. Innovate/Protect also determined that the fair value of the embedded derivative was zero at December 31, 2011 and March 31, 2012 since the probability of change in control or event of default in the near future is remote. The gross amount Innovate/Protect would have to pay if this redemption option is exercised would be $800,000.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w:t>
      </w:r>
    </w:p>
    <w:p>
      <w:pPr>
        <w:spacing w:after="0" w:line="6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Innovate/Protect will evaluate the fair value of the derivative each reporting period and report changes in the fair value as other income (expense), net.</w:t>
      </w:r>
    </w:p>
    <w:p>
      <w:pPr>
        <w:spacing w:after="0" w:line="66"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Innovate/Protect has made the following types of stock-based awards, valued and reflected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statements as follows:</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b w:val="1"/>
          <w:bCs w:val="1"/>
          <w:i w:val="1"/>
          <w:iCs w:val="1"/>
          <w:color w:val="auto"/>
        </w:rPr>
        <w:t xml:space="preserve">Common Stock Grants: </w:t>
      </w:r>
      <w:r>
        <w:rPr>
          <w:rFonts w:ascii="Arial" w:cs="Arial" w:eastAsia="Arial" w:hAnsi="Arial"/>
          <w:sz w:val="17"/>
          <w:szCs w:val="17"/>
          <w:color w:val="auto"/>
        </w:rPr>
        <w:t>Common stock grants are valued at their fair market value at the date of the grant, multiplied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shares granted. These grants are reflected as compensation expense in the period during which the respective awards vest, ranging from immediate to 36 months from the grant dates.</w:t>
      </w:r>
    </w:p>
    <w:p>
      <w:pPr>
        <w:spacing w:after="0" w:line="76"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b w:val="1"/>
          <w:bCs w:val="1"/>
          <w:i w:val="1"/>
          <w:iCs w:val="1"/>
          <w:color w:val="auto"/>
        </w:rPr>
        <w:t xml:space="preserve">Sales of Common Stock at Less than Fair Market Value: </w:t>
      </w:r>
      <w:r>
        <w:rPr>
          <w:rFonts w:ascii="Arial" w:cs="Arial" w:eastAsia="Arial" w:hAnsi="Arial"/>
          <w:sz w:val="15"/>
          <w:szCs w:val="15"/>
          <w:color w:val="auto"/>
        </w:rPr>
        <w:t>Common stock sales at less than fair market value to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200" w:lineRule="exact"/>
        <w:rPr>
          <w:sz w:val="20"/>
          <w:szCs w:val="20"/>
          <w:color w:val="auto"/>
        </w:rPr>
      </w:pPr>
    </w:p>
    <w:p>
      <w:pPr>
        <w:spacing w:after="0" w:line="26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5" w:name="page176"/>
    <w:bookmarkEnd w:id="1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b w:val="1"/>
          <w:bCs w:val="1"/>
          <w:i w:val="1"/>
          <w:iCs w:val="1"/>
          <w:color w:val="auto"/>
        </w:rPr>
        <w:t xml:space="preserve">Common Stock Options: </w:t>
      </w:r>
      <w:r>
        <w:rPr>
          <w:rFonts w:ascii="Arial" w:cs="Arial" w:eastAsia="Arial" w:hAnsi="Arial"/>
          <w:sz w:val="17"/>
          <w:szCs w:val="17"/>
          <w:color w:val="auto"/>
        </w:rPr>
        <w:t>Common stock options are valued at their fair market value at the time the options are granted, 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Black-Scholes option pricing model for valuing stock-based compensation awards. Common stock options are reflected as compensation expense in the period during which they vest.</w:t>
      </w:r>
    </w:p>
    <w:p>
      <w:pPr>
        <w:spacing w:after="0" w:line="76" w:lineRule="exact"/>
        <w:rPr>
          <w:sz w:val="20"/>
          <w:szCs w:val="20"/>
          <w:color w:val="auto"/>
        </w:rPr>
      </w:pPr>
    </w:p>
    <w:p>
      <w:pPr>
        <w:jc w:val="both"/>
        <w:ind w:left="40" w:right="1239"/>
        <w:spacing w:after="0" w:line="269" w:lineRule="auto"/>
        <w:rPr>
          <w:sz w:val="20"/>
          <w:szCs w:val="20"/>
          <w:color w:val="auto"/>
        </w:rPr>
      </w:pPr>
      <w:r>
        <w:rPr>
          <w:rFonts w:ascii="Arial" w:cs="Arial" w:eastAsia="Arial" w:hAnsi="Arial"/>
          <w:sz w:val="16"/>
          <w:szCs w:val="16"/>
          <w:b w:val="1"/>
          <w:bCs w:val="1"/>
          <w:i w:val="1"/>
          <w:iCs w:val="1"/>
          <w:color w:val="auto"/>
        </w:rPr>
        <w:t xml:space="preserve">Fair value of common stock: </w:t>
      </w:r>
      <w:r>
        <w:rPr>
          <w:rFonts w:ascii="Arial" w:cs="Arial" w:eastAsia="Arial" w:hAnsi="Arial"/>
          <w:sz w:val="16"/>
          <w:szCs w:val="16"/>
          <w:color w:val="auto"/>
        </w:rPr>
        <w:t>At inception, Innovate/Protect determined the fair value of each common share to be $.25832.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determined the amount of capital it estimated would be required ($1,800,000) to carry Innovate/Protect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Innovate/Protect’s Series A Preferred Stock sold would convert upon demand, in accordance with the terms of the Series A Preferred Stock.</w:t>
      </w:r>
    </w:p>
    <w:p>
      <w:pPr>
        <w:spacing w:after="0" w:line="6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Subsequent to inception, Innovate/Protect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62" w:lineRule="exact"/>
        <w:rPr>
          <w:sz w:val="20"/>
          <w:szCs w:val="20"/>
          <w:color w:val="auto"/>
        </w:rPr>
      </w:pPr>
    </w:p>
    <w:p>
      <w:pPr>
        <w:jc w:val="both"/>
        <w:ind w:left="40" w:right="1239"/>
        <w:spacing w:after="0" w:line="307"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Deferred income tax assets and liabilities are determined using the asset and liability method. Under this method,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4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 valuation allowance is recorded when it is more likely than not that some portion or all of the deferred tax assets will not be realized.</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Innovate/Protect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Innovate/Protect’s policy to classify interest and penalties related to uncertain income tax matters as income tax expense.</w:t>
      </w:r>
    </w:p>
    <w:p>
      <w:pPr>
        <w:spacing w:after="0" w:line="78" w:lineRule="exact"/>
        <w:rPr>
          <w:sz w:val="20"/>
          <w:szCs w:val="20"/>
          <w:color w:val="auto"/>
        </w:rPr>
      </w:pPr>
    </w:p>
    <w:p>
      <w:pPr>
        <w:jc w:val="both"/>
        <w:ind w:left="40" w:right="1239"/>
        <w:spacing w:after="0" w:line="288" w:lineRule="auto"/>
        <w:rPr>
          <w:sz w:val="20"/>
          <w:szCs w:val="20"/>
          <w:color w:val="auto"/>
        </w:rPr>
      </w:pPr>
      <w:r>
        <w:rPr>
          <w:rFonts w:ascii="Arial" w:cs="Arial" w:eastAsia="Arial" w:hAnsi="Arial"/>
          <w:sz w:val="15"/>
          <w:szCs w:val="15"/>
          <w:b w:val="1"/>
          <w:bCs w:val="1"/>
          <w:i w:val="1"/>
          <w:iCs w:val="1"/>
          <w:color w:val="auto"/>
        </w:rPr>
        <w:t xml:space="preserve">Intangible assets: </w:t>
      </w:r>
      <w:r>
        <w:rPr>
          <w:rFonts w:ascii="Arial" w:cs="Arial" w:eastAsia="Arial" w:hAnsi="Arial"/>
          <w:sz w:val="15"/>
          <w:szCs w:val="15"/>
          <w:color w:val="auto"/>
        </w:rPr>
        <w:t>Intangible assets consist of patents that were purchased and the costs to acquire them. They are amortized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 Subsequent to acquisition, legal and associated costs incurred in prosecuting alleged infringements of the patents are recognized as expense when incurred.</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 and Capital Resources</w:t>
      </w:r>
    </w:p>
    <w:p>
      <w:pPr>
        <w:spacing w:after="0" w:line="109"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As a development stage company, Innovate/Protect requires, and expects for the foreseeable future that Innovate/Protect will continue to require, significant amounts of capital to support its operations prior to the commencement of a revenue stream or other liquidity events. Because of the nature of Innovate/Protect’s business, capital is required to support Innovate/Protect’s substantial legal costs, as well as, its normal operating costs. Innovate/Protect has developed a budget outlining its expected legal and operating costs, including contingencies for unforeseen costs and delays over the next twelve (12) months. Innovate/Protect does not have adequate funds to operate for the next twelve (12) months. Based on current operating plans, additional resources that may be required for the continuation of Innovate/Protect’s operations approximates $3.4 million and $7.5 million, for the twelve month periods ending March 31, 2013 and March 31, 2014, respectively. Through the merger with Vringo, Innovate/Protect will have access to the joint companies’ cash resources. Alternatively, Innovate/Protect would need to raise capital from investors in a private placement of its securities.</w:t>
      </w:r>
    </w:p>
    <w:p>
      <w:pPr>
        <w:spacing w:after="0" w:line="200" w:lineRule="exact"/>
        <w:rPr>
          <w:sz w:val="20"/>
          <w:szCs w:val="20"/>
          <w:color w:val="auto"/>
        </w:rPr>
      </w:pPr>
    </w:p>
    <w:p>
      <w:pPr>
        <w:spacing w:after="0" w:line="30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6" w:name="page177"/>
    <w:bookmarkEnd w:id="17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The Hudson Bay Senior Secured Note</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Innovate/Protect is obligated under a Senior Secured Note payable to Hudson Bay with an outstanding balance of $3,200,000 at December 31, 2011 and March 31, 2012. The Senior Secured Note accrues interest at 0.46% per annum and matures on June 22, 2014.</w:t>
      </w:r>
    </w:p>
    <w:p>
      <w:pPr>
        <w:spacing w:after="0" w:line="7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Hudson Bay has the option of requiring Innovate/Protect to redeem up to $2,000,000 aggregate principal of the Senior Secured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 Patents) to secure its obligations under the Senior Secured Note.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The Hudson Bay Debt Facility</w:t>
      </w:r>
    </w:p>
    <w:p>
      <w:pPr>
        <w:spacing w:after="0" w:line="105"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Hudson Bay’s commitment to provide such facility is subject to (a) the consummation of the Merger without any amendment or modification (unless consented to in writing by Hudson Bay), (b) 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Innovate/Protect and Hudson Bay of all documents necessary for the consummation of the transaction contemplated by the commitment on terms and conditions in all respects acceptable and satisfactory to Innovate/Protect and</w:t>
      </w:r>
    </w:p>
    <w:p>
      <w:pPr>
        <w:spacing w:after="0" w:line="200" w:lineRule="exact"/>
        <w:rPr>
          <w:sz w:val="20"/>
          <w:szCs w:val="20"/>
          <w:color w:val="auto"/>
        </w:rPr>
      </w:pPr>
    </w:p>
    <w:p>
      <w:pPr>
        <w:spacing w:after="0" w:line="28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7" w:name="page178"/>
    <w:bookmarkEnd w:id="17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Hudson Bay, (e) no Vringo entity shall have, pursuant to or within the meaning of Title 11, U.S. Code, or any similar Federal, foreign or state law for the relief of debtors (collectively, “Bankruptcy Law”), (A) 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date of 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Working Capital and Capital Expenditure Needs</w:t>
      </w:r>
    </w:p>
    <w:p>
      <w:pPr>
        <w:spacing w:after="0" w:line="109"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As of March 31, 2012, Innovate/Protect had cash of $3,979,671 and working capital of $1,153,529. However, changes in operating plans (including, without limitation, changes made necessary by developments in Innovate/Protect’s pending litigation), increased expenses, additional intellectual property acquisitions, other events or other strategic alternatives Innovate/Protect may pursue make it very likely that Innovate/Protect will require additional equity or debt financing in the future. There is no assurance that additional financing will be available upon future terms acceptable to Innovate/Protect, or at all.</w:t>
      </w:r>
    </w:p>
    <w:p>
      <w:pPr>
        <w:spacing w:after="0" w:line="5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For the period from inception through March 31, 2012, Innovate/Protect used $6,165,554 of net cash to fund operating activities and to invest in tangible personal and intangible intellectual property. Despite Innovate/Protect’s capital raising activities to date, given the factors noted above, there is no assurance that Innovate/Protect will continue to be able to raise the capital or generate revenue necessary to fund ongoing operations at the current level. As such, absent future capital raises or revenue generation, there remains substantial doubt about Innovate/Protect’s ability to continue as a going concern.</w:t>
      </w:r>
    </w:p>
    <w:p>
      <w:pPr>
        <w:spacing w:after="0" w:line="53"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Although Innovate/Protect is currently not a party to any agreement or letter of intent with respect to potential investments in, or acquisitions of, intellectual property assets, it is Innovate/Protect’s stated plan to pursue these types of arrangements in the future, which could also require Innovate/Protect to seek additional equity or debt financing. Innovate/Protect currently has no plans, proposals or arrangements with respect to any specific acquisition.</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Innovate/Protect  may  raise  additional  capital  in  the  form  of  equity  or  debt.  The  issuance  of  additional  shares  of</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Innovate/Protect’s capital stock:</w:t>
      </w:r>
    </w:p>
    <w:p>
      <w:pPr>
        <w:spacing w:after="0" w:line="93" w:lineRule="exact"/>
        <w:rPr>
          <w:sz w:val="20"/>
          <w:szCs w:val="20"/>
          <w:color w:val="auto"/>
        </w:rPr>
      </w:pPr>
    </w:p>
    <w:p>
      <w:pPr>
        <w:ind w:left="560" w:hanging="300"/>
        <w:spacing w:after="0"/>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may significantly reduce the equity interest of Innovate/Protect stockholders;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may cause economic dilution to Innovate/Protect stockholders;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may subordinate the rights of holders of common stock if preferred stock is issued with rights senior to those afforded to the holders of Innovate/Protect common stock; and</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Innovate/Protect common stock.</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Similarly, if Innovate/Protect incurs substantial debt, it could result in:</w:t>
      </w:r>
    </w:p>
    <w:p>
      <w:pPr>
        <w:spacing w:after="0" w:line="105" w:lineRule="exact"/>
        <w:rPr>
          <w:sz w:val="20"/>
          <w:szCs w:val="20"/>
          <w:color w:val="auto"/>
        </w:rPr>
      </w:pPr>
    </w:p>
    <w:p>
      <w:pPr>
        <w:ind w:left="560" w:right="1239" w:hanging="300"/>
        <w:spacing w:after="0" w:line="267" w:lineRule="auto"/>
        <w:tabs>
          <w:tab w:leader="none" w:pos="5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default and foreclosure on Innovate/Protect’s assets if its operating cash flow is insufficient to pay Innovate/Protect’s debt obligations;</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8" w:name="page179"/>
    <w:bookmarkEnd w:id="17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hanging="300"/>
        <w:spacing w:after="0" w:line="253" w:lineRule="auto"/>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acceleration of Innovate/Protect’s obligations to repay the indebtedness (including the Senior Secured Note held by Hudson Bay) even if Innovate/Protect has made all principal and interest payments when due if the debt security contains covenants that require the maintenance of certain financial ratios or reserves and any such covenant is breached without a waiver or renegotiation of that covenant;</w:t>
      </w:r>
    </w:p>
    <w:p>
      <w:pPr>
        <w:spacing w:after="0" w:line="77"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Innovate/Protect’s immediate payment of all principal and accrued interest, if any, if the debt security is payable on demand;</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covenants that limit the ability to acquire capital assets or make additional acquisitions;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Innovate/Protect’s inability to obtain additional financing, if necessary, if the debt security contains covenants restricting its ability to obtain additional financing while such security is outstanding;</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Innovate/Protect’s inability to pay dividends on its common stock;</w:t>
      </w:r>
    </w:p>
    <w:p>
      <w:pPr>
        <w:spacing w:after="0" w:line="105"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using a substantial portion of Innovate/Protect’s cash flow to pay principal and interest on its debt, which will reduce the funds available for dividends on Innovate/Protect’s common stock, working capital, capital expenditures, acquisitions and other general corporate purposes;</w:t>
      </w:r>
    </w:p>
    <w:p>
      <w:pPr>
        <w:spacing w:after="0" w:line="76" w:lineRule="exact"/>
        <w:rPr>
          <w:rFonts w:ascii="Arial" w:cs="Arial" w:eastAsia="Arial" w:hAnsi="Arial"/>
          <w:sz w:val="17"/>
          <w:szCs w:val="17"/>
          <w:color w:val="auto"/>
        </w:rPr>
      </w:pPr>
    </w:p>
    <w:p>
      <w:pPr>
        <w:ind w:left="560" w:hanging="300"/>
        <w:spacing w:after="0"/>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limitations on Innovate/Protect’s flexibility in planning for and reacting to changes in its business and industry;</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6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limitations on Innovate/Protect’s ability to borrow additional amounts for working capital, capital expenditures, acquisitions, debt service requirements, execution of its strategy and other purposes; and other disadvantages compared to Innovate/Protect’s competitors who have less debt.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Contractual Obligations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On June 22, 2011, I/P Engine entered into an engagement letter with legal counsel for services concerning the Lycos Patents. I/P Engine has agreed to pay counsel a combination of fixed fees at a discount to prevailing market rates, plus up to twenty percent (20%) of all recoveries, license fees or other value received from certain parties.</w:t>
      </w:r>
    </w:p>
    <w:p>
      <w:pPr>
        <w:spacing w:after="0" w:line="7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July 2011, Innovate/Protect entered into a license agreement with a non-affiliated third party to lease office space in New York City. The license is for a term of two years and five months and requires monthly payments in the amount of $2,152. In April 2012, Innovate/Protect entered into a second license agreement with the same non-affiliated third party to lease additional office space in the same location in New York City. The license is for a term of approximately one year and nine months and requires monthly payments in the amount of $1,450.</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summary of Innovate/Protect’s contractual commitments and obligations as of March 31, 2012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840" w:type="dxa"/>
            <w:vAlign w:val="bottom"/>
          </w:tcPr>
          <w:p>
            <w:pPr>
              <w:jc w:val="right"/>
              <w:ind w:right="181"/>
              <w:spacing w:after="0" w:line="148"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40" w:type="dxa"/>
            <w:vAlign w:val="bottom"/>
          </w:tcPr>
          <w:p>
            <w:pPr>
              <w:jc w:val="right"/>
              <w:ind w:right="89"/>
              <w:spacing w:after="0" w:line="148"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2"/>
                <w:szCs w:val="12"/>
                <w:color w:val="auto"/>
              </w:rPr>
            </w:pPr>
          </w:p>
        </w:tc>
        <w:tc>
          <w:tcPr>
            <w:tcW w:w="840" w:type="dxa"/>
            <w:vAlign w:val="bottom"/>
          </w:tcPr>
          <w:p>
            <w:pPr>
              <w:jc w:val="right"/>
              <w:ind w:right="208"/>
              <w:spacing w:after="0" w:line="148" w:lineRule="exact"/>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83"/>
              <w:spacing w:after="0" w:line="148" w:lineRule="exact"/>
              <w:rPr>
                <w:sz w:val="20"/>
                <w:szCs w:val="20"/>
                <w:color w:val="auto"/>
              </w:rPr>
            </w:pPr>
            <w:r>
              <w:rPr>
                <w:rFonts w:ascii="Arial" w:cs="Arial" w:eastAsia="Arial" w:hAnsi="Arial"/>
                <w:sz w:val="13"/>
                <w:szCs w:val="13"/>
                <w:b w:val="1"/>
                <w:bCs w:val="1"/>
                <w:color w:val="auto"/>
                <w:w w:val="96"/>
              </w:rPr>
              <w:t>More than</w:t>
            </w:r>
          </w:p>
        </w:tc>
        <w:tc>
          <w:tcPr>
            <w:tcW w:w="0" w:type="dxa"/>
            <w:vAlign w:val="bottom"/>
          </w:tcPr>
          <w:p>
            <w:pPr>
              <w:spacing w:after="0"/>
              <w:rPr>
                <w:sz w:val="1"/>
                <w:szCs w:val="1"/>
                <w:color w:val="auto"/>
              </w:rPr>
            </w:pPr>
          </w:p>
        </w:tc>
      </w:tr>
      <w:tr>
        <w:trPr>
          <w:trHeight w:val="158"/>
        </w:trPr>
        <w:tc>
          <w:tcPr>
            <w:tcW w:w="3060" w:type="dxa"/>
            <w:vAlign w:val="bottom"/>
            <w:vMerge w:val="restart"/>
          </w:tcPr>
          <w:p>
            <w:pPr>
              <w:spacing w:after="0"/>
              <w:rPr>
                <w:sz w:val="20"/>
                <w:szCs w:val="20"/>
                <w:color w:val="auto"/>
              </w:rPr>
            </w:pPr>
            <w:r>
              <w:rPr>
                <w:rFonts w:ascii="Arial" w:cs="Arial" w:eastAsia="Arial" w:hAnsi="Arial"/>
                <w:sz w:val="17"/>
                <w:szCs w:val="17"/>
                <w:color w:val="auto"/>
              </w:rPr>
              <w:t>Long-term debt obligations</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1 year</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years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3 years</w:t>
            </w:r>
          </w:p>
        </w:tc>
        <w:tc>
          <w:tcPr>
            <w:tcW w:w="0" w:type="dxa"/>
            <w:vAlign w:val="bottom"/>
          </w:tcPr>
          <w:p>
            <w:pPr>
              <w:spacing w:after="0"/>
              <w:rPr>
                <w:sz w:val="1"/>
                <w:szCs w:val="1"/>
                <w:color w:val="auto"/>
              </w:rPr>
            </w:pPr>
          </w:p>
        </w:tc>
      </w:tr>
      <w:tr>
        <w:trPr>
          <w:trHeight w:val="193"/>
        </w:trPr>
        <w:tc>
          <w:tcPr>
            <w:tcW w:w="3060" w:type="dxa"/>
            <w:vAlign w:val="bottom"/>
            <w:vMerge w:val="continue"/>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color w:val="auto"/>
                <w:w w:val="86"/>
              </w:rPr>
              <w:t>$ 3,200,000</w:t>
            </w:r>
          </w:p>
        </w:tc>
        <w:tc>
          <w:tcPr>
            <w:tcW w:w="1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color w:val="auto"/>
                <w:w w:val="84"/>
              </w:rPr>
              <w:t>$ 2,000,000</w:t>
            </w:r>
          </w:p>
        </w:tc>
        <w:tc>
          <w:tcPr>
            <w:tcW w:w="14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color w:val="auto"/>
                <w:w w:val="86"/>
              </w:rPr>
              <w:t>$ 1,200,000</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23"/>
              <w:spacing w:after="0" w:line="193"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0"/>
        </w:trPr>
        <w:tc>
          <w:tcPr>
            <w:tcW w:w="3060" w:type="dxa"/>
            <w:vAlign w:val="bottom"/>
            <w:shd w:val="clear" w:color="auto" w:fill="CCFFCC"/>
          </w:tcPr>
          <w:p>
            <w:pPr>
              <w:spacing w:after="0"/>
              <w:rPr>
                <w:sz w:val="20"/>
                <w:szCs w:val="20"/>
                <w:color w:val="auto"/>
              </w:rPr>
            </w:pPr>
            <w:r>
              <w:rPr>
                <w:rFonts w:ascii="Arial" w:cs="Arial" w:eastAsia="Arial" w:hAnsi="Arial"/>
                <w:sz w:val="17"/>
                <w:szCs w:val="17"/>
                <w:color w:val="auto"/>
              </w:rPr>
              <w:t>Operating lease obligations</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79,244</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43,224</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36,020</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FFCC"/>
          </w:tcPr>
          <w:p>
            <w:pPr>
              <w:jc w:val="right"/>
              <w:ind w:right="223"/>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3"/>
        </w:trPr>
        <w:tc>
          <w:tcPr>
            <w:tcW w:w="3060" w:type="dxa"/>
            <w:vAlign w:val="bottom"/>
          </w:tcPr>
          <w:p>
            <w:pPr>
              <w:ind w:left="160"/>
              <w:spacing w:after="0"/>
              <w:rPr>
                <w:sz w:val="20"/>
                <w:szCs w:val="20"/>
                <w:color w:val="auto"/>
              </w:rPr>
            </w:pPr>
            <w:r>
              <w:rPr>
                <w:rFonts w:ascii="Arial" w:cs="Arial" w:eastAsia="Arial" w:hAnsi="Arial"/>
                <w:sz w:val="17"/>
                <w:szCs w:val="17"/>
                <w:color w:val="auto"/>
              </w:rPr>
              <w:t>Total contractual obligations</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$ 3,279,244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$ 2,043,224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$ 1,236,020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23"/>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 Balance Sheet Transactions</w:t>
      </w:r>
    </w:p>
    <w:p>
      <w:pPr>
        <w:spacing w:after="0" w:line="109"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Innovate/Protect is not party to any off balance sheet transactions. Innovate/Protect has no guarantees or obligations other than those which arise out of normal business operations.</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9" w:name="page180"/>
    <w:bookmarkEnd w:id="17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0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became effective for Innovate/Protect during the interim period beginning January 1, 2012. The adoption does not have any impact on Innovate/Protect’s financial position or results of operations.</w:t>
      </w:r>
    </w:p>
    <w:p>
      <w:pPr>
        <w:spacing w:after="0" w:line="61"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became effective for Innovate/Protect during the interim period beginning January 1, 2012. Innovate/Protect currently does not have any components of other comprehensive income within its consolidated financial statements thus adoption of this new guidance does not impact Innovate/Protect.</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MANAGEMENT OF THE COMBINED COMPANY FOLLOWING THE MERGER</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Executive Officers and Directors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Executive Officers and Directors of the Combined Company Following the Merger</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Vringo board of directors is currently composed of six directors. Pursuant to the Merger Agreement, following the completion of the Merger, the board of directors of the combined company will be composed of seven directors, three of whom are current directors of Vringo and four of whom are current directors of Innovate/Protect.</w:t>
      </w:r>
    </w:p>
    <w:p>
      <w:pPr>
        <w:spacing w:after="0" w:line="76"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lists the names, ages as of May 25, 2012, and positions of the individuals who are expected to serve as executive officers and directors of the combined company upon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605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605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Age</w:t>
            </w:r>
          </w:p>
        </w:tc>
        <w:tc>
          <w:tcPr>
            <w:tcW w:w="140" w:type="dxa"/>
            <w:vAlign w:val="bottom"/>
          </w:tcPr>
          <w:p>
            <w:pPr>
              <w:spacing w:after="0"/>
              <w:rPr>
                <w:sz w:val="14"/>
                <w:szCs w:val="14"/>
                <w:color w:val="auto"/>
              </w:rPr>
            </w:pPr>
          </w:p>
        </w:tc>
        <w:tc>
          <w:tcPr>
            <w:tcW w:w="4320" w:type="dxa"/>
            <w:vAlign w:val="bottom"/>
            <w:tcBorders>
              <w:bottom w:val="single" w:sz="8" w:color="auto"/>
            </w:tcBorders>
          </w:tcPr>
          <w:p>
            <w:pPr>
              <w:ind w:left="1940"/>
              <w:spacing w:after="0"/>
              <w:rPr>
                <w:sz w:val="20"/>
                <w:szCs w:val="20"/>
                <w:color w:val="auto"/>
              </w:rPr>
            </w:pPr>
            <w:r>
              <w:rPr>
                <w:rFonts w:ascii="Arial" w:cs="Arial" w:eastAsia="Arial" w:hAnsi="Arial"/>
                <w:sz w:val="13"/>
                <w:szCs w:val="13"/>
                <w:b w:val="1"/>
                <w:bCs w:val="1"/>
                <w:color w:val="auto"/>
              </w:rPr>
              <w:t>Position</w:t>
            </w:r>
          </w:p>
        </w:tc>
      </w:tr>
      <w:tr>
        <w:trPr>
          <w:trHeight w:val="218"/>
        </w:trPr>
        <w:tc>
          <w:tcPr>
            <w:tcW w:w="1920" w:type="dxa"/>
            <w:vAlign w:val="bottom"/>
          </w:tcPr>
          <w:p>
            <w:pPr>
              <w:spacing w:after="0"/>
              <w:rPr>
                <w:sz w:val="20"/>
                <w:szCs w:val="20"/>
                <w:color w:val="auto"/>
              </w:rPr>
            </w:pPr>
            <w:r>
              <w:rPr>
                <w:rFonts w:ascii="Arial" w:cs="Arial" w:eastAsia="Arial" w:hAnsi="Arial"/>
                <w:sz w:val="17"/>
                <w:szCs w:val="17"/>
                <w:color w:val="auto"/>
              </w:rPr>
              <w:t>Andrew D. Perlman</w:t>
            </w:r>
          </w:p>
        </w:tc>
        <w:tc>
          <w:tcPr>
            <w:tcW w:w="1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84"/>
              </w:rPr>
              <w:t>34</w:t>
            </w:r>
          </w:p>
        </w:tc>
        <w:tc>
          <w:tcPr>
            <w:tcW w:w="140" w:type="dxa"/>
            <w:vAlign w:val="bottom"/>
          </w:tcPr>
          <w:p>
            <w:pPr>
              <w:spacing w:after="0"/>
              <w:rPr>
                <w:sz w:val="18"/>
                <w:szCs w:val="18"/>
                <w:color w:val="auto"/>
              </w:rPr>
            </w:pPr>
          </w:p>
        </w:tc>
        <w:tc>
          <w:tcPr>
            <w:tcW w:w="4320" w:type="dxa"/>
            <w:vAlign w:val="bottom"/>
          </w:tcPr>
          <w:p>
            <w:pPr>
              <w:spacing w:after="0" w:line="218" w:lineRule="exact"/>
              <w:rPr>
                <w:sz w:val="20"/>
                <w:szCs w:val="20"/>
                <w:color w:val="auto"/>
              </w:rPr>
            </w:pPr>
            <w:r>
              <w:rPr>
                <w:rFonts w:ascii="Arial" w:cs="Arial" w:eastAsia="Arial" w:hAnsi="Arial"/>
                <w:sz w:val="16"/>
                <w:szCs w:val="16"/>
                <w:color w:val="auto"/>
              </w:rPr>
              <w:t>Chief Executive Officer</w:t>
            </w:r>
            <w:r>
              <w:rPr>
                <w:rFonts w:ascii="Arial" w:cs="Arial" w:eastAsia="Arial" w:hAnsi="Arial"/>
                <w:sz w:val="25"/>
                <w:szCs w:val="25"/>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Andrew Kennedy Lang</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45</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Chief Technology Officer and President</w:t>
            </w:r>
            <w:r>
              <w:rPr>
                <w:rFonts w:ascii="Arial" w:cs="Arial" w:eastAsia="Arial" w:hAnsi="Arial"/>
                <w:sz w:val="27"/>
                <w:szCs w:val="27"/>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Seth M. Siegel</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58</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Chairman of the Board of Directors</w:t>
            </w:r>
            <w:r>
              <w:rPr>
                <w:rFonts w:ascii="Arial" w:cs="Arial" w:eastAsia="Arial" w:hAnsi="Arial"/>
                <w:sz w:val="27"/>
                <w:szCs w:val="27"/>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Alexander R. Berger</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29</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Chief Operating Officer and Secretary</w:t>
            </w:r>
            <w:r>
              <w:rPr>
                <w:rFonts w:ascii="Arial" w:cs="Arial" w:eastAsia="Arial" w:hAnsi="Arial"/>
                <w:sz w:val="27"/>
                <w:szCs w:val="27"/>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John Engelman</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56</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Director</w:t>
            </w:r>
            <w:r>
              <w:rPr>
                <w:rFonts w:ascii="Arial" w:cs="Arial" w:eastAsia="Arial" w:hAnsi="Arial"/>
                <w:sz w:val="27"/>
                <w:szCs w:val="27"/>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Donald E. Stout</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65</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Director</w:t>
            </w:r>
            <w:r>
              <w:rPr>
                <w:rFonts w:ascii="Arial" w:cs="Arial" w:eastAsia="Arial" w:hAnsi="Arial"/>
                <w:sz w:val="27"/>
                <w:szCs w:val="27"/>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H. Van Sinclair</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59</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Director</w:t>
            </w:r>
            <w:r>
              <w:rPr>
                <w:rFonts w:ascii="Arial" w:cs="Arial" w:eastAsia="Arial" w:hAnsi="Arial"/>
                <w:sz w:val="27"/>
                <w:szCs w:val="27"/>
                <w:color w:val="auto"/>
                <w:vertAlign w:val="superscript"/>
              </w:rPr>
              <w:t>(1)</w:t>
            </w:r>
          </w:p>
        </w:tc>
      </w:tr>
      <w:tr>
        <w:trPr>
          <w:trHeight w:val="213"/>
        </w:trPr>
        <w:tc>
          <w:tcPr>
            <w:tcW w:w="1920" w:type="dxa"/>
            <w:vAlign w:val="bottom"/>
          </w:tcPr>
          <w:p>
            <w:pPr>
              <w:spacing w:after="0"/>
              <w:rPr>
                <w:sz w:val="20"/>
                <w:szCs w:val="20"/>
                <w:color w:val="auto"/>
              </w:rPr>
            </w:pPr>
            <w:r>
              <w:rPr>
                <w:rFonts w:ascii="Arial" w:cs="Arial" w:eastAsia="Arial" w:hAnsi="Arial"/>
                <w:sz w:val="17"/>
                <w:szCs w:val="17"/>
                <w:color w:val="auto"/>
              </w:rPr>
              <w:t>Ellen Cohl</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45</w:t>
            </w:r>
          </w:p>
        </w:tc>
        <w:tc>
          <w:tcPr>
            <w:tcW w:w="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5727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(1) Director nominee.</w:t>
      </w:r>
    </w:p>
    <w:p>
      <w:pPr>
        <w:spacing w:after="0" w:line="105"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b w:val="1"/>
          <w:bCs w:val="1"/>
          <w:i w:val="1"/>
          <w:iCs w:val="1"/>
          <w:color w:val="auto"/>
        </w:rPr>
        <w:t xml:space="preserve">Andrew D. Perlman </w:t>
      </w:r>
      <w:r>
        <w:rPr>
          <w:rFonts w:ascii="Arial" w:cs="Arial" w:eastAsia="Arial" w:hAnsi="Arial"/>
          <w:sz w:val="16"/>
          <w:szCs w:val="16"/>
          <w:color w:val="auto"/>
        </w:rPr>
        <w:t>has served as a director of Vringo since September 2009, as Vringo’s President since April 2010 and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Vringo’s Chief Executive Officer since March 2012. From February 2009 to March 2010, Mr. Perlman served as vice president of global digital business development at EMI Music Group, where he was responsible for leading distribution deals with digital partners for EMI’s music and video content. From May 2007 to February 2009, Mr. Perlman served as General Manager of Vringo’s U.S. operations as well as its Senior Vice President Content &amp; Community. In this position, Mr. Perlman managed Vringo’s United States operations and led Vringo’s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7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believes Mr. Perlman’s extensive experience in the music and digital media qualifies him to serve on Vringo’s board of directors. His extensive experience and insights gained both as an executive at start-up companies and as a senior executive at EMI are a significant contribution to Vringo and the board of directors.</w:t>
      </w:r>
    </w:p>
    <w:p>
      <w:pPr>
        <w:spacing w:after="0" w:line="72" w:lineRule="exact"/>
        <w:rPr>
          <w:sz w:val="20"/>
          <w:szCs w:val="20"/>
          <w:color w:val="auto"/>
        </w:rPr>
      </w:pPr>
    </w:p>
    <w:p>
      <w:pPr>
        <w:jc w:val="both"/>
        <w:ind w:left="40" w:right="1239" w:firstLine="251"/>
        <w:spacing w:after="0" w:line="294" w:lineRule="auto"/>
        <w:rPr>
          <w:sz w:val="20"/>
          <w:szCs w:val="20"/>
          <w:color w:val="auto"/>
        </w:rPr>
      </w:pPr>
      <w:r>
        <w:rPr>
          <w:rFonts w:ascii="Arial" w:cs="Arial" w:eastAsia="Arial" w:hAnsi="Arial"/>
          <w:sz w:val="15"/>
          <w:szCs w:val="15"/>
          <w:b w:val="1"/>
          <w:bCs w:val="1"/>
          <w:color w:val="auto"/>
        </w:rPr>
        <w:t xml:space="preserve">Andrew Kennedy Lang </w:t>
      </w:r>
      <w:r>
        <w:rPr>
          <w:rFonts w:ascii="Arial" w:cs="Arial" w:eastAsia="Arial" w:hAnsi="Arial"/>
          <w:sz w:val="15"/>
          <w:szCs w:val="15"/>
          <w:color w:val="auto"/>
        </w:rPr>
        <w:t>has served as President, Chief Executive Officer, Chief Technology Officer and a Director of</w:t>
      </w:r>
      <w:r>
        <w:rPr>
          <w:rFonts w:ascii="Arial" w:cs="Arial" w:eastAsia="Arial" w:hAnsi="Arial"/>
          <w:sz w:val="15"/>
          <w:szCs w:val="15"/>
          <w:b w:val="1"/>
          <w:bCs w:val="1"/>
          <w:color w:val="auto"/>
        </w:rPr>
        <w:t xml:space="preserve"> </w:t>
      </w:r>
      <w:r>
        <w:rPr>
          <w:rFonts w:ascii="Arial" w:cs="Arial" w:eastAsia="Arial" w:hAnsi="Arial"/>
          <w:sz w:val="15"/>
          <w:szCs w:val="15"/>
          <w:color w:val="auto"/>
        </w:rPr>
        <w:t>Innovate/Protect since June 22, 2011. Mr. Lang has been an inventor and entrepreneur for over two decades. Mr. Lang founded WiseWire Corporation in 1995 and sold it to Lycos in 1998 for $39.75 million. He served as the Chief Technology Officer of Lycos prior to its sale to Terra Networks in 2000 for $5.4 billion. Thereafter, Mr. Lang served from 2001 to 2006 as Chief Executive Officer of Lightspace Corporation, an active gaming technology company. Mr. Lang is a graduate of Duke University</w:t>
      </w:r>
    </w:p>
    <w:p>
      <w:pPr>
        <w:spacing w:after="0" w:line="200" w:lineRule="exact"/>
        <w:rPr>
          <w:sz w:val="20"/>
          <w:szCs w:val="20"/>
          <w:color w:val="auto"/>
        </w:rPr>
      </w:pPr>
    </w:p>
    <w:p>
      <w:pPr>
        <w:spacing w:after="0" w:line="27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1" w:name="page182"/>
    <w:bookmarkEnd w:id="18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where he finished second in his class and holds Bachelor’s degrees in Electrical Engineering, Computer Science, Mathematics, and Physics. Mr. Lang holds a Master’s degree in Computer Science from Carnegie Melon University.</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believes Mr. Lang’s experience with innovation and technology, including his experience as the Chief Technology Officer of Lycos, qualifies him to serve on Vringo’s board of directors following the Merger.</w:t>
      </w:r>
    </w:p>
    <w:p>
      <w:pPr>
        <w:spacing w:after="0" w:line="6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b w:val="1"/>
          <w:bCs w:val="1"/>
          <w:color w:val="auto"/>
        </w:rPr>
        <w:t xml:space="preserve">Seth M. Siegel </w:t>
      </w:r>
      <w:r>
        <w:rPr>
          <w:rFonts w:ascii="Arial" w:cs="Arial" w:eastAsia="Arial" w:hAnsi="Arial"/>
          <w:sz w:val="15"/>
          <w:szCs w:val="15"/>
          <w:color w:val="auto"/>
        </w:rPr>
        <w:t>has served as a director since May 2006 of Vringo and as Chairman of board of directors of Vringo since March</w:t>
      </w:r>
      <w:r>
        <w:rPr>
          <w:rFonts w:ascii="Arial" w:cs="Arial" w:eastAsia="Arial" w:hAnsi="Arial"/>
          <w:sz w:val="15"/>
          <w:szCs w:val="15"/>
          <w:b w:val="1"/>
          <w:bCs w:val="1"/>
          <w:color w:val="auto"/>
        </w:rPr>
        <w:t xml:space="preserve"> </w:t>
      </w:r>
      <w:r>
        <w:rPr>
          <w:rFonts w:ascii="Arial" w:cs="Arial" w:eastAsia="Arial" w:hAnsi="Arial"/>
          <w:sz w:val="15"/>
          <w:szCs w:val="15"/>
          <w:color w:val="auto"/>
        </w:rPr>
        <w:t>2010. Mr. Siegel has been working in the corporate and entertainment licensing industry since 1982. Mr. Siegel is a co-founder of The Beanstalk Group, a leading brand licensing agency and consultancy and a part of Omnicom Group Inc. (NYSE:OMC). He continues his relationship with both The Beanstalk Group (as a Vice Chairman) and Omnicom (as a consultant on special projects). He is also, since 2007, co-founder and co-Chief Executive Officer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61"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Vringo believes Mr. Siegel’s extensive knowledge of consumer brands and marketing, as well as his leadership experience at The Beanstalk Group qualifies him to serve on Vringo’s board of directors. His extensive experience with leading brands as co-founder and chief executive officer of The Beanstalk Group provide a significant contribution to Vringo and the board of directors.</w:t>
      </w:r>
    </w:p>
    <w:p>
      <w:pPr>
        <w:spacing w:after="0" w:line="36"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b w:val="1"/>
          <w:bCs w:val="1"/>
          <w:color w:val="auto"/>
        </w:rPr>
        <w:t xml:space="preserve">Alexander R. Berger </w:t>
      </w:r>
      <w:r>
        <w:rPr>
          <w:rFonts w:ascii="Arial" w:cs="Arial" w:eastAsia="Arial" w:hAnsi="Arial"/>
          <w:sz w:val="15"/>
          <w:szCs w:val="15"/>
          <w:color w:val="auto"/>
        </w:rPr>
        <w:t>has served as Innovate/Protect’s Chief Operating Officer, Chief Financial Officer, Secretary and</w:t>
      </w:r>
      <w:r>
        <w:rPr>
          <w:rFonts w:ascii="Arial" w:cs="Arial" w:eastAsia="Arial" w:hAnsi="Arial"/>
          <w:sz w:val="15"/>
          <w:szCs w:val="15"/>
          <w:b w:val="1"/>
          <w:bCs w:val="1"/>
          <w:color w:val="auto"/>
        </w:rPr>
        <w:t xml:space="preserve"> </w:t>
      </w:r>
      <w:r>
        <w:rPr>
          <w:rFonts w:ascii="Arial" w:cs="Arial" w:eastAsia="Arial" w:hAnsi="Arial"/>
          <w:sz w:val="15"/>
          <w:szCs w:val="15"/>
          <w:color w:val="auto"/>
        </w:rPr>
        <w:t>Treasurer and a director since inception. Prior to joining Innovate/Protect, from February 2008 to August 2011, Mr. Berger was employed at Hudson Bay Capital Management LP, most recently as a Vice President. From 2005 to 2007, Mr. Berger was an aide to the President’s energy and environmental policy adviser at the White House. As a college student, Mr. Berger developed the Maestro vetting system, which was implemented by the White House staff in 2003 to systematically research individuals and organizations. Mr. Berger holds a Bachelor’s degree in Accounting from The George Washington University.</w:t>
      </w:r>
    </w:p>
    <w:p>
      <w:pPr>
        <w:spacing w:after="0" w:line="5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believes Mr. Berger’s experience and leadership as an executive officer and director of Innovate/Protect qualify him to serve on Vringo’s board of directors following the Merger.</w:t>
      </w:r>
    </w:p>
    <w:p>
      <w:pPr>
        <w:spacing w:after="0" w:line="62"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b w:val="1"/>
          <w:bCs w:val="1"/>
          <w:color w:val="auto"/>
        </w:rPr>
        <w:t xml:space="preserve">John Engelman </w:t>
      </w:r>
      <w:r>
        <w:rPr>
          <w:rFonts w:ascii="Arial" w:cs="Arial" w:eastAsia="Arial" w:hAnsi="Arial"/>
          <w:sz w:val="15"/>
          <w:szCs w:val="15"/>
          <w:color w:val="auto"/>
        </w:rPr>
        <w:t>has served as a director of Vringo since December 2010. Mr. Engelman is a co-founder of Boomerang Media</w:t>
      </w:r>
      <w:r>
        <w:rPr>
          <w:rFonts w:ascii="Arial" w:cs="Arial" w:eastAsia="Arial" w:hAnsi="Arial"/>
          <w:sz w:val="15"/>
          <w:szCs w:val="15"/>
          <w:b w:val="1"/>
          <w:bCs w:val="1"/>
          <w:color w:val="auto"/>
        </w:rPr>
        <w:t xml:space="preserve"> </w:t>
      </w:r>
      <w:r>
        <w:rPr>
          <w:rFonts w:ascii="Arial" w:cs="Arial" w:eastAsia="Arial" w:hAnsi="Arial"/>
          <w:sz w:val="15"/>
          <w:szCs w:val="15"/>
          <w:color w:val="auto"/>
        </w:rPr>
        <w:t>LLC (“Boomerang”), founded in January 2008, which specializes in the acquisition and global licensing of entertainment brands comprised of evergreen television and motion picture libraries and underlying character-based intellectual property. He currently serves as Co-Chief Executive Officer of Classic Media LLC which was acquired by Boomerang in 2009. He was also the Co-Chief Executive Officer of Classic Media from May 2000 to November 2007. Classic Media owns one of the world's most extensive libraries of branded TV, film and publishing properties such as Lassie, the Lone Ranger, Where's Waldo, Rocky &amp; Bullwinkle, George of the Jungle, Casper the Friendly Ghost, VeggieTales and Frosty the Snowman. From 2007 to 2009, Mr. Engelman was Chief Executive Officer of Boomerang. He also is a director of Azteca</w:t>
      </w: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2" w:name="page183"/>
    <w:bookmarkEnd w:id="18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2" w:lineRule="auto"/>
        <w:rPr>
          <w:sz w:val="20"/>
          <w:szCs w:val="20"/>
          <w:color w:val="auto"/>
        </w:rPr>
      </w:pPr>
      <w:r>
        <w:rPr>
          <w:rFonts w:ascii="Arial" w:cs="Arial" w:eastAsia="Arial" w:hAnsi="Arial"/>
          <w:sz w:val="15"/>
          <w:szCs w:val="15"/>
          <w:color w:val="auto"/>
        </w:rPr>
        <w:t>Acquisition Corporation, a NASDAQ traded special purpose acquisition company focused on the acquisition of trans-border and Hispanic businesses. From 1997 to 2001, Mr. Engelman was an operating partner with Pegasus. From 1991 to 1997, he was president of Broadway Video, Inc., production company for “Saturday Night Live,” “Late Night with Conan O’Brien,” “Wayne’s World” and many other television series and movies. He began his career as a partner at the Los Angeles law firm of Irell &amp; Manella where he specialized in tax and entertainment. Mr. Engelman is a graduate of Harvard College and Harvard Law School.</w:t>
      </w:r>
    </w:p>
    <w:p>
      <w:pPr>
        <w:spacing w:after="0" w:line="5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believes Mr. Engelman's experience in the media intellectual property and entertainment industries qualifies him to serve on Vringo’s board of directors. His extensive experience and insights gained both as an executive at Boomerang Media and Classic Media are a significant contribution to Vringo and its board of directors.</w:t>
      </w:r>
    </w:p>
    <w:p>
      <w:pPr>
        <w:spacing w:after="0" w:line="72"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b w:val="1"/>
          <w:bCs w:val="1"/>
          <w:color w:val="auto"/>
        </w:rPr>
        <w:t xml:space="preserve">Donald E. Stout </w:t>
      </w:r>
      <w:r>
        <w:rPr>
          <w:rFonts w:ascii="Arial" w:cs="Arial" w:eastAsia="Arial" w:hAnsi="Arial"/>
          <w:sz w:val="15"/>
          <w:szCs w:val="15"/>
          <w:color w:val="auto"/>
        </w:rPr>
        <w:t>has been a director of Innovate/Protect since August 15, 2011. In a career spanning over forty years, Mr. Stout</w:t>
      </w:r>
      <w:r>
        <w:rPr>
          <w:rFonts w:ascii="Arial" w:cs="Arial" w:eastAsia="Arial" w:hAnsi="Arial"/>
          <w:sz w:val="15"/>
          <w:szCs w:val="15"/>
          <w:b w:val="1"/>
          <w:bCs w:val="1"/>
          <w:color w:val="auto"/>
        </w:rPr>
        <w:t xml:space="preserve"> </w:t>
      </w:r>
      <w:r>
        <w:rPr>
          <w:rFonts w:ascii="Arial" w:cs="Arial" w:eastAsia="Arial" w:hAnsi="Arial"/>
          <w:sz w:val="15"/>
          <w:szCs w:val="15"/>
          <w:color w:val="auto"/>
        </w:rPr>
        <w:t>has been involved in virtually all facets of intellectual property law. From 1968 to 1972, Mr. Stout was an assistant examiner at the United States Patent and Trademark Office (USPTO), where he focused on patent applications covering radio and television technologies. Thereafter, from 1971 to 1972 Mr. Stout worked as a law clerk for two members of the USPTO Board of Appeals. Mr. Stout has been a senior partner at the law firm of Antonelli, Terry, Stout and Kraus, LLP since 1982. As an attorney in private practice, Mr. Stout has focused on litigation, licensing and representation of clients before the USPTO in diverse technological areas. Mr. Stout has written and prosecuted hundreds of patent applications in diverse technologies, rendered opinions on patent infringement and validity, and has testified as an expert witness regarding obtaining and prosecuting patents. Mr. Stout is the co-founder of NTP Inc., which licensed Research in Motion (RIM), the maker of the Blackberry handheld devices, for $612.5 million to settle a patent infringement action.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Juris Doctor degree, with honors, from The George Washington University.</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believes Mr. Stout’s extensive experience in intellectual property law and handling of significant papten infringement actions qualifies him to serve on Vringo’s board of directors following the Merger.</w:t>
      </w:r>
    </w:p>
    <w:p>
      <w:pPr>
        <w:spacing w:after="0" w:line="62"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b w:val="1"/>
          <w:bCs w:val="1"/>
          <w:color w:val="auto"/>
        </w:rPr>
        <w:t xml:space="preserve">H. Van Sinclair </w:t>
      </w:r>
      <w:r>
        <w:rPr>
          <w:rFonts w:ascii="Arial" w:cs="Arial" w:eastAsia="Arial" w:hAnsi="Arial"/>
          <w:sz w:val="15"/>
          <w:szCs w:val="15"/>
          <w:color w:val="auto"/>
        </w:rPr>
        <w:t>has been a director of Innovate/Protect since November 7, 2011. Since 2003, Mr. Sinclair has served as</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and Chief Executive Officer of The RLJ Companies, the investment company organized by Robert L. Johnson, the founder of Black Entertainment Television. The RLJ Companies owns or holds interests in diverse businesses, including private equity, financial services, asset management, insurance services, automobile dealerships, film production, sports and entertainment and video lottery terminal gaming. Mr. Sinclair currently serves as President and a Director of RLJ Acquisition, Inc., a publicly traded Special Purpose Acquisition Company, and sits on additional boards of RLJ portfolio investment companies, including RLJ Acquisition, Inc. (OTC BB: RLJAU), a special purpose acquisition company. Mr. Sinclair has also served as Vice President of Legal and Business Affairs for RLJ Urban Lodging Funds, a private equity fund which concentrated on limited and focused service hotels; for RLJ Development, the RLJ Companies’ hotel and hospitality company; and as Acting President of the Charlotte Bobcats, the NBA franchise located in Charlotte, North Carolina. Mr. Sinclair has also served as a Director of Urban Trust Bank, a federal thrift headquartered in Orlando, Florida, where he chaired the Audit Committee. Prior to joining The RLJ Companies, Mr. Sinclair spent 28 years, from October 1978 to February 2003, with the Washington, DC based law firm Arent Fox, PLLC, where he specialized in complex commercial disputes and litigation. In the late 1990s, Mr. Sinclair became the partner in charge of litigation at Arent Fox, and today remains of counsel to the firm. Mr. Sinclair holds a Bachelor’s degree and a Master’s degree in business administration from the University of Rochester, and a Juris Doctor degree from The George Washington University.</w:t>
      </w:r>
    </w:p>
    <w:p>
      <w:pPr>
        <w:spacing w:after="0" w:line="6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believes that Mr. Sinclair’s experience and leadership with The RLJ Companies qualify him to serve on Vringo’s board of directors following the Merger.</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3" w:name="page184"/>
    <w:bookmarkEnd w:id="18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b w:val="1"/>
          <w:bCs w:val="1"/>
          <w:color w:val="auto"/>
        </w:rPr>
        <w:t xml:space="preserve">Ellen Cohl </w:t>
      </w:r>
      <w:r>
        <w:rPr>
          <w:rFonts w:ascii="Arial" w:cs="Arial" w:eastAsia="Arial" w:hAnsi="Arial"/>
          <w:sz w:val="16"/>
          <w:szCs w:val="16"/>
          <w:color w:val="auto"/>
        </w:rPr>
        <w:t>has served as Chief Financial Officer, and previously as Vice President, Finance &amp; Governance of Vringo since</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2009, including the role of Compliance Officer as of Vringo’s IPO. Ms. Cohl operates from Vringo’s research and development facilities located in Beit-Shemesh, Israel. From September 2005 to September 2008, Ms. Cohl served as Chief Financial Officer and Director of Information Technology for Mandel Foundation R.A. and Mandel Institute, R.A., philanthropic leadership training organizations. From January 2001 to August 2005, Ms. Cohl served as the Director of Corporate Services and Accounting for Chiaro Networks Ltd., a telecommunications network infrastructure manufacturer. From August 1997 to December 2000, she served as Vice President of Finance and Controller for Virtual Communities, Ltd., a provider of turnkey solutions for the development and management of Web-based communities, which was formerly listed on the NASDAQ Stock Market, Inc. From July 1992 to September 1994, Cohl served as an internal auditor for Bank Leumi Trust Company. From August 1995 to July 1997 and from July 1988 to September 1991, Ms. Cohl served as a senior auditor for Arthur Andersen &amp; Co. in the Tel Aviv and New York offices.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Key Employees of the Combined Company Following the Merger</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key employees of the combined company that are not executive officers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840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488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Position with the Combined Company</w:t>
            </w:r>
          </w:p>
        </w:tc>
      </w:tr>
      <w:tr>
        <w:trPr>
          <w:trHeight w:val="181"/>
        </w:trPr>
        <w:tc>
          <w:tcPr>
            <w:tcW w:w="1920" w:type="dxa"/>
            <w:vAlign w:val="bottom"/>
          </w:tcPr>
          <w:p>
            <w:pPr>
              <w:spacing w:after="0" w:line="180" w:lineRule="exact"/>
              <w:rPr>
                <w:sz w:val="20"/>
                <w:szCs w:val="20"/>
                <w:color w:val="auto"/>
              </w:rPr>
            </w:pPr>
            <w:r>
              <w:rPr>
                <w:rFonts w:ascii="Arial" w:cs="Arial" w:eastAsia="Arial" w:hAnsi="Arial"/>
                <w:sz w:val="17"/>
                <w:szCs w:val="17"/>
                <w:color w:val="auto"/>
              </w:rPr>
              <w:t>David L. Cohen</w:t>
            </w:r>
          </w:p>
        </w:tc>
        <w:tc>
          <w:tcPr>
            <w:tcW w:w="140" w:type="dxa"/>
            <w:vAlign w:val="bottom"/>
          </w:tcPr>
          <w:p>
            <w:pPr>
              <w:spacing w:after="0"/>
              <w:rPr>
                <w:sz w:val="15"/>
                <w:szCs w:val="15"/>
                <w:color w:val="auto"/>
              </w:rPr>
            </w:pPr>
          </w:p>
        </w:tc>
        <w:tc>
          <w:tcPr>
            <w:tcW w:w="4880" w:type="dxa"/>
            <w:vAlign w:val="bottom"/>
          </w:tcPr>
          <w:p>
            <w:pPr>
              <w:spacing w:after="0" w:line="180" w:lineRule="exact"/>
              <w:rPr>
                <w:sz w:val="20"/>
                <w:szCs w:val="20"/>
                <w:color w:val="auto"/>
              </w:rPr>
            </w:pPr>
            <w:r>
              <w:rPr>
                <w:rFonts w:ascii="Arial" w:cs="Arial" w:eastAsia="Arial" w:hAnsi="Arial"/>
                <w:sz w:val="17"/>
                <w:szCs w:val="17"/>
                <w:color w:val="auto"/>
              </w:rPr>
              <w:t>Special Counsel</w:t>
            </w:r>
          </w:p>
        </w:tc>
      </w:tr>
      <w:tr>
        <w:trPr>
          <w:trHeight w:val="200"/>
        </w:trPr>
        <w:tc>
          <w:tcPr>
            <w:tcW w:w="1920" w:type="dxa"/>
            <w:vAlign w:val="bottom"/>
          </w:tcPr>
          <w:p>
            <w:pPr>
              <w:spacing w:after="0"/>
              <w:rPr>
                <w:sz w:val="20"/>
                <w:szCs w:val="20"/>
                <w:color w:val="auto"/>
              </w:rPr>
            </w:pPr>
            <w:r>
              <w:rPr>
                <w:rFonts w:ascii="Arial" w:cs="Arial" w:eastAsia="Arial" w:hAnsi="Arial"/>
                <w:sz w:val="17"/>
                <w:szCs w:val="17"/>
                <w:color w:val="auto"/>
              </w:rPr>
              <w:t>Clifford Weinstein</w:t>
            </w:r>
          </w:p>
        </w:tc>
        <w:tc>
          <w:tcPr>
            <w:tcW w:w="14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Executive Vice President</w:t>
            </w:r>
          </w:p>
        </w:tc>
      </w:tr>
      <w:tr>
        <w:trPr>
          <w:trHeight w:val="213"/>
        </w:trPr>
        <w:tc>
          <w:tcPr>
            <w:tcW w:w="1920" w:type="dxa"/>
            <w:vAlign w:val="bottom"/>
          </w:tcPr>
          <w:p>
            <w:pPr>
              <w:spacing w:after="0"/>
              <w:rPr>
                <w:sz w:val="20"/>
                <w:szCs w:val="20"/>
                <w:color w:val="auto"/>
              </w:rPr>
            </w:pPr>
            <w:r>
              <w:rPr>
                <w:rFonts w:ascii="Arial" w:cs="Arial" w:eastAsia="Arial" w:hAnsi="Arial"/>
                <w:sz w:val="17"/>
                <w:szCs w:val="17"/>
                <w:color w:val="auto"/>
              </w:rPr>
              <w:t>Josh Wolff</w:t>
            </w:r>
          </w:p>
        </w:tc>
        <w:tc>
          <w:tcPr>
            <w:tcW w:w="1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Senior Vice President for Partner Solutions</w:t>
            </w:r>
          </w:p>
        </w:tc>
      </w:tr>
    </w:tbl>
    <w:p>
      <w:pPr>
        <w:spacing w:after="0" w:line="84"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b w:val="1"/>
          <w:bCs w:val="1"/>
          <w:color w:val="auto"/>
        </w:rPr>
        <w:t>David L. Cohen</w:t>
      </w:r>
      <w:r>
        <w:rPr>
          <w:rFonts w:ascii="Arial" w:cs="Arial" w:eastAsia="Arial" w:hAnsi="Arial"/>
          <w:sz w:val="15"/>
          <w:szCs w:val="15"/>
          <w:color w:val="auto"/>
        </w:rPr>
        <w:t>, 41, has been Special Counsel to Innovate/Protect since February 2012. Prior to joining Innovate/Protect, Mr.</w:t>
      </w:r>
      <w:r>
        <w:rPr>
          <w:rFonts w:ascii="Arial" w:cs="Arial" w:eastAsia="Arial" w:hAnsi="Arial"/>
          <w:sz w:val="15"/>
          <w:szCs w:val="15"/>
          <w:b w:val="1"/>
          <w:bCs w:val="1"/>
          <w:color w:val="auto"/>
        </w:rPr>
        <w:t xml:space="preserve"> </w:t>
      </w:r>
      <w:r>
        <w:rPr>
          <w:rFonts w:ascii="Arial" w:cs="Arial" w:eastAsia="Arial" w:hAnsi="Arial"/>
          <w:sz w:val="15"/>
          <w:szCs w:val="15"/>
          <w:color w:val="auto"/>
        </w:rPr>
        <w:t>Cohen was Senior Litigation Counsel for Nokia, where he was the global manager responsible for developing and running Nokia’s multi-jurisdictional litigation with Apple. Additionally, Mr. Cohen was responsible for managing the U.S. side of Nokia’s litigations with Qualcomm. Prior to Nokia, Mr. Cohen was an attorney in private practice at Lerner David Littenberg Krumholz &amp; Mentlik LLP, where his practice focused on intellectual property litigation, and at Skadden Arps Slate Meagher &amp; Flom LLP. Earlier in his career, Mr. Cohen clerked for Chief Judge Carman on the US Court of International Trade. Mr. Cohen holds Bachelor’s and Master’s degrees from the Johns Hopkins University in the History of Science and History, a Master’s degree from Cambridge University in the History and Philosophy of Science, a Master’s degree in Legal and Political Theory from University College London, and a Juris Doctor degree from the Northwestern University School of Law. Mr. Cohen is admitted to practice before the New York, New Jersey and District of Columbia bars as well as before the USPTO.</w:t>
      </w:r>
    </w:p>
    <w:p>
      <w:pPr>
        <w:spacing w:after="0" w:line="57"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b w:val="1"/>
          <w:bCs w:val="1"/>
          <w:color w:val="auto"/>
        </w:rPr>
        <w:t>Clifford Weinstein</w:t>
      </w:r>
      <w:r>
        <w:rPr>
          <w:rFonts w:ascii="Arial" w:cs="Arial" w:eastAsia="Arial" w:hAnsi="Arial"/>
          <w:sz w:val="15"/>
          <w:szCs w:val="15"/>
          <w:color w:val="auto"/>
        </w:rPr>
        <w:t>, 30, has served as Executive Vice President of Vringo since April 2012. Previously, he served as Vice</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of Corporate Development since November 2011. Prior to joining Vringo, Mr. Weinstein was employed at Maxim Group, LLC, from 2003 to February 2008, and October 2008 to October 2011, where he served in a variety of roles beginning in private wealth management and ultimately as Senior Vice President of Institutional Sales. Maxim Group is an investment banking, securities and investment management firm. From February to October 2008, Mr. Weinstein was employed at New Castle Financial Services LLC. Mr. Weinstein holds a Bachelor’s Degree in Business Administration from Fordham University.</w:t>
      </w:r>
    </w:p>
    <w:p>
      <w:pPr>
        <w:spacing w:after="0" w:line="4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b w:val="1"/>
          <w:bCs w:val="1"/>
          <w:color w:val="auto"/>
        </w:rPr>
        <w:t>Josh Wolff</w:t>
      </w:r>
      <w:r>
        <w:rPr>
          <w:rFonts w:ascii="Arial" w:cs="Arial" w:eastAsia="Arial" w:hAnsi="Arial"/>
          <w:sz w:val="16"/>
          <w:szCs w:val="16"/>
          <w:color w:val="auto"/>
        </w:rPr>
        <w:t>, 41, has served as Senior Vice President for Partner Solutions at Vringo since March 2012. He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for Service and Solutions since joining the company in October 2007. Mr. Wolff oversees the implementation of Vringo’s technology in the carrier and partner environments and the distribution of its applications and services via consumer storefronts. Prior to joining Vringo, Mr. Wolff was Manager of New Product Integration at NMS Communications (formerly Natural Microsystems) in Framingham, Massachusetts. Earlier in his career, Mr. Wolff was Director of Technology at Mobilee in Boston, Massachusetts, a voice portal service, and Director of Information Technology at ABC Industries in Long Island, New York. Mr. Wolff holds a Bachelor of Arts degree from Yeshiva University and a Bachelor of Science in Industrial Engineering from Columbia University, where he was recognized by the Alpha Pi Mu National Honors Society.</w:t>
      </w:r>
    </w:p>
    <w:p>
      <w:pPr>
        <w:spacing w:after="0" w:line="200" w:lineRule="exact"/>
        <w:rPr>
          <w:sz w:val="20"/>
          <w:szCs w:val="20"/>
          <w:color w:val="auto"/>
        </w:rPr>
      </w:pPr>
    </w:p>
    <w:p>
      <w:pPr>
        <w:spacing w:after="0" w:line="29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4" w:name="page185"/>
    <w:bookmarkEnd w:id="18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Composition of the Board and Director Independence</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board of directors of Vringo is currently comprised of six directors. Following the completion of the Merger, the combined company is initially expected to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the Innovate/Protect board of directors.</w:t>
      </w:r>
    </w:p>
    <w:p>
      <w:pPr>
        <w:spacing w:after="0" w:line="80"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Each of Seth M. Siegel, John Engelman, Donald E. Stout and H. Van Sinclair, the directors of the combined company following the completion of the Merger, will be deemed “independent” in accordance with the standards set by the NYSE Amex as well as Rule 10A-3 promulgated under the Securities Exchange Act of 1934, as amended, or the Exchange Act. Accordingly, the board of directors of the combined company will be comprised of a majority of independent directors as required by the NYSE Amex.</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Vringo has established three standing committees: (1) the Audit Committee, (2) the Compensation Committee and (3) the Nominating and Corporate Governance Committee. Each committee operates under a charter that has been approved by the Vringo board of directors, and which is available on Vringo’s website at </w:t>
      </w:r>
      <w:r>
        <w:rPr>
          <w:rFonts w:ascii="Arial" w:cs="Arial" w:eastAsia="Arial" w:hAnsi="Arial"/>
          <w:sz w:val="17"/>
          <w:szCs w:val="17"/>
          <w:i w:val="1"/>
          <w:iCs w:val="1"/>
          <w:color w:val="auto"/>
        </w:rPr>
        <w:t>http://ir.vringo.com</w:t>
      </w:r>
      <w:r>
        <w:rPr>
          <w:rFonts w:ascii="Arial" w:cs="Arial" w:eastAsia="Arial" w:hAnsi="Arial"/>
          <w:sz w:val="17"/>
          <w:szCs w:val="17"/>
          <w:color w:val="auto"/>
        </w:rPr>
        <w:t>. It is expected that the following appointment will be made:</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Compensation Committee: Messrs. Siegel and Engelman.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Audit Committee: Messrs. Sinclair and Stout.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Nominating and Corporate Governance Committee: Messrs. Siegel and Sinclair.</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Vringo’s board of directors has established a Compensation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Compensation Committee is authorized to:</w:t>
      </w:r>
    </w:p>
    <w:p>
      <w:pPr>
        <w:spacing w:after="0" w:line="105" w:lineRule="exact"/>
        <w:rPr>
          <w:sz w:val="20"/>
          <w:szCs w:val="20"/>
          <w:color w:val="auto"/>
        </w:rPr>
      </w:pPr>
    </w:p>
    <w:p>
      <w:pPr>
        <w:ind w:left="560" w:right="1239" w:hanging="300"/>
        <w:spacing w:after="0" w:line="267" w:lineRule="auto"/>
        <w:tabs>
          <w:tab w:leader="none" w:pos="5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review and recommend the compensation arrangements for management, including the compensation for the chief executive officer;</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establish and review general compensation policies with the objective of attracting and retaining superior talent, rewarding individual performance and achieving financial goals;</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administer our stock incentive plans; and</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prepare the report of the Compensation Committee that SEC rules require to be included in the annual meeting proxy statement.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Vringo board of directors has established an Audit Committee. The Vringo board of directors has determined that Mr.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Sinclair is an “audit committee financial expert” as defined in Item 407(d)(5)(ii) of Regulation S-K.</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Audit Committee is authorized to:</w:t>
      </w:r>
    </w:p>
    <w:p>
      <w:pPr>
        <w:spacing w:after="0" w:line="105" w:lineRule="exact"/>
        <w:rPr>
          <w:sz w:val="20"/>
          <w:szCs w:val="20"/>
          <w:color w:val="auto"/>
        </w:rPr>
      </w:pPr>
    </w:p>
    <w:p>
      <w:pPr>
        <w:ind w:left="560" w:hanging="300"/>
        <w:spacing w:after="0"/>
        <w:tabs>
          <w:tab w:leader="none" w:pos="5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approve and retain the independent auditors to conduct the annual audit of the books and records;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review the proposed scope and results of the audit;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review and pre-approve the independent auditor’s audit and non-audit services rendered;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approve the audit fees to be paid;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review accounting and financial controls with the independent auditors and financial and accounting staff;</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review and approve transactions between Vringo and its directors, officers and affiliates;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recognize and prevent prohibited non-audit services;</w:t>
      </w:r>
    </w:p>
    <w:p>
      <w:pPr>
        <w:spacing w:after="0" w:line="200" w:lineRule="exact"/>
        <w:rPr>
          <w:sz w:val="20"/>
          <w:szCs w:val="20"/>
          <w:color w:val="auto"/>
        </w:rPr>
      </w:pPr>
    </w:p>
    <w:p>
      <w:pPr>
        <w:spacing w:after="0" w:line="33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5" w:name="page186"/>
    <w:bookmarkEnd w:id="18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hanging="300"/>
        <w:spacing w:after="0"/>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establish procedures for complaints received by Vringo regarding accounting matters;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oversee internal audit functions;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prepare the report of the Audit Committee that SEC rules require to be included in the annual meeting proxy statement.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Vringo board of directors has established a Nominating and Corporate Governance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Nominating and Corporate Governance Committee is authorized to:</w:t>
      </w:r>
    </w:p>
    <w:p>
      <w:pPr>
        <w:spacing w:after="0" w:line="105" w:lineRule="exact"/>
        <w:rPr>
          <w:sz w:val="20"/>
          <w:szCs w:val="20"/>
          <w:color w:val="auto"/>
        </w:rPr>
      </w:pPr>
    </w:p>
    <w:p>
      <w:pPr>
        <w:ind w:left="560" w:hanging="300"/>
        <w:spacing w:after="0"/>
        <w:tabs>
          <w:tab w:leader="none" w:pos="5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identify and nominate members of the board of directors;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oversee the evaluation of the board of directors and management;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develop and recommend corporate governance guidelines to the board of directors;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evaluate the performance of the members of the board of directors;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make recommendations to the board of directors as to the structure, composition and functioning of the board of directors and its committees.</w:t>
      </w:r>
    </w:p>
    <w:p>
      <w:pPr>
        <w:spacing w:after="0" w:line="66"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Vringo has no formal policy regarding board diversity. Vringo’s Nominating and Corporate Governance Committee and board of directors may therefore consider a broad range of factors relating to the qualifications and background of nominees, which may include diversity, which is not only limited to race, gender or national origin. Vringo’s Nominating and Corporate Governance Committee’s and board of directors’ priority in selecting board members is identification of persons who will further the interests of Vringo’s stockholders through his or her established record of professional accomplishment, the ability to contribute positively to the collaborative culture among board members and professional and personal experiences and expertise relevant to Vringo’s growth strategy.</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Board Leadership Structure, Executive Sessions of Non-Management Directors</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Mr. Perlman serves as Vringo’s Chief Executive Officer and Mr. Siegel, a non-management director, serves as chairman of Vringo’s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 It is expected that the board leadership structure will continue following the consummation of the Merger.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 Oversight</w:t>
      </w:r>
    </w:p>
    <w:p>
      <w:pPr>
        <w:spacing w:after="0" w:line="10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The board of directors oversees Vringo’s business and considers the risks associated with Vringo’s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Code of Ethics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Vringo has adopted a code of ethics that applies to its officers, directors and employees. Vringo has filed with the SEC copies of its code of ethics and its board committee charters as exhibits to its registration statement for its initial public offering. A copy of the code of ethics is accessible on Vringo’s website at </w:t>
      </w:r>
      <w:r>
        <w:rPr>
          <w:rFonts w:ascii="Arial" w:cs="Arial" w:eastAsia="Arial" w:hAnsi="Arial"/>
          <w:sz w:val="17"/>
          <w:szCs w:val="17"/>
          <w:i w:val="1"/>
          <w:iCs w:val="1"/>
          <w:color w:val="auto"/>
        </w:rPr>
        <w:t>http://ir.vringo.com</w:t>
      </w:r>
      <w:r>
        <w:rPr>
          <w:rFonts w:ascii="Arial" w:cs="Arial" w:eastAsia="Arial" w:hAnsi="Arial"/>
          <w:sz w:val="17"/>
          <w:szCs w:val="17"/>
          <w:color w:val="auto"/>
        </w:rPr>
        <w: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Section 16(a) of the Securities Exchange Act of 1934, as amended (the “Exchange Act”), requires our directors, executive officers and holders of more than 10% of our common stock to file with the SEC initial reports of ownership and reports of changes in the ownership of our common stock and other equity securities. Such persons are required to furnish Vringo copies of all Section 16(a) filings.</w:t>
      </w:r>
    </w:p>
    <w:p>
      <w:pPr>
        <w:spacing w:after="0" w:line="200" w:lineRule="exact"/>
        <w:rPr>
          <w:sz w:val="20"/>
          <w:szCs w:val="20"/>
          <w:color w:val="auto"/>
        </w:rPr>
      </w:pPr>
    </w:p>
    <w:p>
      <w:pPr>
        <w:spacing w:after="0" w:line="29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6" w:name="page187"/>
    <w:bookmarkEnd w:id="18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Based solely upon a review of the copies of the forms furnished to Vringo, Vringo believes that its officers, directors and holders of more than 10% of our common stock complied with all applicable filing requirements during the fiscal year ended December 31, 2011 except as set forth below:</w:t>
      </w:r>
    </w:p>
    <w:p>
      <w:pPr>
        <w:spacing w:after="0" w:line="7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February 3, 2011 Form 4/As were filed by Jonathan Medved, Andrew D. Perlman, Seth M. Siegel and John Engelman to amend filings of their respective June 21, 2010 initial public offering units purchases, in order to reflect the warrant portions of those units. The Form 4/A relating to the same for Edo Segal was filed subsequently on February 15, 2012. On August 23, 2011 a Form 4 was filed by Jonathan Medved for an option exercise on July 12, 2011. On September 26, 2011 a Form 3 was filed by Geoffrey Skolnik relating to his joining as a director on June 22, 2011.</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Related Person Transactions</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following is a description of transactions that Vringo entered into with its executive officers, directors or 5% stockholders during the past two years. Vringo believes that all of the transactions described below were made on terms no less favorable to Vringo than could have been obtained from unaffiliated third parties. All future related party transactions will be approved by Vringo’s audit committee or a majority of Vringo’s independent directors who do not have an interest in the transaction and who will have access, at Vringo’s expense, to Vringo’s independent legal counsel.</w:t>
      </w:r>
    </w:p>
    <w:p>
      <w:pPr>
        <w:spacing w:after="0" w:line="6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As of December 31, 2010, Mr. Goldfarb, Vringo’s co-founder and former officer of Vringo’s subsidiary, held approximately 6.0% of Vringo’s outstanding shares of common stock, respectively. In the year ended December 31, 2010, Vringo paid Mr. Goldfarb for consulting services provided to Vringo, through Degel Software Limited (“</w:t>
      </w:r>
      <w:r>
        <w:rPr>
          <w:rFonts w:ascii="Arial" w:cs="Arial" w:eastAsia="Arial" w:hAnsi="Arial"/>
          <w:sz w:val="17"/>
          <w:szCs w:val="17"/>
          <w:b w:val="1"/>
          <w:bCs w:val="1"/>
          <w:color w:val="auto"/>
        </w:rPr>
        <w:t>Degel</w:t>
      </w:r>
      <w:r>
        <w:rPr>
          <w:rFonts w:ascii="Arial" w:cs="Arial" w:eastAsia="Arial" w:hAnsi="Arial"/>
          <w:sz w:val="17"/>
          <w:szCs w:val="17"/>
          <w:color w:val="auto"/>
        </w:rPr>
        <w:t>”) a total amount of $221,000. In January 2011, Mr. Goldfarb entered into a separation agreement with Vringo, as part of which, the vesting of 60,000 options with an exercise price of $0.01 was accelerated. In addition, pursuant to the separation agreement, Vringo paid Mr. Goldfarb, through Degel, a total amount of $125,000.</w:t>
      </w:r>
    </w:p>
    <w:p>
      <w:pPr>
        <w:spacing w:after="0" w:line="8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Vringo’s intellectual property counsel is Heidi Brun, the wife of Vringo’s co-founder, and former officer of Vringo’s subsidiary, Mr. David Goldfarb. For the years ended December 31, 2011 and 2010, Vringo paid Heidi Brun, through a law firm which she represents, approximately $66,000 and $95,000, respectively. In addition, until March 31, 2011, Vringo’s Israeli subsidiary sub-leased part of its office space from Heidi Brun Associates. Total rent paid to Heidi Brun Associates in the year ended December 31, 2011 and 2010 was approximately $4,000 and $16,000, respectively.</w:t>
      </w:r>
    </w:p>
    <w:p>
      <w:pPr>
        <w:spacing w:after="0" w:line="80"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Edo Segal, who serves on the board of directors of Vringo, is the chief executive officer of two consulting firms which Vringo paid approximately $53,000 and $112,000 during the years ended December 31, 2011 and 2010, respectively.</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Director Compensation</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It is currently expected that the non-employee director compensation will be reviewed by the compensation committee of the board of directors of the combined company following the completion of the Merger and may be subject to change.</w:t>
      </w:r>
    </w:p>
    <w:p>
      <w:pPr>
        <w:spacing w:after="0" w:line="4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addition to compensation, currently Vringo reimburses each member of its board of directors for reasonable travel and other expenses in connection with attending meetings of the board of directors.</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7" w:name="page188"/>
    <w:bookmarkEnd w:id="18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Director Compensation Table: Combined Company Directors from Vringo</w:t>
      </w:r>
    </w:p>
    <w:p>
      <w:pPr>
        <w:spacing w:after="0" w:line="105" w:lineRule="exact"/>
        <w:rPr>
          <w:sz w:val="20"/>
          <w:szCs w:val="20"/>
          <w:color w:val="auto"/>
        </w:rPr>
      </w:pPr>
    </w:p>
    <w:p>
      <w:pPr>
        <w:ind w:left="40" w:right="1239" w:firstLine="251"/>
        <w:spacing w:after="0" w:line="264" w:lineRule="auto"/>
        <w:rPr>
          <w:sz w:val="20"/>
          <w:szCs w:val="20"/>
          <w:color w:val="auto"/>
        </w:rPr>
      </w:pPr>
      <w:r>
        <w:rPr>
          <w:rFonts w:ascii="Arial" w:cs="Arial" w:eastAsia="Arial" w:hAnsi="Arial"/>
          <w:sz w:val="17"/>
          <w:szCs w:val="17"/>
          <w:color w:val="auto"/>
        </w:rPr>
        <w:t>The following table sets forth cash compensation and the value of stock options awards granted to Vringo’s non-employee directors that will continue as directors for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4500" w:type="dxa"/>
            <w:vAlign w:val="bottom"/>
          </w:tcPr>
          <w:p>
            <w:pPr>
              <w:spacing w:after="0" w:line="139" w:lineRule="exact"/>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67"/>
              <w:spacing w:after="0" w:line="139"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25"/>
              <w:spacing w:after="0" w:line="139" w:lineRule="exact"/>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65"/>
              <w:spacing w:after="0" w:line="139" w:lineRule="exact"/>
              <w:rPr>
                <w:sz w:val="20"/>
                <w:szCs w:val="20"/>
                <w:color w:val="auto"/>
              </w:rPr>
            </w:pPr>
            <w:r>
              <w:rPr>
                <w:rFonts w:ascii="Arial" w:cs="Arial" w:eastAsia="Arial" w:hAnsi="Arial"/>
                <w:sz w:val="13"/>
                <w:szCs w:val="13"/>
                <w:b w:val="1"/>
                <w:bCs w:val="1"/>
                <w:color w:val="auto"/>
              </w:rPr>
              <w:t>Total</w:t>
            </w:r>
          </w:p>
        </w:tc>
      </w:tr>
      <w:tr>
        <w:trPr>
          <w:trHeight w:val="138"/>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67"/>
              <w:spacing w:after="0" w:line="138" w:lineRule="exact"/>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1"/>
                <w:szCs w:val="11"/>
                <w:color w:val="auto"/>
              </w:rPr>
            </w:pPr>
          </w:p>
        </w:tc>
        <w:tc>
          <w:tcPr>
            <w:tcW w:w="8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8"/>
              </w:rPr>
              <w:t>compensation</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25"/>
              <w:spacing w:after="0" w:line="138" w:lineRule="exact"/>
              <w:rPr>
                <w:sz w:val="20"/>
                <w:szCs w:val="20"/>
                <w:color w:val="auto"/>
              </w:rPr>
            </w:pPr>
            <w:r>
              <w:rPr>
                <w:rFonts w:ascii="Arial" w:cs="Arial" w:eastAsia="Arial" w:hAnsi="Arial"/>
                <w:sz w:val="13"/>
                <w:szCs w:val="13"/>
                <w:b w:val="1"/>
                <w:bCs w:val="1"/>
                <w:color w:val="auto"/>
              </w:rPr>
              <w:t>($)</w:t>
            </w:r>
          </w:p>
        </w:tc>
      </w:tr>
      <w:tr>
        <w:trPr>
          <w:trHeight w:val="196"/>
        </w:trPr>
        <w:tc>
          <w:tcPr>
            <w:tcW w:w="4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67"/>
              <w:spacing w:after="0" w:line="195"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22"/>
                <w:szCs w:val="22"/>
                <w:b w:val="1"/>
                <w:bCs w:val="1"/>
                <w:color w:val="auto"/>
                <w:w w:val="82"/>
                <w:vertAlign w:val="superscript"/>
              </w:rPr>
              <w:t>(1)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31"/>
        </w:trPr>
        <w:tc>
          <w:tcPr>
            <w:tcW w:w="4500" w:type="dxa"/>
            <w:vAlign w:val="bottom"/>
            <w:shd w:val="clear" w:color="auto" w:fill="CCFFCC"/>
          </w:tcPr>
          <w:p>
            <w:pPr>
              <w:spacing w:after="0" w:line="231" w:lineRule="exact"/>
              <w:rPr>
                <w:sz w:val="20"/>
                <w:szCs w:val="20"/>
                <w:color w:val="auto"/>
              </w:rPr>
            </w:pPr>
            <w:r>
              <w:rPr>
                <w:rFonts w:ascii="Arial" w:cs="Arial" w:eastAsia="Arial" w:hAnsi="Arial"/>
                <w:sz w:val="16"/>
                <w:szCs w:val="16"/>
                <w:color w:val="auto"/>
              </w:rPr>
              <w:t>Seth M. Siegel</w:t>
            </w:r>
            <w:r>
              <w:rPr>
                <w:rFonts w:ascii="Arial" w:cs="Arial" w:eastAsia="Arial" w:hAnsi="Arial"/>
                <w:sz w:val="26"/>
                <w:szCs w:val="26"/>
                <w:color w:val="auto"/>
                <w:vertAlign w:val="superscript"/>
              </w:rPr>
              <w:t>(2)</w:t>
            </w:r>
          </w:p>
        </w:tc>
        <w:tc>
          <w:tcPr>
            <w:tcW w:w="3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105,431</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FFCC"/>
          </w:tcPr>
          <w:p>
            <w:pPr>
              <w:jc w:val="right"/>
              <w:ind w:right="5"/>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FFCC"/>
          </w:tcPr>
          <w:p>
            <w:pPr>
              <w:jc w:val="right"/>
              <w:ind w:right="5"/>
              <w:spacing w:after="0"/>
              <w:rPr>
                <w:sz w:val="20"/>
                <w:szCs w:val="20"/>
                <w:color w:val="auto"/>
              </w:rPr>
            </w:pPr>
            <w:r>
              <w:rPr>
                <w:rFonts w:ascii="Arial" w:cs="Arial" w:eastAsia="Arial" w:hAnsi="Arial"/>
                <w:sz w:val="17"/>
                <w:szCs w:val="17"/>
                <w:color w:val="auto"/>
              </w:rPr>
              <w:t>105,431</w:t>
            </w:r>
          </w:p>
        </w:tc>
      </w:tr>
      <w:tr>
        <w:trPr>
          <w:trHeight w:val="364"/>
        </w:trPr>
        <w:tc>
          <w:tcPr>
            <w:tcW w:w="4500" w:type="dxa"/>
            <w:vAlign w:val="bottom"/>
          </w:tcPr>
          <w:p>
            <w:pPr>
              <w:spacing w:after="0"/>
              <w:rPr>
                <w:sz w:val="20"/>
                <w:szCs w:val="20"/>
                <w:color w:val="auto"/>
              </w:rPr>
            </w:pPr>
            <w:r>
              <w:rPr>
                <w:rFonts w:ascii="Arial" w:cs="Arial" w:eastAsia="Arial" w:hAnsi="Arial"/>
                <w:sz w:val="17"/>
                <w:szCs w:val="17"/>
                <w:color w:val="auto"/>
              </w:rPr>
              <w:t>John Engelman</w:t>
            </w:r>
            <w:r>
              <w:rPr>
                <w:rFonts w:ascii="Arial" w:cs="Arial" w:eastAsia="Arial" w:hAnsi="Arial"/>
                <w:sz w:val="27"/>
                <w:szCs w:val="27"/>
                <w:color w:val="auto"/>
                <w:vertAlign w:val="superscript"/>
              </w:rPr>
              <w:t>(3)</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29,871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
              <w:spacing w:after="0"/>
              <w:rPr>
                <w:sz w:val="20"/>
                <w:szCs w:val="20"/>
                <w:color w:val="auto"/>
              </w:rPr>
            </w:pPr>
            <w:r>
              <w:rPr>
                <w:rFonts w:ascii="Arial" w:cs="Arial" w:eastAsia="Arial" w:hAnsi="Arial"/>
                <w:sz w:val="17"/>
                <w:szCs w:val="17"/>
                <w:color w:val="auto"/>
              </w:rPr>
              <w:t>10,000</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
              <w:spacing w:after="0"/>
              <w:rPr>
                <w:sz w:val="20"/>
                <w:szCs w:val="20"/>
                <w:color w:val="auto"/>
              </w:rPr>
            </w:pPr>
            <w:r>
              <w:rPr>
                <w:rFonts w:ascii="Arial" w:cs="Arial" w:eastAsia="Arial" w:hAnsi="Arial"/>
                <w:sz w:val="17"/>
                <w:szCs w:val="17"/>
                <w:color w:val="auto"/>
              </w:rPr>
              <w:t>39,871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572770"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368" w:lineRule="exact"/>
        <w:rPr>
          <w:sz w:val="20"/>
          <w:szCs w:val="20"/>
          <w:color w:val="auto"/>
        </w:rPr>
      </w:pPr>
    </w:p>
    <w:p>
      <w:pPr>
        <w:jc w:val="both"/>
        <w:ind w:left="260" w:right="1239" w:hanging="250"/>
        <w:spacing w:after="0" w:line="256" w:lineRule="auto"/>
        <w:tabs>
          <w:tab w:leader="none" w:pos="2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 See Note 11 of Vringo’s consolidated financial statements for the year ended December 31, 2011, for the assumptions made in the valuation of the equity awards.</w:t>
      </w:r>
    </w:p>
    <w:p>
      <w:pPr>
        <w:spacing w:after="0" w:line="76" w:lineRule="exact"/>
        <w:rPr>
          <w:rFonts w:ascii="Arial" w:cs="Arial" w:eastAsia="Arial" w:hAnsi="Arial"/>
          <w:sz w:val="17"/>
          <w:szCs w:val="17"/>
          <w:color w:val="auto"/>
        </w:rPr>
      </w:pPr>
    </w:p>
    <w:p>
      <w:pPr>
        <w:jc w:val="both"/>
        <w:ind w:left="260" w:right="1239" w:hanging="250"/>
        <w:spacing w:after="0" w:line="256" w:lineRule="auto"/>
        <w:tabs>
          <w:tab w:leader="none" w:pos="2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Mr. Siegel performs his duties as Chairman of the board of directors and as member of the Compensation Committee and Nominating and Corporate Governance Committee, on a volunteer basis. As of December 31, 2011, 313,333 options were outstanding, of which 117,500 were exercisable.</w:t>
      </w:r>
    </w:p>
    <w:p>
      <w:pPr>
        <w:spacing w:after="0" w:line="7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Represents fee earned by Mr. Engelman for Board services through December 31, 2011. As of December 31, 2011, 42,500 options were outstanding, of which 10,625 were exercisable.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Director Compensation Table: Combined Company Directors from Innovate/Protect</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following table sets forth a stock grant to Innovate/Protect’s non-employee director and a stock option award granted to another Innovate/Protect’s non-employee director that will continue as directors for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48374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4480" w:type="dxa"/>
            <w:vAlign w:val="bottom"/>
          </w:tcPr>
          <w:p>
            <w:pPr>
              <w:spacing w:after="0" w:line="144" w:lineRule="exact"/>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
              <w:spacing w:after="0" w:line="144"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25"/>
              <w:spacing w:after="0" w:line="144" w:lineRule="exact"/>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Total</w:t>
            </w:r>
          </w:p>
        </w:tc>
      </w:tr>
      <w:tr>
        <w:trPr>
          <w:trHeight w:val="138"/>
        </w:trPr>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27"/>
              <w:spacing w:after="0" w:line="138" w:lineRule="exact"/>
              <w:rPr>
                <w:sz w:val="20"/>
                <w:szCs w:val="20"/>
                <w:color w:val="auto"/>
              </w:rPr>
            </w:pPr>
            <w:r>
              <w:rPr>
                <w:rFonts w:ascii="Arial" w:cs="Arial" w:eastAsia="Arial" w:hAnsi="Arial"/>
                <w:sz w:val="13"/>
                <w:szCs w:val="13"/>
                <w:b w:val="1"/>
                <w:bCs w:val="1"/>
                <w:color w:val="auto"/>
                <w:w w:val="89"/>
              </w:rPr>
              <w:t>Awards</w:t>
            </w:r>
          </w:p>
        </w:tc>
        <w:tc>
          <w:tcPr>
            <w:tcW w:w="160" w:type="dxa"/>
            <w:vAlign w:val="bottom"/>
          </w:tcPr>
          <w:p>
            <w:pPr>
              <w:spacing w:after="0"/>
              <w:rPr>
                <w:sz w:val="11"/>
                <w:szCs w:val="11"/>
                <w:color w:val="auto"/>
              </w:rPr>
            </w:pPr>
          </w:p>
        </w:tc>
        <w:tc>
          <w:tcPr>
            <w:tcW w:w="8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8"/>
              </w:rPr>
              <w:t>compensation</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25"/>
              <w:spacing w:after="0" w:line="138" w:lineRule="exact"/>
              <w:rPr>
                <w:sz w:val="20"/>
                <w:szCs w:val="20"/>
                <w:color w:val="auto"/>
              </w:rPr>
            </w:pPr>
            <w:r>
              <w:rPr>
                <w:rFonts w:ascii="Arial" w:cs="Arial" w:eastAsia="Arial" w:hAnsi="Arial"/>
                <w:sz w:val="13"/>
                <w:szCs w:val="13"/>
                <w:b w:val="1"/>
                <w:bCs w:val="1"/>
                <w:color w:val="auto"/>
              </w:rPr>
              <w:t>($)</w:t>
            </w:r>
          </w:p>
        </w:tc>
      </w:tr>
      <w:tr>
        <w:trPr>
          <w:trHeight w:val="196"/>
        </w:trPr>
        <w:tc>
          <w:tcPr>
            <w:tcW w:w="4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7"/>
              <w:spacing w:after="0" w:line="195" w:lineRule="exact"/>
              <w:rPr>
                <w:sz w:val="20"/>
                <w:szCs w:val="20"/>
                <w:color w:val="auto"/>
              </w:rPr>
            </w:pPr>
            <w:r>
              <w:rPr>
                <w:rFonts w:ascii="Arial" w:cs="Arial" w:eastAsia="Arial" w:hAnsi="Arial"/>
                <w:sz w:val="13"/>
                <w:szCs w:val="13"/>
                <w:b w:val="1"/>
                <w:bCs w:val="1"/>
                <w:color w:val="auto"/>
                <w:w w:val="88"/>
              </w:rPr>
              <w:t>($)</w:t>
            </w:r>
            <w:r>
              <w:rPr>
                <w:rFonts w:ascii="Arial" w:cs="Arial" w:eastAsia="Arial" w:hAnsi="Arial"/>
                <w:sz w:val="22"/>
                <w:szCs w:val="22"/>
                <w:b w:val="1"/>
                <w:bCs w:val="1"/>
                <w:color w:val="auto"/>
                <w:w w:val="88"/>
                <w:vertAlign w:val="superscript"/>
              </w:rPr>
              <w:t>(1)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31"/>
        </w:trPr>
        <w:tc>
          <w:tcPr>
            <w:tcW w:w="4480" w:type="dxa"/>
            <w:vAlign w:val="bottom"/>
            <w:shd w:val="clear" w:color="auto" w:fill="CCFFCC"/>
          </w:tcPr>
          <w:p>
            <w:pPr>
              <w:spacing w:after="0"/>
              <w:rPr>
                <w:sz w:val="20"/>
                <w:szCs w:val="20"/>
                <w:color w:val="auto"/>
              </w:rPr>
            </w:pPr>
            <w:r>
              <w:rPr>
                <w:rFonts w:ascii="Arial" w:cs="Arial" w:eastAsia="Arial" w:hAnsi="Arial"/>
                <w:sz w:val="17"/>
                <w:szCs w:val="17"/>
                <w:color w:val="auto"/>
              </w:rPr>
              <w:t>H. Van Sinclair</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FFCC"/>
          </w:tcPr>
          <w:p>
            <w:pPr>
              <w:jc w:val="right"/>
              <w:spacing w:after="0" w:line="231" w:lineRule="exact"/>
              <w:rPr>
                <w:sz w:val="20"/>
                <w:szCs w:val="20"/>
                <w:color w:val="auto"/>
              </w:rPr>
            </w:pPr>
            <w:r>
              <w:rPr>
                <w:rFonts w:ascii="Arial" w:cs="Arial" w:eastAsia="Arial" w:hAnsi="Arial"/>
                <w:sz w:val="16"/>
                <w:szCs w:val="16"/>
                <w:color w:val="auto"/>
                <w:w w:val="88"/>
              </w:rPr>
              <w:t>120,000</w:t>
            </w:r>
            <w:r>
              <w:rPr>
                <w:rFonts w:ascii="Arial" w:cs="Arial" w:eastAsia="Arial" w:hAnsi="Arial"/>
                <w:sz w:val="26"/>
                <w:szCs w:val="26"/>
                <w:color w:val="auto"/>
                <w:w w:val="88"/>
                <w:vertAlign w:val="superscript"/>
              </w:rPr>
              <w:t>(2)</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FFCC"/>
          </w:tcPr>
          <w:p>
            <w:pPr>
              <w:ind w:left="3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FFCC"/>
          </w:tcPr>
          <w:p>
            <w:pPr>
              <w:jc w:val="right"/>
              <w:ind w:right="5"/>
              <w:spacing w:after="0"/>
              <w:rPr>
                <w:sz w:val="20"/>
                <w:szCs w:val="20"/>
                <w:color w:val="auto"/>
              </w:rPr>
            </w:pPr>
            <w:r>
              <w:rPr>
                <w:rFonts w:ascii="Arial" w:cs="Arial" w:eastAsia="Arial" w:hAnsi="Arial"/>
                <w:sz w:val="17"/>
                <w:szCs w:val="17"/>
                <w:color w:val="auto"/>
              </w:rPr>
              <w:t>120,000</w:t>
            </w:r>
          </w:p>
        </w:tc>
      </w:tr>
      <w:tr>
        <w:trPr>
          <w:trHeight w:val="364"/>
        </w:trPr>
        <w:tc>
          <w:tcPr>
            <w:tcW w:w="4480" w:type="dxa"/>
            <w:vAlign w:val="bottom"/>
          </w:tcPr>
          <w:p>
            <w:pPr>
              <w:spacing w:after="0"/>
              <w:rPr>
                <w:sz w:val="20"/>
                <w:szCs w:val="20"/>
                <w:color w:val="auto"/>
              </w:rPr>
            </w:pPr>
            <w:r>
              <w:rPr>
                <w:rFonts w:ascii="Arial" w:cs="Arial" w:eastAsia="Arial" w:hAnsi="Arial"/>
                <w:sz w:val="17"/>
                <w:szCs w:val="17"/>
                <w:color w:val="auto"/>
              </w:rPr>
              <w:t>Donald E. Stout</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4"/>
              </w:rPr>
              <w:t>25,028</w:t>
            </w:r>
            <w:r>
              <w:rPr>
                <w:rFonts w:ascii="Arial" w:cs="Arial" w:eastAsia="Arial" w:hAnsi="Arial"/>
                <w:sz w:val="27"/>
                <w:szCs w:val="27"/>
                <w:color w:val="auto"/>
                <w:w w:val="94"/>
                <w:vertAlign w:val="superscript"/>
              </w:rPr>
              <w:t>(3)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ind w:left="3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
              <w:spacing w:after="0"/>
              <w:rPr>
                <w:sz w:val="20"/>
                <w:szCs w:val="20"/>
                <w:color w:val="auto"/>
              </w:rPr>
            </w:pPr>
            <w:r>
              <w:rPr>
                <w:rFonts w:ascii="Arial" w:cs="Arial" w:eastAsia="Arial" w:hAnsi="Arial"/>
                <w:sz w:val="17"/>
                <w:szCs w:val="17"/>
                <w:color w:val="auto"/>
              </w:rPr>
              <w:t>25,028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572770" cy="15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368" w:lineRule="exact"/>
        <w:rPr>
          <w:sz w:val="20"/>
          <w:szCs w:val="20"/>
          <w:color w:val="auto"/>
        </w:rPr>
      </w:pPr>
    </w:p>
    <w:p>
      <w:pPr>
        <w:jc w:val="both"/>
        <w:ind w:left="260" w:right="1239" w:hanging="250"/>
        <w:spacing w:after="0" w:line="256" w:lineRule="auto"/>
        <w:tabs>
          <w:tab w:leader="none" w:pos="2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 See Note 12 of the consolidated financial statements for the year ended December 31, 2011, for the assumptions made in the valuation of the equity awards.</w:t>
      </w:r>
    </w:p>
    <w:p>
      <w:pPr>
        <w:spacing w:after="0" w:line="7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Stock grant of 40,000 shares. The fair value of these shares when granted has been treated as compensation and will be recognized at such times as the shares vest over an eighteen (18) month period.</w:t>
      </w:r>
    </w:p>
    <w:p>
      <w:pPr>
        <w:spacing w:after="0" w:line="66" w:lineRule="exact"/>
        <w:rPr>
          <w:rFonts w:ascii="Arial" w:cs="Arial" w:eastAsia="Arial" w:hAnsi="Arial"/>
          <w:sz w:val="17"/>
          <w:szCs w:val="17"/>
          <w:color w:val="auto"/>
        </w:rPr>
      </w:pPr>
    </w:p>
    <w:p>
      <w:pPr>
        <w:jc w:val="both"/>
        <w:ind w:left="260" w:right="1239" w:hanging="250"/>
        <w:spacing w:after="0" w:line="256" w:lineRule="auto"/>
        <w:tabs>
          <w:tab w:leader="none" w:pos="2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Stock option to purchase up to 13,646 shares of common stock at $3.00 per share prior to the expiration of the options on November 6, 2016. The option was fully vested and exercisable at the grant date. The fair market value of the option at grant date, $1.8341 per share, was recognized as expense at the grant date.</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8" w:name="page189"/>
    <w:bookmarkEnd w:id="18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Executive Compensation</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Summary Compensation Table</w:t>
      </w:r>
    </w:p>
    <w:p>
      <w:pPr>
        <w:spacing w:after="0" w:line="105" w:lineRule="exact"/>
        <w:rPr>
          <w:sz w:val="20"/>
          <w:szCs w:val="20"/>
          <w:color w:val="auto"/>
        </w:rPr>
      </w:pPr>
    </w:p>
    <w:p>
      <w:pPr>
        <w:ind w:left="40" w:right="1239" w:firstLine="251"/>
        <w:spacing w:after="0" w:line="264" w:lineRule="auto"/>
        <w:rPr>
          <w:sz w:val="20"/>
          <w:szCs w:val="20"/>
          <w:color w:val="auto"/>
        </w:rPr>
      </w:pPr>
      <w:r>
        <w:rPr>
          <w:rFonts w:ascii="Arial" w:cs="Arial" w:eastAsia="Arial" w:hAnsi="Arial"/>
          <w:sz w:val="17"/>
          <w:szCs w:val="17"/>
          <w:color w:val="auto"/>
        </w:rPr>
        <w:t>The following table summarizes the compensation awarded to, earned or paid by Vringo to its Chief Executive Officer and other named executive officers for the fiscal years ended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139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2780" w:type="dxa"/>
            <w:vAlign w:val="bottom"/>
          </w:tcPr>
          <w:p>
            <w:pPr>
              <w:spacing w:after="0" w:line="139" w:lineRule="exact"/>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2"/>
                <w:szCs w:val="12"/>
                <w:color w:val="auto"/>
              </w:rPr>
            </w:pPr>
          </w:p>
        </w:tc>
        <w:tc>
          <w:tcPr>
            <w:tcW w:w="460" w:type="dxa"/>
            <w:vAlign w:val="bottom"/>
          </w:tcPr>
          <w:p>
            <w:pPr>
              <w:jc w:val="right"/>
              <w:ind w:right="33"/>
              <w:spacing w:after="0" w:line="139" w:lineRule="exact"/>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62"/>
              <w:spacing w:after="0" w:line="139"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2"/>
              <w:spacing w:after="0" w:line="139" w:lineRule="exact"/>
              <w:rPr>
                <w:sz w:val="20"/>
                <w:szCs w:val="20"/>
                <w:color w:val="auto"/>
              </w:rPr>
            </w:pPr>
            <w:r>
              <w:rPr>
                <w:rFonts w:ascii="Arial" w:cs="Arial" w:eastAsia="Arial" w:hAnsi="Arial"/>
                <w:sz w:val="13"/>
                <w:szCs w:val="13"/>
                <w:b w:val="1"/>
                <w:bCs w:val="1"/>
                <w:color w:val="auto"/>
                <w:w w:val="95"/>
              </w:rPr>
              <w:t>Option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39" w:lineRule="exact"/>
              <w:rPr>
                <w:sz w:val="20"/>
                <w:szCs w:val="20"/>
                <w:color w:val="auto"/>
              </w:rPr>
            </w:pPr>
            <w:r>
              <w:rPr>
                <w:rFonts w:ascii="Arial" w:cs="Arial" w:eastAsia="Arial" w:hAnsi="Arial"/>
                <w:sz w:val="13"/>
                <w:szCs w:val="13"/>
                <w:b w:val="1"/>
                <w:bCs w:val="1"/>
                <w:color w:val="auto"/>
                <w:w w:val="98"/>
              </w:rPr>
              <w:t>All 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80"/>
              <w:spacing w:after="0" w:line="139" w:lineRule="exact"/>
              <w:rPr>
                <w:sz w:val="20"/>
                <w:szCs w:val="20"/>
                <w:color w:val="auto"/>
              </w:rPr>
            </w:pPr>
            <w:r>
              <w:rPr>
                <w:rFonts w:ascii="Arial" w:cs="Arial" w:eastAsia="Arial" w:hAnsi="Arial"/>
                <w:sz w:val="13"/>
                <w:szCs w:val="13"/>
                <w:b w:val="1"/>
                <w:bCs w:val="1"/>
                <w:color w:val="auto"/>
              </w:rPr>
              <w:t>Total</w:t>
            </w:r>
          </w:p>
        </w:tc>
      </w:tr>
      <w:tr>
        <w:trPr>
          <w:trHeight w:val="152"/>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02"/>
              <w:spacing w:after="0" w:line="152"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82"/>
              <w:spacing w:after="0"/>
              <w:rPr>
                <w:sz w:val="20"/>
                <w:szCs w:val="20"/>
                <w:color w:val="auto"/>
              </w:rPr>
            </w:pPr>
            <w:r>
              <w:rPr>
                <w:rFonts w:ascii="Arial" w:cs="Arial" w:eastAsia="Arial" w:hAnsi="Arial"/>
                <w:sz w:val="13"/>
                <w:szCs w:val="13"/>
                <w:b w:val="1"/>
                <w:bCs w:val="1"/>
                <w:color w:val="auto"/>
                <w:w w:val="93"/>
              </w:rPr>
              <w:t>Awards</w:t>
            </w:r>
          </w:p>
        </w:tc>
        <w:tc>
          <w:tcPr>
            <w:tcW w:w="14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40"/>
              <w:spacing w:after="0"/>
              <w:rPr>
                <w:sz w:val="20"/>
                <w:szCs w:val="20"/>
                <w:color w:val="auto"/>
              </w:rPr>
            </w:pPr>
            <w:r>
              <w:rPr>
                <w:rFonts w:ascii="Arial" w:cs="Arial" w:eastAsia="Arial" w:hAnsi="Arial"/>
                <w:sz w:val="13"/>
                <w:szCs w:val="13"/>
                <w:b w:val="1"/>
                <w:bCs w:val="1"/>
                <w:color w:val="auto"/>
              </w:rPr>
              <w:t>($)</w:t>
            </w:r>
          </w:p>
        </w:tc>
      </w:tr>
      <w:tr>
        <w:trPr>
          <w:trHeight w:val="182"/>
        </w:trPr>
        <w:tc>
          <w:tcPr>
            <w:tcW w:w="2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2"/>
              <w:spacing w:after="0" w:line="18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(2)</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218"/>
        </w:trPr>
        <w:tc>
          <w:tcPr>
            <w:tcW w:w="2780" w:type="dxa"/>
            <w:vAlign w:val="bottom"/>
          </w:tcPr>
          <w:p>
            <w:pPr>
              <w:spacing w:after="0" w:line="218" w:lineRule="exact"/>
              <w:rPr>
                <w:sz w:val="20"/>
                <w:szCs w:val="20"/>
                <w:color w:val="auto"/>
              </w:rPr>
            </w:pPr>
            <w:r>
              <w:rPr>
                <w:rFonts w:ascii="Arial" w:cs="Arial" w:eastAsia="Arial" w:hAnsi="Arial"/>
                <w:sz w:val="16"/>
                <w:szCs w:val="16"/>
                <w:color w:val="auto"/>
              </w:rPr>
              <w:t>Jonathan Medved</w:t>
            </w:r>
            <w:r>
              <w:rPr>
                <w:rFonts w:ascii="Arial" w:cs="Arial" w:eastAsia="Arial" w:hAnsi="Arial"/>
                <w:sz w:val="25"/>
                <w:szCs w:val="25"/>
                <w:color w:val="auto"/>
                <w:vertAlign w:val="superscript"/>
              </w:rPr>
              <w:t>(3)</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215,255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line="218" w:lineRule="exact"/>
              <w:rPr>
                <w:sz w:val="20"/>
                <w:szCs w:val="20"/>
                <w:color w:val="auto"/>
              </w:rPr>
            </w:pPr>
            <w:r>
              <w:rPr>
                <w:rFonts w:ascii="Arial" w:cs="Arial" w:eastAsia="Arial" w:hAnsi="Arial"/>
                <w:sz w:val="16"/>
                <w:szCs w:val="16"/>
                <w:color w:val="auto"/>
                <w:w w:val="89"/>
              </w:rPr>
              <w:t>104,177</w:t>
            </w:r>
            <w:r>
              <w:rPr>
                <w:rFonts w:ascii="Arial" w:cs="Arial" w:eastAsia="Arial" w:hAnsi="Arial"/>
                <w:sz w:val="25"/>
                <w:szCs w:val="25"/>
                <w:color w:val="auto"/>
                <w:w w:val="89"/>
                <w:vertAlign w:val="superscript"/>
              </w:rPr>
              <w:t>(5)</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319,432</w:t>
            </w:r>
          </w:p>
        </w:tc>
      </w:tr>
      <w:tr>
        <w:trPr>
          <w:trHeight w:val="238"/>
        </w:trPr>
        <w:tc>
          <w:tcPr>
            <w:tcW w:w="2780" w:type="dxa"/>
            <w:vAlign w:val="bottom"/>
          </w:tcPr>
          <w:p>
            <w:pPr>
              <w:spacing w:after="0"/>
              <w:rPr>
                <w:sz w:val="20"/>
                <w:szCs w:val="20"/>
                <w:color w:val="auto"/>
              </w:rPr>
            </w:pPr>
            <w:r>
              <w:rPr>
                <w:rFonts w:ascii="Arial" w:cs="Arial" w:eastAsia="Arial" w:hAnsi="Arial"/>
                <w:sz w:val="17"/>
                <w:szCs w:val="17"/>
                <w:i w:val="1"/>
                <w:iCs w:val="1"/>
                <w:color w:val="auto"/>
              </w:rPr>
              <w:t>Former Chief Executive Officer</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2010</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213,531</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$ 1,476,000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line="239" w:lineRule="exact"/>
              <w:rPr>
                <w:sz w:val="20"/>
                <w:szCs w:val="20"/>
                <w:color w:val="auto"/>
              </w:rPr>
            </w:pPr>
            <w:r>
              <w:rPr>
                <w:rFonts w:ascii="Arial" w:cs="Arial" w:eastAsia="Arial" w:hAnsi="Arial"/>
                <w:sz w:val="17"/>
                <w:szCs w:val="17"/>
                <w:color w:val="auto"/>
                <w:w w:val="94"/>
              </w:rPr>
              <w:t>90,802</w:t>
            </w:r>
            <w:r>
              <w:rPr>
                <w:rFonts w:ascii="Arial" w:cs="Arial" w:eastAsia="Arial" w:hAnsi="Arial"/>
                <w:sz w:val="27"/>
                <w:szCs w:val="27"/>
                <w:color w:val="auto"/>
                <w:w w:val="94"/>
                <w:vertAlign w:val="superscript"/>
              </w:rPr>
              <w:t>(5)</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5"/>
              </w:rPr>
              <w:t>1,780,333</w:t>
            </w:r>
          </w:p>
        </w:tc>
      </w:tr>
      <w:tr>
        <w:trPr>
          <w:trHeight w:val="200"/>
        </w:trPr>
        <w:tc>
          <w:tcPr>
            <w:tcW w:w="2780" w:type="dxa"/>
            <w:vAlign w:val="bottom"/>
          </w:tcPr>
          <w:p>
            <w:pPr>
              <w:spacing w:after="0"/>
              <w:rPr>
                <w:sz w:val="20"/>
                <w:szCs w:val="20"/>
                <w:color w:val="auto"/>
              </w:rPr>
            </w:pPr>
            <w:r>
              <w:rPr>
                <w:rFonts w:ascii="Arial" w:cs="Arial" w:eastAsia="Arial" w:hAnsi="Arial"/>
                <w:sz w:val="17"/>
                <w:szCs w:val="17"/>
                <w:color w:val="auto"/>
              </w:rPr>
              <w:t>Andrew D. Perlman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188,269</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156,325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344,594</w:t>
            </w:r>
          </w:p>
        </w:tc>
      </w:tr>
      <w:tr>
        <w:trPr>
          <w:trHeight w:val="202"/>
        </w:trPr>
        <w:tc>
          <w:tcPr>
            <w:tcW w:w="2780" w:type="dxa"/>
            <w:vAlign w:val="bottom"/>
          </w:tcPr>
          <w:p>
            <w:pPr>
              <w:spacing w:after="0"/>
              <w:rPr>
                <w:sz w:val="20"/>
                <w:szCs w:val="20"/>
                <w:color w:val="auto"/>
              </w:rPr>
            </w:pPr>
            <w:r>
              <w:rPr>
                <w:rFonts w:ascii="Arial" w:cs="Arial" w:eastAsia="Arial" w:hAnsi="Arial"/>
                <w:sz w:val="17"/>
                <w:szCs w:val="17"/>
                <w:i w:val="1"/>
                <w:iCs w:val="1"/>
                <w:color w:val="auto"/>
              </w:rPr>
              <w:t>Chief Executive Officer and Director</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2010</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142,885</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279,900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422,785</w:t>
            </w:r>
          </w:p>
        </w:tc>
      </w:tr>
      <w:tr>
        <w:trPr>
          <w:trHeight w:val="236"/>
        </w:trPr>
        <w:tc>
          <w:tcPr>
            <w:tcW w:w="2780" w:type="dxa"/>
            <w:vAlign w:val="bottom"/>
          </w:tcPr>
          <w:p>
            <w:pPr>
              <w:spacing w:after="0"/>
              <w:rPr>
                <w:sz w:val="20"/>
                <w:szCs w:val="20"/>
                <w:color w:val="auto"/>
              </w:rPr>
            </w:pPr>
            <w:r>
              <w:rPr>
                <w:rFonts w:ascii="Arial" w:cs="Arial" w:eastAsia="Arial" w:hAnsi="Arial"/>
                <w:sz w:val="17"/>
                <w:szCs w:val="17"/>
                <w:color w:val="auto"/>
              </w:rPr>
              <w:t>Ellen Cohl</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127,988</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58,180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line="236" w:lineRule="exact"/>
              <w:rPr>
                <w:sz w:val="20"/>
                <w:szCs w:val="20"/>
                <w:color w:val="auto"/>
              </w:rPr>
            </w:pPr>
            <w:r>
              <w:rPr>
                <w:rFonts w:ascii="Arial" w:cs="Arial" w:eastAsia="Arial" w:hAnsi="Arial"/>
                <w:sz w:val="17"/>
                <w:szCs w:val="17"/>
                <w:color w:val="auto"/>
                <w:w w:val="94"/>
              </w:rPr>
              <w:t>36,841</w:t>
            </w:r>
            <w:r>
              <w:rPr>
                <w:rFonts w:ascii="Arial" w:cs="Arial" w:eastAsia="Arial" w:hAnsi="Arial"/>
                <w:sz w:val="27"/>
                <w:szCs w:val="27"/>
                <w:color w:val="auto"/>
                <w:w w:val="94"/>
                <w:vertAlign w:val="superscript"/>
              </w:rPr>
              <w:t>(6)</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223,009</w:t>
            </w:r>
          </w:p>
        </w:tc>
      </w:tr>
      <w:tr>
        <w:trPr>
          <w:trHeight w:val="240"/>
        </w:trPr>
        <w:tc>
          <w:tcPr>
            <w:tcW w:w="2780" w:type="dxa"/>
            <w:vAlign w:val="bottom"/>
          </w:tcPr>
          <w:p>
            <w:pPr>
              <w:spacing w:after="0"/>
              <w:rPr>
                <w:sz w:val="20"/>
                <w:szCs w:val="20"/>
                <w:color w:val="auto"/>
              </w:rPr>
            </w:pPr>
            <w:r>
              <w:rPr>
                <w:rFonts w:ascii="Arial" w:cs="Arial" w:eastAsia="Arial" w:hAnsi="Arial"/>
                <w:sz w:val="17"/>
                <w:szCs w:val="17"/>
                <w:i w:val="1"/>
                <w:iCs w:val="1"/>
                <w:color w:val="auto"/>
              </w:rPr>
              <w:t>Chief Financial Officer</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2010</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106,540</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73,800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line="240" w:lineRule="exact"/>
              <w:rPr>
                <w:sz w:val="20"/>
                <w:szCs w:val="20"/>
                <w:color w:val="auto"/>
              </w:rPr>
            </w:pPr>
            <w:r>
              <w:rPr>
                <w:rFonts w:ascii="Arial" w:cs="Arial" w:eastAsia="Arial" w:hAnsi="Arial"/>
                <w:sz w:val="17"/>
                <w:szCs w:val="17"/>
                <w:color w:val="auto"/>
                <w:w w:val="94"/>
              </w:rPr>
              <w:t>31,276</w:t>
            </w:r>
            <w:r>
              <w:rPr>
                <w:rFonts w:ascii="Arial" w:cs="Arial" w:eastAsia="Arial" w:hAnsi="Arial"/>
                <w:sz w:val="27"/>
                <w:szCs w:val="27"/>
                <w:color w:val="auto"/>
                <w:w w:val="94"/>
                <w:vertAlign w:val="superscript"/>
              </w:rPr>
              <w:t>(6)</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211,616</w:t>
            </w:r>
          </w:p>
        </w:tc>
      </w:tr>
      <w:tr>
        <w:trPr>
          <w:trHeight w:val="236"/>
        </w:trPr>
        <w:tc>
          <w:tcPr>
            <w:tcW w:w="2780" w:type="dxa"/>
            <w:vAlign w:val="bottom"/>
          </w:tcPr>
          <w:p>
            <w:pPr>
              <w:spacing w:after="0" w:line="236" w:lineRule="exact"/>
              <w:rPr>
                <w:sz w:val="20"/>
                <w:szCs w:val="20"/>
                <w:color w:val="auto"/>
              </w:rPr>
            </w:pPr>
            <w:r>
              <w:rPr>
                <w:rFonts w:ascii="Arial" w:cs="Arial" w:eastAsia="Arial" w:hAnsi="Arial"/>
                <w:sz w:val="17"/>
                <w:szCs w:val="17"/>
                <w:color w:val="auto"/>
              </w:rPr>
              <w:t>Stuart Frohlich</w:t>
            </w:r>
            <w:r>
              <w:rPr>
                <w:rFonts w:ascii="Arial" w:cs="Arial" w:eastAsia="Arial" w:hAnsi="Arial"/>
                <w:sz w:val="27"/>
                <w:szCs w:val="27"/>
                <w:color w:val="auto"/>
                <w:vertAlign w:val="superscript"/>
              </w:rPr>
              <w:t>(4)</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87,273</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line="236" w:lineRule="exact"/>
              <w:rPr>
                <w:sz w:val="20"/>
                <w:szCs w:val="20"/>
                <w:color w:val="auto"/>
              </w:rPr>
            </w:pPr>
            <w:r>
              <w:rPr>
                <w:rFonts w:ascii="Arial" w:cs="Arial" w:eastAsia="Arial" w:hAnsi="Arial"/>
                <w:sz w:val="17"/>
                <w:szCs w:val="17"/>
                <w:color w:val="auto"/>
                <w:w w:val="94"/>
              </w:rPr>
              <w:t>31,097</w:t>
            </w:r>
            <w:r>
              <w:rPr>
                <w:rFonts w:ascii="Arial" w:cs="Arial" w:eastAsia="Arial" w:hAnsi="Arial"/>
                <w:sz w:val="27"/>
                <w:szCs w:val="27"/>
                <w:color w:val="auto"/>
                <w:w w:val="94"/>
                <w:vertAlign w:val="superscript"/>
              </w:rPr>
              <w:t>(7)</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118,370</w:t>
            </w:r>
          </w:p>
        </w:tc>
      </w:tr>
      <w:tr>
        <w:trPr>
          <w:trHeight w:val="366"/>
        </w:trPr>
        <w:tc>
          <w:tcPr>
            <w:tcW w:w="2780" w:type="dxa"/>
            <w:vAlign w:val="bottom"/>
          </w:tcPr>
          <w:p>
            <w:pPr>
              <w:spacing w:after="0"/>
              <w:rPr>
                <w:sz w:val="20"/>
                <w:szCs w:val="20"/>
                <w:color w:val="auto"/>
              </w:rPr>
            </w:pPr>
            <w:r>
              <w:rPr>
                <w:rFonts w:ascii="Arial" w:cs="Arial" w:eastAsia="Arial" w:hAnsi="Arial"/>
                <w:sz w:val="17"/>
                <w:szCs w:val="17"/>
                <w:i w:val="1"/>
                <w:iCs w:val="1"/>
                <w:color w:val="auto"/>
              </w:rPr>
              <w:t>Chief Operating Officer</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2010</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129,693</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210,600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4"/>
              </w:rPr>
              <w:t>43,893</w:t>
            </w:r>
            <w:r>
              <w:rPr>
                <w:rFonts w:ascii="Arial" w:cs="Arial" w:eastAsia="Arial" w:hAnsi="Arial"/>
                <w:sz w:val="27"/>
                <w:szCs w:val="27"/>
                <w:color w:val="auto"/>
                <w:w w:val="94"/>
                <w:vertAlign w:val="superscript"/>
              </w:rPr>
              <w:t>(7)</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384,186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5727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366" w:lineRule="exact"/>
        <w:rPr>
          <w:sz w:val="20"/>
          <w:szCs w:val="20"/>
          <w:color w:val="auto"/>
        </w:rPr>
      </w:pPr>
    </w:p>
    <w:p>
      <w:pPr>
        <w:ind w:left="260" w:hanging="250"/>
        <w:spacing w:after="0"/>
        <w:tabs>
          <w:tab w:leader="none" w:pos="2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Based upon an average exchange rate of 3.58 and 3.73 between the NIS and U.S. Dollar for 2011 and 2010, respectively.</w:t>
      </w:r>
    </w:p>
    <w:p>
      <w:pPr>
        <w:spacing w:after="0" w:line="128" w:lineRule="exact"/>
        <w:rPr>
          <w:rFonts w:ascii="Arial" w:cs="Arial" w:eastAsia="Arial" w:hAnsi="Arial"/>
          <w:sz w:val="15"/>
          <w:szCs w:val="15"/>
          <w:color w:val="auto"/>
        </w:rPr>
      </w:pPr>
    </w:p>
    <w:p>
      <w:pPr>
        <w:ind w:left="260" w:right="1239" w:hanging="250"/>
        <w:spacing w:after="0" w:line="299" w:lineRule="auto"/>
        <w:tabs>
          <w:tab w:leader="none" w:pos="2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in accordance with FASB ASC Topic 718. For the assumptions made in the valuation of Vringo’s equity awards see Note 11 of the consolidated financial statements of Vringo.</w:t>
      </w:r>
    </w:p>
    <w:p>
      <w:pPr>
        <w:spacing w:after="0" w:line="42" w:lineRule="exact"/>
        <w:rPr>
          <w:rFonts w:ascii="Arial" w:cs="Arial" w:eastAsia="Arial" w:hAnsi="Arial"/>
          <w:sz w:val="16"/>
          <w:szCs w:val="16"/>
          <w:color w:val="auto"/>
        </w:rPr>
      </w:pPr>
    </w:p>
    <w:p>
      <w:pPr>
        <w:jc w:val="both"/>
        <w:ind w:left="260" w:right="1239" w:hanging="250"/>
        <w:spacing w:after="0" w:line="266" w:lineRule="auto"/>
        <w:tabs>
          <w:tab w:leader="none" w:pos="2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Subsequent to the year ended December 31, 2011, in March 2012, Vringo entered into a separation agreement with Vringo’s former Chief Executive Officer, Jonathan Medved. According to the terms of the separation agreement,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Vringo granted Mr. Medved an additional 100,000 options at an exercise price of $1.65 per share, subject to good faith compliance upon separation from Vringo. These options will vest over a 3-year period. Please refer also to Note 17 to the consolidated financial statements of Vringo.</w:t>
      </w:r>
    </w:p>
    <w:p>
      <w:pPr>
        <w:spacing w:after="0" w:line="72" w:lineRule="exact"/>
        <w:rPr>
          <w:rFonts w:ascii="Arial" w:cs="Arial" w:eastAsia="Arial" w:hAnsi="Arial"/>
          <w:sz w:val="16"/>
          <w:szCs w:val="16"/>
          <w:color w:val="auto"/>
        </w:rPr>
      </w:pPr>
    </w:p>
    <w:p>
      <w:pPr>
        <w:ind w:left="260" w:right="1239" w:hanging="250"/>
        <w:spacing w:after="0" w:line="267" w:lineRule="auto"/>
        <w:tabs>
          <w:tab w:leader="none" w:pos="2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On July 31, 2011, Stuart Frohlich resigned his position as Chief Operating Officer of Vringo, Inc. As part of his separation agreement, 20,000 of his $0.01 options to purchase shares of Vringo common stock were accelerated.</w:t>
      </w:r>
    </w:p>
    <w:p>
      <w:pPr>
        <w:spacing w:after="0" w:line="66" w:lineRule="exact"/>
        <w:rPr>
          <w:rFonts w:ascii="Arial" w:cs="Arial" w:eastAsia="Arial" w:hAnsi="Arial"/>
          <w:sz w:val="17"/>
          <w:szCs w:val="17"/>
          <w:color w:val="auto"/>
        </w:rPr>
      </w:pPr>
    </w:p>
    <w:p>
      <w:pPr>
        <w:jc w:val="both"/>
        <w:ind w:left="260" w:right="1239" w:hanging="250"/>
        <w:spacing w:after="0" w:line="270" w:lineRule="auto"/>
        <w:tabs>
          <w:tab w:leader="none" w:pos="2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$67,580 in 2011 and $58,324 in 2010. In addition, includes payments associated with possession of company-leased vehicle in the amount of $19,578 in 2011 and $18,735 in 2010. Additionally, includes life insurance (Keyman insurance) in the aggregate amount of $17,019 in 2011 and $14,103 in 2010.</w:t>
      </w:r>
    </w:p>
    <w:p>
      <w:pPr>
        <w:spacing w:after="0" w:line="67" w:lineRule="exact"/>
        <w:rPr>
          <w:rFonts w:ascii="Arial" w:cs="Arial" w:eastAsia="Arial" w:hAnsi="Arial"/>
          <w:sz w:val="16"/>
          <w:szCs w:val="16"/>
          <w:color w:val="auto"/>
        </w:rPr>
      </w:pPr>
    </w:p>
    <w:p>
      <w:pPr>
        <w:jc w:val="both"/>
        <w:ind w:left="260" w:right="1239" w:hanging="250"/>
        <w:spacing w:after="0" w:line="253" w:lineRule="auto"/>
        <w:tabs>
          <w:tab w:leader="none" w:pos="2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$30,898 in 2011 and $26,177 in 2010. Additionally, includes local travel reimbursement in the aggregate amount of $5,943 in 2011 and $5,099 in 2010.</w:t>
      </w:r>
    </w:p>
    <w:p>
      <w:pPr>
        <w:spacing w:after="0" w:line="77" w:lineRule="exact"/>
        <w:rPr>
          <w:rFonts w:ascii="Arial" w:cs="Arial" w:eastAsia="Arial" w:hAnsi="Arial"/>
          <w:sz w:val="17"/>
          <w:szCs w:val="17"/>
          <w:color w:val="auto"/>
        </w:rPr>
      </w:pPr>
    </w:p>
    <w:p>
      <w:pPr>
        <w:jc w:val="both"/>
        <w:ind w:left="260" w:right="1239" w:hanging="250"/>
        <w:spacing w:after="0" w:line="256" w:lineRule="auto"/>
        <w:tabs>
          <w:tab w:leader="none" w:pos="2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$19,938 in 2011 and $31,187 in 2010.</w:t>
      </w:r>
    </w:p>
    <w:p>
      <w:pPr>
        <w:spacing w:after="0" w:line="7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In addition, includes payments associated with possession of company-leased vehicle in the amount of $11,159 in 2011 and $12,706 in 2010.</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9" w:name="page190"/>
    <w:bookmarkEnd w:id="18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Narrative Disclosure to Summary Compensation Table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Jonathan Medved Separation Agreement</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 March 2012, Vringo signed a separation agreement with its former Chief Executive Officer,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Vringo granted Mr. Medved an additional 100,000 options at an exercise price of $1.65 per share, subject to good faith compliance upon separation from Vringo. These options will vest over a 3-year period. Please refer also to Note 17 to the consolidated financial statements of Vringo.</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Andrew Perlman Employment Agreement</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Andrew Perlman entered into an employment agreement with Vringo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Vringo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8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During the term of his employment, Mr. Perlman’s annual base salary is $175,000. In addition, he is eligible for an additional compensation in an amount to be determined by the board of directors, and receives $5,000 at the end of each quarter as an advance for such additional compensation. Upon a Change of Control (as defined in his employment agreement), fifty percent of the unvested portion of his option grants priced at $0.01 and $5.50 will automatically and immediately become fully vested, also refer to Note 17 to accompanying financial statements.</w:t>
      </w:r>
    </w:p>
    <w:p>
      <w:pPr>
        <w:spacing w:after="0" w:line="80"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 March 2012, Mr. Perlman was appointed as Vringo’s Chief Executive Officer. In connection with Mr. Perlman’s new position, the Vringo board of directors agreed to following, revised employment terms: Mr. Perlman will be paid $250,000 per year, he will be entitled to severance, equal to his one year salary, to be paid in the event he ceases to be Vringo’s Chief Executive Officer pursuant to a change of control. In addition, the Vringo board of directors approved the grant of options to purchase 450,000 shares at an exercise price of $1.65 per share. Vringo and Mr. Perlman expect to enter into an amendment to his employment agreement to formalize the foregoing terms.</w:t>
      </w:r>
    </w:p>
    <w:p>
      <w:pPr>
        <w:spacing w:after="0" w:line="8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employment agreement requires Mr. Perlman to assign inventions and other intellectual property which he conceives or reduces to practice during his employment to Vringo and to maintain Vringo’s confidential information during employment and thereafter. Mr. Perlman is also subject to a non-competition and a non-solicitation provision that extends for a period of twelve months following termination of his agreement.</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Ellen Cohl Employment Agreement</w:t>
      </w:r>
    </w:p>
    <w:p>
      <w:pPr>
        <w:spacing w:after="0" w:line="105" w:lineRule="exact"/>
        <w:rPr>
          <w:sz w:val="20"/>
          <w:szCs w:val="20"/>
          <w:color w:val="auto"/>
        </w:rPr>
      </w:pPr>
    </w:p>
    <w:p>
      <w:pPr>
        <w:jc w:val="both"/>
        <w:ind w:left="40" w:right="1239" w:firstLine="251"/>
        <w:spacing w:after="0" w:line="248" w:lineRule="auto"/>
        <w:rPr>
          <w:sz w:val="20"/>
          <w:szCs w:val="20"/>
          <w:color w:val="auto"/>
        </w:rPr>
      </w:pPr>
      <w:r>
        <w:rPr>
          <w:rFonts w:ascii="Arial" w:cs="Arial" w:eastAsia="Arial" w:hAnsi="Arial"/>
          <w:sz w:val="17"/>
          <w:szCs w:val="17"/>
          <w:color w:val="auto"/>
        </w:rPr>
        <w:t>Ellen Cohl entered into an employment agreement with Vringo on October 20, 2010, to act as Vringo’s principal financial officer. Pursuant to the terms of her employment agreement, Ms. Cohl’s term of employment is at the will of the parties and may be terminated by either party for any reason or for no reason by giving advance written notice of 90 days. Notwithstanding the foregoing, Ms. Cohl may be dismissed immediately, without prior notice, and with rights to receive no further compensation pursuant to this employment agreement upon the occurrence of any event in which severance payments, in whole or in part, may be denied to Ms. Cohl pursuant to Israeli law. Such events include, without limitation: (i) indictment for an offense constituting a felony or involving moral turpitude, theft or embezzlement, whether or not involving the company; (ii) Ms. Cohl’s breach of her confidentiality or non-competition obligations pursuant to her employment agreement; or (iii) an act of bad faith by Ms. Cohl towards the company or any other breach of a fiduciary duty towards the company or any other breach of her employment agreement.</w:t>
      </w:r>
    </w:p>
    <w:p>
      <w:pPr>
        <w:spacing w:after="0" w:line="8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During the term of her employment, Ms. Cohl receives a gross monthly salary of NIS 35,000, or an aggregate of NIS 420,000 per year (approximately $118,000 as of December 31, 2010). In January 2011, Ms. Cohl’s gross monthly salary was increased to NIS 40,000. Ms. Cohl shall be reimbursed for all pre-approved expenses, and travel expenses, incurred in connection with her duties pursuant to the employment agreement.</w:t>
      </w:r>
    </w:p>
    <w:p>
      <w:pPr>
        <w:spacing w:after="0" w:line="200" w:lineRule="exact"/>
        <w:rPr>
          <w:sz w:val="20"/>
          <w:szCs w:val="20"/>
          <w:color w:val="auto"/>
        </w:rPr>
      </w:pPr>
    </w:p>
    <w:p>
      <w:pPr>
        <w:spacing w:after="0" w:line="30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0" w:name="page191"/>
    <w:bookmarkEnd w:id="19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Ms. Cohl’s employment agreement, the Manager’s Policy will be transferred to her personally. The Manager’s Policy would not be transferred to Ms. Cohl in certain circumstances, including breach of confidentiality and non-competition provisions or the breach of fiduciary duties. During the term of Ms. Cohl’s employment agreement, an amount equal to 7.5% of her base salary will be deposited into a Further Education Fund recognized by Israeli income tax authorities. Vringo’s contributions under this Section 5.4 will continue only up to the applicable tax-exempt “ceiling” under the income tax regulations in effect from time to time. The funds may be released to Ms. Cohl upon her written request.</w:t>
      </w:r>
    </w:p>
    <w:p>
      <w:pPr>
        <w:spacing w:after="0" w:line="6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employment agreement requires Ms. Cohl to assign inventions and other intellectual property which she conceives or reduces to practice during employment to Vringo and to maintain Vringo’s confidential information during employment and thereafter. Ms. Cohl is also subject to a non-competition and a non-solicitation provision that extends for a period of 12 months following termination of her agreement.</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Executive Compensation Table: Combined Company Executive Officers from Vringo</w:t>
      </w:r>
    </w:p>
    <w:p>
      <w:pPr>
        <w:spacing w:after="0" w:line="105"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sets forth cash compensation and the value of stock options awards granted to Vringo’s executive officers that will continue as executive officers of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215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3420" w:type="dxa"/>
            <w:vAlign w:val="bottom"/>
          </w:tcPr>
          <w:p>
            <w:pPr>
              <w:spacing w:after="0" w:line="139" w:lineRule="exact"/>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ind w:left="100"/>
              <w:spacing w:after="0" w:line="139" w:lineRule="exact"/>
              <w:rPr>
                <w:sz w:val="20"/>
                <w:szCs w:val="20"/>
                <w:color w:val="auto"/>
              </w:rPr>
            </w:pPr>
            <w:r>
              <w:rPr>
                <w:rFonts w:ascii="Arial" w:cs="Arial" w:eastAsia="Arial" w:hAnsi="Arial"/>
                <w:sz w:val="13"/>
                <w:szCs w:val="13"/>
                <w:b w:val="1"/>
                <w:bCs w:val="1"/>
                <w:color w:val="auto"/>
              </w:rPr>
              <w:t>Salary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7"/>
              <w:spacing w:after="0" w:line="139"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840" w:type="dxa"/>
            <w:vAlign w:val="bottom"/>
          </w:tcPr>
          <w:p>
            <w:pPr>
              <w:jc w:val="right"/>
              <w:ind w:right="68"/>
              <w:spacing w:after="0" w:line="139" w:lineRule="exact"/>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39" w:lineRule="exact"/>
              <w:rPr>
                <w:sz w:val="20"/>
                <w:szCs w:val="20"/>
                <w:color w:val="auto"/>
              </w:rPr>
            </w:pPr>
            <w:r>
              <w:rPr>
                <w:rFonts w:ascii="Arial" w:cs="Arial" w:eastAsia="Arial" w:hAnsi="Arial"/>
                <w:sz w:val="13"/>
                <w:szCs w:val="13"/>
                <w:b w:val="1"/>
                <w:bCs w:val="1"/>
                <w:color w:val="auto"/>
                <w:w w:val="96"/>
              </w:rPr>
              <w:t>Total</w:t>
            </w:r>
          </w:p>
        </w:tc>
      </w:tr>
      <w:tr>
        <w:trPr>
          <w:trHeight w:val="147"/>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5"/>
              <w:spacing w:after="0" w:line="148"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7"/>
              <w:spacing w:after="0" w:line="148" w:lineRule="exact"/>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0"/>
              </w:rPr>
              <w:t>Compensation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345"/>
              <w:spacing w:after="0" w:line="148" w:lineRule="exact"/>
              <w:rPr>
                <w:sz w:val="20"/>
                <w:szCs w:val="20"/>
                <w:color w:val="auto"/>
              </w:rPr>
            </w:pPr>
            <w:r>
              <w:rPr>
                <w:rFonts w:ascii="Arial" w:cs="Arial" w:eastAsia="Arial" w:hAnsi="Arial"/>
                <w:sz w:val="13"/>
                <w:szCs w:val="13"/>
                <w:b w:val="1"/>
                <w:bCs w:val="1"/>
                <w:color w:val="auto"/>
              </w:rPr>
              <w:t>($)</w:t>
            </w:r>
          </w:p>
        </w:tc>
      </w:tr>
      <w:tr>
        <w:trPr>
          <w:trHeight w:val="186"/>
        </w:trPr>
        <w:tc>
          <w:tcPr>
            <w:tcW w:w="3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7"/>
              <w:spacing w:after="0" w:line="187"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(1)</w:t>
            </w:r>
          </w:p>
        </w:tc>
        <w:tc>
          <w:tcPr>
            <w:tcW w:w="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3"/>
        </w:trPr>
        <w:tc>
          <w:tcPr>
            <w:tcW w:w="34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Andrew D. Perlman</w:t>
            </w:r>
          </w:p>
        </w:tc>
        <w:tc>
          <w:tcPr>
            <w:tcW w:w="3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w:t>
            </w:r>
          </w:p>
        </w:tc>
        <w:tc>
          <w:tcPr>
            <w:tcW w:w="720" w:type="dxa"/>
            <w:vAlign w:val="bottom"/>
            <w:shd w:val="clear" w:color="auto" w:fill="CCFFCC"/>
          </w:tcPr>
          <w:p>
            <w:pPr>
              <w:ind w:left="100"/>
              <w:spacing w:after="0" w:line="193" w:lineRule="exact"/>
              <w:rPr>
                <w:sz w:val="20"/>
                <w:szCs w:val="20"/>
                <w:color w:val="auto"/>
              </w:rPr>
            </w:pPr>
            <w:r>
              <w:rPr>
                <w:rFonts w:ascii="Arial" w:cs="Arial" w:eastAsia="Arial" w:hAnsi="Arial"/>
                <w:sz w:val="17"/>
                <w:szCs w:val="17"/>
                <w:color w:val="auto"/>
                <w:w w:val="97"/>
              </w:rPr>
              <w:t>188,269</w:t>
            </w:r>
          </w:p>
        </w:tc>
        <w:tc>
          <w:tcPr>
            <w:tcW w:w="3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w:t>
            </w:r>
          </w:p>
        </w:tc>
        <w:tc>
          <w:tcPr>
            <w:tcW w:w="7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156,325</w:t>
            </w:r>
          </w:p>
        </w:tc>
        <w:tc>
          <w:tcPr>
            <w:tcW w:w="160" w:type="dxa"/>
            <w:vAlign w:val="bottom"/>
            <w:shd w:val="clear" w:color="auto" w:fill="CCFFCC"/>
          </w:tcPr>
          <w:p>
            <w:pPr>
              <w:spacing w:after="0"/>
              <w:rPr>
                <w:sz w:val="16"/>
                <w:szCs w:val="16"/>
                <w:color w:val="auto"/>
              </w:rPr>
            </w:pPr>
          </w:p>
        </w:tc>
        <w:tc>
          <w:tcPr>
            <w:tcW w:w="840" w:type="dxa"/>
            <w:vAlign w:val="bottom"/>
            <w:shd w:val="clear" w:color="auto" w:fill="CCFFCC"/>
          </w:tcPr>
          <w:p>
            <w:pPr>
              <w:jc w:val="right"/>
              <w:ind w:right="8"/>
              <w:spacing w:after="0" w:line="193"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ind w:left="40"/>
              <w:spacing w:after="0" w:line="193" w:lineRule="exact"/>
              <w:rPr>
                <w:sz w:val="20"/>
                <w:szCs w:val="20"/>
                <w:color w:val="auto"/>
              </w:rPr>
            </w:pPr>
            <w:r>
              <w:rPr>
                <w:rFonts w:ascii="Arial" w:cs="Arial" w:eastAsia="Arial" w:hAnsi="Arial"/>
                <w:sz w:val="17"/>
                <w:szCs w:val="17"/>
                <w:color w:val="auto"/>
              </w:rPr>
              <w:t>344,594</w:t>
            </w:r>
          </w:p>
        </w:tc>
      </w:tr>
      <w:tr>
        <w:trPr>
          <w:trHeight w:val="364"/>
        </w:trPr>
        <w:tc>
          <w:tcPr>
            <w:tcW w:w="3420" w:type="dxa"/>
            <w:vAlign w:val="bottom"/>
          </w:tcPr>
          <w:p>
            <w:pPr>
              <w:spacing w:after="0"/>
              <w:rPr>
                <w:sz w:val="20"/>
                <w:szCs w:val="20"/>
                <w:color w:val="auto"/>
              </w:rPr>
            </w:pPr>
            <w:r>
              <w:rPr>
                <w:rFonts w:ascii="Arial" w:cs="Arial" w:eastAsia="Arial" w:hAnsi="Arial"/>
                <w:sz w:val="17"/>
                <w:szCs w:val="17"/>
                <w:color w:val="auto"/>
              </w:rPr>
              <w:t>Ellen Cohl</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ind w:left="100"/>
              <w:spacing w:after="0"/>
              <w:rPr>
                <w:sz w:val="20"/>
                <w:szCs w:val="20"/>
                <w:color w:val="auto"/>
              </w:rPr>
            </w:pPr>
            <w:r>
              <w:rPr>
                <w:rFonts w:ascii="Arial" w:cs="Arial" w:eastAsia="Arial" w:hAnsi="Arial"/>
                <w:sz w:val="17"/>
                <w:szCs w:val="17"/>
                <w:color w:val="auto"/>
                <w:w w:val="97"/>
              </w:rPr>
              <w:t>127,988</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58,180</w:t>
            </w:r>
          </w:p>
        </w:tc>
        <w:tc>
          <w:tcPr>
            <w:tcW w:w="1000" w:type="dxa"/>
            <w:vAlign w:val="bottom"/>
            <w:gridSpan w:val="2"/>
          </w:tcPr>
          <w:p>
            <w:pPr>
              <w:jc w:val="right"/>
              <w:ind w:right="8"/>
              <w:spacing w:after="0"/>
              <w:rPr>
                <w:sz w:val="20"/>
                <w:szCs w:val="20"/>
                <w:color w:val="auto"/>
              </w:rPr>
            </w:pPr>
            <w:r>
              <w:rPr>
                <w:rFonts w:ascii="Arial" w:cs="Arial" w:eastAsia="Arial" w:hAnsi="Arial"/>
                <w:sz w:val="17"/>
                <w:szCs w:val="17"/>
                <w:color w:val="auto"/>
              </w:rPr>
              <w:t>36,841</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Pr>
          <w:p>
            <w:pPr>
              <w:ind w:left="40"/>
              <w:spacing w:after="0"/>
              <w:rPr>
                <w:sz w:val="20"/>
                <w:szCs w:val="20"/>
                <w:color w:val="auto"/>
              </w:rPr>
            </w:pPr>
            <w:r>
              <w:rPr>
                <w:rFonts w:ascii="Arial" w:cs="Arial" w:eastAsia="Arial" w:hAnsi="Arial"/>
                <w:sz w:val="17"/>
                <w:szCs w:val="17"/>
                <w:color w:val="auto"/>
                <w:w w:val="95"/>
              </w:rPr>
              <w:t>223,009</w:t>
            </w:r>
            <w:r>
              <w:rPr>
                <w:rFonts w:ascii="Arial" w:cs="Arial" w:eastAsia="Arial" w:hAnsi="Arial"/>
                <w:sz w:val="27"/>
                <w:szCs w:val="27"/>
                <w:color w:val="auto"/>
                <w:w w:val="95"/>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572770" cy="158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368" w:lineRule="exact"/>
        <w:rPr>
          <w:sz w:val="20"/>
          <w:szCs w:val="20"/>
          <w:color w:val="auto"/>
        </w:rPr>
      </w:pPr>
    </w:p>
    <w:p>
      <w:pPr>
        <w:ind w:left="260" w:hanging="250"/>
        <w:spacing w:after="0"/>
        <w:tabs>
          <w:tab w:leader="none" w:pos="2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w:t>
      </w:r>
    </w:p>
    <w:p>
      <w:pPr>
        <w:spacing w:after="0" w:line="105" w:lineRule="exact"/>
        <w:rPr>
          <w:rFonts w:ascii="Arial" w:cs="Arial" w:eastAsia="Arial" w:hAnsi="Arial"/>
          <w:sz w:val="17"/>
          <w:szCs w:val="17"/>
          <w:color w:val="auto"/>
        </w:rPr>
      </w:pPr>
    </w:p>
    <w:p>
      <w:pPr>
        <w:jc w:val="both"/>
        <w:ind w:left="260" w:right="1239" w:hanging="250"/>
        <w:spacing w:after="0" w:line="307" w:lineRule="auto"/>
        <w:tabs>
          <w:tab w:leader="none" w:pos="2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$30,898. Additionally, includes local travel reimbursement in the aggregate amount of $5,943.</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Executive Compensation Table: Combined Company Executive Officers from Innovate/Protect</w:t>
      </w:r>
    </w:p>
    <w:p>
      <w:pPr>
        <w:spacing w:after="0" w:line="105" w:lineRule="exact"/>
        <w:rPr>
          <w:sz w:val="20"/>
          <w:szCs w:val="20"/>
          <w:color w:val="auto"/>
        </w:rPr>
      </w:pPr>
    </w:p>
    <w:p>
      <w:pPr>
        <w:ind w:left="40" w:right="1239" w:firstLine="251"/>
        <w:spacing w:after="0" w:line="280" w:lineRule="auto"/>
        <w:rPr>
          <w:sz w:val="20"/>
          <w:szCs w:val="20"/>
          <w:color w:val="auto"/>
        </w:rPr>
      </w:pPr>
      <w:r>
        <w:rPr>
          <w:rFonts w:ascii="Arial" w:cs="Arial" w:eastAsia="Arial" w:hAnsi="Arial"/>
          <w:sz w:val="16"/>
          <w:szCs w:val="16"/>
          <w:color w:val="auto"/>
        </w:rPr>
        <w:t>The following table sets forth cash compensation and the value of stock options awards granted to Innovate/Protect’s executive officers that will continue as executive officers of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215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3420" w:type="dxa"/>
            <w:vAlign w:val="bottom"/>
          </w:tcPr>
          <w:p>
            <w:pPr>
              <w:spacing w:after="0" w:line="139" w:lineRule="exact"/>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2"/>
                <w:szCs w:val="12"/>
                <w:color w:val="auto"/>
              </w:rPr>
            </w:pPr>
          </w:p>
        </w:tc>
        <w:tc>
          <w:tcPr>
            <w:tcW w:w="860" w:type="dxa"/>
            <w:vAlign w:val="bottom"/>
          </w:tcPr>
          <w:p>
            <w:pPr>
              <w:jc w:val="right"/>
              <w:ind w:right="173"/>
              <w:spacing w:after="0" w:line="139"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880" w:type="dxa"/>
            <w:vAlign w:val="bottom"/>
          </w:tcPr>
          <w:p>
            <w:pPr>
              <w:jc w:val="right"/>
              <w:ind w:right="88"/>
              <w:spacing w:after="0" w:line="139" w:lineRule="exact"/>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ind w:left="120"/>
              <w:spacing w:after="0" w:line="139" w:lineRule="exact"/>
              <w:rPr>
                <w:sz w:val="20"/>
                <w:szCs w:val="20"/>
                <w:color w:val="auto"/>
              </w:rPr>
            </w:pPr>
            <w:r>
              <w:rPr>
                <w:rFonts w:ascii="Arial" w:cs="Arial" w:eastAsia="Arial" w:hAnsi="Arial"/>
                <w:sz w:val="13"/>
                <w:szCs w:val="13"/>
                <w:b w:val="1"/>
                <w:bCs w:val="1"/>
                <w:color w:val="auto"/>
              </w:rPr>
              <w:t>Total</w:t>
            </w:r>
          </w:p>
        </w:tc>
      </w:tr>
      <w:tr>
        <w:trPr>
          <w:trHeight w:val="147"/>
        </w:trPr>
        <w:tc>
          <w:tcPr>
            <w:tcW w:w="3420" w:type="dxa"/>
            <w:vAlign w:val="bottom"/>
          </w:tcPr>
          <w:p>
            <w:pPr>
              <w:spacing w:after="0"/>
              <w:rPr>
                <w:sz w:val="12"/>
                <w:szCs w:val="12"/>
                <w:color w:val="auto"/>
              </w:rPr>
            </w:pPr>
          </w:p>
        </w:tc>
        <w:tc>
          <w:tcPr>
            <w:tcW w:w="1000" w:type="dxa"/>
            <w:vAlign w:val="bottom"/>
            <w:gridSpan w:val="2"/>
          </w:tcPr>
          <w:p>
            <w:pPr>
              <w:jc w:val="right"/>
              <w:ind w:right="273"/>
              <w:spacing w:after="0" w:line="148"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2"/>
              </w:rPr>
              <w:t>Compensation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45"/>
              <w:spacing w:after="0" w:line="148" w:lineRule="exact"/>
              <w:rPr>
                <w:sz w:val="20"/>
                <w:szCs w:val="20"/>
                <w:color w:val="auto"/>
              </w:rPr>
            </w:pPr>
            <w:r>
              <w:rPr>
                <w:rFonts w:ascii="Arial" w:cs="Arial" w:eastAsia="Arial" w:hAnsi="Arial"/>
                <w:sz w:val="13"/>
                <w:szCs w:val="13"/>
                <w:b w:val="1"/>
                <w:bCs w:val="1"/>
                <w:color w:val="auto"/>
              </w:rPr>
              <w:t>($)</w:t>
            </w:r>
          </w:p>
        </w:tc>
      </w:tr>
      <w:tr>
        <w:trPr>
          <w:trHeight w:val="186"/>
        </w:trPr>
        <w:tc>
          <w:tcPr>
            <w:tcW w:w="3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(1)</w:t>
            </w: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31"/>
        </w:trPr>
        <w:tc>
          <w:tcPr>
            <w:tcW w:w="3420" w:type="dxa"/>
            <w:vAlign w:val="bottom"/>
            <w:shd w:val="clear" w:color="auto" w:fill="CCFFCC"/>
          </w:tcPr>
          <w:p>
            <w:pPr>
              <w:spacing w:after="0"/>
              <w:rPr>
                <w:sz w:val="20"/>
                <w:szCs w:val="20"/>
                <w:color w:val="auto"/>
              </w:rPr>
            </w:pPr>
            <w:r>
              <w:rPr>
                <w:rFonts w:ascii="Arial" w:cs="Arial" w:eastAsia="Arial" w:hAnsi="Arial"/>
                <w:sz w:val="17"/>
                <w:szCs w:val="17"/>
                <w:color w:val="auto"/>
              </w:rPr>
              <w:t>Andrew Kennedy Lang</w:t>
            </w:r>
          </w:p>
        </w:tc>
        <w:tc>
          <w:tcPr>
            <w:tcW w:w="1000" w:type="dxa"/>
            <w:vAlign w:val="bottom"/>
            <w:gridSpan w:val="2"/>
            <w:shd w:val="clear" w:color="auto" w:fill="CCFFCC"/>
          </w:tcPr>
          <w:p>
            <w:pPr>
              <w:jc w:val="right"/>
              <w:ind w:right="13"/>
              <w:spacing w:after="0" w:line="231" w:lineRule="exact"/>
              <w:rPr>
                <w:sz w:val="20"/>
                <w:szCs w:val="20"/>
                <w:color w:val="auto"/>
              </w:rPr>
            </w:pPr>
            <w:r>
              <w:rPr>
                <w:rFonts w:ascii="Arial" w:cs="Arial" w:eastAsia="Arial" w:hAnsi="Arial"/>
                <w:sz w:val="16"/>
                <w:szCs w:val="16"/>
                <w:color w:val="auto"/>
              </w:rPr>
              <w:t>$ 88,723</w:t>
            </w:r>
            <w:r>
              <w:rPr>
                <w:rFonts w:ascii="Arial" w:cs="Arial" w:eastAsia="Arial" w:hAnsi="Arial"/>
                <w:sz w:val="26"/>
                <w:szCs w:val="26"/>
                <w:color w:val="auto"/>
                <w:vertAlign w:val="superscript"/>
              </w:rPr>
              <w:t>(2)</w:t>
            </w:r>
          </w:p>
        </w:tc>
        <w:tc>
          <w:tcPr>
            <w:tcW w:w="1020" w:type="dxa"/>
            <w:vAlign w:val="bottom"/>
            <w:gridSpan w:val="2"/>
            <w:shd w:val="clear" w:color="auto" w:fill="CCFFCC"/>
          </w:tcPr>
          <w:p>
            <w:pPr>
              <w:jc w:val="right"/>
              <w:spacing w:after="0" w:line="231" w:lineRule="exact"/>
              <w:rPr>
                <w:sz w:val="20"/>
                <w:szCs w:val="20"/>
                <w:color w:val="auto"/>
              </w:rPr>
            </w:pPr>
            <w:r>
              <w:rPr>
                <w:rFonts w:ascii="Arial" w:cs="Arial" w:eastAsia="Arial" w:hAnsi="Arial"/>
                <w:sz w:val="16"/>
                <w:szCs w:val="16"/>
                <w:color w:val="auto"/>
              </w:rPr>
              <w:t>$ 546,254</w:t>
            </w:r>
            <w:r>
              <w:rPr>
                <w:rFonts w:ascii="Arial" w:cs="Arial" w:eastAsia="Arial" w:hAnsi="Arial"/>
                <w:sz w:val="26"/>
                <w:szCs w:val="26"/>
                <w:color w:val="auto"/>
                <w:vertAlign w:val="superscript"/>
              </w:rPr>
              <w:t>(3)</w:t>
            </w:r>
          </w:p>
        </w:tc>
        <w:tc>
          <w:tcPr>
            <w:tcW w:w="1040" w:type="dxa"/>
            <w:vAlign w:val="bottom"/>
            <w:gridSpan w:val="2"/>
            <w:shd w:val="clear" w:color="auto" w:fill="CCFFCC"/>
          </w:tcPr>
          <w:p>
            <w:pPr>
              <w:jc w:val="right"/>
              <w:ind w:right="28"/>
              <w:spacing w:after="0" w:line="231" w:lineRule="exact"/>
              <w:rPr>
                <w:sz w:val="20"/>
                <w:szCs w:val="20"/>
                <w:color w:val="auto"/>
              </w:rPr>
            </w:pPr>
            <w:r>
              <w:rPr>
                <w:rFonts w:ascii="Arial" w:cs="Arial" w:eastAsia="Arial" w:hAnsi="Arial"/>
                <w:sz w:val="16"/>
                <w:szCs w:val="16"/>
                <w:color w:val="auto"/>
              </w:rPr>
              <w:t>14,653</w:t>
            </w:r>
            <w:r>
              <w:rPr>
                <w:rFonts w:ascii="Arial" w:cs="Arial" w:eastAsia="Arial" w:hAnsi="Arial"/>
                <w:sz w:val="26"/>
                <w:szCs w:val="26"/>
                <w:color w:val="auto"/>
                <w:vertAlign w:val="superscript"/>
              </w:rPr>
              <w:t>(4)</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FFCC"/>
          </w:tcPr>
          <w:p>
            <w:pPr>
              <w:ind w:left="120"/>
              <w:spacing w:after="0"/>
              <w:rPr>
                <w:sz w:val="20"/>
                <w:szCs w:val="20"/>
                <w:color w:val="auto"/>
              </w:rPr>
            </w:pPr>
            <w:r>
              <w:rPr>
                <w:rFonts w:ascii="Arial" w:cs="Arial" w:eastAsia="Arial" w:hAnsi="Arial"/>
                <w:sz w:val="17"/>
                <w:szCs w:val="17"/>
                <w:color w:val="auto"/>
              </w:rPr>
              <w:t>649,630</w:t>
            </w:r>
          </w:p>
        </w:tc>
      </w:tr>
      <w:tr>
        <w:trPr>
          <w:trHeight w:val="364"/>
        </w:trPr>
        <w:tc>
          <w:tcPr>
            <w:tcW w:w="3420" w:type="dxa"/>
            <w:vAlign w:val="bottom"/>
          </w:tcPr>
          <w:p>
            <w:pPr>
              <w:spacing w:after="0"/>
              <w:rPr>
                <w:sz w:val="20"/>
                <w:szCs w:val="20"/>
                <w:color w:val="auto"/>
              </w:rPr>
            </w:pPr>
            <w:r>
              <w:rPr>
                <w:rFonts w:ascii="Arial" w:cs="Arial" w:eastAsia="Arial" w:hAnsi="Arial"/>
                <w:sz w:val="17"/>
                <w:szCs w:val="17"/>
                <w:color w:val="auto"/>
              </w:rPr>
              <w:t>Alexander R. Berger</w:t>
            </w:r>
          </w:p>
        </w:tc>
        <w:tc>
          <w:tcPr>
            <w:tcW w:w="1000" w:type="dxa"/>
            <w:vAlign w:val="bottom"/>
            <w:gridSpan w:val="2"/>
          </w:tcPr>
          <w:p>
            <w:pPr>
              <w:jc w:val="right"/>
              <w:ind w:right="13"/>
              <w:spacing w:after="0"/>
              <w:rPr>
                <w:sz w:val="20"/>
                <w:szCs w:val="20"/>
                <w:color w:val="auto"/>
              </w:rPr>
            </w:pPr>
            <w:r>
              <w:rPr>
                <w:rFonts w:ascii="Arial" w:cs="Arial" w:eastAsia="Arial" w:hAnsi="Arial"/>
                <w:sz w:val="17"/>
                <w:szCs w:val="17"/>
                <w:color w:val="auto"/>
              </w:rPr>
              <w:t>$ 53,274</w:t>
            </w:r>
            <w:r>
              <w:rPr>
                <w:rFonts w:ascii="Arial" w:cs="Arial" w:eastAsia="Arial" w:hAnsi="Arial"/>
                <w:sz w:val="27"/>
                <w:szCs w:val="27"/>
                <w:color w:val="auto"/>
                <w:vertAlign w:val="superscript"/>
              </w:rPr>
              <w:t>(5)</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$ 161,438</w:t>
            </w:r>
            <w:r>
              <w:rPr>
                <w:rFonts w:ascii="Arial" w:cs="Arial" w:eastAsia="Arial" w:hAnsi="Arial"/>
                <w:sz w:val="27"/>
                <w:szCs w:val="27"/>
                <w:color w:val="auto"/>
                <w:w w:val="98"/>
                <w:vertAlign w:val="superscript"/>
              </w:rPr>
              <w:t>(6)</w:t>
            </w:r>
          </w:p>
        </w:tc>
        <w:tc>
          <w:tcPr>
            <w:tcW w:w="16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tcPr>
          <w:p>
            <w:pPr>
              <w:ind w:left="120"/>
              <w:spacing w:after="0"/>
              <w:rPr>
                <w:sz w:val="20"/>
                <w:szCs w:val="20"/>
                <w:color w:val="auto"/>
              </w:rPr>
            </w:pPr>
            <w:r>
              <w:rPr>
                <w:rFonts w:ascii="Arial" w:cs="Arial" w:eastAsia="Arial" w:hAnsi="Arial"/>
                <w:sz w:val="17"/>
                <w:szCs w:val="17"/>
                <w:color w:val="auto"/>
              </w:rPr>
              <w:t>214,712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572770" cy="1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368" w:lineRule="exact"/>
        <w:rPr>
          <w:sz w:val="20"/>
          <w:szCs w:val="20"/>
          <w:color w:val="auto"/>
        </w:rPr>
      </w:pPr>
    </w:p>
    <w:p>
      <w:pPr>
        <w:ind w:left="260" w:hanging="250"/>
        <w:spacing w:after="0"/>
        <w:tabs>
          <w:tab w:leader="none" w:pos="2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w:t>
      </w:r>
    </w:p>
    <w:p>
      <w:pPr>
        <w:spacing w:after="0" w:line="105" w:lineRule="exact"/>
        <w:rPr>
          <w:rFonts w:ascii="Arial" w:cs="Arial" w:eastAsia="Arial" w:hAnsi="Arial"/>
          <w:sz w:val="17"/>
          <w:szCs w:val="17"/>
          <w:color w:val="auto"/>
        </w:rPr>
      </w:pPr>
    </w:p>
    <w:p>
      <w:pPr>
        <w:jc w:val="both"/>
        <w:ind w:left="260" w:right="1239" w:hanging="250"/>
        <w:spacing w:after="0" w:line="256" w:lineRule="auto"/>
        <w:tabs>
          <w:tab w:leader="none" w:pos="2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 the event that the Merger is not consummated and Innovate/Protect successfully completes an IPO and realizes net proceeds of at least $7 million from the sum of its previously completed private placements and the IPO, Mr. Lang’s annual salary will increase to $385,000.</w:t>
      </w:r>
    </w:p>
    <w:p>
      <w:pPr>
        <w:spacing w:after="0" w:line="76" w:lineRule="exact"/>
        <w:rPr>
          <w:rFonts w:ascii="Arial" w:cs="Arial" w:eastAsia="Arial" w:hAnsi="Arial"/>
          <w:sz w:val="17"/>
          <w:szCs w:val="17"/>
          <w:color w:val="auto"/>
        </w:rPr>
      </w:pPr>
    </w:p>
    <w:p>
      <w:pPr>
        <w:jc w:val="both"/>
        <w:ind w:left="260" w:right="1239" w:hanging="250"/>
        <w:spacing w:after="0" w:line="253" w:lineRule="auto"/>
        <w:tabs>
          <w:tab w:leader="none" w:pos="2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Total stock award of 2,115,625 shares. 1,178,125 shares vested immediately upon grant and 937,500 shares vest over a three (3) year period. On March 11, 2012, the Innovate/Protect board of directors adopted a resolution to remove Innovate/Protect’s repurchase right with respect to the equity described in the preceding sentence upon the Effective Time (as defined in the Merger Agreement) of the Merger.</w:t>
      </w:r>
    </w:p>
    <w:p>
      <w:pPr>
        <w:spacing w:after="0" w:line="200" w:lineRule="exact"/>
        <w:rPr>
          <w:sz w:val="20"/>
          <w:szCs w:val="20"/>
          <w:color w:val="auto"/>
        </w:rPr>
      </w:pPr>
    </w:p>
    <w:p>
      <w:pPr>
        <w:spacing w:after="0" w:line="29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1" w:name="page192"/>
    <w:bookmarkEnd w:id="19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260" w:hanging="250"/>
        <w:spacing w:after="0"/>
        <w:tabs>
          <w:tab w:leader="none" w:pos="2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Includes $14,653 provided to Mr. Lang in moving reimbursement expenses.</w:t>
      </w:r>
    </w:p>
    <w:p>
      <w:pPr>
        <w:spacing w:after="0" w:line="105" w:lineRule="exact"/>
        <w:rPr>
          <w:rFonts w:ascii="Arial" w:cs="Arial" w:eastAsia="Arial" w:hAnsi="Arial"/>
          <w:sz w:val="17"/>
          <w:szCs w:val="17"/>
          <w:color w:val="auto"/>
        </w:rPr>
      </w:pPr>
    </w:p>
    <w:p>
      <w:pPr>
        <w:jc w:val="both"/>
        <w:ind w:left="260" w:right="1239" w:hanging="250"/>
        <w:spacing w:after="0" w:line="256" w:lineRule="auto"/>
        <w:tabs>
          <w:tab w:leader="none" w:pos="2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the event that the Merger is not consummated and Innovate/Protect successfully completes an IPO and realizes net proceeds of at least $7 million from the sum of its previously completed private placements and the IPO, Mr. Berger’s annual salary will increase to $250,000.</w:t>
      </w:r>
    </w:p>
    <w:p>
      <w:pPr>
        <w:spacing w:after="0" w:line="76" w:lineRule="exact"/>
        <w:rPr>
          <w:rFonts w:ascii="Arial" w:cs="Arial" w:eastAsia="Arial" w:hAnsi="Arial"/>
          <w:sz w:val="17"/>
          <w:szCs w:val="17"/>
          <w:color w:val="auto"/>
        </w:rPr>
      </w:pPr>
    </w:p>
    <w:p>
      <w:pPr>
        <w:jc w:val="both"/>
        <w:ind w:left="260" w:right="1239" w:hanging="250"/>
        <w:spacing w:after="0" w:line="297" w:lineRule="auto"/>
        <w:tabs>
          <w:tab w:leader="none" w:pos="26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Total stock award of 625,000 shares. The fair value of these shares at the time of grant has been treated as compensation and is recognized at such times as the shares vest over an eighteen (18) month period. On March 11, 2012, the Innovate/Protect board of directors adopted a resolution to remove Innovate/Protect’s repurchase right with respect to the equity described in the preceding sentence upon the Effective Time (as defined in the Merger Agreement) of the Merger.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Outstanding Equity Awards at Fiscal Year-End</w:t>
      </w:r>
    </w:p>
    <w:p>
      <w:pPr>
        <w:spacing w:after="0" w:line="105" w:lineRule="exact"/>
        <w:rPr>
          <w:sz w:val="20"/>
          <w:szCs w:val="20"/>
          <w:color w:val="auto"/>
        </w:rPr>
      </w:pPr>
    </w:p>
    <w:p>
      <w:pPr>
        <w:ind w:left="40" w:right="1239" w:firstLine="251"/>
        <w:spacing w:after="0" w:line="264" w:lineRule="auto"/>
        <w:rPr>
          <w:sz w:val="20"/>
          <w:szCs w:val="20"/>
          <w:color w:val="auto"/>
        </w:rPr>
      </w:pPr>
      <w:r>
        <w:rPr>
          <w:rFonts w:ascii="Arial" w:cs="Arial" w:eastAsia="Arial" w:hAnsi="Arial"/>
          <w:sz w:val="17"/>
          <w:szCs w:val="17"/>
          <w:color w:val="auto"/>
        </w:rPr>
        <w:t>The table below sets forth information regarding outstanding equity awards held by Vringo’s named executive officers as of December 31, 2011 granted under Vringo’s 2006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215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95"/>
              </w:rPr>
              <w:t>Option awards</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8"/>
        </w:trPr>
        <w:tc>
          <w:tcPr>
            <w:tcW w:w="23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Name</w:t>
            </w: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08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rPr>
              <w:t>Option</w:t>
            </w:r>
          </w:p>
        </w:tc>
        <w:tc>
          <w:tcPr>
            <w:tcW w:w="1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Vesting</w:t>
            </w:r>
          </w:p>
        </w:tc>
        <w:tc>
          <w:tcPr>
            <w:tcW w:w="16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Option</w:t>
            </w:r>
          </w:p>
        </w:tc>
      </w:tr>
      <w:tr>
        <w:trPr>
          <w:trHeight w:val="138"/>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5"/>
              </w:rPr>
              <w:t>securities</w:t>
            </w: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5"/>
              </w:rPr>
              <w:t>securities</w:t>
            </w:r>
          </w:p>
        </w:tc>
        <w:tc>
          <w:tcPr>
            <w:tcW w:w="160" w:type="dxa"/>
            <w:vAlign w:val="bottom"/>
          </w:tcPr>
          <w:p>
            <w:pPr>
              <w:spacing w:after="0"/>
              <w:rPr>
                <w:sz w:val="11"/>
                <w:szCs w:val="11"/>
                <w:color w:val="auto"/>
              </w:rPr>
            </w:pPr>
          </w:p>
        </w:tc>
        <w:tc>
          <w:tcPr>
            <w:tcW w:w="1080" w:type="dxa"/>
            <w:vAlign w:val="bottom"/>
            <w:gridSpan w:val="3"/>
          </w:tcPr>
          <w:p>
            <w:pPr>
              <w:jc w:val="center"/>
              <w:ind w:right="220"/>
              <w:spacing w:after="0" w:line="138" w:lineRule="exact"/>
              <w:rPr>
                <w:sz w:val="20"/>
                <w:szCs w:val="20"/>
                <w:color w:val="auto"/>
              </w:rPr>
            </w:pPr>
            <w:r>
              <w:rPr>
                <w:rFonts w:ascii="Arial" w:cs="Arial" w:eastAsia="Arial" w:hAnsi="Arial"/>
                <w:sz w:val="13"/>
                <w:szCs w:val="13"/>
                <w:b w:val="1"/>
                <w:bCs w:val="1"/>
                <w:color w:val="auto"/>
                <w:w w:val="89"/>
              </w:rPr>
              <w:t>exercise price</w:t>
            </w:r>
          </w:p>
        </w:tc>
        <w:tc>
          <w:tcPr>
            <w:tcW w:w="10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commencement</w:t>
            </w:r>
          </w:p>
        </w:tc>
        <w:tc>
          <w:tcPr>
            <w:tcW w:w="16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expiration</w:t>
            </w:r>
          </w:p>
        </w:tc>
      </w:tr>
      <w:tr>
        <w:trPr>
          <w:trHeight w:val="138"/>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underlying</w:t>
            </w: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underlying</w:t>
            </w:r>
          </w:p>
        </w:tc>
        <w:tc>
          <w:tcPr>
            <w:tcW w:w="1020" w:type="dxa"/>
            <w:vAlign w:val="bottom"/>
            <w:gridSpan w:val="2"/>
          </w:tcPr>
          <w:p>
            <w:pPr>
              <w:jc w:val="center"/>
              <w:ind w:left="78"/>
              <w:spacing w:after="0" w:line="138" w:lineRule="exact"/>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7"/>
              </w:rPr>
              <w:t>date</w:t>
            </w:r>
          </w:p>
        </w:tc>
        <w:tc>
          <w:tcPr>
            <w:tcW w:w="16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date</w:t>
            </w:r>
          </w:p>
        </w:tc>
      </w:tr>
      <w:tr>
        <w:trPr>
          <w:trHeight w:val="138"/>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unexercised</w:t>
            </w: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unexercised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8"/>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options (#)</w:t>
            </w: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options (#)</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8"/>
        </w:trPr>
        <w:tc>
          <w:tcPr>
            <w:tcW w:w="2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exercisable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231"/>
        </w:trPr>
        <w:tc>
          <w:tcPr>
            <w:tcW w:w="2200" w:type="dxa"/>
            <w:vAlign w:val="bottom"/>
          </w:tcPr>
          <w:p>
            <w:pPr>
              <w:spacing w:after="0" w:line="231" w:lineRule="exact"/>
              <w:rPr>
                <w:sz w:val="20"/>
                <w:szCs w:val="20"/>
                <w:color w:val="auto"/>
              </w:rPr>
            </w:pPr>
            <w:r>
              <w:rPr>
                <w:rFonts w:ascii="Arial" w:cs="Arial" w:eastAsia="Arial" w:hAnsi="Arial"/>
                <w:sz w:val="16"/>
                <w:szCs w:val="16"/>
                <w:color w:val="auto"/>
              </w:rPr>
              <w:t>Jonathan Medved</w:t>
            </w:r>
            <w:r>
              <w:rPr>
                <w:rFonts w:ascii="Arial" w:cs="Arial" w:eastAsia="Arial" w:hAnsi="Arial"/>
                <w:sz w:val="26"/>
                <w:szCs w:val="26"/>
                <w:color w:val="auto"/>
                <w:vertAlign w:val="superscript"/>
              </w:rPr>
              <w:t>(1)</w:t>
            </w:r>
          </w:p>
        </w:tc>
        <w:tc>
          <w:tcPr>
            <w:tcW w:w="14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20,833</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9/16/2007</w:t>
            </w:r>
          </w:p>
        </w:tc>
        <w:tc>
          <w:tcPr>
            <w:tcW w:w="160" w:type="dxa"/>
            <w:vAlign w:val="bottom"/>
          </w:tcPr>
          <w:p>
            <w:pPr>
              <w:spacing w:after="0"/>
              <w:rPr>
                <w:sz w:val="20"/>
                <w:szCs w:val="20"/>
                <w:color w:val="auto"/>
              </w:rPr>
            </w:pPr>
          </w:p>
        </w:tc>
        <w:tc>
          <w:tcPr>
            <w:tcW w:w="980" w:type="dxa"/>
            <w:vAlign w:val="bottom"/>
          </w:tcPr>
          <w:p>
            <w:pPr>
              <w:ind w:left="80"/>
              <w:spacing w:after="0" w:line="231" w:lineRule="exact"/>
              <w:rPr>
                <w:sz w:val="20"/>
                <w:szCs w:val="20"/>
                <w:color w:val="auto"/>
              </w:rPr>
            </w:pPr>
            <w:r>
              <w:rPr>
                <w:rFonts w:ascii="Arial" w:cs="Arial" w:eastAsia="Arial" w:hAnsi="Arial"/>
                <w:sz w:val="16"/>
                <w:szCs w:val="16"/>
                <w:color w:val="auto"/>
                <w:w w:val="95"/>
              </w:rPr>
              <w:t>9/21/2013</w:t>
            </w:r>
            <w:r>
              <w:rPr>
                <w:rFonts w:ascii="Arial" w:cs="Arial" w:eastAsia="Arial" w:hAnsi="Arial"/>
                <w:sz w:val="26"/>
                <w:szCs w:val="26"/>
                <w:color w:val="auto"/>
                <w:w w:val="95"/>
                <w:vertAlign w:val="superscript"/>
              </w:rPr>
              <w:t>(4)</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Jonathan Medved</w:t>
            </w:r>
            <w:r>
              <w:rPr>
                <w:rFonts w:ascii="Arial" w:cs="Arial" w:eastAsia="Arial" w:hAnsi="Arial"/>
                <w:sz w:val="27"/>
                <w:szCs w:val="27"/>
                <w:color w:val="auto"/>
                <w:vertAlign w:val="superscript"/>
              </w:rPr>
              <w:t>(1)</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7,670</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4,018</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1.50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6/25/2009</w:t>
            </w:r>
          </w:p>
        </w:tc>
        <w:tc>
          <w:tcPr>
            <w:tcW w:w="1140" w:type="dxa"/>
            <w:vAlign w:val="bottom"/>
            <w:gridSpan w:val="2"/>
            <w:shd w:val="clear" w:color="auto" w:fill="CCFFCC"/>
          </w:tcPr>
          <w:p>
            <w:pPr>
              <w:ind w:left="240"/>
              <w:spacing w:after="0" w:line="239" w:lineRule="exact"/>
              <w:rPr>
                <w:sz w:val="20"/>
                <w:szCs w:val="20"/>
                <w:color w:val="auto"/>
              </w:rPr>
            </w:pPr>
            <w:r>
              <w:rPr>
                <w:rFonts w:ascii="Arial" w:cs="Arial" w:eastAsia="Arial" w:hAnsi="Arial"/>
                <w:sz w:val="17"/>
                <w:szCs w:val="17"/>
                <w:color w:val="auto"/>
                <w:w w:val="90"/>
              </w:rPr>
              <w:t>9/21/2013</w:t>
            </w:r>
            <w:r>
              <w:rPr>
                <w:rFonts w:ascii="Arial" w:cs="Arial" w:eastAsia="Arial" w:hAnsi="Arial"/>
                <w:sz w:val="27"/>
                <w:szCs w:val="27"/>
                <w:color w:val="auto"/>
                <w:w w:val="90"/>
                <w:vertAlign w:val="superscript"/>
              </w:rPr>
              <w:t>(4)</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Jonathan Medved</w:t>
            </w:r>
            <w:r>
              <w:rPr>
                <w:rFonts w:ascii="Arial" w:cs="Arial" w:eastAsia="Arial" w:hAnsi="Arial"/>
                <w:sz w:val="27"/>
                <w:szCs w:val="27"/>
                <w:color w:val="auto"/>
                <w:vertAlign w:val="superscript"/>
              </w:rPr>
              <w:t>(3)</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266,667</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0.01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tcPr>
          <w:p>
            <w:pPr>
              <w:ind w:left="240"/>
              <w:spacing w:after="0" w:line="239" w:lineRule="exact"/>
              <w:rPr>
                <w:sz w:val="20"/>
                <w:szCs w:val="20"/>
                <w:color w:val="auto"/>
              </w:rPr>
            </w:pPr>
            <w:r>
              <w:rPr>
                <w:rFonts w:ascii="Arial" w:cs="Arial" w:eastAsia="Arial" w:hAnsi="Arial"/>
                <w:sz w:val="17"/>
                <w:szCs w:val="17"/>
                <w:color w:val="auto"/>
                <w:w w:val="90"/>
              </w:rPr>
              <w:t>9/21/2012</w:t>
            </w:r>
            <w:r>
              <w:rPr>
                <w:rFonts w:ascii="Arial" w:cs="Arial" w:eastAsia="Arial" w:hAnsi="Arial"/>
                <w:sz w:val="27"/>
                <w:szCs w:val="27"/>
                <w:color w:val="auto"/>
                <w:w w:val="90"/>
                <w:vertAlign w:val="superscript"/>
              </w:rPr>
              <w:t>(4)</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Jonathan Medved</w:t>
            </w:r>
            <w:r>
              <w:rPr>
                <w:rFonts w:ascii="Arial" w:cs="Arial" w:eastAsia="Arial" w:hAnsi="Arial"/>
                <w:sz w:val="27"/>
                <w:szCs w:val="27"/>
                <w:color w:val="auto"/>
                <w:vertAlign w:val="superscript"/>
              </w:rPr>
              <w:t>(2)</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150,000</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250,000</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9/21/2013</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(1)</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4,167</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7/30/2007</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7/30/2013</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(1)</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2,500</w:t>
            </w: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4.50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1/20/2008</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1/20/2014</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(1)</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1,490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677</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1.50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2/14/2009</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2/14/2015</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(3)</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46,667</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3/17/2016</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(2)</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33,750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56,250</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3/17/2016</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(3)</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46,667</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9/30/2010</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1/31/2017</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(3)</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30,000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60,000</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9/30/2010</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1/31/2017</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Ellen Cohl</w:t>
            </w:r>
            <w:r>
              <w:rPr>
                <w:rFonts w:ascii="Arial" w:cs="Arial" w:eastAsia="Arial" w:hAnsi="Arial"/>
                <w:sz w:val="27"/>
                <w:szCs w:val="27"/>
                <w:color w:val="auto"/>
                <w:vertAlign w:val="superscript"/>
              </w:rPr>
              <w:t>(3)</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20,000</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9/30/2010</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1/31/2017</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Ellen Cohl</w:t>
            </w:r>
            <w:r>
              <w:rPr>
                <w:rFonts w:ascii="Arial" w:cs="Arial" w:eastAsia="Arial" w:hAnsi="Arial"/>
                <w:sz w:val="27"/>
                <w:szCs w:val="27"/>
                <w:color w:val="auto"/>
                <w:vertAlign w:val="superscript"/>
              </w:rPr>
              <w:t>(3)</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6,250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13,750</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9/30/2010</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1/31/2017</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Ellen Cohl</w:t>
            </w:r>
            <w:r>
              <w:rPr>
                <w:rFonts w:ascii="Arial" w:cs="Arial" w:eastAsia="Arial" w:hAnsi="Arial"/>
                <w:sz w:val="27"/>
                <w:szCs w:val="27"/>
                <w:color w:val="auto"/>
                <w:vertAlign w:val="superscript"/>
              </w:rPr>
              <w:t>(2)</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15,000</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3/17/2016</w:t>
            </w:r>
          </w:p>
        </w:tc>
      </w:tr>
      <w:tr>
        <w:trPr>
          <w:trHeight w:val="213"/>
        </w:trPr>
        <w:tc>
          <w:tcPr>
            <w:tcW w:w="2340" w:type="dxa"/>
            <w:vAlign w:val="bottom"/>
            <w:gridSpan w:val="2"/>
          </w:tcPr>
          <w:p>
            <w:pPr>
              <w:spacing w:after="0"/>
              <w:rPr>
                <w:sz w:val="20"/>
                <w:szCs w:val="20"/>
                <w:color w:val="auto"/>
              </w:rPr>
            </w:pPr>
            <w:r>
              <w:rPr>
                <w:rFonts w:ascii="Arial" w:cs="Arial" w:eastAsia="Arial" w:hAnsi="Arial"/>
                <w:sz w:val="17"/>
                <w:szCs w:val="17"/>
                <w:color w:val="auto"/>
              </w:rPr>
              <w:t>Ellen Cohl (2)</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15,000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25,000</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3/17/2016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572770" cy="158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both"/>
        <w:ind w:left="260" w:right="1239" w:hanging="250"/>
        <w:spacing w:after="0" w:line="253" w:lineRule="auto"/>
        <w:tabs>
          <w:tab w:leader="none" w:pos="2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spacing w:after="0" w:line="77" w:lineRule="exact"/>
        <w:rPr>
          <w:rFonts w:ascii="Arial" w:cs="Arial" w:eastAsia="Arial" w:hAnsi="Arial"/>
          <w:sz w:val="17"/>
          <w:szCs w:val="17"/>
          <w:color w:val="auto"/>
        </w:rPr>
      </w:pPr>
    </w:p>
    <w:p>
      <w:pPr>
        <w:jc w:val="both"/>
        <w:ind w:left="260" w:right="1239" w:hanging="250"/>
        <w:spacing w:after="0" w:line="253" w:lineRule="auto"/>
        <w:tabs>
          <w:tab w:leader="none" w:pos="2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25% of the options awards vest in arrears on the date which is twelve months after the applicable vesting commencement date, subject to the optionee’s continuous service status on such date. The remaining 75% of the options vest in equal annual increments (25% per year) over the subsequent three years, subject to the optionee’s continuous service status on the relevant vesting date.</w:t>
      </w:r>
    </w:p>
    <w:p>
      <w:pPr>
        <w:spacing w:after="0" w:line="77" w:lineRule="exact"/>
        <w:rPr>
          <w:rFonts w:ascii="Arial" w:cs="Arial" w:eastAsia="Arial" w:hAnsi="Arial"/>
          <w:sz w:val="17"/>
          <w:szCs w:val="17"/>
          <w:color w:val="auto"/>
        </w:rPr>
      </w:pPr>
    </w:p>
    <w:p>
      <w:pPr>
        <w:jc w:val="both"/>
        <w:ind w:left="260" w:right="1239" w:hanging="250"/>
        <w:spacing w:after="0" w:line="253" w:lineRule="auto"/>
        <w:tabs>
          <w:tab w:leader="none" w:pos="2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33% of the options awards vest in arrears on the date which is twelve months after the applicable vesting commencement date, subject to the optionee’s continuous service status on such date. The remaining 67% of the options vest in two equal annual increments (33% per year) over the subsequent two years, subject to the optionee’s continuous service status on the relevant vesting date.</w:t>
      </w:r>
    </w:p>
    <w:p>
      <w:pPr>
        <w:spacing w:after="0" w:line="77" w:lineRule="exact"/>
        <w:rPr>
          <w:rFonts w:ascii="Arial" w:cs="Arial" w:eastAsia="Arial" w:hAnsi="Arial"/>
          <w:sz w:val="17"/>
          <w:szCs w:val="17"/>
          <w:color w:val="auto"/>
        </w:rPr>
      </w:pPr>
    </w:p>
    <w:p>
      <w:pPr>
        <w:ind w:left="260" w:hanging="250"/>
        <w:spacing w:after="0"/>
        <w:tabs>
          <w:tab w:leader="none" w:pos="2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Reflects option expiration dates pursuant to separation agreement signed in March 2012.</w:t>
      </w:r>
    </w:p>
    <w:p>
      <w:pPr>
        <w:spacing w:after="0" w:line="105" w:lineRule="exact"/>
        <w:rPr>
          <w:rFonts w:ascii="Arial" w:cs="Arial" w:eastAsia="Arial" w:hAnsi="Arial"/>
          <w:sz w:val="17"/>
          <w:szCs w:val="17"/>
          <w:color w:val="auto"/>
        </w:rPr>
      </w:pPr>
    </w:p>
    <w:p>
      <w:pPr>
        <w:ind w:left="260" w:hanging="250"/>
        <w:spacing w:after="0"/>
        <w:tabs>
          <w:tab w:leader="none" w:pos="2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For additional option grants related subsequent events, also refer to Note 17 to the Vringo’s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2" w:name="page193"/>
    <w:bookmarkEnd w:id="19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SECURITY OWNERSHIP OF</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CERTAIN BENEFICIAL OWNERS AND MANAGEMENT</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information as of May 25, 2012, regarding the beneficial ownership of Vringo common stock by</w:t>
      </w:r>
    </w:p>
    <w:p>
      <w:pPr>
        <w:spacing w:after="0" w:line="40" w:lineRule="exact"/>
        <w:rPr>
          <w:sz w:val="20"/>
          <w:szCs w:val="20"/>
          <w:color w:val="auto"/>
        </w:rPr>
      </w:pPr>
    </w:p>
    <w:p>
      <w:pPr>
        <w:jc w:val="both"/>
        <w:ind w:left="40" w:right="1239" w:firstLine="7"/>
        <w:spacing w:after="0" w:line="268" w:lineRule="auto"/>
        <w:tabs>
          <w:tab w:leader="none" w:pos="26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person known by the Vringo board of directors to own beneficially 5% or more of the outstanding shares of Vringo common stock, (ii) each director of Vringo, (iii) Vringo’s named executive officers, and (iv) all of Vringo’s directors and executive officers as a group. Information with respect to beneficial ownership is based solely on a review of Vringo’s capital stock transfer records and on publicly available filings made with the SEC by or on behalf of the stockholders listed below.</w:t>
      </w:r>
    </w:p>
    <w:p>
      <w:pPr>
        <w:spacing w:after="0" w:line="68"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5"/>
          <w:szCs w:val="15"/>
          <w:color w:val="auto"/>
        </w:rPr>
        <w:t>Percentage of beneficial ownership is calculated in relation to the 14,060,424 shares of Vringo common stock that were outstanding as of May 25, 2012. Beneficial ownership is determined in accordance with the rules of the SEC, which generally attribute beneficial ownership of securities to persons who possess sole or shared voting or investment power with respect to those securities, and includes shares of Vringo common stock issuable pursuant to the exercise of stock options or other securities that are exercisable or convertible into shares of Vringo common stock within 60 days of May 25, 2012. Options to purchase shares of Vringo common stock that are exercisable within 60 days of May 25, 2012 are considered beneficially owned by the person holding such options for the purpose of computing ownership of such person, but are not treated as outstanding for the purpose of computing the beneficial ownership of any other person. Unless otherwise indicated, to Vringo’s knowledge, the persons or entities identified in the table below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48374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00" w:type="dxa"/>
            <w:vAlign w:val="bottom"/>
            <w:gridSpan w:val="2"/>
          </w:tcPr>
          <w:p>
            <w:pPr>
              <w:spacing w:after="0" w:line="161" w:lineRule="exact"/>
              <w:rPr>
                <w:sz w:val="20"/>
                <w:szCs w:val="20"/>
                <w:color w:val="auto"/>
              </w:rPr>
            </w:pPr>
            <w:r>
              <w:rPr>
                <w:rFonts w:ascii="Arial" w:cs="Arial" w:eastAsia="Arial" w:hAnsi="Arial"/>
                <w:sz w:val="11"/>
                <w:szCs w:val="11"/>
                <w:b w:val="1"/>
                <w:bCs w:val="1"/>
                <w:color w:val="auto"/>
              </w:rPr>
              <w:t>Name and Address of Beneficial Owner</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Shares</w:t>
            </w:r>
          </w:p>
        </w:tc>
        <w:tc>
          <w:tcPr>
            <w:tcW w:w="140" w:type="dxa"/>
            <w:vAlign w:val="bottom"/>
          </w:tcPr>
          <w:p>
            <w:pPr>
              <w:spacing w:after="0"/>
              <w:rPr>
                <w:sz w:val="13"/>
                <w:szCs w:val="13"/>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b w:val="1"/>
                <w:bCs w:val="1"/>
                <w:color w:val="auto"/>
              </w:rPr>
              <w:t>Percentage of</w:t>
            </w:r>
          </w:p>
        </w:tc>
      </w:tr>
      <w:tr>
        <w:trPr>
          <w:trHeight w:val="171"/>
        </w:trPr>
        <w:tc>
          <w:tcPr>
            <w:tcW w:w="9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4"/>
              </w:rPr>
              <w:t>of Common</w:t>
            </w:r>
          </w:p>
        </w:tc>
        <w:tc>
          <w:tcPr>
            <w:tcW w:w="14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9"/>
                <w:szCs w:val="19"/>
                <w:b w:val="1"/>
                <w:bCs w:val="1"/>
                <w:color w:val="auto"/>
                <w:vertAlign w:val="superscript"/>
              </w:rPr>
              <w:t>(5)</w:t>
            </w:r>
          </w:p>
        </w:tc>
      </w:tr>
      <w:tr>
        <w:trPr>
          <w:trHeight w:val="114"/>
        </w:trPr>
        <w:tc>
          <w:tcPr>
            <w:tcW w:w="9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1"/>
              </w:rPr>
              <w:t>Stock Beneficially</w:t>
            </w: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86"/>
        </w:trPr>
        <w:tc>
          <w:tcPr>
            <w:tcW w:w="9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21"/>
                <w:szCs w:val="21"/>
                <w:b w:val="1"/>
                <w:bCs w:val="1"/>
                <w:color w:val="auto"/>
                <w:w w:val="95"/>
                <w:vertAlign w:val="subscript"/>
              </w:rPr>
              <w:t>Owned</w:t>
            </w:r>
            <w:r>
              <w:rPr>
                <w:rFonts w:ascii="Arial" w:cs="Arial" w:eastAsia="Arial" w:hAnsi="Arial"/>
                <w:sz w:val="10"/>
                <w:szCs w:val="10"/>
                <w:b w:val="1"/>
                <w:bCs w:val="1"/>
                <w:color w:val="auto"/>
                <w:w w:val="95"/>
              </w:rPr>
              <w:t>(2)(3)(4)</w:t>
            </w:r>
          </w:p>
        </w:tc>
        <w:tc>
          <w:tcPr>
            <w:tcW w:w="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3"/>
        </w:trPr>
        <w:tc>
          <w:tcPr>
            <w:tcW w:w="50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i w:val="1"/>
                <w:iCs w:val="1"/>
                <w:color w:val="auto"/>
              </w:rPr>
              <w:t>Five percent or more beneficial owners:</w:t>
            </w:r>
          </w:p>
        </w:tc>
        <w:tc>
          <w:tcPr>
            <w:tcW w:w="16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r>
      <w:tr>
        <w:trPr>
          <w:trHeight w:val="226"/>
        </w:trPr>
        <w:tc>
          <w:tcPr>
            <w:tcW w:w="5000" w:type="dxa"/>
            <w:vAlign w:val="bottom"/>
            <w:gridSpan w:val="2"/>
          </w:tcPr>
          <w:p>
            <w:pPr>
              <w:spacing w:after="0" w:line="226" w:lineRule="exact"/>
              <w:rPr>
                <w:sz w:val="20"/>
                <w:szCs w:val="20"/>
                <w:color w:val="auto"/>
              </w:rPr>
            </w:pPr>
            <w:r>
              <w:rPr>
                <w:rFonts w:ascii="Arial" w:cs="Arial" w:eastAsia="Arial" w:hAnsi="Arial"/>
                <w:sz w:val="16"/>
                <w:szCs w:val="16"/>
                <w:b w:val="1"/>
                <w:bCs w:val="1"/>
                <w:color w:val="auto"/>
              </w:rPr>
              <w:t>Iroquois Master Fund Ltd.</w:t>
            </w:r>
            <w:r>
              <w:rPr>
                <w:rFonts w:ascii="Arial" w:cs="Arial" w:eastAsia="Arial" w:hAnsi="Arial"/>
                <w:sz w:val="26"/>
                <w:szCs w:val="26"/>
                <w:color w:val="auto"/>
                <w:vertAlign w:val="superscript"/>
              </w:rPr>
              <w:t>(6)</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1,242,828</w:t>
            </w:r>
          </w:p>
        </w:tc>
        <w:tc>
          <w:tcPr>
            <w:tcW w:w="1260" w:type="dxa"/>
            <w:vAlign w:val="bottom"/>
            <w:gridSpan w:val="2"/>
          </w:tcPr>
          <w:p>
            <w:pPr>
              <w:jc w:val="right"/>
              <w:ind w:right="277"/>
              <w:spacing w:after="0"/>
              <w:rPr>
                <w:sz w:val="20"/>
                <w:szCs w:val="20"/>
                <w:color w:val="auto"/>
              </w:rPr>
            </w:pPr>
            <w:r>
              <w:rPr>
                <w:rFonts w:ascii="Arial" w:cs="Arial" w:eastAsia="Arial" w:hAnsi="Arial"/>
                <w:sz w:val="17"/>
                <w:szCs w:val="17"/>
                <w:color w:val="auto"/>
              </w:rPr>
              <w:t>8.4%</w:t>
            </w: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641 Lexington Ave, 26 Fl.</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7"/>
                <w:szCs w:val="17"/>
                <w:color w:val="auto"/>
              </w:rPr>
              <w:t>New York, NY 10022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5000" w:type="dxa"/>
            <w:vAlign w:val="bottom"/>
            <w:gridSpan w:val="2"/>
            <w:shd w:val="clear" w:color="auto" w:fill="CCFFCC"/>
          </w:tcPr>
          <w:p>
            <w:pPr>
              <w:spacing w:after="0" w:line="226" w:lineRule="exact"/>
              <w:rPr>
                <w:sz w:val="20"/>
                <w:szCs w:val="20"/>
                <w:color w:val="auto"/>
              </w:rPr>
            </w:pPr>
            <w:r>
              <w:rPr>
                <w:rFonts w:ascii="Arial" w:cs="Arial" w:eastAsia="Arial" w:hAnsi="Arial"/>
                <w:sz w:val="16"/>
                <w:szCs w:val="16"/>
                <w:b w:val="1"/>
                <w:bCs w:val="1"/>
                <w:color w:val="auto"/>
              </w:rPr>
              <w:t>Mark Cuban</w:t>
            </w:r>
            <w:r>
              <w:rPr>
                <w:rFonts w:ascii="Arial" w:cs="Arial" w:eastAsia="Arial" w:hAnsi="Arial"/>
                <w:sz w:val="26"/>
                <w:szCs w:val="26"/>
                <w:color w:val="auto"/>
                <w:vertAlign w:val="superscript"/>
              </w:rPr>
              <w:t>(7)</w:t>
            </w:r>
          </w:p>
        </w:tc>
        <w:tc>
          <w:tcPr>
            <w:tcW w:w="1360" w:type="dxa"/>
            <w:vAlign w:val="bottom"/>
            <w:gridSpan w:val="2"/>
            <w:shd w:val="clear" w:color="auto" w:fill="CCFFCC"/>
          </w:tcPr>
          <w:p>
            <w:pPr>
              <w:jc w:val="right"/>
              <w:ind w:right="18"/>
              <w:spacing w:after="0"/>
              <w:rPr>
                <w:sz w:val="20"/>
                <w:szCs w:val="20"/>
                <w:color w:val="auto"/>
              </w:rPr>
            </w:pPr>
            <w:r>
              <w:rPr>
                <w:rFonts w:ascii="Arial" w:cs="Arial" w:eastAsia="Arial" w:hAnsi="Arial"/>
                <w:sz w:val="17"/>
                <w:szCs w:val="17"/>
                <w:color w:val="auto"/>
              </w:rPr>
              <w:t>1,030,720</w:t>
            </w:r>
          </w:p>
        </w:tc>
        <w:tc>
          <w:tcPr>
            <w:tcW w:w="1260" w:type="dxa"/>
            <w:vAlign w:val="bottom"/>
            <w:gridSpan w:val="2"/>
            <w:shd w:val="clear" w:color="auto" w:fill="CCFFCC"/>
          </w:tcPr>
          <w:p>
            <w:pPr>
              <w:jc w:val="right"/>
              <w:ind w:right="277"/>
              <w:spacing w:after="0"/>
              <w:rPr>
                <w:sz w:val="20"/>
                <w:szCs w:val="20"/>
                <w:color w:val="auto"/>
              </w:rPr>
            </w:pPr>
            <w:r>
              <w:rPr>
                <w:rFonts w:ascii="Arial" w:cs="Arial" w:eastAsia="Arial" w:hAnsi="Arial"/>
                <w:sz w:val="17"/>
                <w:szCs w:val="17"/>
                <w:color w:val="auto"/>
              </w:rPr>
              <w:t>7.3%</w:t>
            </w:r>
          </w:p>
        </w:tc>
      </w:tr>
      <w:tr>
        <w:trPr>
          <w:trHeight w:val="200"/>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5424 Deloache Avenue</w:t>
            </w:r>
          </w:p>
        </w:tc>
        <w:tc>
          <w:tcPr>
            <w:tcW w:w="16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13"/>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Dallas, Texas 75220</w:t>
            </w: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r>
      <w:tr>
        <w:trPr>
          <w:trHeight w:val="226"/>
        </w:trPr>
        <w:tc>
          <w:tcPr>
            <w:tcW w:w="5000" w:type="dxa"/>
            <w:vAlign w:val="bottom"/>
            <w:gridSpan w:val="2"/>
          </w:tcPr>
          <w:p>
            <w:pPr>
              <w:spacing w:after="0" w:line="226" w:lineRule="exact"/>
              <w:rPr>
                <w:sz w:val="20"/>
                <w:szCs w:val="20"/>
                <w:color w:val="auto"/>
              </w:rPr>
            </w:pPr>
            <w:r>
              <w:rPr>
                <w:rFonts w:ascii="Arial" w:cs="Arial" w:eastAsia="Arial" w:hAnsi="Arial"/>
                <w:sz w:val="16"/>
                <w:szCs w:val="16"/>
                <w:b w:val="1"/>
                <w:bCs w:val="1"/>
                <w:color w:val="auto"/>
              </w:rPr>
              <w:t>18 Partners, LLC</w:t>
            </w:r>
            <w:r>
              <w:rPr>
                <w:rFonts w:ascii="Arial" w:cs="Arial" w:eastAsia="Arial" w:hAnsi="Arial"/>
                <w:sz w:val="26"/>
                <w:szCs w:val="26"/>
                <w:color w:val="auto"/>
                <w:vertAlign w:val="superscript"/>
              </w:rPr>
              <w:t>(8)</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774,975</w:t>
            </w:r>
          </w:p>
        </w:tc>
        <w:tc>
          <w:tcPr>
            <w:tcW w:w="1260" w:type="dxa"/>
            <w:vAlign w:val="bottom"/>
            <w:gridSpan w:val="2"/>
          </w:tcPr>
          <w:p>
            <w:pPr>
              <w:jc w:val="right"/>
              <w:ind w:right="277"/>
              <w:spacing w:after="0"/>
              <w:rPr>
                <w:sz w:val="20"/>
                <w:szCs w:val="20"/>
                <w:color w:val="auto"/>
              </w:rPr>
            </w:pPr>
            <w:r>
              <w:rPr>
                <w:rFonts w:ascii="Arial" w:cs="Arial" w:eastAsia="Arial" w:hAnsi="Arial"/>
                <w:sz w:val="17"/>
                <w:szCs w:val="17"/>
                <w:color w:val="auto"/>
              </w:rPr>
              <w:t>5.4%</w:t>
            </w: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1180 East Hallandale Beach Boulevard, Suite C</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7"/>
                <w:szCs w:val="17"/>
                <w:color w:val="auto"/>
              </w:rPr>
              <w:t>Hallandale Beach, FL 33009</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i w:val="1"/>
                <w:iCs w:val="1"/>
                <w:color w:val="auto"/>
              </w:rPr>
              <w:t>Named Executive Officers and Directors</w:t>
            </w:r>
          </w:p>
        </w:tc>
        <w:tc>
          <w:tcPr>
            <w:tcW w:w="16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Andrew D. Perlman</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275,928</w:t>
            </w:r>
          </w:p>
        </w:tc>
        <w:tc>
          <w:tcPr>
            <w:tcW w:w="1260" w:type="dxa"/>
            <w:vAlign w:val="bottom"/>
            <w:gridSpan w:val="2"/>
          </w:tcPr>
          <w:p>
            <w:pPr>
              <w:jc w:val="right"/>
              <w:ind w:right="277"/>
              <w:spacing w:after="0"/>
              <w:rPr>
                <w:sz w:val="20"/>
                <w:szCs w:val="20"/>
                <w:color w:val="auto"/>
              </w:rPr>
            </w:pPr>
            <w:r>
              <w:rPr>
                <w:rFonts w:ascii="Arial" w:cs="Arial" w:eastAsia="Arial" w:hAnsi="Arial"/>
                <w:sz w:val="17"/>
                <w:szCs w:val="17"/>
                <w:color w:val="auto"/>
              </w:rPr>
              <w:t>1.9%</w:t>
            </w:r>
          </w:p>
        </w:tc>
      </w:tr>
      <w:tr>
        <w:trPr>
          <w:trHeight w:val="200"/>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Seth M. Siegel</w:t>
            </w:r>
          </w:p>
        </w:tc>
        <w:tc>
          <w:tcPr>
            <w:tcW w:w="1360" w:type="dxa"/>
            <w:vAlign w:val="bottom"/>
            <w:gridSpan w:val="2"/>
            <w:shd w:val="clear" w:color="auto" w:fill="CCFFCC"/>
          </w:tcPr>
          <w:p>
            <w:pPr>
              <w:jc w:val="right"/>
              <w:ind w:right="18"/>
              <w:spacing w:after="0"/>
              <w:rPr>
                <w:sz w:val="20"/>
                <w:szCs w:val="20"/>
                <w:color w:val="auto"/>
              </w:rPr>
            </w:pPr>
            <w:r>
              <w:rPr>
                <w:rFonts w:ascii="Arial" w:cs="Arial" w:eastAsia="Arial" w:hAnsi="Arial"/>
                <w:sz w:val="17"/>
                <w:szCs w:val="17"/>
                <w:color w:val="auto"/>
              </w:rPr>
              <w:t>440,122</w:t>
            </w:r>
          </w:p>
        </w:tc>
        <w:tc>
          <w:tcPr>
            <w:tcW w:w="1260" w:type="dxa"/>
            <w:vAlign w:val="bottom"/>
            <w:gridSpan w:val="2"/>
            <w:shd w:val="clear" w:color="auto" w:fill="CCFFCC"/>
          </w:tcPr>
          <w:p>
            <w:pPr>
              <w:jc w:val="right"/>
              <w:ind w:right="277"/>
              <w:spacing w:after="0"/>
              <w:rPr>
                <w:sz w:val="20"/>
                <w:szCs w:val="20"/>
                <w:color w:val="auto"/>
              </w:rPr>
            </w:pPr>
            <w:r>
              <w:rPr>
                <w:rFonts w:ascii="Arial" w:cs="Arial" w:eastAsia="Arial" w:hAnsi="Arial"/>
                <w:sz w:val="17"/>
                <w:szCs w:val="17"/>
                <w:color w:val="auto"/>
              </w:rPr>
              <w:t>3.1%</w:t>
            </w: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Ellen Cohl</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105,417</w:t>
            </w:r>
          </w:p>
        </w:tc>
        <w:tc>
          <w:tcPr>
            <w:tcW w:w="1260" w:type="dxa"/>
            <w:vAlign w:val="bottom"/>
            <w:gridSpan w:val="2"/>
          </w:tcPr>
          <w:p>
            <w:pPr>
              <w:jc w:val="right"/>
              <w:ind w:right="417"/>
              <w:spacing w:after="0"/>
              <w:rPr>
                <w:sz w:val="20"/>
                <w:szCs w:val="20"/>
                <w:color w:val="auto"/>
              </w:rPr>
            </w:pPr>
            <w:r>
              <w:rPr>
                <w:rFonts w:ascii="Arial" w:cs="Arial" w:eastAsia="Arial" w:hAnsi="Arial"/>
                <w:sz w:val="17"/>
                <w:szCs w:val="17"/>
                <w:color w:val="auto"/>
              </w:rPr>
              <w:t>*%</w:t>
            </w:r>
          </w:p>
        </w:tc>
      </w:tr>
      <w:tr>
        <w:trPr>
          <w:trHeight w:val="200"/>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John Engelman</w:t>
            </w:r>
          </w:p>
        </w:tc>
        <w:tc>
          <w:tcPr>
            <w:tcW w:w="1360" w:type="dxa"/>
            <w:vAlign w:val="bottom"/>
            <w:gridSpan w:val="2"/>
            <w:shd w:val="clear" w:color="auto" w:fill="CCFFCC"/>
          </w:tcPr>
          <w:p>
            <w:pPr>
              <w:jc w:val="right"/>
              <w:ind w:right="18"/>
              <w:spacing w:after="0"/>
              <w:rPr>
                <w:sz w:val="20"/>
                <w:szCs w:val="20"/>
                <w:color w:val="auto"/>
              </w:rPr>
            </w:pPr>
            <w:r>
              <w:rPr>
                <w:rFonts w:ascii="Arial" w:cs="Arial" w:eastAsia="Arial" w:hAnsi="Arial"/>
                <w:sz w:val="17"/>
                <w:szCs w:val="17"/>
                <w:color w:val="auto"/>
              </w:rPr>
              <w:t>127,575</w:t>
            </w:r>
          </w:p>
        </w:tc>
        <w:tc>
          <w:tcPr>
            <w:tcW w:w="1260" w:type="dxa"/>
            <w:vAlign w:val="bottom"/>
            <w:gridSpan w:val="2"/>
            <w:shd w:val="clear" w:color="auto" w:fill="CCFFCC"/>
          </w:tcPr>
          <w:p>
            <w:pPr>
              <w:jc w:val="right"/>
              <w:ind w:right="417"/>
              <w:spacing w:after="0"/>
              <w:rPr>
                <w:sz w:val="20"/>
                <w:szCs w:val="20"/>
                <w:color w:val="auto"/>
              </w:rPr>
            </w:pPr>
            <w:r>
              <w:rPr>
                <w:rFonts w:ascii="Arial" w:cs="Arial" w:eastAsia="Arial" w:hAnsi="Arial"/>
                <w:sz w:val="17"/>
                <w:szCs w:val="17"/>
                <w:color w:val="auto"/>
              </w:rPr>
              <w:t>*%</w:t>
            </w: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Edo Segal</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90,298</w:t>
            </w:r>
          </w:p>
        </w:tc>
        <w:tc>
          <w:tcPr>
            <w:tcW w:w="1260" w:type="dxa"/>
            <w:vAlign w:val="bottom"/>
            <w:gridSpan w:val="2"/>
          </w:tcPr>
          <w:p>
            <w:pPr>
              <w:jc w:val="right"/>
              <w:ind w:right="417"/>
              <w:spacing w:after="0"/>
              <w:rPr>
                <w:sz w:val="20"/>
                <w:szCs w:val="20"/>
                <w:color w:val="auto"/>
              </w:rPr>
            </w:pPr>
            <w:r>
              <w:rPr>
                <w:rFonts w:ascii="Arial" w:cs="Arial" w:eastAsia="Arial" w:hAnsi="Arial"/>
                <w:sz w:val="17"/>
                <w:szCs w:val="17"/>
                <w:color w:val="auto"/>
              </w:rPr>
              <w:t>*%</w:t>
            </w:r>
          </w:p>
        </w:tc>
      </w:tr>
      <w:tr>
        <w:trPr>
          <w:trHeight w:val="200"/>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Philip Serlin</w:t>
            </w:r>
          </w:p>
        </w:tc>
        <w:tc>
          <w:tcPr>
            <w:tcW w:w="1360" w:type="dxa"/>
            <w:vAlign w:val="bottom"/>
            <w:gridSpan w:val="2"/>
            <w:shd w:val="clear" w:color="auto" w:fill="CCFFCC"/>
          </w:tcPr>
          <w:p>
            <w:pPr>
              <w:jc w:val="right"/>
              <w:ind w:right="18"/>
              <w:spacing w:after="0"/>
              <w:rPr>
                <w:sz w:val="20"/>
                <w:szCs w:val="20"/>
                <w:color w:val="auto"/>
              </w:rPr>
            </w:pPr>
            <w:r>
              <w:rPr>
                <w:rFonts w:ascii="Arial" w:cs="Arial" w:eastAsia="Arial" w:hAnsi="Arial"/>
                <w:sz w:val="17"/>
                <w:szCs w:val="17"/>
                <w:color w:val="auto"/>
              </w:rPr>
              <w:t>38,333</w:t>
            </w:r>
          </w:p>
        </w:tc>
        <w:tc>
          <w:tcPr>
            <w:tcW w:w="1260" w:type="dxa"/>
            <w:vAlign w:val="bottom"/>
            <w:gridSpan w:val="2"/>
            <w:shd w:val="clear" w:color="auto" w:fill="CCFFCC"/>
          </w:tcPr>
          <w:p>
            <w:pPr>
              <w:jc w:val="right"/>
              <w:ind w:right="417"/>
              <w:spacing w:after="0"/>
              <w:rPr>
                <w:sz w:val="20"/>
                <w:szCs w:val="20"/>
                <w:color w:val="auto"/>
              </w:rPr>
            </w:pPr>
            <w:r>
              <w:rPr>
                <w:rFonts w:ascii="Arial" w:cs="Arial" w:eastAsia="Arial" w:hAnsi="Arial"/>
                <w:sz w:val="17"/>
                <w:szCs w:val="17"/>
                <w:color w:val="auto"/>
              </w:rPr>
              <w:t>*%</w:t>
            </w: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Geoffrey Skolnik</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5,625</w:t>
            </w:r>
          </w:p>
        </w:tc>
        <w:tc>
          <w:tcPr>
            <w:tcW w:w="1260" w:type="dxa"/>
            <w:vAlign w:val="bottom"/>
            <w:gridSpan w:val="2"/>
          </w:tcPr>
          <w:p>
            <w:pPr>
              <w:jc w:val="right"/>
              <w:ind w:right="417"/>
              <w:spacing w:after="0"/>
              <w:rPr>
                <w:sz w:val="20"/>
                <w:szCs w:val="20"/>
                <w:color w:val="auto"/>
              </w:rPr>
            </w:pPr>
            <w:r>
              <w:rPr>
                <w:rFonts w:ascii="Arial" w:cs="Arial" w:eastAsia="Arial" w:hAnsi="Arial"/>
                <w:sz w:val="17"/>
                <w:szCs w:val="17"/>
                <w:color w:val="auto"/>
              </w:rPr>
              <w:t>*%</w:t>
            </w:r>
          </w:p>
        </w:tc>
      </w:tr>
      <w:tr>
        <w:trPr>
          <w:trHeight w:val="200"/>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i w:val="1"/>
                <w:iCs w:val="1"/>
                <w:color w:val="auto"/>
              </w:rPr>
              <w:t>All executive officers and directors as a group (7 persons)</w:t>
            </w:r>
          </w:p>
        </w:tc>
        <w:tc>
          <w:tcPr>
            <w:tcW w:w="1360" w:type="dxa"/>
            <w:vAlign w:val="bottom"/>
            <w:gridSpan w:val="2"/>
            <w:shd w:val="clear" w:color="auto" w:fill="CCFFCC"/>
          </w:tcPr>
          <w:p>
            <w:pPr>
              <w:jc w:val="right"/>
              <w:ind w:right="18"/>
              <w:spacing w:after="0"/>
              <w:rPr>
                <w:sz w:val="20"/>
                <w:szCs w:val="20"/>
                <w:color w:val="auto"/>
              </w:rPr>
            </w:pPr>
            <w:r>
              <w:rPr>
                <w:rFonts w:ascii="Arial" w:cs="Arial" w:eastAsia="Arial" w:hAnsi="Arial"/>
                <w:sz w:val="17"/>
                <w:szCs w:val="17"/>
                <w:color w:val="auto"/>
              </w:rPr>
              <w:t>1,083,297</w:t>
            </w:r>
          </w:p>
        </w:tc>
        <w:tc>
          <w:tcPr>
            <w:tcW w:w="1260" w:type="dxa"/>
            <w:vAlign w:val="bottom"/>
            <w:gridSpan w:val="2"/>
            <w:shd w:val="clear" w:color="auto" w:fill="CCFFCC"/>
          </w:tcPr>
          <w:p>
            <w:pPr>
              <w:jc w:val="right"/>
              <w:ind w:right="277"/>
              <w:spacing w:after="0"/>
              <w:rPr>
                <w:sz w:val="20"/>
                <w:szCs w:val="20"/>
                <w:color w:val="auto"/>
              </w:rPr>
            </w:pPr>
            <w:r>
              <w:rPr>
                <w:rFonts w:ascii="Arial" w:cs="Arial" w:eastAsia="Arial" w:hAnsi="Arial"/>
                <w:sz w:val="17"/>
                <w:szCs w:val="17"/>
                <w:color w:val="auto"/>
              </w:rPr>
              <w:t>7.6%</w:t>
            </w:r>
          </w:p>
        </w:tc>
      </w:tr>
      <w:tr>
        <w:trPr>
          <w:trHeight w:val="251"/>
        </w:trPr>
        <w:tc>
          <w:tcPr>
            <w:tcW w:w="900" w:type="dxa"/>
            <w:vAlign w:val="bottom"/>
            <w:tcBorders>
              <w:bottom w:val="single" w:sz="8" w:color="auto"/>
            </w:tcBorders>
          </w:tcPr>
          <w:p>
            <w:pPr>
              <w:spacing w:after="0"/>
              <w:rPr>
                <w:sz w:val="21"/>
                <w:szCs w:val="21"/>
                <w:color w:val="auto"/>
              </w:rPr>
            </w:pPr>
          </w:p>
        </w:tc>
        <w:tc>
          <w:tcPr>
            <w:tcW w:w="4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3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Does not exceed 1%</w:t>
      </w:r>
    </w:p>
    <w:p>
      <w:pPr>
        <w:spacing w:after="0" w:line="105" w:lineRule="exact"/>
        <w:rPr>
          <w:sz w:val="20"/>
          <w:szCs w:val="20"/>
          <w:color w:val="auto"/>
        </w:rPr>
      </w:pPr>
    </w:p>
    <w:p>
      <w:pPr>
        <w:ind w:left="260" w:right="1239" w:hanging="250"/>
        <w:spacing w:after="0" w:line="267" w:lineRule="auto"/>
        <w:tabs>
          <w:tab w:leader="none" w:pos="2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Unless otherwise indicated, the business address of the individuals is c/o Vringo Inc., 44 W. 28th Street New York, New York, 10001.</w:t>
      </w:r>
    </w:p>
    <w:p>
      <w:pPr>
        <w:spacing w:after="0" w:line="6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May 25, 2012.</w:t>
      </w:r>
    </w:p>
    <w:p>
      <w:pPr>
        <w:spacing w:after="0" w:line="6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All ownership of the executive officers and directors is direct beneficial ownership, except for 19,165 shares held in a trust controlled by Seth M. Siegel.</w:t>
      </w:r>
    </w:p>
    <w:p>
      <w:pPr>
        <w:spacing w:after="0" w:line="66" w:lineRule="exact"/>
        <w:rPr>
          <w:rFonts w:ascii="Arial" w:cs="Arial" w:eastAsia="Arial" w:hAnsi="Arial"/>
          <w:sz w:val="17"/>
          <w:szCs w:val="17"/>
          <w:color w:val="auto"/>
        </w:rPr>
      </w:pPr>
    </w:p>
    <w:p>
      <w:pPr>
        <w:ind w:left="260" w:hanging="250"/>
        <w:spacing w:after="0"/>
        <w:tabs>
          <w:tab w:leader="none" w:pos="2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Based on information included on Form 3, Form 4, Form 4/A or Schedule 13G filed with the SEC.</w:t>
      </w:r>
    </w:p>
    <w:p>
      <w:pPr>
        <w:spacing w:after="0" w:line="105"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Percentage of common stock excludes the exercise of all options and warrants held by the holder that are not exercisable within 60 days.</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3" w:name="page194"/>
    <w:bookmarkEnd w:id="19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hanging="250"/>
        <w:spacing w:after="0" w:line="269" w:lineRule="auto"/>
        <w:tabs>
          <w:tab w:leader="none" w:pos="2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65" w:lineRule="exact"/>
        <w:rPr>
          <w:rFonts w:ascii="Arial" w:cs="Arial" w:eastAsia="Arial" w:hAnsi="Arial"/>
          <w:sz w:val="16"/>
          <w:szCs w:val="16"/>
          <w:color w:val="auto"/>
        </w:rPr>
      </w:pPr>
    </w:p>
    <w:p>
      <w:pPr>
        <w:ind w:left="260" w:right="1239" w:hanging="250"/>
        <w:spacing w:after="0" w:line="267" w:lineRule="auto"/>
        <w:tabs>
          <w:tab w:leader="none" w:pos="2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information set forth in a Schedule 13G filed with the Securities and Exchange Commission under the Exchange Act on April 13, 2012. Mr. Cuban has sole power to vote or dispose of the 1,030,720 shares.</w:t>
      </w:r>
    </w:p>
    <w:p>
      <w:pPr>
        <w:spacing w:after="0" w:line="66" w:lineRule="exact"/>
        <w:rPr>
          <w:rFonts w:ascii="Arial" w:cs="Arial" w:eastAsia="Arial" w:hAnsi="Arial"/>
          <w:sz w:val="17"/>
          <w:szCs w:val="17"/>
          <w:color w:val="auto"/>
        </w:rPr>
      </w:pPr>
    </w:p>
    <w:p>
      <w:pPr>
        <w:jc w:val="both"/>
        <w:ind w:left="260" w:right="1239" w:hanging="250"/>
        <w:spacing w:after="0" w:line="285" w:lineRule="auto"/>
        <w:tabs>
          <w:tab w:leader="none" w:pos="2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Based on information set forth in a Schedule 13G filed with the Securities and Exchange Commission under the Exchange Act on April 30, 2012 on behalf of 18 Partners, LLC (“</w:t>
      </w:r>
      <w:r>
        <w:rPr>
          <w:rFonts w:ascii="Arial" w:cs="Arial" w:eastAsia="Arial" w:hAnsi="Arial"/>
          <w:sz w:val="15"/>
          <w:szCs w:val="15"/>
          <w:b w:val="1"/>
          <w:bCs w:val="1"/>
          <w:color w:val="auto"/>
        </w:rPr>
        <w:t>18 Partners</w:t>
      </w:r>
      <w:r>
        <w:rPr>
          <w:rFonts w:ascii="Arial" w:cs="Arial" w:eastAsia="Arial" w:hAnsi="Arial"/>
          <w:sz w:val="15"/>
          <w:szCs w:val="15"/>
          <w:color w:val="auto"/>
        </w:rPr>
        <w:t>”) and Jaime Peisach, Cheryl Peisach, and Monica Peisach Sasson (collectively, the “</w:t>
      </w:r>
      <w:r>
        <w:rPr>
          <w:rFonts w:ascii="Arial" w:cs="Arial" w:eastAsia="Arial" w:hAnsi="Arial"/>
          <w:sz w:val="15"/>
          <w:szCs w:val="15"/>
          <w:b w:val="1"/>
          <w:bCs w:val="1"/>
          <w:color w:val="auto"/>
        </w:rPr>
        <w:t>Managers</w:t>
      </w:r>
      <w:r>
        <w:rPr>
          <w:rFonts w:ascii="Arial" w:cs="Arial" w:eastAsia="Arial" w:hAnsi="Arial"/>
          <w:sz w:val="15"/>
          <w:szCs w:val="15"/>
          <w:color w:val="auto"/>
        </w:rPr>
        <w:t>”), each of whom is a manager of 18 Partners. 18 Partners holds 704,975 shares, including 216,000 shares issuable within 60 days upon the exercise of currently outstanding warrants. As the managers of 18 Partners, each of the Managers may be deemed to own the shares held by 18 Partners. Each of the Managers expressly disclaims beneficial ownership of the shares held by 18 Partners, except to the extent of his or her pecuniary interest therein, if any. In addition to the shares held by 18 Partners, Jaime Peisach holds 35,000 shares as custodian for the Steven Peisach UTMA account and Cheryl Peisach holds 35,000 shares as custodian for the Mauricio Peisach UTMA account. Each of Jaime Pesach and Cheryl Peisach has sole power to vote or direct the vote of 35,000 shares (as described above).</w:t>
      </w:r>
    </w:p>
    <w:p>
      <w:pPr>
        <w:spacing w:after="0" w:line="200" w:lineRule="exact"/>
        <w:rPr>
          <w:sz w:val="20"/>
          <w:szCs w:val="20"/>
          <w:color w:val="auto"/>
        </w:rPr>
      </w:pPr>
    </w:p>
    <w:p>
      <w:pPr>
        <w:spacing w:after="0" w:line="27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4" w:name="page195"/>
    <w:bookmarkEnd w:id="19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SECURITY OWNERSHIP OF</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CERTAIN BENEFICIAL OWNERS AND MANAGEMENT</w:t>
      </w:r>
    </w:p>
    <w:p>
      <w:pPr>
        <w:spacing w:after="0" w:line="9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following table sets forth the beneficial ownership of Innovate/Protect capital stock as of May 25, 2012, by (i) each person or entity who is known by Innovate to own beneficially more than 5% of the outstanding shares of Innovate capital stock, (ii) each director of Innovate/Protect, (iii) each of Innovate/Protect’s named executive officers, and (iv) all directors and named executive officers of Innovate/Protect as a group.</w:t>
      </w:r>
    </w:p>
    <w:p>
      <w:pPr>
        <w:spacing w:after="0" w:line="7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Percentage of beneficial ownership is calculated in relation to the 5,919,661 shares of Innovate common stock and 6,673 preferred stock of Innovate/Protect preferred stock that were outstanding as of May 25, 2012.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issuable pursuant to the exercise of stock options or other securities that are exercisable or convertible into shares of Innovate/Protect capital stock within 60 days of May 25, 2012. Options to purchase shares of Innovate/Protect common stock that are exercisable within 60 days of May 25, 2012 are considered beneficially owned by the person holding such options for the purpose of computing ownership of such person, but are not treated as outstanding for the purpose of computing the beneficial ownership of any other person. Notes convertible into shares of Innovate/Protect capital stock that are convertible within 60 days of May 25, 2012 are considered beneficially owned by the person holding such notes for the purpose of computing ownership of such person, but are not treated as outstanding for the purpose of computing the beneficial ownership of any other person. Unless otherwise indicated, to Innovate/Protect’s knowledge, the persons or entities identified in the table below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215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7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and Address of Beneficial Owner</w:t>
            </w:r>
            <w:r>
              <w:rPr>
                <w:rFonts w:ascii="Arial" w:cs="Arial" w:eastAsia="Arial" w:hAnsi="Arial"/>
                <w:sz w:val="22"/>
                <w:szCs w:val="22"/>
                <w:b w:val="1"/>
                <w:bCs w:val="1"/>
                <w:color w:val="auto"/>
                <w:vertAlign w:val="superscript"/>
              </w:rPr>
              <w:t>(1)</w:t>
            </w: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2"/>
              </w:rPr>
              <w:t>Common Stock (as converted)</w:t>
            </w:r>
          </w:p>
        </w:tc>
        <w:tc>
          <w:tcPr>
            <w:tcW w:w="16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3"/>
                <w:szCs w:val="13"/>
                <w:b w:val="1"/>
                <w:bCs w:val="1"/>
                <w:color w:val="auto"/>
              </w:rPr>
              <w:t>Preferred Stock</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gridSpan w:val="3"/>
            <w:vMerge w:val="continue"/>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Amount of</w:t>
            </w:r>
          </w:p>
        </w:tc>
        <w:tc>
          <w:tcPr>
            <w:tcW w:w="140" w:type="dxa"/>
            <w:vAlign w:val="bottom"/>
          </w:tcPr>
          <w:p>
            <w:pPr>
              <w:spacing w:after="0"/>
              <w:rPr>
                <w:sz w:val="12"/>
                <w:szCs w:val="12"/>
                <w:color w:val="auto"/>
              </w:rPr>
            </w:pPr>
          </w:p>
        </w:tc>
        <w:tc>
          <w:tcPr>
            <w:tcW w:w="82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rPr>
              <w:t>Percent of</w:t>
            </w:r>
          </w:p>
        </w:tc>
        <w:tc>
          <w:tcPr>
            <w:tcW w:w="16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Amount of</w:t>
            </w:r>
          </w:p>
        </w:tc>
        <w:tc>
          <w:tcPr>
            <w:tcW w:w="140" w:type="dxa"/>
            <w:vAlign w:val="bottom"/>
          </w:tcPr>
          <w:p>
            <w:pPr>
              <w:spacing w:after="0"/>
              <w:rPr>
                <w:sz w:val="12"/>
                <w:szCs w:val="12"/>
                <w:color w:val="auto"/>
              </w:rPr>
            </w:pPr>
          </w:p>
        </w:tc>
        <w:tc>
          <w:tcPr>
            <w:tcW w:w="940" w:type="dxa"/>
            <w:vAlign w:val="bottom"/>
          </w:tcPr>
          <w:p>
            <w:pPr>
              <w:jc w:val="right"/>
              <w:ind w:right="100"/>
              <w:spacing w:after="0" w:line="148" w:lineRule="exact"/>
              <w:rPr>
                <w:sz w:val="20"/>
                <w:szCs w:val="20"/>
                <w:color w:val="auto"/>
              </w:rPr>
            </w:pPr>
            <w:r>
              <w:rPr>
                <w:rFonts w:ascii="Arial" w:cs="Arial" w:eastAsia="Arial" w:hAnsi="Arial"/>
                <w:sz w:val="13"/>
                <w:szCs w:val="13"/>
                <w:b w:val="1"/>
                <w:bCs w:val="1"/>
                <w:color w:val="auto"/>
              </w:rPr>
              <w:t>Percent of</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Beneficial</w:t>
            </w:r>
          </w:p>
        </w:tc>
        <w:tc>
          <w:tcPr>
            <w:tcW w:w="140" w:type="dxa"/>
            <w:vAlign w:val="bottom"/>
          </w:tcPr>
          <w:p>
            <w:pPr>
              <w:spacing w:after="0"/>
              <w:rPr>
                <w:sz w:val="11"/>
                <w:szCs w:val="11"/>
                <w:color w:val="auto"/>
              </w:rPr>
            </w:pPr>
          </w:p>
        </w:tc>
        <w:tc>
          <w:tcPr>
            <w:tcW w:w="820" w:type="dxa"/>
            <w:vAlign w:val="bottom"/>
          </w:tcPr>
          <w:p>
            <w:pPr>
              <w:jc w:val="right"/>
              <w:ind w:right="173"/>
              <w:spacing w:after="0" w:line="138" w:lineRule="exact"/>
              <w:rPr>
                <w:sz w:val="20"/>
                <w:szCs w:val="20"/>
                <w:color w:val="auto"/>
              </w:rPr>
            </w:pPr>
            <w:r>
              <w:rPr>
                <w:rFonts w:ascii="Arial" w:cs="Arial" w:eastAsia="Arial" w:hAnsi="Arial"/>
                <w:sz w:val="13"/>
                <w:szCs w:val="13"/>
                <w:b w:val="1"/>
                <w:bCs w:val="1"/>
                <w:color w:val="auto"/>
              </w:rPr>
              <w:t>Class</w:t>
            </w:r>
          </w:p>
        </w:tc>
        <w:tc>
          <w:tcPr>
            <w:tcW w:w="16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Beneficial</w:t>
            </w:r>
          </w:p>
        </w:tc>
        <w:tc>
          <w:tcPr>
            <w:tcW w:w="140" w:type="dxa"/>
            <w:vAlign w:val="bottom"/>
          </w:tcPr>
          <w:p>
            <w:pPr>
              <w:spacing w:after="0"/>
              <w:rPr>
                <w:sz w:val="11"/>
                <w:szCs w:val="11"/>
                <w:color w:val="auto"/>
              </w:rPr>
            </w:pPr>
          </w:p>
        </w:tc>
        <w:tc>
          <w:tcPr>
            <w:tcW w:w="940" w:type="dxa"/>
            <w:vAlign w:val="bottom"/>
          </w:tcPr>
          <w:p>
            <w:pPr>
              <w:jc w:val="right"/>
              <w:ind w:right="240"/>
              <w:spacing w:after="0" w:line="138" w:lineRule="exact"/>
              <w:rPr>
                <w:sz w:val="20"/>
                <w:szCs w:val="20"/>
                <w:color w:val="auto"/>
              </w:rPr>
            </w:pPr>
            <w:r>
              <w:rPr>
                <w:rFonts w:ascii="Arial" w:cs="Arial" w:eastAsia="Arial" w:hAnsi="Arial"/>
                <w:sz w:val="13"/>
                <w:szCs w:val="13"/>
                <w:b w:val="1"/>
                <w:bCs w:val="1"/>
                <w:color w:val="auto"/>
              </w:rPr>
              <w:t>Class</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3"/>
                <w:szCs w:val="13"/>
                <w:b w:val="1"/>
                <w:bCs w:val="1"/>
                <w:color w:val="auto"/>
                <w:w w:val="89"/>
              </w:rPr>
              <w:t>Ownership</w:t>
            </w:r>
            <w:r>
              <w:rPr>
                <w:rFonts w:ascii="Arial" w:cs="Arial" w:eastAsia="Arial" w:hAnsi="Arial"/>
                <w:sz w:val="22"/>
                <w:szCs w:val="22"/>
                <w:b w:val="1"/>
                <w:bCs w:val="1"/>
                <w:color w:val="auto"/>
                <w:w w:val="89"/>
                <w:vertAlign w:val="superscript"/>
              </w:rPr>
              <w:t>(2)</w:t>
            </w: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Ownership</w:t>
            </w:r>
          </w:p>
        </w:tc>
        <w:tc>
          <w:tcPr>
            <w:tcW w:w="1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gridSpan w:val="2"/>
          </w:tcPr>
          <w:p>
            <w:pPr>
              <w:spacing w:after="0" w:line="193" w:lineRule="exact"/>
              <w:rPr>
                <w:sz w:val="20"/>
                <w:szCs w:val="20"/>
                <w:color w:val="auto"/>
              </w:rPr>
            </w:pPr>
            <w:r>
              <w:rPr>
                <w:rFonts w:ascii="Arial" w:cs="Arial" w:eastAsia="Arial" w:hAnsi="Arial"/>
                <w:sz w:val="17"/>
                <w:szCs w:val="17"/>
                <w:b w:val="1"/>
                <w:bCs w:val="1"/>
                <w:i w:val="1"/>
                <w:iCs w:val="1"/>
                <w:color w:val="auto"/>
              </w:rPr>
              <w:t>5% Stockholders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80" w:type="dxa"/>
            <w:vAlign w:val="bottom"/>
            <w:gridSpan w:val="3"/>
            <w:shd w:val="clear" w:color="auto" w:fill="CCFFCC"/>
          </w:tcPr>
          <w:p>
            <w:pPr>
              <w:spacing w:after="0" w:line="226" w:lineRule="exact"/>
              <w:rPr>
                <w:sz w:val="20"/>
                <w:szCs w:val="20"/>
                <w:color w:val="auto"/>
              </w:rPr>
            </w:pPr>
            <w:r>
              <w:rPr>
                <w:rFonts w:ascii="Arial" w:cs="Arial" w:eastAsia="Arial" w:hAnsi="Arial"/>
                <w:sz w:val="16"/>
                <w:szCs w:val="16"/>
                <w:b w:val="1"/>
                <w:bCs w:val="1"/>
                <w:color w:val="auto"/>
              </w:rPr>
              <w:t>Hudson Bay Master Fund Ltd.</w:t>
            </w:r>
            <w:r>
              <w:rPr>
                <w:rFonts w:ascii="Arial" w:cs="Arial" w:eastAsia="Arial" w:hAnsi="Arial"/>
                <w:sz w:val="26"/>
                <w:szCs w:val="26"/>
                <w:color w:val="auto"/>
                <w:vertAlign w:val="superscript"/>
              </w:rPr>
              <w:t>(3)</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6,431,100</w:t>
            </w:r>
          </w:p>
        </w:tc>
        <w:tc>
          <w:tcPr>
            <w:tcW w:w="9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53.8%</w:t>
            </w:r>
          </w:p>
        </w:tc>
        <w:tc>
          <w:tcPr>
            <w:tcW w:w="960" w:type="dxa"/>
            <w:vAlign w:val="bottom"/>
            <w:gridSpan w:val="2"/>
            <w:shd w:val="clear" w:color="auto" w:fill="CCFFCC"/>
          </w:tcPr>
          <w:p>
            <w:pPr>
              <w:jc w:val="right"/>
              <w:ind w:right="22"/>
              <w:spacing w:after="0"/>
              <w:rPr>
                <w:sz w:val="20"/>
                <w:szCs w:val="20"/>
                <w:color w:val="auto"/>
              </w:rPr>
            </w:pPr>
            <w:r>
              <w:rPr>
                <w:rFonts w:ascii="Arial" w:cs="Arial" w:eastAsia="Arial" w:hAnsi="Arial"/>
                <w:sz w:val="17"/>
                <w:szCs w:val="17"/>
                <w:color w:val="auto"/>
              </w:rPr>
              <w:t>6,181</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92.6%</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777 Third Avenue</w:t>
            </w: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New York, NY 10017</w:t>
            </w: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gridSpan w:val="3"/>
          </w:tcPr>
          <w:p>
            <w:pPr>
              <w:spacing w:after="0" w:line="226" w:lineRule="exact"/>
              <w:rPr>
                <w:sz w:val="20"/>
                <w:szCs w:val="20"/>
                <w:color w:val="auto"/>
              </w:rPr>
            </w:pPr>
            <w:r>
              <w:rPr>
                <w:rFonts w:ascii="Arial" w:cs="Arial" w:eastAsia="Arial" w:hAnsi="Arial"/>
                <w:sz w:val="16"/>
                <w:szCs w:val="16"/>
                <w:b w:val="1"/>
                <w:bCs w:val="1"/>
                <w:color w:val="auto"/>
              </w:rPr>
              <w:t>Sander Gerber</w:t>
            </w:r>
            <w:r>
              <w:rPr>
                <w:rFonts w:ascii="Arial" w:cs="Arial" w:eastAsia="Arial" w:hAnsi="Arial"/>
                <w:sz w:val="26"/>
                <w:szCs w:val="26"/>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7"/>
                <w:szCs w:val="17"/>
                <w:color w:val="auto"/>
              </w:rPr>
              <w:t>6,431,100</w:t>
            </w:r>
          </w:p>
        </w:tc>
        <w:tc>
          <w:tcPr>
            <w:tcW w:w="960" w:type="dxa"/>
            <w:vAlign w:val="bottom"/>
            <w:gridSpan w:val="2"/>
          </w:tcPr>
          <w:p>
            <w:pPr>
              <w:jc w:val="right"/>
              <w:ind w:right="33"/>
              <w:spacing w:after="0"/>
              <w:rPr>
                <w:sz w:val="20"/>
                <w:szCs w:val="20"/>
                <w:color w:val="auto"/>
              </w:rPr>
            </w:pPr>
            <w:r>
              <w:rPr>
                <w:rFonts w:ascii="Arial" w:cs="Arial" w:eastAsia="Arial" w:hAnsi="Arial"/>
                <w:sz w:val="17"/>
                <w:szCs w:val="17"/>
                <w:color w:val="auto"/>
              </w:rPr>
              <w:t>53.8%</w:t>
            </w: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rPr>
              <w:t>6,181</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92.6</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c/o Hudson Bay Capital Management LP</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777 Third Avenue</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tcPr>
          <w:p>
            <w:pPr>
              <w:spacing w:after="0"/>
              <w:rPr>
                <w:sz w:val="20"/>
                <w:szCs w:val="20"/>
                <w:color w:val="auto"/>
              </w:rPr>
            </w:pPr>
            <w:r>
              <w:rPr>
                <w:rFonts w:ascii="Arial" w:cs="Arial" w:eastAsia="Arial" w:hAnsi="Arial"/>
                <w:sz w:val="17"/>
                <w:szCs w:val="17"/>
                <w:color w:val="auto"/>
              </w:rPr>
              <w:t>New York, NY 10017</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gridSpan w:val="3"/>
            <w:shd w:val="clear" w:color="auto" w:fill="CCFFCC"/>
          </w:tcPr>
          <w:p>
            <w:pPr>
              <w:spacing w:after="0" w:line="227" w:lineRule="exact"/>
              <w:rPr>
                <w:sz w:val="20"/>
                <w:szCs w:val="20"/>
                <w:color w:val="auto"/>
              </w:rPr>
            </w:pPr>
            <w:r>
              <w:rPr>
                <w:rFonts w:ascii="Arial" w:cs="Arial" w:eastAsia="Arial" w:hAnsi="Arial"/>
                <w:sz w:val="16"/>
                <w:szCs w:val="16"/>
                <w:b w:val="1"/>
                <w:bCs w:val="1"/>
                <w:color w:val="auto"/>
              </w:rPr>
              <w:t>Iroquois Master Fund Ltd.</w:t>
            </w:r>
            <w:r>
              <w:rPr>
                <w:rFonts w:ascii="Arial" w:cs="Arial" w:eastAsia="Arial" w:hAnsi="Arial"/>
                <w:sz w:val="26"/>
                <w:szCs w:val="26"/>
                <w:color w:val="auto"/>
                <w:vertAlign w:val="superscript"/>
              </w:rPr>
              <w:t>(4)</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517,958</w:t>
            </w:r>
          </w:p>
        </w:tc>
        <w:tc>
          <w:tcPr>
            <w:tcW w:w="9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8.15%</w:t>
            </w:r>
          </w:p>
        </w:tc>
        <w:tc>
          <w:tcPr>
            <w:tcW w:w="960" w:type="dxa"/>
            <w:vAlign w:val="bottom"/>
            <w:gridSpan w:val="2"/>
            <w:shd w:val="clear" w:color="auto" w:fill="CCFFCC"/>
          </w:tcPr>
          <w:p>
            <w:pPr>
              <w:jc w:val="right"/>
              <w:ind w:right="22"/>
              <w:spacing w:after="0"/>
              <w:rPr>
                <w:sz w:val="20"/>
                <w:szCs w:val="20"/>
                <w:color w:val="auto"/>
              </w:rPr>
            </w:pPr>
            <w:r>
              <w:rPr>
                <w:rFonts w:ascii="Arial" w:cs="Arial" w:eastAsia="Arial" w:hAnsi="Arial"/>
                <w:sz w:val="17"/>
                <w:szCs w:val="17"/>
                <w:color w:val="auto"/>
              </w:rPr>
              <w:t>344</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5.2%</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80" w:type="dxa"/>
            <w:vAlign w:val="bottom"/>
            <w:gridSpan w:val="3"/>
            <w:shd w:val="clear" w:color="auto" w:fill="CCFFCC"/>
          </w:tcPr>
          <w:p>
            <w:pPr>
              <w:spacing w:after="0" w:line="236" w:lineRule="exact"/>
              <w:rPr>
                <w:sz w:val="20"/>
                <w:szCs w:val="20"/>
                <w:color w:val="auto"/>
              </w:rPr>
            </w:pPr>
            <w:r>
              <w:rPr>
                <w:rFonts w:ascii="Arial" w:cs="Arial" w:eastAsia="Arial" w:hAnsi="Arial"/>
                <w:sz w:val="17"/>
                <w:szCs w:val="17"/>
                <w:color w:val="auto"/>
              </w:rPr>
              <w:t>641 Lexington Ave. 26</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New York, NY 10022</w:t>
            </w: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80" w:type="dxa"/>
            <w:vAlign w:val="bottom"/>
            <w:gridSpan w:val="3"/>
          </w:tcPr>
          <w:p>
            <w:pPr>
              <w:spacing w:after="0" w:line="188" w:lineRule="exact"/>
              <w:rPr>
                <w:sz w:val="20"/>
                <w:szCs w:val="20"/>
                <w:color w:val="auto"/>
              </w:rPr>
            </w:pPr>
            <w:r>
              <w:rPr>
                <w:rFonts w:ascii="Arial" w:cs="Arial" w:eastAsia="Arial" w:hAnsi="Arial"/>
                <w:sz w:val="17"/>
                <w:szCs w:val="17"/>
                <w:b w:val="1"/>
                <w:bCs w:val="1"/>
                <w:color w:val="auto"/>
              </w:rPr>
              <w:t>Frost Gamma Investments Trust</w:t>
            </w:r>
          </w:p>
        </w:tc>
        <w:tc>
          <w:tcPr>
            <w:tcW w:w="840" w:type="dxa"/>
            <w:vAlign w:val="bottom"/>
          </w:tcPr>
          <w:p>
            <w:pPr>
              <w:jc w:val="right"/>
              <w:spacing w:after="0" w:line="188" w:lineRule="exact"/>
              <w:rPr>
                <w:sz w:val="20"/>
                <w:szCs w:val="20"/>
                <w:color w:val="auto"/>
              </w:rPr>
            </w:pPr>
            <w:r>
              <w:rPr>
                <w:rFonts w:ascii="Arial" w:cs="Arial" w:eastAsia="Arial" w:hAnsi="Arial"/>
                <w:sz w:val="17"/>
                <w:szCs w:val="17"/>
                <w:color w:val="auto"/>
              </w:rPr>
              <w:t>375,000</w:t>
            </w:r>
          </w:p>
        </w:tc>
        <w:tc>
          <w:tcPr>
            <w:tcW w:w="960" w:type="dxa"/>
            <w:vAlign w:val="bottom"/>
            <w:gridSpan w:val="2"/>
          </w:tcPr>
          <w:p>
            <w:pPr>
              <w:jc w:val="right"/>
              <w:ind w:right="33"/>
              <w:spacing w:after="0" w:line="188" w:lineRule="exact"/>
              <w:rPr>
                <w:sz w:val="20"/>
                <w:szCs w:val="20"/>
                <w:color w:val="auto"/>
              </w:rPr>
            </w:pPr>
            <w:r>
              <w:rPr>
                <w:rFonts w:ascii="Arial" w:cs="Arial" w:eastAsia="Arial" w:hAnsi="Arial"/>
                <w:sz w:val="17"/>
                <w:szCs w:val="17"/>
                <w:color w:val="auto"/>
              </w:rPr>
              <w:t>6.33%</w:t>
            </w:r>
          </w:p>
        </w:tc>
        <w:tc>
          <w:tcPr>
            <w:tcW w:w="160" w:type="dxa"/>
            <w:vAlign w:val="bottom"/>
          </w:tcPr>
          <w:p>
            <w:pPr>
              <w:spacing w:after="0"/>
              <w:rPr>
                <w:sz w:val="16"/>
                <w:szCs w:val="16"/>
                <w:color w:val="auto"/>
              </w:rPr>
            </w:pPr>
          </w:p>
        </w:tc>
        <w:tc>
          <w:tcPr>
            <w:tcW w:w="800" w:type="dxa"/>
            <w:vAlign w:val="bottom"/>
          </w:tcPr>
          <w:p>
            <w:pPr>
              <w:jc w:val="right"/>
              <w:ind w:right="22"/>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940" w:type="dxa"/>
            <w:vAlign w:val="bottom"/>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4400 Biscayne Boulevard</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tcPr>
          <w:p>
            <w:pPr>
              <w:spacing w:after="0"/>
              <w:rPr>
                <w:sz w:val="20"/>
                <w:szCs w:val="20"/>
                <w:color w:val="auto"/>
              </w:rPr>
            </w:pPr>
            <w:r>
              <w:rPr>
                <w:rFonts w:ascii="Arial" w:cs="Arial" w:eastAsia="Arial" w:hAnsi="Arial"/>
                <w:sz w:val="17"/>
                <w:szCs w:val="17"/>
                <w:color w:val="auto"/>
              </w:rPr>
              <w:t>Miami, FL 33137</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80" w:type="dxa"/>
            <w:vAlign w:val="bottom"/>
            <w:gridSpan w:val="3"/>
            <w:shd w:val="clear" w:color="auto" w:fill="CCFFCC"/>
          </w:tcPr>
          <w:p>
            <w:pPr>
              <w:spacing w:after="0" w:line="188" w:lineRule="exact"/>
              <w:rPr>
                <w:sz w:val="20"/>
                <w:szCs w:val="20"/>
                <w:color w:val="auto"/>
              </w:rPr>
            </w:pPr>
            <w:r>
              <w:rPr>
                <w:rFonts w:ascii="Arial" w:cs="Arial" w:eastAsia="Arial" w:hAnsi="Arial"/>
                <w:sz w:val="17"/>
                <w:szCs w:val="17"/>
                <w:b w:val="1"/>
                <w:bCs w:val="1"/>
                <w:color w:val="auto"/>
              </w:rPr>
              <w:t>Michael and Betsy Brauser TBE</w:t>
            </w:r>
          </w:p>
        </w:tc>
        <w:tc>
          <w:tcPr>
            <w:tcW w:w="84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color w:val="auto"/>
              </w:rPr>
              <w:t>387,500</w:t>
            </w:r>
          </w:p>
        </w:tc>
        <w:tc>
          <w:tcPr>
            <w:tcW w:w="960" w:type="dxa"/>
            <w:vAlign w:val="bottom"/>
            <w:gridSpan w:val="2"/>
            <w:shd w:val="clear" w:color="auto" w:fill="CCFFCC"/>
          </w:tcPr>
          <w:p>
            <w:pPr>
              <w:jc w:val="right"/>
              <w:ind w:right="33"/>
              <w:spacing w:after="0" w:line="188" w:lineRule="exact"/>
              <w:rPr>
                <w:sz w:val="20"/>
                <w:szCs w:val="20"/>
                <w:color w:val="auto"/>
              </w:rPr>
            </w:pPr>
            <w:r>
              <w:rPr>
                <w:rFonts w:ascii="Arial" w:cs="Arial" w:eastAsia="Arial" w:hAnsi="Arial"/>
                <w:sz w:val="17"/>
                <w:szCs w:val="17"/>
                <w:color w:val="auto"/>
              </w:rPr>
              <w:t>6.55%</w:t>
            </w:r>
          </w:p>
        </w:tc>
        <w:tc>
          <w:tcPr>
            <w:tcW w:w="160" w:type="dxa"/>
            <w:vAlign w:val="bottom"/>
            <w:shd w:val="clear" w:color="auto" w:fill="CCFFCC"/>
          </w:tcPr>
          <w:p>
            <w:pPr>
              <w:spacing w:after="0"/>
              <w:rPr>
                <w:sz w:val="16"/>
                <w:szCs w:val="16"/>
                <w:color w:val="auto"/>
              </w:rPr>
            </w:pPr>
          </w:p>
        </w:tc>
        <w:tc>
          <w:tcPr>
            <w:tcW w:w="800" w:type="dxa"/>
            <w:vAlign w:val="bottom"/>
            <w:shd w:val="clear" w:color="auto" w:fill="CCFFCC"/>
          </w:tcPr>
          <w:p>
            <w:pPr>
              <w:jc w:val="right"/>
              <w:ind w:right="22"/>
              <w:spacing w:after="0" w:line="188" w:lineRule="exact"/>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6"/>
                <w:szCs w:val="16"/>
                <w:color w:val="auto"/>
              </w:rPr>
            </w:pPr>
          </w:p>
        </w:tc>
        <w:tc>
          <w:tcPr>
            <w:tcW w:w="940" w:type="dxa"/>
            <w:vAlign w:val="bottom"/>
            <w:shd w:val="clear" w:color="auto" w:fill="CCFFCC"/>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3164 NE 31st Avenue</w:t>
            </w: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Lighthouse Point, FL 33064</w:t>
            </w: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80" w:type="dxa"/>
            <w:vAlign w:val="bottom"/>
            <w:gridSpan w:val="3"/>
          </w:tcPr>
          <w:p>
            <w:pPr>
              <w:spacing w:after="0" w:line="188" w:lineRule="exact"/>
              <w:rPr>
                <w:sz w:val="20"/>
                <w:szCs w:val="20"/>
                <w:color w:val="auto"/>
              </w:rPr>
            </w:pPr>
            <w:r>
              <w:rPr>
                <w:rFonts w:ascii="Arial" w:cs="Arial" w:eastAsia="Arial" w:hAnsi="Arial"/>
                <w:sz w:val="17"/>
                <w:szCs w:val="17"/>
                <w:b w:val="1"/>
                <w:bCs w:val="1"/>
                <w:color w:val="auto"/>
              </w:rPr>
              <w:t>Barry Honig</w:t>
            </w:r>
          </w:p>
        </w:tc>
        <w:tc>
          <w:tcPr>
            <w:tcW w:w="840" w:type="dxa"/>
            <w:vAlign w:val="bottom"/>
          </w:tcPr>
          <w:p>
            <w:pPr>
              <w:jc w:val="right"/>
              <w:spacing w:after="0" w:line="188" w:lineRule="exact"/>
              <w:rPr>
                <w:sz w:val="20"/>
                <w:szCs w:val="20"/>
                <w:color w:val="auto"/>
              </w:rPr>
            </w:pPr>
            <w:r>
              <w:rPr>
                <w:rFonts w:ascii="Arial" w:cs="Arial" w:eastAsia="Arial" w:hAnsi="Arial"/>
                <w:sz w:val="17"/>
                <w:szCs w:val="17"/>
                <w:color w:val="auto"/>
              </w:rPr>
              <w:t>437,500</w:t>
            </w:r>
          </w:p>
        </w:tc>
        <w:tc>
          <w:tcPr>
            <w:tcW w:w="960" w:type="dxa"/>
            <w:vAlign w:val="bottom"/>
            <w:gridSpan w:val="2"/>
          </w:tcPr>
          <w:p>
            <w:pPr>
              <w:jc w:val="right"/>
              <w:ind w:right="33"/>
              <w:spacing w:after="0" w:line="188" w:lineRule="exact"/>
              <w:rPr>
                <w:sz w:val="20"/>
                <w:szCs w:val="20"/>
                <w:color w:val="auto"/>
              </w:rPr>
            </w:pPr>
            <w:r>
              <w:rPr>
                <w:rFonts w:ascii="Arial" w:cs="Arial" w:eastAsia="Arial" w:hAnsi="Arial"/>
                <w:sz w:val="17"/>
                <w:szCs w:val="17"/>
                <w:color w:val="auto"/>
              </w:rPr>
              <w:t>7.39%</w:t>
            </w:r>
          </w:p>
        </w:tc>
        <w:tc>
          <w:tcPr>
            <w:tcW w:w="160" w:type="dxa"/>
            <w:vAlign w:val="bottom"/>
          </w:tcPr>
          <w:p>
            <w:pPr>
              <w:spacing w:after="0"/>
              <w:rPr>
                <w:sz w:val="16"/>
                <w:szCs w:val="16"/>
                <w:color w:val="auto"/>
              </w:rPr>
            </w:pPr>
          </w:p>
        </w:tc>
        <w:tc>
          <w:tcPr>
            <w:tcW w:w="800" w:type="dxa"/>
            <w:vAlign w:val="bottom"/>
          </w:tcPr>
          <w:p>
            <w:pPr>
              <w:jc w:val="right"/>
              <w:ind w:right="22"/>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940" w:type="dxa"/>
            <w:vAlign w:val="bottom"/>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4400 Biscayne Boulevard, Suite 850</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tcPr>
          <w:p>
            <w:pPr>
              <w:spacing w:after="0"/>
              <w:rPr>
                <w:sz w:val="20"/>
                <w:szCs w:val="20"/>
                <w:color w:val="auto"/>
              </w:rPr>
            </w:pPr>
            <w:r>
              <w:rPr>
                <w:rFonts w:ascii="Arial" w:cs="Arial" w:eastAsia="Arial" w:hAnsi="Arial"/>
                <w:sz w:val="17"/>
                <w:szCs w:val="17"/>
                <w:color w:val="auto"/>
              </w:rPr>
              <w:t>Miami, FL 33137</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b w:val="1"/>
                <w:bCs w:val="1"/>
                <w:i w:val="1"/>
                <w:iCs w:val="1"/>
                <w:color w:val="auto"/>
              </w:rPr>
              <w:t>Named Executive Officers and Directors</w:t>
            </w: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Andrew Kennedy Lang</w:t>
            </w:r>
          </w:p>
        </w:tc>
        <w:tc>
          <w:tcPr>
            <w:tcW w:w="840" w:type="dxa"/>
            <w:vAlign w:val="bottom"/>
          </w:tcPr>
          <w:p>
            <w:pPr>
              <w:jc w:val="right"/>
              <w:spacing w:after="0"/>
              <w:rPr>
                <w:sz w:val="20"/>
                <w:szCs w:val="20"/>
                <w:color w:val="auto"/>
              </w:rPr>
            </w:pPr>
            <w:r>
              <w:rPr>
                <w:rFonts w:ascii="Arial" w:cs="Arial" w:eastAsia="Arial" w:hAnsi="Arial"/>
                <w:sz w:val="17"/>
                <w:szCs w:val="17"/>
                <w:color w:val="auto"/>
              </w:rPr>
              <w:t>1,875,000</w:t>
            </w:r>
          </w:p>
        </w:tc>
        <w:tc>
          <w:tcPr>
            <w:tcW w:w="960" w:type="dxa"/>
            <w:vAlign w:val="bottom"/>
            <w:gridSpan w:val="2"/>
          </w:tcPr>
          <w:p>
            <w:pPr>
              <w:jc w:val="right"/>
              <w:ind w:right="33"/>
              <w:spacing w:after="0"/>
              <w:rPr>
                <w:sz w:val="20"/>
                <w:szCs w:val="20"/>
                <w:color w:val="auto"/>
              </w:rPr>
            </w:pPr>
            <w:r>
              <w:rPr>
                <w:rFonts w:ascii="Arial" w:cs="Arial" w:eastAsia="Arial" w:hAnsi="Arial"/>
                <w:sz w:val="17"/>
                <w:szCs w:val="17"/>
                <w:color w:val="auto"/>
              </w:rPr>
              <w:t>31.67%</w:t>
            </w:r>
          </w:p>
        </w:tc>
        <w:tc>
          <w:tcPr>
            <w:tcW w:w="1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2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Alexander R. Berger</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625,000</w:t>
            </w:r>
          </w:p>
        </w:tc>
        <w:tc>
          <w:tcPr>
            <w:tcW w:w="9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10.56%</w:t>
            </w: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2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2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line="239" w:lineRule="exact"/>
              <w:rPr>
                <w:sz w:val="20"/>
                <w:szCs w:val="20"/>
                <w:color w:val="auto"/>
              </w:rPr>
            </w:pPr>
            <w:r>
              <w:rPr>
                <w:rFonts w:ascii="Arial" w:cs="Arial" w:eastAsia="Arial" w:hAnsi="Arial"/>
                <w:sz w:val="17"/>
                <w:szCs w:val="17"/>
                <w:color w:val="auto"/>
              </w:rPr>
              <w:t>Donald E. Stout</w:t>
            </w:r>
            <w:r>
              <w:rPr>
                <w:rFonts w:ascii="Arial" w:cs="Arial" w:eastAsia="Arial" w:hAnsi="Arial"/>
                <w:sz w:val="27"/>
                <w:szCs w:val="27"/>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7"/>
                <w:szCs w:val="17"/>
                <w:color w:val="auto"/>
              </w:rPr>
              <w:t>256,824</w:t>
            </w:r>
          </w:p>
        </w:tc>
        <w:tc>
          <w:tcPr>
            <w:tcW w:w="960" w:type="dxa"/>
            <w:vAlign w:val="bottom"/>
            <w:gridSpan w:val="2"/>
          </w:tcPr>
          <w:p>
            <w:pPr>
              <w:jc w:val="right"/>
              <w:ind w:right="33"/>
              <w:spacing w:after="0"/>
              <w:rPr>
                <w:sz w:val="20"/>
                <w:szCs w:val="20"/>
                <w:color w:val="auto"/>
              </w:rPr>
            </w:pPr>
            <w:r>
              <w:rPr>
                <w:rFonts w:ascii="Arial" w:cs="Arial" w:eastAsia="Arial" w:hAnsi="Arial"/>
                <w:sz w:val="17"/>
                <w:szCs w:val="17"/>
                <w:color w:val="auto"/>
              </w:rPr>
              <w:t>4.33%</w:t>
            </w:r>
          </w:p>
        </w:tc>
        <w:tc>
          <w:tcPr>
            <w:tcW w:w="160" w:type="dxa"/>
            <w:vAlign w:val="bottom"/>
          </w:tcPr>
          <w:p>
            <w:pPr>
              <w:spacing w:after="0"/>
              <w:rPr>
                <w:sz w:val="20"/>
                <w:szCs w:val="20"/>
                <w:color w:val="auto"/>
              </w:rPr>
            </w:pPr>
          </w:p>
        </w:tc>
        <w:tc>
          <w:tcPr>
            <w:tcW w:w="80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40" w:type="dxa"/>
            <w:vAlign w:val="bottom"/>
          </w:tcPr>
          <w:p>
            <w:pPr>
              <w:jc w:val="right"/>
              <w:ind w:right="2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H. Van Sinclair</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40,000</w:t>
            </w:r>
          </w:p>
        </w:tc>
        <w:tc>
          <w:tcPr>
            <w:tcW w:w="960" w:type="dxa"/>
            <w:vAlign w:val="bottom"/>
            <w:gridSpan w:val="2"/>
            <w:shd w:val="clear" w:color="auto" w:fill="CCFFCC"/>
          </w:tcPr>
          <w:p>
            <w:pPr>
              <w:jc w:val="right"/>
              <w:ind w:right="17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2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2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tcPr>
          <w:p>
            <w:pPr>
              <w:spacing w:after="0"/>
              <w:rPr>
                <w:sz w:val="20"/>
                <w:szCs w:val="20"/>
                <w:color w:val="auto"/>
              </w:rPr>
            </w:pPr>
            <w:r>
              <w:rPr>
                <w:rFonts w:ascii="Arial" w:cs="Arial" w:eastAsia="Arial" w:hAnsi="Arial"/>
                <w:sz w:val="17"/>
                <w:szCs w:val="17"/>
                <w:b w:val="1"/>
                <w:bCs w:val="1"/>
                <w:i w:val="1"/>
                <w:iCs w:val="1"/>
                <w:color w:val="auto"/>
                <w:w w:val="97"/>
              </w:rPr>
              <w:t>All officers and directors as a group (4 persons)</w:t>
            </w:r>
          </w:p>
        </w:tc>
        <w:tc>
          <w:tcPr>
            <w:tcW w:w="840" w:type="dxa"/>
            <w:vAlign w:val="bottom"/>
          </w:tcPr>
          <w:p>
            <w:pPr>
              <w:jc w:val="right"/>
              <w:spacing w:after="0"/>
              <w:rPr>
                <w:sz w:val="20"/>
                <w:szCs w:val="20"/>
                <w:color w:val="auto"/>
              </w:rPr>
            </w:pPr>
            <w:r>
              <w:rPr>
                <w:rFonts w:ascii="Arial" w:cs="Arial" w:eastAsia="Arial" w:hAnsi="Arial"/>
                <w:sz w:val="17"/>
                <w:szCs w:val="17"/>
                <w:color w:val="auto"/>
              </w:rPr>
              <w:t>2,796,824</w:t>
            </w:r>
          </w:p>
        </w:tc>
        <w:tc>
          <w:tcPr>
            <w:tcW w:w="960" w:type="dxa"/>
            <w:vAlign w:val="bottom"/>
            <w:gridSpan w:val="2"/>
          </w:tcPr>
          <w:p>
            <w:pPr>
              <w:jc w:val="right"/>
              <w:ind w:right="33"/>
              <w:spacing w:after="0"/>
              <w:rPr>
                <w:sz w:val="20"/>
                <w:szCs w:val="20"/>
                <w:color w:val="auto"/>
              </w:rPr>
            </w:pPr>
            <w:r>
              <w:rPr>
                <w:rFonts w:ascii="Arial" w:cs="Arial" w:eastAsia="Arial" w:hAnsi="Arial"/>
                <w:sz w:val="17"/>
                <w:szCs w:val="17"/>
                <w:color w:val="auto"/>
              </w:rPr>
              <w:t>47.42%</w:t>
            </w:r>
          </w:p>
        </w:tc>
        <w:tc>
          <w:tcPr>
            <w:tcW w:w="16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tcPr>
          <w:p>
            <w:pPr>
              <w:jc w:val="right"/>
              <w:ind w:right="2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1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01"/>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25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5" w:name="page196"/>
    <w:bookmarkEnd w:id="19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5727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Does not exceed 1% of the class</w:t>
      </w:r>
    </w:p>
    <w:p>
      <w:pPr>
        <w:spacing w:after="0" w:line="105" w:lineRule="exact"/>
        <w:rPr>
          <w:sz w:val="20"/>
          <w:szCs w:val="20"/>
          <w:color w:val="auto"/>
        </w:rPr>
      </w:pPr>
    </w:p>
    <w:p>
      <w:pPr>
        <w:ind w:left="260" w:right="1239" w:hanging="250"/>
        <w:spacing w:after="0" w:line="267" w:lineRule="auto"/>
        <w:tabs>
          <w:tab w:leader="none" w:pos="2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Unless otherwise indicated, the address of each listed stockholder is c/o Innovate/Protect, Inc., 380 Madison Avenue, 22nd Floor, New York, New York 10017.</w:t>
      </w:r>
    </w:p>
    <w:p>
      <w:pPr>
        <w:spacing w:after="0" w:line="6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May 25, 2012.</w:t>
      </w:r>
    </w:p>
    <w:p>
      <w:pPr>
        <w:spacing w:after="0" w:line="66" w:lineRule="exact"/>
        <w:rPr>
          <w:rFonts w:ascii="Arial" w:cs="Arial" w:eastAsia="Arial" w:hAnsi="Arial"/>
          <w:sz w:val="17"/>
          <w:szCs w:val="17"/>
          <w:color w:val="auto"/>
        </w:rPr>
      </w:pPr>
    </w:p>
    <w:p>
      <w:pPr>
        <w:jc w:val="both"/>
        <w:ind w:left="260" w:right="1239" w:hanging="250"/>
        <w:spacing w:after="0" w:line="292" w:lineRule="auto"/>
        <w:tabs>
          <w:tab w:leader="none" w:pos="2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Hudson Bay Master Fund Ltd. also holds a warrant exercisable for 250,000 shares of common stock, which would be 4.15% of the class upon exercise and shares of preferred stock convertible into 6,181,000 shares of common stock.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w:t>
      </w:r>
    </w:p>
    <w:p>
      <w:pPr>
        <w:spacing w:after="0" w:line="53" w:lineRule="exact"/>
        <w:rPr>
          <w:rFonts w:ascii="Arial" w:cs="Arial" w:eastAsia="Arial" w:hAnsi="Arial"/>
          <w:sz w:val="15"/>
          <w:szCs w:val="15"/>
          <w:color w:val="auto"/>
        </w:rPr>
      </w:pPr>
    </w:p>
    <w:p>
      <w:pPr>
        <w:jc w:val="both"/>
        <w:ind w:left="260" w:right="1239" w:hanging="250"/>
        <w:spacing w:after="0" w:line="269" w:lineRule="auto"/>
        <w:tabs>
          <w:tab w:leader="none" w:pos="2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65" w:lineRule="exact"/>
        <w:rPr>
          <w:rFonts w:ascii="Arial" w:cs="Arial" w:eastAsia="Arial" w:hAnsi="Arial"/>
          <w:sz w:val="16"/>
          <w:szCs w:val="16"/>
          <w:color w:val="auto"/>
        </w:rPr>
      </w:pPr>
    </w:p>
    <w:p>
      <w:pPr>
        <w:ind w:left="260" w:hanging="250"/>
        <w:spacing w:after="0"/>
        <w:tabs>
          <w:tab w:leader="none" w:pos="2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Aggregates shares owned by Donald E. Stout and the Donald E. and Mary Stout Trust, which Mr. Stout controls.</w:t>
      </w:r>
    </w:p>
    <w:p>
      <w:pPr>
        <w:spacing w:after="0" w:line="200" w:lineRule="exact"/>
        <w:rPr>
          <w:sz w:val="20"/>
          <w:szCs w:val="20"/>
          <w:color w:val="auto"/>
        </w:rPr>
      </w:pPr>
    </w:p>
    <w:p>
      <w:pPr>
        <w:spacing w:after="0" w:line="33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6" w:name="page197"/>
    <w:bookmarkEnd w:id="19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SECURITY OWNERSHIP OF CERTAIN BENEFICIAL OWNERS AND</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MANAGEMENT OF THE COMBINED COMPANY FOLLOWING THE MERGER</w:t>
      </w:r>
    </w:p>
    <w:p>
      <w:pPr>
        <w:spacing w:after="0" w:line="9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following table sets forth information as of May 25, 2012, regarding the beneficial ownership of the combined company upon completion of the Merger by (i) each person known by the management of Vringo and Innovate/Protect that is expected to become the beneficial owner of 5% of the common stock of the combined company upon completion of the Merger, (ii) each director and named executive officer of the combined company, and (iii) all directors and named executive officers of the combined company as a group. Information with respect to beneficial ownership is based solely on a review of Vringo capital stock transfer records and on publicly available filings made with the SEC by or on behalf of the stockholders listed below and on Innovate/Protect’s stock ledger. Unless otherwise indicated in the footnotes, the address for each listed stockholder is: c/o Innovate/Protect, Inc., 380 Madison Avenue, 22nd Floor, New York, New York 10017.</w:t>
      </w:r>
    </w:p>
    <w:p>
      <w:pPr>
        <w:spacing w:after="0" w:line="73"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Percentage of beneficial ownership is calculated based on 14,060,424 shares of Vringo common stock outstanding as of May 25, 2012 and 12,592,661 shares of Innovate/Protect capital stock outstanding as of May 25, 2012 (which includes 6,673 shares of preferred stock and 5,919,661 shares of common stock). The percent of common stock of the combined company is based on 32,173,593 shares of common stock of the combined company outstanding upon completion of the Merger and assumes that the Exchange Ratio to be used in connection with the Merger is approximately 3.0176 shares of Vringo common stock for each share of Innovate/Protect capital stock (without giving effect to the proposed reverse stock split described elsewhere in this proxy statement/prospectus). Shares of Vringo common stock subject to stock options that are currently exercisable or exercisable within 60 days after May 25,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Shares of Innovate/Protect common stock subject to options or warrants that are currently exercisable or exercisable within 60 days of May 25,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Unless otherwise indicated, Vringo and Innovate/Protect believe that each of the persons named in this table has sole voting and investment power with respect to all shares shown as beneficially owned by them.</w:t>
      </w:r>
    </w:p>
    <w:p>
      <w:pPr>
        <w:spacing w:after="0" w:line="200" w:lineRule="exact"/>
        <w:rPr>
          <w:sz w:val="20"/>
          <w:szCs w:val="20"/>
          <w:color w:val="auto"/>
        </w:rPr>
      </w:pPr>
    </w:p>
    <w:p>
      <w:pPr>
        <w:spacing w:after="0" w:line="27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49"/>
        </w:trPr>
        <w:tc>
          <w:tcPr>
            <w:tcW w:w="270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10"/>
        </w:trPr>
        <w:tc>
          <w:tcPr>
            <w:tcW w:w="2700" w:type="dxa"/>
            <w:vAlign w:val="bottom"/>
            <w:gridSpan w:val="3"/>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Amount of</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Percent of</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 Voting</w:t>
            </w: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Percent of</w:t>
            </w:r>
          </w:p>
        </w:tc>
      </w:tr>
      <w:tr>
        <w:trPr>
          <w:trHeight w:val="159"/>
        </w:trPr>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Beneficial</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Class</w:t>
            </w: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9" w:lineRule="exact"/>
              <w:rPr>
                <w:sz w:val="20"/>
                <w:szCs w:val="20"/>
                <w:color w:val="auto"/>
              </w:rPr>
            </w:pPr>
            <w:r>
              <w:rPr>
                <w:rFonts w:ascii="Arial" w:cs="Arial" w:eastAsia="Arial" w:hAnsi="Arial"/>
                <w:sz w:val="11"/>
                <w:szCs w:val="11"/>
                <w:b w:val="1"/>
                <w:bCs w:val="1"/>
                <w:color w:val="auto"/>
              </w:rPr>
              <w:t>Power</w:t>
            </w:r>
            <w:r>
              <w:rPr>
                <w:rFonts w:ascii="Arial" w:cs="Arial" w:eastAsia="Arial" w:hAnsi="Arial"/>
                <w:sz w:val="18"/>
                <w:szCs w:val="18"/>
                <w:b w:val="1"/>
                <w:bCs w:val="1"/>
                <w:color w:val="auto"/>
                <w:vertAlign w:val="superscript"/>
              </w:rPr>
              <w:t>(7)</w:t>
            </w:r>
          </w:p>
        </w:tc>
        <w:tc>
          <w:tcPr>
            <w:tcW w:w="100" w:type="dxa"/>
            <w:vAlign w:val="bottom"/>
          </w:tcPr>
          <w:p>
            <w:pPr>
              <w:spacing w:after="0"/>
              <w:rPr>
                <w:sz w:val="13"/>
                <w:szCs w:val="13"/>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Class</w:t>
            </w:r>
          </w:p>
        </w:tc>
      </w:tr>
      <w:tr>
        <w:trPr>
          <w:trHeight w:val="174"/>
        </w:trPr>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gridSpan w:val="2"/>
          </w:tcPr>
          <w:p>
            <w:pPr>
              <w:jc w:val="center"/>
              <w:spacing w:after="0" w:line="174" w:lineRule="exact"/>
              <w:rPr>
                <w:sz w:val="20"/>
                <w:szCs w:val="20"/>
                <w:color w:val="auto"/>
              </w:rPr>
            </w:pPr>
            <w:r>
              <w:rPr>
                <w:rFonts w:ascii="Arial" w:cs="Arial" w:eastAsia="Arial" w:hAnsi="Arial"/>
                <w:sz w:val="12"/>
                <w:szCs w:val="12"/>
                <w:b w:val="1"/>
                <w:bCs w:val="1"/>
                <w:color w:val="auto"/>
                <w:w w:val="91"/>
              </w:rPr>
              <w:t>Ownership</w:t>
            </w:r>
            <w:r>
              <w:rPr>
                <w:rFonts w:ascii="Arial" w:cs="Arial" w:eastAsia="Arial" w:hAnsi="Arial"/>
                <w:sz w:val="20"/>
                <w:szCs w:val="20"/>
                <w:b w:val="1"/>
                <w:bCs w:val="1"/>
                <w:color w:val="auto"/>
                <w:w w:val="91"/>
                <w:vertAlign w:val="superscript"/>
              </w:rPr>
              <w:t>(3)(4)(6)</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r>
      <w:tr>
        <w:trPr>
          <w:trHeight w:val="180"/>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b w:val="1"/>
                <w:bCs w:val="1"/>
                <w:i w:val="1"/>
                <w:iCs w:val="1"/>
                <w:color w:val="auto"/>
              </w:rPr>
              <w:t>5% Stockholders (Preferred)</w:t>
            </w:r>
          </w:p>
        </w:tc>
        <w:tc>
          <w:tcPr>
            <w:tcW w:w="10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r>
      <w:tr>
        <w:trPr>
          <w:trHeight w:val="217"/>
        </w:trPr>
        <w:tc>
          <w:tcPr>
            <w:tcW w:w="2700" w:type="dxa"/>
            <w:vAlign w:val="bottom"/>
            <w:gridSpan w:val="3"/>
          </w:tcPr>
          <w:p>
            <w:pPr>
              <w:spacing w:after="0" w:line="217" w:lineRule="exact"/>
              <w:rPr>
                <w:sz w:val="20"/>
                <w:szCs w:val="20"/>
                <w:color w:val="auto"/>
              </w:rPr>
            </w:pPr>
            <w:r>
              <w:rPr>
                <w:rFonts w:ascii="Arial" w:cs="Arial" w:eastAsia="Arial" w:hAnsi="Arial"/>
                <w:sz w:val="15"/>
                <w:szCs w:val="15"/>
                <w:color w:val="auto"/>
              </w:rPr>
              <w:t>Hudson Bay Master Fund Ltd.</w:t>
            </w:r>
            <w:r>
              <w:rPr>
                <w:rFonts w:ascii="Arial" w:cs="Arial" w:eastAsia="Arial" w:hAnsi="Arial"/>
                <w:sz w:val="25"/>
                <w:szCs w:val="25"/>
                <w:color w:val="auto"/>
                <w:vertAlign w:val="superscript"/>
              </w:rPr>
              <w:t>(5)</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6,181</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92.6%</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r>
      <w:tr>
        <w:trPr>
          <w:trHeight w:val="188"/>
        </w:trPr>
        <w:tc>
          <w:tcPr>
            <w:tcW w:w="2700" w:type="dxa"/>
            <w:vAlign w:val="bottom"/>
            <w:gridSpan w:val="3"/>
          </w:tcPr>
          <w:p>
            <w:pPr>
              <w:spacing w:after="0"/>
              <w:rPr>
                <w:sz w:val="20"/>
                <w:szCs w:val="20"/>
                <w:color w:val="auto"/>
              </w:rPr>
            </w:pPr>
            <w:r>
              <w:rPr>
                <w:rFonts w:ascii="Arial" w:cs="Arial" w:eastAsia="Arial" w:hAnsi="Arial"/>
                <w:sz w:val="15"/>
                <w:szCs w:val="15"/>
                <w:color w:val="auto"/>
              </w:rPr>
              <w:t>777 Third Avenue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2700" w:type="dxa"/>
            <w:vAlign w:val="bottom"/>
            <w:gridSpan w:val="3"/>
          </w:tcPr>
          <w:p>
            <w:pPr>
              <w:spacing w:after="0"/>
              <w:rPr>
                <w:sz w:val="20"/>
                <w:szCs w:val="20"/>
                <w:color w:val="auto"/>
              </w:rPr>
            </w:pPr>
            <w:r>
              <w:rPr>
                <w:rFonts w:ascii="Arial" w:cs="Arial" w:eastAsia="Arial" w:hAnsi="Arial"/>
                <w:sz w:val="15"/>
                <w:szCs w:val="15"/>
                <w:color w:val="auto"/>
              </w:rPr>
              <w:t>New York, NY 10017</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0"/>
        </w:trPr>
        <w:tc>
          <w:tcPr>
            <w:tcW w:w="2700" w:type="dxa"/>
            <w:vAlign w:val="bottom"/>
            <w:gridSpan w:val="3"/>
            <w:shd w:val="clear" w:color="auto" w:fill="CCFFCC"/>
          </w:tcPr>
          <w:p>
            <w:pPr>
              <w:spacing w:after="0" w:line="221" w:lineRule="exact"/>
              <w:rPr>
                <w:sz w:val="20"/>
                <w:szCs w:val="20"/>
                <w:color w:val="auto"/>
              </w:rPr>
            </w:pPr>
            <w:r>
              <w:rPr>
                <w:rFonts w:ascii="Arial" w:cs="Arial" w:eastAsia="Arial" w:hAnsi="Arial"/>
                <w:sz w:val="15"/>
                <w:szCs w:val="15"/>
                <w:color w:val="auto"/>
              </w:rPr>
              <w:t>Sander Gerber</w:t>
            </w:r>
            <w:r>
              <w:rPr>
                <w:rFonts w:ascii="Arial" w:cs="Arial" w:eastAsia="Arial" w:hAnsi="Arial"/>
                <w:sz w:val="25"/>
                <w:szCs w:val="25"/>
                <w:color w:val="auto"/>
                <w:vertAlign w:val="superscript"/>
              </w:rPr>
              <w:t>(5)</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6,181</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92.6%</w:t>
            </w:r>
          </w:p>
        </w:tc>
        <w:tc>
          <w:tcPr>
            <w:tcW w:w="1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w w:val="98"/>
              </w:rPr>
              <w:t>c/o Hudson Bay Capital Management LP</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777 Third Avenue</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96"/>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New York, NY 10017</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179"/>
        </w:trPr>
        <w:tc>
          <w:tcPr>
            <w:tcW w:w="2700" w:type="dxa"/>
            <w:vAlign w:val="bottom"/>
            <w:gridSpan w:val="3"/>
          </w:tcPr>
          <w:p>
            <w:pPr>
              <w:spacing w:after="0"/>
              <w:rPr>
                <w:sz w:val="20"/>
                <w:szCs w:val="20"/>
                <w:color w:val="auto"/>
              </w:rPr>
            </w:pPr>
            <w:r>
              <w:rPr>
                <w:rFonts w:ascii="Arial" w:cs="Arial" w:eastAsia="Arial" w:hAnsi="Arial"/>
                <w:sz w:val="15"/>
                <w:szCs w:val="15"/>
                <w:color w:val="auto"/>
              </w:rPr>
              <w:t>Iroquois Master Fund Ltd.</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344</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641 Lexington Ave, 26</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93"/>
        </w:trPr>
        <w:tc>
          <w:tcPr>
            <w:tcW w:w="2700" w:type="dxa"/>
            <w:vAlign w:val="bottom"/>
            <w:gridSpan w:val="3"/>
          </w:tcPr>
          <w:p>
            <w:pPr>
              <w:spacing w:after="0"/>
              <w:rPr>
                <w:sz w:val="20"/>
                <w:szCs w:val="20"/>
                <w:color w:val="auto"/>
              </w:rPr>
            </w:pPr>
            <w:r>
              <w:rPr>
                <w:rFonts w:ascii="Arial" w:cs="Arial" w:eastAsia="Arial" w:hAnsi="Arial"/>
                <w:sz w:val="15"/>
                <w:szCs w:val="15"/>
                <w:color w:val="auto"/>
              </w:rPr>
              <w:t>New York, NY 10022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3"/>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b w:val="1"/>
                <w:bCs w:val="1"/>
                <w:i w:val="1"/>
                <w:iCs w:val="1"/>
                <w:color w:val="auto"/>
                <w:w w:val="95"/>
              </w:rPr>
              <w:t>5% Stockholders (Common) (Excluding</w:t>
            </w:r>
          </w:p>
        </w:tc>
        <w:tc>
          <w:tcPr>
            <w:tcW w:w="10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r>
      <w:tr>
        <w:trPr>
          <w:trHeight w:val="196"/>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b w:val="1"/>
                <w:bCs w:val="1"/>
                <w:i w:val="1"/>
                <w:iCs w:val="1"/>
                <w:color w:val="auto"/>
                <w:w w:val="92"/>
              </w:rPr>
              <w:t>Named Executive Officers and Directors)</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217"/>
        </w:trPr>
        <w:tc>
          <w:tcPr>
            <w:tcW w:w="2700" w:type="dxa"/>
            <w:vAlign w:val="bottom"/>
            <w:gridSpan w:val="3"/>
          </w:tcPr>
          <w:p>
            <w:pPr>
              <w:spacing w:after="0" w:line="217" w:lineRule="exact"/>
              <w:rPr>
                <w:sz w:val="20"/>
                <w:szCs w:val="20"/>
                <w:color w:val="auto"/>
              </w:rPr>
            </w:pPr>
            <w:r>
              <w:rPr>
                <w:rFonts w:ascii="Arial" w:cs="Arial" w:eastAsia="Arial" w:hAnsi="Arial"/>
                <w:sz w:val="15"/>
                <w:szCs w:val="15"/>
                <w:color w:val="auto"/>
              </w:rPr>
              <w:t>Hudson Bay Master Fund Ltd.</w:t>
            </w:r>
            <w:r>
              <w:rPr>
                <w:rFonts w:ascii="Arial" w:cs="Arial" w:eastAsia="Arial" w:hAnsi="Arial"/>
                <w:sz w:val="25"/>
                <w:szCs w:val="25"/>
                <w:color w:val="auto"/>
                <w:vertAlign w:val="superscript"/>
              </w:rPr>
              <w:t>(5)</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3,548,875</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9.99%</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3,548,875</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9.99%</w:t>
            </w:r>
          </w:p>
        </w:tc>
      </w:tr>
      <w:tr>
        <w:trPr>
          <w:trHeight w:val="188"/>
        </w:trPr>
        <w:tc>
          <w:tcPr>
            <w:tcW w:w="2700" w:type="dxa"/>
            <w:vAlign w:val="bottom"/>
            <w:gridSpan w:val="3"/>
          </w:tcPr>
          <w:p>
            <w:pPr>
              <w:spacing w:after="0"/>
              <w:rPr>
                <w:sz w:val="20"/>
                <w:szCs w:val="20"/>
                <w:color w:val="auto"/>
              </w:rPr>
            </w:pPr>
            <w:r>
              <w:rPr>
                <w:rFonts w:ascii="Arial" w:cs="Arial" w:eastAsia="Arial" w:hAnsi="Arial"/>
                <w:sz w:val="15"/>
                <w:szCs w:val="15"/>
                <w:color w:val="auto"/>
              </w:rPr>
              <w:t>777 Third Avenue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2700" w:type="dxa"/>
            <w:vAlign w:val="bottom"/>
            <w:gridSpan w:val="3"/>
          </w:tcPr>
          <w:p>
            <w:pPr>
              <w:spacing w:after="0"/>
              <w:rPr>
                <w:sz w:val="20"/>
                <w:szCs w:val="20"/>
                <w:color w:val="auto"/>
              </w:rPr>
            </w:pPr>
            <w:r>
              <w:rPr>
                <w:rFonts w:ascii="Arial" w:cs="Arial" w:eastAsia="Arial" w:hAnsi="Arial"/>
                <w:sz w:val="15"/>
                <w:szCs w:val="15"/>
                <w:color w:val="auto"/>
              </w:rPr>
              <w:t>New York, NY 10017</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0"/>
        </w:trPr>
        <w:tc>
          <w:tcPr>
            <w:tcW w:w="2700" w:type="dxa"/>
            <w:vAlign w:val="bottom"/>
            <w:gridSpan w:val="3"/>
            <w:shd w:val="clear" w:color="auto" w:fill="CCFFCC"/>
          </w:tcPr>
          <w:p>
            <w:pPr>
              <w:spacing w:after="0" w:line="221" w:lineRule="exact"/>
              <w:rPr>
                <w:sz w:val="20"/>
                <w:szCs w:val="20"/>
                <w:color w:val="auto"/>
              </w:rPr>
            </w:pPr>
            <w:r>
              <w:rPr>
                <w:rFonts w:ascii="Arial" w:cs="Arial" w:eastAsia="Arial" w:hAnsi="Arial"/>
                <w:sz w:val="15"/>
                <w:szCs w:val="15"/>
                <w:color w:val="auto"/>
              </w:rPr>
              <w:t>Sander Gerber</w:t>
            </w:r>
            <w:r>
              <w:rPr>
                <w:rFonts w:ascii="Arial" w:cs="Arial" w:eastAsia="Arial" w:hAnsi="Arial"/>
                <w:sz w:val="25"/>
                <w:szCs w:val="25"/>
                <w:color w:val="auto"/>
                <w:vertAlign w:val="superscript"/>
              </w:rPr>
              <w:t>(5)</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3,548,875</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9.99%</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3,548,875</w:t>
            </w:r>
          </w:p>
        </w:tc>
        <w:tc>
          <w:tcPr>
            <w:tcW w:w="1440" w:type="dxa"/>
            <w:vAlign w:val="bottom"/>
            <w:gridSpan w:val="3"/>
            <w:shd w:val="clear" w:color="auto" w:fill="CCFFCC"/>
          </w:tcPr>
          <w:p>
            <w:pPr>
              <w:jc w:val="right"/>
              <w:ind w:right="380"/>
              <w:spacing w:after="0"/>
              <w:rPr>
                <w:sz w:val="20"/>
                <w:szCs w:val="20"/>
                <w:color w:val="auto"/>
              </w:rPr>
            </w:pPr>
            <w:r>
              <w:rPr>
                <w:rFonts w:ascii="Arial" w:cs="Arial" w:eastAsia="Arial" w:hAnsi="Arial"/>
                <w:sz w:val="15"/>
                <w:szCs w:val="15"/>
                <w:color w:val="auto"/>
              </w:rPr>
              <w:t>9.99%</w:t>
            </w: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w w:val="98"/>
              </w:rPr>
              <w:t>c/o Hudson Bay Capital Management LP</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777 Third Avenue</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96"/>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New York, NY 10017</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179"/>
        </w:trPr>
        <w:tc>
          <w:tcPr>
            <w:tcW w:w="2700" w:type="dxa"/>
            <w:vAlign w:val="bottom"/>
            <w:gridSpan w:val="3"/>
          </w:tcPr>
          <w:p>
            <w:pPr>
              <w:spacing w:after="0"/>
              <w:rPr>
                <w:sz w:val="20"/>
                <w:szCs w:val="20"/>
                <w:color w:val="auto"/>
              </w:rPr>
            </w:pPr>
            <w:r>
              <w:rPr>
                <w:rFonts w:ascii="Arial" w:cs="Arial" w:eastAsia="Arial" w:hAnsi="Arial"/>
                <w:sz w:val="15"/>
                <w:szCs w:val="15"/>
                <w:color w:val="auto"/>
              </w:rPr>
              <w:t>Iroquois Master Fund Ltd.</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2,219,446</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6.7%</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524,936</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1.6%</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641 Lexington Ave, 26</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93"/>
        </w:trPr>
        <w:tc>
          <w:tcPr>
            <w:tcW w:w="2700" w:type="dxa"/>
            <w:vAlign w:val="bottom"/>
            <w:gridSpan w:val="3"/>
          </w:tcPr>
          <w:p>
            <w:pPr>
              <w:spacing w:after="0"/>
              <w:rPr>
                <w:sz w:val="20"/>
                <w:szCs w:val="20"/>
                <w:color w:val="auto"/>
              </w:rPr>
            </w:pPr>
            <w:r>
              <w:rPr>
                <w:rFonts w:ascii="Arial" w:cs="Arial" w:eastAsia="Arial" w:hAnsi="Arial"/>
                <w:sz w:val="15"/>
                <w:szCs w:val="15"/>
                <w:color w:val="auto"/>
              </w:rPr>
              <w:t>New York, NY 10022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3"/>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Frost Gamma Investments Trust</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1,606,872</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5.0%</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1,131,600</w:t>
            </w:r>
          </w:p>
        </w:tc>
        <w:tc>
          <w:tcPr>
            <w:tcW w:w="1440" w:type="dxa"/>
            <w:vAlign w:val="bottom"/>
            <w:gridSpan w:val="3"/>
            <w:shd w:val="clear" w:color="auto" w:fill="CCFFCC"/>
          </w:tcPr>
          <w:p>
            <w:pPr>
              <w:jc w:val="right"/>
              <w:ind w:right="380"/>
              <w:spacing w:after="0"/>
              <w:rPr>
                <w:sz w:val="20"/>
                <w:szCs w:val="20"/>
                <w:color w:val="auto"/>
              </w:rPr>
            </w:pPr>
            <w:r>
              <w:rPr>
                <w:rFonts w:ascii="Arial" w:cs="Arial" w:eastAsia="Arial" w:hAnsi="Arial"/>
                <w:sz w:val="15"/>
                <w:szCs w:val="15"/>
                <w:color w:val="auto"/>
              </w:rPr>
              <w:t>3.5%</w:t>
            </w: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4400 Biscayne Boulevard</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96"/>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Miami, FL 33137</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180"/>
        </w:trPr>
        <w:tc>
          <w:tcPr>
            <w:tcW w:w="2700" w:type="dxa"/>
            <w:vAlign w:val="bottom"/>
            <w:gridSpan w:val="3"/>
          </w:tcPr>
          <w:p>
            <w:pPr>
              <w:spacing w:after="0"/>
              <w:rPr>
                <w:sz w:val="20"/>
                <w:szCs w:val="20"/>
                <w:color w:val="auto"/>
              </w:rPr>
            </w:pPr>
            <w:r>
              <w:rPr>
                <w:rFonts w:ascii="Arial" w:cs="Arial" w:eastAsia="Arial" w:hAnsi="Arial"/>
                <w:sz w:val="15"/>
                <w:szCs w:val="15"/>
                <w:color w:val="auto"/>
              </w:rPr>
              <w:t>Michael and Betsy Brauser TBE</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1,660,435</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5.1%</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1,169,320</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3.6%</w:t>
            </w:r>
          </w:p>
        </w:tc>
      </w:tr>
      <w:tr>
        <w:trPr>
          <w:trHeight w:val="188"/>
        </w:trPr>
        <w:tc>
          <w:tcPr>
            <w:tcW w:w="2700" w:type="dxa"/>
            <w:vAlign w:val="bottom"/>
            <w:gridSpan w:val="3"/>
          </w:tcPr>
          <w:p>
            <w:pPr>
              <w:spacing w:after="0"/>
              <w:rPr>
                <w:sz w:val="20"/>
                <w:szCs w:val="20"/>
                <w:color w:val="auto"/>
              </w:rPr>
            </w:pPr>
            <w:r>
              <w:rPr>
                <w:rFonts w:ascii="Arial" w:cs="Arial" w:eastAsia="Arial" w:hAnsi="Arial"/>
                <w:sz w:val="15"/>
                <w:szCs w:val="15"/>
                <w:color w:val="auto"/>
              </w:rPr>
              <w:t>3164 NE 31st Avenue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2700" w:type="dxa"/>
            <w:vAlign w:val="bottom"/>
            <w:gridSpan w:val="3"/>
          </w:tcPr>
          <w:p>
            <w:pPr>
              <w:spacing w:after="0"/>
              <w:rPr>
                <w:sz w:val="20"/>
                <w:szCs w:val="20"/>
                <w:color w:val="auto"/>
              </w:rPr>
            </w:pPr>
            <w:r>
              <w:rPr>
                <w:rFonts w:ascii="Arial" w:cs="Arial" w:eastAsia="Arial" w:hAnsi="Arial"/>
                <w:sz w:val="15"/>
                <w:szCs w:val="15"/>
                <w:color w:val="auto"/>
              </w:rPr>
              <w:t>Lighthouse Point, FL 33064</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3"/>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Barry Honig</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1,874,684</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5.8%</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1,320,200</w:t>
            </w:r>
          </w:p>
        </w:tc>
        <w:tc>
          <w:tcPr>
            <w:tcW w:w="1440" w:type="dxa"/>
            <w:vAlign w:val="bottom"/>
            <w:gridSpan w:val="3"/>
            <w:shd w:val="clear" w:color="auto" w:fill="CCFFCC"/>
          </w:tcPr>
          <w:p>
            <w:pPr>
              <w:jc w:val="right"/>
              <w:ind w:right="380"/>
              <w:spacing w:after="0"/>
              <w:rPr>
                <w:sz w:val="20"/>
                <w:szCs w:val="20"/>
                <w:color w:val="auto"/>
              </w:rPr>
            </w:pPr>
            <w:r>
              <w:rPr>
                <w:rFonts w:ascii="Arial" w:cs="Arial" w:eastAsia="Arial" w:hAnsi="Arial"/>
                <w:sz w:val="15"/>
                <w:szCs w:val="15"/>
                <w:color w:val="auto"/>
              </w:rPr>
              <w:t>4.1%</w:t>
            </w: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4400 Biscayne Boulevard, Suite 850</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96"/>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Miami, FL 33137</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188"/>
        </w:trPr>
        <w:tc>
          <w:tcPr>
            <w:tcW w:w="2700" w:type="dxa"/>
            <w:vAlign w:val="bottom"/>
            <w:gridSpan w:val="3"/>
          </w:tcPr>
          <w:p>
            <w:pPr>
              <w:spacing w:after="0"/>
              <w:rPr>
                <w:sz w:val="20"/>
                <w:szCs w:val="20"/>
                <w:color w:val="auto"/>
              </w:rPr>
            </w:pPr>
            <w:r>
              <w:rPr>
                <w:rFonts w:ascii="Arial" w:cs="Arial" w:eastAsia="Arial" w:hAnsi="Arial"/>
                <w:sz w:val="15"/>
                <w:szCs w:val="15"/>
                <w:b w:val="1"/>
                <w:bCs w:val="1"/>
                <w:i w:val="1"/>
                <w:iCs w:val="1"/>
                <w:color w:val="auto"/>
                <w:w w:val="92"/>
              </w:rPr>
              <w:t>Named Executive Officers and Directors: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6"/>
        </w:trPr>
        <w:tc>
          <w:tcPr>
            <w:tcW w:w="2700" w:type="dxa"/>
            <w:vAlign w:val="bottom"/>
            <w:gridSpan w:val="3"/>
            <w:shd w:val="clear" w:color="auto" w:fill="CCFFCC"/>
          </w:tcPr>
          <w:p>
            <w:pPr>
              <w:spacing w:after="0" w:line="226" w:lineRule="exact"/>
              <w:rPr>
                <w:sz w:val="20"/>
                <w:szCs w:val="20"/>
                <w:color w:val="auto"/>
              </w:rPr>
            </w:pPr>
            <w:r>
              <w:rPr>
                <w:rFonts w:ascii="Arial" w:cs="Arial" w:eastAsia="Arial" w:hAnsi="Arial"/>
                <w:sz w:val="15"/>
                <w:szCs w:val="15"/>
                <w:color w:val="auto"/>
              </w:rPr>
              <w:t>Andrew D. Perlman</w:t>
            </w:r>
            <w:r>
              <w:rPr>
                <w:rFonts w:ascii="Arial" w:cs="Arial" w:eastAsia="Arial" w:hAnsi="Arial"/>
                <w:sz w:val="25"/>
                <w:szCs w:val="25"/>
                <w:color w:val="auto"/>
                <w:vertAlign w:val="superscript"/>
              </w:rPr>
              <w:t>(1)</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607,381</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1.8%</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66,666</w:t>
            </w:r>
          </w:p>
        </w:tc>
        <w:tc>
          <w:tcPr>
            <w:tcW w:w="1440" w:type="dxa"/>
            <w:vAlign w:val="bottom"/>
            <w:gridSpan w:val="3"/>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Andrew Kennedy Lang</w:t>
            </w:r>
            <w:r>
              <w:rPr>
                <w:rFonts w:ascii="Arial" w:cs="Arial" w:eastAsia="Arial" w:hAnsi="Arial"/>
                <w:sz w:val="25"/>
                <w:szCs w:val="25"/>
                <w:color w:val="auto"/>
                <w:vertAlign w:val="superscript"/>
              </w:rPr>
              <w:t>(2)</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8,034,360</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23.3%</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5,658,000</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17.6%</w:t>
            </w:r>
          </w:p>
        </w:tc>
      </w:tr>
      <w:tr>
        <w:trPr>
          <w:trHeight w:val="226"/>
        </w:trPr>
        <w:tc>
          <w:tcPr>
            <w:tcW w:w="2700" w:type="dxa"/>
            <w:vAlign w:val="bottom"/>
            <w:gridSpan w:val="3"/>
            <w:shd w:val="clear" w:color="auto" w:fill="CCFFCC"/>
          </w:tcPr>
          <w:p>
            <w:pPr>
              <w:spacing w:after="0" w:line="226" w:lineRule="exact"/>
              <w:rPr>
                <w:sz w:val="20"/>
                <w:szCs w:val="20"/>
                <w:color w:val="auto"/>
              </w:rPr>
            </w:pPr>
            <w:r>
              <w:rPr>
                <w:rFonts w:ascii="Arial" w:cs="Arial" w:eastAsia="Arial" w:hAnsi="Arial"/>
                <w:sz w:val="15"/>
                <w:szCs w:val="15"/>
                <w:color w:val="auto"/>
              </w:rPr>
              <w:t>Seth M. Siegel</w:t>
            </w:r>
            <w:r>
              <w:rPr>
                <w:rFonts w:ascii="Arial" w:cs="Arial" w:eastAsia="Arial" w:hAnsi="Arial"/>
                <w:sz w:val="25"/>
                <w:szCs w:val="25"/>
                <w:color w:val="auto"/>
                <w:vertAlign w:val="superscript"/>
              </w:rPr>
              <w:t>(1)</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619,289</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1.7%</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92,773</w:t>
            </w:r>
          </w:p>
        </w:tc>
        <w:tc>
          <w:tcPr>
            <w:tcW w:w="1440" w:type="dxa"/>
            <w:vAlign w:val="bottom"/>
            <w:gridSpan w:val="3"/>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Alexander R. Berger</w:t>
            </w:r>
            <w:r>
              <w:rPr>
                <w:rFonts w:ascii="Arial" w:cs="Arial" w:eastAsia="Arial" w:hAnsi="Arial"/>
                <w:sz w:val="25"/>
                <w:szCs w:val="25"/>
                <w:color w:val="auto"/>
                <w:vertAlign w:val="superscript"/>
              </w:rPr>
              <w:t>(2)</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2,678,120</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8.1%</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1,866,000</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5.9%</w:t>
            </w:r>
          </w:p>
        </w:tc>
      </w:tr>
      <w:tr>
        <w:trPr>
          <w:trHeight w:val="226"/>
        </w:trPr>
        <w:tc>
          <w:tcPr>
            <w:tcW w:w="2700" w:type="dxa"/>
            <w:vAlign w:val="bottom"/>
            <w:gridSpan w:val="3"/>
            <w:shd w:val="clear" w:color="auto" w:fill="CCFFCC"/>
          </w:tcPr>
          <w:p>
            <w:pPr>
              <w:spacing w:after="0" w:line="226" w:lineRule="exact"/>
              <w:rPr>
                <w:sz w:val="20"/>
                <w:szCs w:val="20"/>
                <w:color w:val="auto"/>
              </w:rPr>
            </w:pPr>
            <w:r>
              <w:rPr>
                <w:rFonts w:ascii="Arial" w:cs="Arial" w:eastAsia="Arial" w:hAnsi="Arial"/>
                <w:sz w:val="15"/>
                <w:szCs w:val="15"/>
                <w:color w:val="auto"/>
              </w:rPr>
              <w:t>John Engelman</w:t>
            </w:r>
            <w:r>
              <w:rPr>
                <w:rFonts w:ascii="Arial" w:cs="Arial" w:eastAsia="Arial" w:hAnsi="Arial"/>
                <w:sz w:val="25"/>
                <w:szCs w:val="25"/>
                <w:color w:val="auto"/>
                <w:vertAlign w:val="superscript"/>
              </w:rPr>
              <w:t>(1)</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201,533</w:t>
            </w:r>
          </w:p>
        </w:tc>
        <w:tc>
          <w:tcPr>
            <w:tcW w:w="700" w:type="dxa"/>
            <w:vAlign w:val="bottom"/>
            <w:gridSpan w:val="3"/>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43,614</w:t>
            </w:r>
          </w:p>
        </w:tc>
        <w:tc>
          <w:tcPr>
            <w:tcW w:w="1440" w:type="dxa"/>
            <w:vAlign w:val="bottom"/>
            <w:gridSpan w:val="3"/>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Donald E. Stout</w:t>
            </w:r>
            <w:r>
              <w:rPr>
                <w:rFonts w:ascii="Arial" w:cs="Arial" w:eastAsia="Arial" w:hAnsi="Arial"/>
                <w:sz w:val="25"/>
                <w:szCs w:val="25"/>
                <w:color w:val="auto"/>
                <w:vertAlign w:val="superscript"/>
              </w:rPr>
              <w:t>(2)</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1,083,195</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3.3%</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733,814</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2.9%</w:t>
            </w:r>
          </w:p>
        </w:tc>
      </w:tr>
      <w:tr>
        <w:trPr>
          <w:trHeight w:val="226"/>
        </w:trPr>
        <w:tc>
          <w:tcPr>
            <w:tcW w:w="2700" w:type="dxa"/>
            <w:vAlign w:val="bottom"/>
            <w:gridSpan w:val="3"/>
            <w:shd w:val="clear" w:color="auto" w:fill="CCFFCC"/>
          </w:tcPr>
          <w:p>
            <w:pPr>
              <w:spacing w:after="0" w:line="226" w:lineRule="exact"/>
              <w:rPr>
                <w:sz w:val="20"/>
                <w:szCs w:val="20"/>
                <w:color w:val="auto"/>
              </w:rPr>
            </w:pPr>
            <w:r>
              <w:rPr>
                <w:rFonts w:ascii="Arial" w:cs="Arial" w:eastAsia="Arial" w:hAnsi="Arial"/>
                <w:sz w:val="15"/>
                <w:szCs w:val="15"/>
                <w:color w:val="auto"/>
              </w:rPr>
              <w:t>H. Van Sinclair</w:t>
            </w:r>
            <w:r>
              <w:rPr>
                <w:rFonts w:ascii="Arial" w:cs="Arial" w:eastAsia="Arial" w:hAnsi="Arial"/>
                <w:sz w:val="25"/>
                <w:szCs w:val="25"/>
                <w:color w:val="auto"/>
                <w:vertAlign w:val="superscript"/>
              </w:rPr>
              <w:t>(2)</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171,400</w:t>
            </w:r>
          </w:p>
        </w:tc>
        <w:tc>
          <w:tcPr>
            <w:tcW w:w="700" w:type="dxa"/>
            <w:vAlign w:val="bottom"/>
            <w:gridSpan w:val="3"/>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120,704</w:t>
            </w:r>
          </w:p>
        </w:tc>
        <w:tc>
          <w:tcPr>
            <w:tcW w:w="1440" w:type="dxa"/>
            <w:vAlign w:val="bottom"/>
            <w:gridSpan w:val="3"/>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Ellen Cohl</w:t>
            </w:r>
            <w:r>
              <w:rPr>
                <w:rFonts w:ascii="Arial" w:cs="Arial" w:eastAsia="Arial" w:hAnsi="Arial"/>
                <w:sz w:val="25"/>
                <w:szCs w:val="25"/>
                <w:color w:val="auto"/>
                <w:vertAlign w:val="superscript"/>
              </w:rPr>
              <w:t>(1)</w:t>
            </w:r>
          </w:p>
        </w:tc>
        <w:tc>
          <w:tcPr>
            <w:tcW w:w="1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231,750</w:t>
            </w:r>
          </w:p>
        </w:tc>
        <w:tc>
          <w:tcPr>
            <w:tcW w:w="7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35,000</w:t>
            </w:r>
          </w:p>
        </w:tc>
        <w:tc>
          <w:tcPr>
            <w:tcW w:w="144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r>
      <w:tr>
        <w:trPr>
          <w:trHeight w:val="20"/>
        </w:trPr>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2"/>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b w:val="1"/>
                <w:bCs w:val="1"/>
                <w:i w:val="1"/>
                <w:iCs w:val="1"/>
                <w:color w:val="auto"/>
                <w:w w:val="94"/>
              </w:rPr>
              <w:t>All executive officers and directors as a</w:t>
            </w:r>
          </w:p>
        </w:tc>
        <w:tc>
          <w:tcPr>
            <w:tcW w:w="100" w:type="dxa"/>
            <w:vAlign w:val="bottom"/>
            <w:shd w:val="clear" w:color="auto" w:fill="CCFFCC"/>
          </w:tcPr>
          <w:p>
            <w:pPr>
              <w:spacing w:after="0"/>
              <w:rPr>
                <w:sz w:val="14"/>
                <w:szCs w:val="14"/>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13,627,028</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36.7%</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8,636,571</w:t>
            </w:r>
          </w:p>
        </w:tc>
        <w:tc>
          <w:tcPr>
            <w:tcW w:w="1440" w:type="dxa"/>
            <w:vAlign w:val="bottom"/>
            <w:gridSpan w:val="3"/>
            <w:shd w:val="clear" w:color="auto" w:fill="CCFFCC"/>
          </w:tcPr>
          <w:p>
            <w:pPr>
              <w:jc w:val="right"/>
              <w:ind w:right="380"/>
              <w:spacing w:after="0"/>
              <w:rPr>
                <w:sz w:val="20"/>
                <w:szCs w:val="20"/>
                <w:color w:val="auto"/>
              </w:rPr>
            </w:pPr>
            <w:r>
              <w:rPr>
                <w:rFonts w:ascii="Arial" w:cs="Arial" w:eastAsia="Arial" w:hAnsi="Arial"/>
                <w:sz w:val="15"/>
                <w:szCs w:val="15"/>
                <w:color w:val="auto"/>
              </w:rPr>
              <w:t>26.9%</w:t>
            </w:r>
          </w:p>
        </w:tc>
      </w:tr>
      <w:tr>
        <w:trPr>
          <w:trHeight w:val="196"/>
        </w:trPr>
        <w:tc>
          <w:tcPr>
            <w:tcW w:w="2700" w:type="dxa"/>
            <w:vAlign w:val="bottom"/>
            <w:gridSpan w:val="3"/>
            <w:shd w:val="clear" w:color="auto" w:fill="CCFFCC"/>
          </w:tcPr>
          <w:p>
            <w:pPr>
              <w:ind w:left="160"/>
              <w:spacing w:after="0"/>
              <w:rPr>
                <w:sz w:val="20"/>
                <w:szCs w:val="20"/>
                <w:color w:val="auto"/>
              </w:rPr>
            </w:pPr>
            <w:r>
              <w:rPr>
                <w:rFonts w:ascii="Arial" w:cs="Arial" w:eastAsia="Arial" w:hAnsi="Arial"/>
                <w:sz w:val="15"/>
                <w:szCs w:val="15"/>
                <w:b w:val="1"/>
                <w:bCs w:val="1"/>
                <w:i w:val="1"/>
                <w:iCs w:val="1"/>
                <w:color w:val="auto"/>
              </w:rPr>
              <w:t>group (8 persons)</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251"/>
        </w:trPr>
        <w:tc>
          <w:tcPr>
            <w:tcW w:w="900" w:type="dxa"/>
            <w:vAlign w:val="bottom"/>
            <w:tcBorders>
              <w:bottom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-6014720</wp:posOffset>
            </wp:positionV>
            <wp:extent cx="48374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Does not exceed 1% of the class</w:t>
      </w:r>
    </w:p>
    <w:p>
      <w:pPr>
        <w:spacing w:after="0" w:line="105" w:lineRule="exact"/>
        <w:rPr>
          <w:sz w:val="20"/>
          <w:szCs w:val="20"/>
          <w:color w:val="auto"/>
        </w:rPr>
      </w:pPr>
    </w:p>
    <w:p>
      <w:pPr>
        <w:ind w:left="260" w:hanging="250"/>
        <w:spacing w:after="0"/>
        <w:tabs>
          <w:tab w:leader="none" w:pos="2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address of each listed stockholder is c/o Vringo Inc., 44 W. 28th Street New York, New York, 10001.</w:t>
      </w:r>
    </w:p>
    <w:p>
      <w:pPr>
        <w:spacing w:after="0" w:line="105"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address of each listed stockholder is c/o Innovate/Protect, Inc., 380 Madison Avenue, 22nd Floor, New York, New York 10017.</w:t>
      </w:r>
    </w:p>
    <w:p>
      <w:pPr>
        <w:spacing w:after="0" w:line="6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May 25, 2012.</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198" w:name="page199"/>
    <w:bookmarkEnd w:id="19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260" w:hanging="250"/>
        <w:spacing w:after="0"/>
        <w:tabs>
          <w:tab w:leader="none" w:pos="2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Aggregates shares owned by Donald E. Stout and the Donald E. and Mary Stout Trust, which Mr. Stout controls.</w:t>
      </w:r>
    </w:p>
    <w:p>
      <w:pPr>
        <w:spacing w:after="0" w:line="105" w:lineRule="exact"/>
        <w:rPr>
          <w:rFonts w:ascii="Arial" w:cs="Arial" w:eastAsia="Arial" w:hAnsi="Arial"/>
          <w:sz w:val="17"/>
          <w:szCs w:val="17"/>
          <w:color w:val="auto"/>
        </w:rPr>
      </w:pPr>
    </w:p>
    <w:p>
      <w:pPr>
        <w:jc w:val="both"/>
        <w:ind w:left="260" w:right="1239" w:hanging="250"/>
        <w:spacing w:after="0" w:line="282" w:lineRule="auto"/>
        <w:tabs>
          <w:tab w:leader="none" w:pos="2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In addition to any shares of Vringo common stock that Hudson Bay and its affiliates will hold after the Merger, Hudson Bay Master Fund Ltd. will hold warrants exercisable for shares of common stock, and 6,181 shares of Vringo preferred stock convertible into shares of Vringo common stock. In accordance with the Certificate of Designations, Preferences and Rights of Series A Convertible Preferred Stock with respect to the Vringo preferred stock to be filed by Vringo prior to the consummation of the Merger and the terms of the Vringo warrants to be received in connection with the Merger, Hudson Bay may not convert any of the Vringo preferred stock or exercise its warrants to purchase Vringo common stock to the extent that after giving effect to such conversion or exercise, as the case may be, Hudson Bay (together with its affiliates) would have acquired, through conversion of Vringo preferred stock, exercise of Vringo warrants or otherwise, beneficial ownership of a number of shares of Vringo common stock that exceeds 9.99% of the number of shares of Vringo common stock outstanding immediately after giving effect to such conversion, excluding for purposes of such determination, shares of Vringo common stock issuable upon conversion of the Vringo preferred stock or exercise of the Vringo warrants that have not been converted or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Vringo common stock.</w:t>
      </w:r>
    </w:p>
    <w:p>
      <w:pPr>
        <w:spacing w:after="0" w:line="67" w:lineRule="exact"/>
        <w:rPr>
          <w:rFonts w:ascii="Arial" w:cs="Arial" w:eastAsia="Arial" w:hAnsi="Arial"/>
          <w:sz w:val="15"/>
          <w:szCs w:val="15"/>
          <w:color w:val="auto"/>
        </w:rPr>
      </w:pPr>
    </w:p>
    <w:p>
      <w:pPr>
        <w:jc w:val="both"/>
        <w:ind w:left="260" w:right="1239" w:hanging="250"/>
        <w:spacing w:after="0" w:line="269" w:lineRule="auto"/>
        <w:tabs>
          <w:tab w:leader="none" w:pos="2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65" w:lineRule="exact"/>
        <w:rPr>
          <w:rFonts w:ascii="Arial" w:cs="Arial" w:eastAsia="Arial" w:hAnsi="Arial"/>
          <w:sz w:val="16"/>
          <w:szCs w:val="16"/>
          <w:color w:val="auto"/>
        </w:rPr>
      </w:pPr>
    </w:p>
    <w:p>
      <w:pPr>
        <w:ind w:left="260" w:hanging="250"/>
        <w:spacing w:after="0"/>
        <w:tabs>
          <w:tab w:leader="none" w:pos="2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Does not include options, warrants or other convertible securities held by the principal stockholders.</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9" w:name="page200"/>
    <w:bookmarkEnd w:id="19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DESCRIPTION OF CAPITAL STOCK</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authorized capital stock of Vringo consists of 28,000,000 shares of common stock, par value $0.01 per share, and 5,000,000 shares of preferred stock, par value $0.01 per share. Vringo is seeking stockholder approval pursuant to this proxy statement/prospectus to (i) effect a reverse stock split of Vringo issued and outstanding common stock, pursuant to which any whole number of outstanding shares between and including two and four would be combined and reclassified into one share of Vringo common stock (with the exact reverse stock split ratio within such range to be determined by Vringo prior to the completion of the Merger) and (ii) amend Vringo’s Certificate to increase the number of authorized shares of Vringo common stock from 28,000,000 to up to a maximum of 150,000,000 shares (with the exact amount to be determined by Innovate/Protect prior to the completion of the Merger).</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Common Stock</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___________, 2012, the latest practicable date before the printing of this proxy statement/prospectus, there were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 shares of Vringo common stock outstanding, held of record by ___________ stockholders.</w:t>
      </w:r>
    </w:p>
    <w:p>
      <w:pPr>
        <w:spacing w:after="0" w:line="93"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Vringo stockholders are entitled to one vote for each share held on matters submitted to a vote of the stockholders and do not have cumulative voting rights. The Vringo stockholders are entitled to receive proportionately any dividends that may be declared by the Vringo board of directors, subject to any preferential dividend rights of Vringo outstanding preferred stock. Upon Vringo’s liquidation, dissolution or winding up, the holders of Vringo’s common stock are entitled to receive proportionately Vringo’s net assets available after the payment of all debts and other liabilities and subject to the prior rights of any outstanding preferred stock. Holders of Vringo common stock have no preemptive, subscription, redemption or conversion rights. Vringo’s outstanding shares of common stock are fully paid and non-assessable. The rights, preferences and privileges of the holders of Vringo common stock are subject to, and may be adversely affected by, the rights of the holders of shares of any series of preferred stock which Vringo has designated and issued or which Vringo may designate and issue in the future.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Preferred Stock</w:t>
      </w:r>
    </w:p>
    <w:p>
      <w:pPr>
        <w:spacing w:after="0" w:line="10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Vringo board of directors has the authority, without action by the Vringo stockholders, to designate and issue up to 5,000,000 shares of Vringo preferred stock in one or more series and to designate the rights, preferences, and limitations of all such series, any or all of which may be superior to the rights of Vringo common stock. It is not possible to state the actual effect of the issuance of any shares of Vringo preferred stock upon the rights of the holders of Vringo common stock until the Vringo board of directors determines the specific rights of the holders of Vringo preferred stock. However, effects of the issuance of Vringo preferred stock include restricting dividends on Vringo common stock, diluting the voting power of Vringo common stock, impairing the liquidation rights of Vringo common stock, and making it more difficult for a third party to acquire Vringo, which could have the effect of discouraging a third party from acquiring, or deterring a third party from paying a premium to acquire, a majority of Vringo outstanding voting stock. Vringo has no present plans to issue any shares of Vringo preferred stock.</w:t>
      </w:r>
    </w:p>
    <w:p>
      <w:pPr>
        <w:spacing w:after="0" w:line="6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Upon completion of the Merger,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25, 2012, shall be initially convertible into an aggregate of 20,136,445 shares of Vringo common stock.</w:t>
      </w:r>
    </w:p>
    <w:p>
      <w:pPr>
        <w:spacing w:after="0" w:line="80"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 xml:space="preserve">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5"/>
          <w:szCs w:val="15"/>
          <w:u w:val="single" w:color="auto"/>
          <w:color w:val="auto"/>
        </w:rPr>
        <w:t>Annex E</w:t>
      </w:r>
      <w:r>
        <w:rPr>
          <w:rFonts w:ascii="Arial" w:cs="Arial" w:eastAsia="Arial" w:hAnsi="Arial"/>
          <w:sz w:val="15"/>
          <w:szCs w:val="15"/>
          <w:color w:val="auto"/>
        </w:rPr>
        <w:t xml:space="preserve"> which is to be filed by Vringo prior to closing, which rights include, among other things, a liquidation preference of $6,673,000 and the right to participate in any dividends and distributions paid to common stockholders on an as-converted basis. Vringo may not create a class of capital stock senior or pari passu to the Vringo preferred stock. The Vringo preferred stock shall be initially convertible into an aggregate of 20,136,445 shares of Vringo common stock (subject to a provision that restricts conversion in the event the holder will acquire beneficial ownership of more than 9.99% of</w:t>
      </w:r>
    </w:p>
    <w:p>
      <w:pPr>
        <w:spacing w:after="0" w:line="200" w:lineRule="exact"/>
        <w:rPr>
          <w:sz w:val="20"/>
          <w:szCs w:val="20"/>
          <w:color w:val="auto"/>
        </w:rPr>
      </w:pPr>
    </w:p>
    <w:p>
      <w:pPr>
        <w:spacing w:after="0" w:line="26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0" w:name="page201"/>
    <w:bookmarkEnd w:id="20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Vringo common stock after such conversion) but shall be non-voting, except as required by law and in certain defined instances, including a change of control. In addition, except for certain excluded issuances, the conversion price of the Vringo preferred stock shall be subject to full ratchet anti-dilution protection for issuances of equity or equity-linked securities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 holder of the Vringo preferred stock will be able to require Vringo to redeem the shares of Vringo preferred stock at the greater of the stated value and the value of the equity underlying the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 As of May 31,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 The holder of the Vringo preferred stock shall be indemnified against losses due to a buy-in following any failure to timely deliver Vringo common stock upon a conversion failure and Vringo shall pay the holders of the Vringo preferred stock liquidated damages of one-quarter of one percent (0.25%) for each full 15 day period during which Vringo’s common stock is suspended from trading or if the Vringo common stock is delisted.</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Warrants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___________, 2012, the latest practicable date before the printing of this proxy statement/prospectus, there were warrants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 purchase ___________ of Vringo common stock outstanding at a weighted-average exercise price of $___________ per share,</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including ___________ public warrants.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Series 1 and Series 2 Warrants</w:t>
      </w:r>
    </w:p>
    <w:p>
      <w:pPr>
        <w:spacing w:after="0" w:line="10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In connection with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including Series 1 Warrants and Series 2 Warrants to purchase and aggregate of 442,000 and 408,000 shares of Vringo common stock, respectively. In addition,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56"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Each Series 1 Warrant and Series 2 Warrant (collectively, the “</w:t>
      </w:r>
      <w:r>
        <w:rPr>
          <w:rFonts w:ascii="Arial" w:cs="Arial" w:eastAsia="Arial" w:hAnsi="Arial"/>
          <w:sz w:val="16"/>
          <w:szCs w:val="16"/>
          <w:b w:val="1"/>
          <w:bCs w:val="1"/>
          <w:color w:val="auto"/>
        </w:rPr>
        <w:t>Warrants</w:t>
      </w:r>
      <w:r>
        <w:rPr>
          <w:rFonts w:ascii="Arial" w:cs="Arial" w:eastAsia="Arial" w:hAnsi="Arial"/>
          <w:sz w:val="16"/>
          <w:szCs w:val="16"/>
          <w:color w:val="auto"/>
        </w:rPr>
        <w:t>”) has an exercise price of $1.76 per share and is exercisable at any time after the date of issuance (the “</w:t>
      </w:r>
      <w:r>
        <w:rPr>
          <w:rFonts w:ascii="Arial" w:cs="Arial" w:eastAsia="Arial" w:hAnsi="Arial"/>
          <w:sz w:val="16"/>
          <w:szCs w:val="16"/>
          <w:b w:val="1"/>
          <w:bCs w:val="1"/>
          <w:color w:val="auto"/>
        </w:rPr>
        <w:t>Issuance Date</w:t>
      </w:r>
      <w:r>
        <w:rPr>
          <w:rFonts w:ascii="Arial" w:cs="Arial" w:eastAsia="Arial" w:hAnsi="Arial"/>
          <w:sz w:val="16"/>
          <w:szCs w:val="16"/>
          <w:color w:val="auto"/>
        </w:rPr>
        <w:t>”) until the expiration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which date shall be five years from the Issuance Date, in whole or in part, by paying Vringo cash, check or wire transfer. Notwithstanding, if at any time between the three month anniversary of the Issuance Date and the Expiration Date, there is not an effective registration statement registering the resale of the shares issuable under the Warrants (the “</w:t>
      </w:r>
      <w:r>
        <w:rPr>
          <w:rFonts w:ascii="Arial" w:cs="Arial" w:eastAsia="Arial" w:hAnsi="Arial"/>
          <w:sz w:val="16"/>
          <w:szCs w:val="16"/>
          <w:b w:val="1"/>
          <w:bCs w:val="1"/>
          <w:color w:val="auto"/>
        </w:rPr>
        <w:t>Warrant Stock</w:t>
      </w:r>
      <w:r>
        <w:rPr>
          <w:rFonts w:ascii="Arial" w:cs="Arial" w:eastAsia="Arial" w:hAnsi="Arial"/>
          <w:sz w:val="16"/>
          <w:szCs w:val="16"/>
          <w:color w:val="auto"/>
        </w:rPr>
        <w:t>”) then the holder may elect to exercise the Warrant, or a portion thereof, and to pay for the Warrant Stock by way of cashless exercise. No holder of either Warrant may exercise such Warrant if such exercise would result in the holder beneficially owning in excess of 4.99% of the number of shares of Vringo common stock outstanding immediately after giving effect to the issuance of shares of common stock upon exercise of the Warrant (the</w:t>
      </w:r>
    </w:p>
    <w:p>
      <w:pPr>
        <w:spacing w:after="0" w:line="200" w:lineRule="exact"/>
        <w:rPr>
          <w:sz w:val="20"/>
          <w:szCs w:val="20"/>
          <w:color w:val="auto"/>
        </w:rPr>
      </w:pPr>
    </w:p>
    <w:p>
      <w:pPr>
        <w:spacing w:after="0" w:line="29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Beneficial Ownership Limitation</w:t>
      </w:r>
      <w:r>
        <w:rPr>
          <w:rFonts w:ascii="Arial" w:cs="Arial" w:eastAsia="Arial" w:hAnsi="Arial"/>
          <w:sz w:val="15"/>
          <w:szCs w:val="15"/>
          <w:color w:val="auto"/>
        </w:rPr>
        <w:t>”). The Beneficial Ownership Limitation may be waived by the holder upon not less than 61 days’ prior notice to Vringo to change the beneficial ownership limitation to 9.99%. If the Beneficial Ownership Limitation is increased to 9.99% it may not be further waived. 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Vringo,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 The Warrants are redeemable, at the option of Vringo, at any time after they become exercisable and prior to their expiration, upon notice to Vringo, at the price of $0.01 per share in the event that (i) the last closing sale price of Vringo common stock has been equal to or greater than $5.00 per share (subject to adjustments for splits, dividends, recapitalizations and similar events) on each of 20 trading dates within any 30 day trading period ending on the third business day prior to the date on which notice of redemption is given to the holder, and (ii) during each day of the foregoing 20 day trading period and through the date Vringo exercises its redemption rights, it must have an effective registration statement with a current prospectus pursuant to which the underlying Vringo common stock may be sold. The Series 1 Warrant provides that from the Issuance Date through December 31, 2014, in the event Vringo shall issue or sell a warrant to purchase shares of Vringo common stock at an exercise price below $1.76 per share or which contain terms that, taken as a whole, are more favorable then the terms of the Series 1 Warrant (a “</w:t>
      </w:r>
      <w:r>
        <w:rPr>
          <w:rFonts w:ascii="Arial" w:cs="Arial" w:eastAsia="Arial" w:hAnsi="Arial"/>
          <w:sz w:val="15"/>
          <w:szCs w:val="15"/>
          <w:b w:val="1"/>
          <w:bCs w:val="1"/>
          <w:color w:val="auto"/>
        </w:rPr>
        <w:t>Superior Warrant</w:t>
      </w:r>
      <w:r>
        <w:rPr>
          <w:rFonts w:ascii="Arial" w:cs="Arial" w:eastAsia="Arial" w:hAnsi="Arial"/>
          <w:sz w:val="15"/>
          <w:szCs w:val="15"/>
          <w:color w:val="auto"/>
        </w:rPr>
        <w:t xml:space="preserve">”), as determined in good faith by the Board of Directors of Vringo, in connection with a financing or a material transaction consummated by Vringo, then Vringo shall amend the terms of the Series 1 Warrant to give the holder the benefit of more favorable terms or conditions of the Superior Warrant (excluding the expiration date of the Superior Warrant). All other material terms of the Series 1 Warrant and the Series 2 Warrant are identical. For a complete description of each of the Series 1 Warrant and the Series 2 Warrant, please refer to </w:t>
      </w:r>
      <w:r>
        <w:rPr>
          <w:rFonts w:ascii="Arial" w:cs="Arial" w:eastAsia="Arial" w:hAnsi="Arial"/>
          <w:sz w:val="15"/>
          <w:szCs w:val="15"/>
          <w:u w:val="single" w:color="auto"/>
          <w:color w:val="auto"/>
        </w:rPr>
        <w:t>Annex F</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Annex G</w:t>
      </w:r>
      <w:r>
        <w:rPr>
          <w:rFonts w:ascii="Arial" w:cs="Arial" w:eastAsia="Arial" w:hAnsi="Arial"/>
          <w:sz w:val="15"/>
          <w:szCs w:val="15"/>
          <w:color w:val="auto"/>
        </w:rPr>
        <w:t>, respectively, to this proxy statement/prospectus.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Delaware Statutory Business Combinations Provision</w:t>
      </w:r>
    </w:p>
    <w:p>
      <w:pPr>
        <w:spacing w:after="0" w:line="109"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Vringo is subject to the provisions of Section 203 of the DGCL which, subject to certain exceptions, prohibits Vringo from engaging in specified business combinations with any interested stockholder for a period of three years following the time that such stockholder became an interested stockholder, unless the business combination or the transaction in which such stockholder became an interested stockholder is approved in a prescribed manner. Generally, a business combination includes a merger, asset or stock sale, or other transaction resulting in a financial benefit to the interested stockholder. For purposes of Section 203 of the DGCL, an interested stockholder is a person who, together with affiliates and associates, owns, or within three years prior to the determination of interested stockholder status did own, 15% or more of the corporation’s voting stock. The application of Section 203 of the DGCL could have the effect of delaying or preventing a change of control of Vringo.</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2" w:name="page203"/>
    <w:bookmarkEnd w:id="20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UNAUDITED PRO FORMA COMBINED FINANCIAL STATEMENTS</w:t>
      </w:r>
    </w:p>
    <w:p>
      <w:pPr>
        <w:spacing w:after="0" w:line="10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The following summary unaudited pro forma combined financial data is intended to show how the Merger might have affected historical financial statements if the Merger had been completed on June 8, 2011, for the purposes of the statements of operations, and March 31, 2012, for the purposes of the balance sheet, and was prepared based on the historical financial position and results of operations reported by Vringo and Innovate/Protect. The following should be read in conjunction with the section entitled “Unaudited Pro Forma Combined Financial Statements” beginning on page </w:t>
      </w:r>
      <w:r>
        <w:rPr>
          <w:rFonts w:ascii="Arial" w:cs="Arial" w:eastAsia="Arial" w:hAnsi="Arial"/>
          <w:sz w:val="15"/>
          <w:szCs w:val="15"/>
          <w:u w:val="single" w:color="auto"/>
          <w:color w:val="0000EE"/>
        </w:rPr>
        <w:t>189</w:t>
      </w:r>
      <w:r>
        <w:rPr>
          <w:rFonts w:ascii="Arial" w:cs="Arial" w:eastAsia="Arial" w:hAnsi="Arial"/>
          <w:sz w:val="15"/>
          <w:szCs w:val="15"/>
          <w:color w:val="auto"/>
        </w:rPr>
        <w:t xml:space="preserve"> and the audited historical financial statements of Vringo and Innovate/Protect and the notes thereto beginning on pages F-</w:t>
      </w:r>
      <w:r>
        <w:rPr>
          <w:rFonts w:ascii="Arial" w:cs="Arial" w:eastAsia="Arial" w:hAnsi="Arial"/>
          <w:sz w:val="15"/>
          <w:szCs w:val="15"/>
          <w:u w:val="single" w:color="auto"/>
          <w:color w:val="0000EE"/>
        </w:rPr>
        <w:t>1</w:t>
      </w:r>
      <w:r>
        <w:rPr>
          <w:rFonts w:ascii="Arial" w:cs="Arial" w:eastAsia="Arial" w:hAnsi="Arial"/>
          <w:sz w:val="15"/>
          <w:szCs w:val="15"/>
          <w:color w:val="auto"/>
        </w:rPr>
        <w:t xml:space="preserve"> and F-</w:t>
      </w:r>
      <w:r>
        <w:rPr>
          <w:rFonts w:ascii="Arial" w:cs="Arial" w:eastAsia="Arial" w:hAnsi="Arial"/>
          <w:sz w:val="15"/>
          <w:szCs w:val="15"/>
          <w:u w:val="single" w:color="auto"/>
          <w:color w:val="0000EE"/>
        </w:rPr>
        <w:t>52</w:t>
      </w:r>
      <w:r>
        <w:rPr>
          <w:rFonts w:ascii="Arial" w:cs="Arial" w:eastAsia="Arial" w:hAnsi="Arial"/>
          <w:sz w:val="15"/>
          <w:szCs w:val="15"/>
          <w:color w:val="auto"/>
        </w:rPr>
        <w:t xml:space="preserve">, respectively, the sections entitled “Vringo’s Management’s Discussion and Analysis of Financial Condition and Results of Operations” beginning on page </w:t>
      </w:r>
      <w:r>
        <w:rPr>
          <w:rFonts w:ascii="Arial" w:cs="Arial" w:eastAsia="Arial" w:hAnsi="Arial"/>
          <w:sz w:val="15"/>
          <w:szCs w:val="15"/>
          <w:u w:val="single" w:color="auto"/>
          <w:color w:val="0000EE"/>
        </w:rPr>
        <w:t>130</w:t>
      </w:r>
      <w:r>
        <w:rPr>
          <w:rFonts w:ascii="Arial" w:cs="Arial" w:eastAsia="Arial" w:hAnsi="Arial"/>
          <w:sz w:val="15"/>
          <w:szCs w:val="15"/>
          <w:color w:val="auto"/>
        </w:rPr>
        <w:t xml:space="preserve"> and “Innovate/Protect’s Management’s Discussion and Analysis of Financial Condition and Results of Operations” beginning on page </w:t>
      </w:r>
      <w:r>
        <w:rPr>
          <w:rFonts w:ascii="Arial" w:cs="Arial" w:eastAsia="Arial" w:hAnsi="Arial"/>
          <w:sz w:val="15"/>
          <w:szCs w:val="15"/>
          <w:u w:val="single" w:color="auto"/>
          <w:color w:val="0000EE"/>
        </w:rPr>
        <w:t>157</w:t>
      </w:r>
      <w:r>
        <w:rPr>
          <w:rFonts w:ascii="Arial" w:cs="Arial" w:eastAsia="Arial" w:hAnsi="Arial"/>
          <w:sz w:val="15"/>
          <w:szCs w:val="15"/>
          <w:color w:val="000000"/>
        </w:rPr>
        <w:t>, and the other information contained in this proxy statement/prospectus. The following information does not give effect to the</w:t>
      </w:r>
      <w:r>
        <w:rPr>
          <w:rFonts w:ascii="Arial" w:cs="Arial" w:eastAsia="Arial" w:hAnsi="Arial"/>
          <w:sz w:val="15"/>
          <w:szCs w:val="15"/>
          <w:color w:val="0000EE"/>
        </w:rPr>
        <w:t xml:space="preserve"> </w:t>
      </w:r>
      <w:r>
        <w:rPr>
          <w:rFonts w:ascii="Arial" w:cs="Arial" w:eastAsia="Arial" w:hAnsi="Arial"/>
          <w:sz w:val="15"/>
          <w:szCs w:val="15"/>
          <w:color w:val="000000"/>
        </w:rPr>
        <w:t>proposed reverse stock split of Vringo common stock described in Vringo Proposal No. 2.</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Accounting Treatment of the Merger</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8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6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80"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53"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40"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The unaudited pro forma combined balance sheet as of March 31, 2012, combines the historical balance sheets of Vringo and Innovate/Protect as of March 31, 2012 and gives pro forma effect to the Merger as if it had been completed on March 31, 2012.</w:t>
      </w:r>
    </w:p>
    <w:p>
      <w:pPr>
        <w:spacing w:after="0" w:line="200" w:lineRule="exact"/>
        <w:rPr>
          <w:sz w:val="20"/>
          <w:szCs w:val="20"/>
          <w:color w:val="auto"/>
        </w:rPr>
      </w:pPr>
    </w:p>
    <w:p>
      <w:pPr>
        <w:spacing w:after="0" w:line="24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3" w:name="page204"/>
    <w:bookmarkEnd w:id="20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unaudited pro forma combined statements of operations for the periods from June 8, 2011 through December 31, 2011 and from March 31, 2012 combine the historical statements of operations of Vringo for the period from June 8, 2011 to December 31, 2011 and from January 1, 2012 to March 31, 2012 and of Innovate/Protect from inception (June 8, 2011) to December 31, 2011 and from January 1, 2012 to March 31, 2012 and gives pro forma effect to the Merger as if it had been completed on June 8, 2011.</w:t>
      </w:r>
    </w:p>
    <w:p>
      <w:pPr>
        <w:spacing w:after="0" w:line="4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financial data has been adjusted to give pro forma effect to events that are (i) directly attributable to the Merger, (ii) 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80"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 xml:space="preserve">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(see the section entitled “Unaudited Pro Forma Condensed Combined Financial Statements” beginning on page </w:t>
      </w:r>
      <w:r>
        <w:rPr>
          <w:rFonts w:ascii="Arial" w:cs="Arial" w:eastAsia="Arial" w:hAnsi="Arial"/>
          <w:sz w:val="15"/>
          <w:szCs w:val="15"/>
          <w:u w:val="single" w:color="auto"/>
          <w:color w:val="0000EE"/>
        </w:rPr>
        <w:t>189</w:t>
      </w:r>
      <w:r>
        <w:rPr>
          <w:rFonts w:ascii="Arial" w:cs="Arial" w:eastAsia="Arial" w:hAnsi="Arial"/>
          <w:sz w:val="15"/>
          <w:szCs w:val="15"/>
          <w:color w:val="auto"/>
        </w:rPr>
        <w:t>),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Preliminary Purchase Price Allocation:</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Pro Forma Unaudited Consolidated Financial Information reflects the allocation of the preliminarily estimated purchase price of $66.0 million to the assets acquired and liabilities assumed of Vringo. The fair value of the consideration issued to former shareholders of Innovate/Protect is based on price of Vringo’s share of common stock on May 25, 2012, as well as the fair value of other outstanding equity instruments. A preliminary determination of the fair values of certain acquired assets and assumed liabilities of Vringo was based on a $3.39 share price, as basis for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3"/>
          <w:szCs w:val="13"/>
          <w:b w:val="1"/>
          <w:bCs w:val="1"/>
          <w:u w:val="single" w:color="auto"/>
          <w:color w:val="auto"/>
        </w:rPr>
        <w:t>($ — in thousands)</w:t>
      </w:r>
    </w:p>
    <w:p>
      <w:pPr>
        <w:sectPr>
          <w:pgSz w:w="11900" w:h="16838" w:orient="portrait"/>
          <w:cols w:equalWidth="0" w:num="1">
            <w:col w:w="10099"/>
          </w:cols>
          <w:pgMar w:left="360" w:top="746" w:right="1440"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Current assets, net of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4408170" cy="1270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408170" cy="1270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Long-term deposit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4408170" cy="1270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408170" cy="1270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Technology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4408170" cy="270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408170" cy="2705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Total assets acquired</w:t>
      </w:r>
    </w:p>
    <w:p>
      <w:pPr>
        <w:spacing w:after="0" w:line="18" w:lineRule="exact"/>
        <w:rPr>
          <w:sz w:val="20"/>
          <w:szCs w:val="20"/>
          <w:color w:val="auto"/>
        </w:rPr>
      </w:pPr>
    </w:p>
    <w:p>
      <w:pPr>
        <w:ind w:left="160" w:right="80" w:hanging="166"/>
        <w:spacing w:after="0" w:line="251" w:lineRule="auto"/>
        <w:rPr>
          <w:sz w:val="20"/>
          <w:szCs w:val="20"/>
          <w:color w:val="auto"/>
        </w:rPr>
      </w:pPr>
      <w:r>
        <w:rPr>
          <w:rFonts w:ascii="Arial" w:cs="Arial" w:eastAsia="Arial" w:hAnsi="Arial"/>
          <w:sz w:val="17"/>
          <w:szCs w:val="17"/>
          <w:color w:val="auto"/>
        </w:rPr>
        <w:t>Fair value of outstanding warrants granted by Vringo prior to the Merger, classified as a long-term derivative liability,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-381000</wp:posOffset>
            </wp:positionV>
            <wp:extent cx="4408170" cy="525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408170" cy="525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3279"/>
        <w:spacing w:after="0"/>
        <w:rPr>
          <w:sz w:val="20"/>
          <w:szCs w:val="20"/>
          <w:color w:val="auto"/>
        </w:rPr>
      </w:pPr>
      <w:r>
        <w:rPr>
          <w:rFonts w:ascii="Arial" w:cs="Arial" w:eastAsia="Arial" w:hAnsi="Arial"/>
          <w:sz w:val="17"/>
          <w:szCs w:val="17"/>
          <w:color w:val="auto"/>
        </w:rPr>
        <w:t>2,716</w:t>
      </w:r>
    </w:p>
    <w:p>
      <w:pPr>
        <w:spacing w:after="0" w:line="15" w:lineRule="exact"/>
        <w:rPr>
          <w:sz w:val="20"/>
          <w:szCs w:val="20"/>
          <w:color w:val="auto"/>
        </w:rPr>
      </w:pPr>
    </w:p>
    <w:p>
      <w:pPr>
        <w:jc w:val="right"/>
        <w:ind w:right="3279"/>
        <w:spacing w:after="0"/>
        <w:rPr>
          <w:sz w:val="20"/>
          <w:szCs w:val="20"/>
          <w:color w:val="auto"/>
        </w:rPr>
      </w:pPr>
      <w:r>
        <w:rPr>
          <w:rFonts w:ascii="Arial" w:cs="Arial" w:eastAsia="Arial" w:hAnsi="Arial"/>
          <w:sz w:val="17"/>
          <w:szCs w:val="17"/>
          <w:color w:val="auto"/>
        </w:rPr>
        <w:t>8</w:t>
      </w:r>
    </w:p>
    <w:p>
      <w:pPr>
        <w:spacing w:after="0" w:line="5" w:lineRule="exact"/>
        <w:rPr>
          <w:sz w:val="20"/>
          <w:szCs w:val="20"/>
          <w:color w:val="auto"/>
        </w:rPr>
      </w:pPr>
    </w:p>
    <w:p>
      <w:pPr>
        <w:jc w:val="right"/>
        <w:ind w:right="3279"/>
        <w:spacing w:after="0"/>
        <w:rPr>
          <w:sz w:val="20"/>
          <w:szCs w:val="20"/>
          <w:color w:val="auto"/>
        </w:rPr>
      </w:pPr>
      <w:r>
        <w:rPr>
          <w:rFonts w:ascii="Arial" w:cs="Arial" w:eastAsia="Arial" w:hAnsi="Arial"/>
          <w:sz w:val="17"/>
          <w:szCs w:val="17"/>
          <w:color w:val="auto"/>
        </w:rPr>
        <w:t>133</w:t>
      </w:r>
    </w:p>
    <w:p>
      <w:pPr>
        <w:spacing w:after="0" w:line="5" w:lineRule="exact"/>
        <w:rPr>
          <w:sz w:val="20"/>
          <w:szCs w:val="20"/>
          <w:color w:val="auto"/>
        </w:rPr>
      </w:pPr>
    </w:p>
    <w:p>
      <w:pPr>
        <w:jc w:val="right"/>
        <w:ind w:right="3279"/>
        <w:spacing w:after="0"/>
        <w:rPr>
          <w:sz w:val="20"/>
          <w:szCs w:val="20"/>
          <w:color w:val="auto"/>
        </w:rPr>
      </w:pPr>
      <w:r>
        <w:rPr>
          <w:rFonts w:ascii="Arial" w:cs="Arial" w:eastAsia="Arial" w:hAnsi="Arial"/>
          <w:sz w:val="15"/>
          <w:szCs w:val="15"/>
          <w:color w:val="auto"/>
        </w:rPr>
        <w:t>10,906</w:t>
      </w:r>
    </w:p>
    <w:p>
      <w:pPr>
        <w:spacing w:after="0" w:line="28" w:lineRule="exact"/>
        <w:rPr>
          <w:sz w:val="20"/>
          <w:szCs w:val="20"/>
          <w:color w:val="auto"/>
        </w:rPr>
      </w:pPr>
    </w:p>
    <w:p>
      <w:pPr>
        <w:jc w:val="right"/>
        <w:ind w:right="3279"/>
        <w:spacing w:after="0"/>
        <w:rPr>
          <w:sz w:val="20"/>
          <w:szCs w:val="20"/>
          <w:color w:val="auto"/>
        </w:rPr>
      </w:pPr>
      <w:r>
        <w:rPr>
          <w:rFonts w:ascii="Arial" w:cs="Arial" w:eastAsia="Arial" w:hAnsi="Arial"/>
          <w:sz w:val="15"/>
          <w:szCs w:val="15"/>
          <w:color w:val="auto"/>
        </w:rPr>
        <w:t>56,335</w:t>
      </w:r>
    </w:p>
    <w:p>
      <w:pPr>
        <w:spacing w:after="0" w:line="28" w:lineRule="exact"/>
        <w:rPr>
          <w:sz w:val="20"/>
          <w:szCs w:val="20"/>
          <w:color w:val="auto"/>
        </w:rPr>
      </w:pPr>
    </w:p>
    <w:p>
      <w:pPr>
        <w:jc w:val="right"/>
        <w:ind w:right="3279"/>
        <w:spacing w:after="0"/>
        <w:rPr>
          <w:sz w:val="20"/>
          <w:szCs w:val="20"/>
          <w:color w:val="auto"/>
        </w:rPr>
      </w:pPr>
      <w:r>
        <w:rPr>
          <w:rFonts w:ascii="Arial" w:cs="Arial" w:eastAsia="Arial" w:hAnsi="Arial"/>
          <w:sz w:val="15"/>
          <w:szCs w:val="15"/>
          <w:b w:val="1"/>
          <w:bCs w:val="1"/>
          <w:color w:val="auto"/>
        </w:rPr>
        <w:t>70,098</w:t>
      </w:r>
    </w:p>
    <w:p>
      <w:pPr>
        <w:spacing w:after="0" w:line="41" w:lineRule="exact"/>
        <w:rPr>
          <w:sz w:val="20"/>
          <w:szCs w:val="20"/>
          <w:color w:val="auto"/>
        </w:rPr>
      </w:pPr>
    </w:p>
    <w:p>
      <w:pPr>
        <w:jc w:val="right"/>
        <w:ind w:right="3279"/>
        <w:spacing w:after="0"/>
        <w:rPr>
          <w:sz w:val="20"/>
          <w:szCs w:val="20"/>
          <w:color w:val="auto"/>
        </w:rPr>
      </w:pPr>
      <w:r>
        <w:rPr>
          <w:rFonts w:ascii="Arial" w:cs="Arial" w:eastAsia="Arial" w:hAnsi="Arial"/>
          <w:sz w:val="17"/>
          <w:szCs w:val="17"/>
          <w:color w:val="auto"/>
        </w:rPr>
        <w:t>4,106</w:t>
      </w:r>
    </w:p>
    <w:p>
      <w:pPr>
        <w:spacing w:after="0" w:line="418" w:lineRule="exact"/>
        <w:rPr>
          <w:sz w:val="20"/>
          <w:szCs w:val="20"/>
          <w:color w:val="auto"/>
        </w:rPr>
      </w:pPr>
    </w:p>
    <w:p>
      <w:pPr>
        <w:sectPr>
          <w:pgSz w:w="11900" w:h="16838" w:orient="portrait"/>
          <w:cols w:equalWidth="0" w:num="2">
            <w:col w:w="5640" w:space="720"/>
            <w:col w:w="3739"/>
          </w:cols>
          <w:pgMar w:left="360" w:top="746"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Total liabilities assumed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4408170" cy="516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408170" cy="516890"/>
                    </a:xfrm>
                    <a:prstGeom prst="rect">
                      <a:avLst/>
                    </a:prstGeom>
                    <a:noFill/>
                  </pic:spPr>
                </pic:pic>
              </a:graphicData>
            </a:graphic>
          </wp:anchor>
        </w:drawing>
      </w:r>
    </w:p>
    <w:p>
      <w:pPr>
        <w:ind w:left="160" w:right="600" w:hanging="166"/>
        <w:spacing w:after="0" w:line="251" w:lineRule="auto"/>
        <w:rPr>
          <w:sz w:val="20"/>
          <w:szCs w:val="20"/>
          <w:color w:val="auto"/>
        </w:rPr>
      </w:pPr>
      <w:r>
        <w:rPr>
          <w:rFonts w:ascii="Arial" w:cs="Arial" w:eastAsia="Arial" w:hAnsi="Arial"/>
          <w:sz w:val="17"/>
          <w:szCs w:val="17"/>
          <w:color w:val="auto"/>
        </w:rPr>
        <w:t>Fair value of vested stock options granted to employees, management and consultants, classified as equity in these consolidated pro forma financial statements, see note 1</w:t>
      </w:r>
    </w:p>
    <w:p>
      <w:pPr>
        <w:ind w:left="160" w:right="80" w:hanging="166"/>
        <w:spacing w:after="0" w:line="278" w:lineRule="auto"/>
        <w:rPr>
          <w:sz w:val="20"/>
          <w:szCs w:val="20"/>
          <w:color w:val="auto"/>
        </w:rPr>
      </w:pPr>
      <w:r>
        <w:rPr>
          <w:rFonts w:ascii="Arial" w:cs="Arial" w:eastAsia="Arial" w:hAnsi="Arial"/>
          <w:sz w:val="15"/>
          <w:szCs w:val="15"/>
          <w:color w:val="auto"/>
        </w:rPr>
        <w:t>Fair value of outstanding warrants granted by Vringo prior to the Merger, classified as equity,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4408170" cy="2546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408170" cy="254635"/>
                    </a:xfrm>
                    <a:prstGeom prst="rect">
                      <a:avLst/>
                    </a:prstGeom>
                    <a:noFill/>
                  </pic:spPr>
                </pic:pic>
              </a:graphicData>
            </a:graphic>
          </wp:anchor>
        </w:drawing>
      </w:r>
    </w:p>
    <w:p>
      <w:pPr>
        <w:jc w:val="both"/>
        <w:ind w:left="160" w:right="40" w:hanging="166"/>
        <w:spacing w:after="0" w:line="249" w:lineRule="auto"/>
        <w:rPr>
          <w:sz w:val="20"/>
          <w:szCs w:val="20"/>
          <w:color w:val="auto"/>
        </w:rPr>
      </w:pPr>
      <w:r>
        <w:rPr>
          <w:rFonts w:ascii="Arial" w:cs="Arial" w:eastAsia="Arial" w:hAnsi="Arial"/>
          <w:sz w:val="17"/>
          <w:szCs w:val="17"/>
          <w:color w:val="auto"/>
        </w:rPr>
        <w:t>Fair value of Vringo common stock shares and $0.01 options granted to employees, management and consultants, classified as equity in these consolidated pro forma financial statements</w:t>
      </w:r>
    </w:p>
    <w:p>
      <w:pPr>
        <w:spacing w:after="0" w:line="20" w:lineRule="exact"/>
        <w:rPr>
          <w:sz w:val="20"/>
          <w:szCs w:val="20"/>
          <w:color w:val="auto"/>
        </w:rPr>
      </w:pPr>
      <w:r>
        <w:rPr>
          <w:sz w:val="20"/>
          <w:szCs w:val="20"/>
          <w:color w:val="auto"/>
        </w:rPr>
        <w:br w:type="column"/>
      </w:r>
    </w:p>
    <w:p>
      <w:pPr>
        <w:jc w:val="right"/>
        <w:ind w:right="3279"/>
        <w:spacing w:after="0"/>
        <w:rPr>
          <w:sz w:val="20"/>
          <w:szCs w:val="20"/>
          <w:color w:val="auto"/>
        </w:rPr>
      </w:pPr>
      <w:r>
        <w:rPr>
          <w:rFonts w:ascii="Arial" w:cs="Arial" w:eastAsia="Arial" w:hAnsi="Arial"/>
          <w:sz w:val="17"/>
          <w:szCs w:val="17"/>
          <w:b w:val="1"/>
          <w:bCs w:val="1"/>
          <w:color w:val="auto"/>
        </w:rPr>
        <w:t>4,106</w:t>
      </w:r>
    </w:p>
    <w:p>
      <w:pPr>
        <w:spacing w:after="0" w:line="18" w:lineRule="exact"/>
        <w:rPr>
          <w:sz w:val="20"/>
          <w:szCs w:val="20"/>
          <w:color w:val="auto"/>
        </w:rPr>
      </w:pPr>
    </w:p>
    <w:p>
      <w:pPr>
        <w:jc w:val="right"/>
        <w:ind w:right="3279"/>
        <w:spacing w:after="0"/>
        <w:rPr>
          <w:sz w:val="20"/>
          <w:szCs w:val="20"/>
          <w:color w:val="auto"/>
        </w:rPr>
      </w:pPr>
      <w:r>
        <w:rPr>
          <w:rFonts w:ascii="Arial" w:cs="Arial" w:eastAsia="Arial" w:hAnsi="Arial"/>
          <w:sz w:val="15"/>
          <w:szCs w:val="15"/>
          <w:b w:val="1"/>
          <w:bCs w:val="1"/>
          <w:color w:val="auto"/>
        </w:rPr>
        <w:t>65,992</w:t>
      </w:r>
    </w:p>
    <w:p>
      <w:pPr>
        <w:spacing w:after="0" w:line="41" w:lineRule="exact"/>
        <w:rPr>
          <w:sz w:val="20"/>
          <w:szCs w:val="20"/>
          <w:color w:val="auto"/>
        </w:rPr>
      </w:pPr>
    </w:p>
    <w:p>
      <w:pPr>
        <w:jc w:val="right"/>
        <w:ind w:right="3279"/>
        <w:spacing w:after="0"/>
        <w:rPr>
          <w:sz w:val="20"/>
          <w:szCs w:val="20"/>
          <w:color w:val="auto"/>
        </w:rPr>
      </w:pPr>
      <w:r>
        <w:rPr>
          <w:rFonts w:ascii="Arial" w:cs="Arial" w:eastAsia="Arial" w:hAnsi="Arial"/>
          <w:sz w:val="17"/>
          <w:szCs w:val="17"/>
          <w:color w:val="auto"/>
        </w:rPr>
        <w:t>6,734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10,132</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49,126</w:t>
      </w:r>
    </w:p>
    <w:p>
      <w:pPr>
        <w:spacing w:after="0" w:line="461" w:lineRule="exact"/>
        <w:rPr>
          <w:sz w:val="20"/>
          <w:szCs w:val="20"/>
          <w:color w:val="auto"/>
        </w:rPr>
      </w:pPr>
    </w:p>
    <w:p>
      <w:pPr>
        <w:sectPr>
          <w:pgSz w:w="11900" w:h="16838" w:orient="portrait"/>
          <w:cols w:equalWidth="0" w:num="2">
            <w:col w:w="5640" w:space="720"/>
            <w:col w:w="3739"/>
          </w:cols>
          <w:pgMar w:left="360" w:top="746" w:right="1440"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3"/>
        </w:trPr>
        <w:tc>
          <w:tcPr>
            <w:tcW w:w="5840" w:type="dxa"/>
            <w:vAlign w:val="bottom"/>
            <w:shd w:val="clear" w:color="auto" w:fill="CCFFCC"/>
          </w:tcPr>
          <w:p>
            <w:pPr>
              <w:spacing w:after="0" w:line="173" w:lineRule="exact"/>
              <w:rPr>
                <w:sz w:val="20"/>
                <w:szCs w:val="20"/>
                <w:color w:val="auto"/>
              </w:rPr>
            </w:pPr>
            <w:r>
              <w:rPr>
                <w:rFonts w:ascii="Arial" w:cs="Arial" w:eastAsia="Arial" w:hAnsi="Arial"/>
                <w:sz w:val="17"/>
                <w:szCs w:val="17"/>
                <w:b w:val="1"/>
                <w:bCs w:val="1"/>
                <w:color w:val="auto"/>
              </w:rPr>
              <w:t>Total estimated purchase price</w:t>
            </w:r>
          </w:p>
        </w:tc>
        <w:tc>
          <w:tcPr>
            <w:tcW w:w="1100" w:type="dxa"/>
            <w:vAlign w:val="bottom"/>
            <w:gridSpan w:val="2"/>
            <w:shd w:val="clear" w:color="auto" w:fill="CCFFCC"/>
          </w:tcPr>
          <w:p>
            <w:pPr>
              <w:jc w:val="right"/>
              <w:ind w:right="120"/>
              <w:spacing w:after="0" w:line="173" w:lineRule="exact"/>
              <w:rPr>
                <w:sz w:val="20"/>
                <w:szCs w:val="20"/>
                <w:color w:val="auto"/>
              </w:rPr>
            </w:pPr>
            <w:r>
              <w:rPr>
                <w:rFonts w:ascii="Arial" w:cs="Arial" w:eastAsia="Arial" w:hAnsi="Arial"/>
                <w:sz w:val="17"/>
                <w:szCs w:val="17"/>
                <w:b w:val="1"/>
                <w:bCs w:val="1"/>
                <w:color w:val="auto"/>
              </w:rPr>
              <w:t>65,992</w:t>
            </w:r>
          </w:p>
        </w:tc>
      </w:tr>
      <w:tr>
        <w:trPr>
          <w:trHeight w:val="20"/>
        </w:trPr>
        <w:tc>
          <w:tcPr>
            <w:tcW w:w="584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44081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type w:val="continuous"/>
        </w:sectPr>
      </w:pPr>
    </w:p>
    <w:bookmarkStart w:id="204" w:name="page205"/>
    <w:bookmarkEnd w:id="20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As mentioned above, the final fair value of the consideration, as well as certain acquired assets and assumed liabilities, will depend significantly on our future share price, as it is set on Merger consummation date. Consequently, the final fair value of consideration, and as a result, the final purchase price allocation, might significantly differ from the values presented in these consolidated pro forma statements. Possible changes due to fluctuations in our share price are reflected in the following sensitivity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44081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3"/>
                <w:szCs w:val="13"/>
                <w:b w:val="1"/>
                <w:bCs w:val="1"/>
                <w:color w:val="auto"/>
              </w:rPr>
              <w:t>($ — in thousands)</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00" w:type="dxa"/>
            <w:vAlign w:val="bottom"/>
          </w:tcPr>
          <w:p>
            <w:pPr>
              <w:spacing w:after="0"/>
              <w:rPr>
                <w:sz w:val="14"/>
                <w:szCs w:val="14"/>
                <w:color w:val="auto"/>
              </w:rPr>
            </w:pPr>
          </w:p>
        </w:tc>
      </w:tr>
      <w:tr>
        <w:trPr>
          <w:trHeight w:val="193"/>
        </w:trPr>
        <w:tc>
          <w:tcPr>
            <w:tcW w:w="39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Vringo share price:</w:t>
            </w:r>
          </w:p>
        </w:tc>
        <w:tc>
          <w:tcPr>
            <w:tcW w:w="1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84"/>
              </w:rPr>
              <w:t>$</w:t>
            </w:r>
          </w:p>
        </w:tc>
        <w:tc>
          <w:tcPr>
            <w:tcW w:w="6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400" w:type="dxa"/>
            <w:vAlign w:val="bottom"/>
            <w:tcBorders>
              <w:left w:val="single" w:sz="8" w:color="CCFFCC"/>
            </w:tcBorders>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w:t>
            </w:r>
          </w:p>
        </w:tc>
        <w:tc>
          <w:tcPr>
            <w:tcW w:w="7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4.0</w:t>
            </w:r>
          </w:p>
        </w:tc>
        <w:tc>
          <w:tcPr>
            <w:tcW w:w="220" w:type="dxa"/>
            <w:vAlign w:val="bottom"/>
            <w:shd w:val="clear" w:color="auto" w:fill="CCFFCC"/>
          </w:tcPr>
          <w:p>
            <w:pPr>
              <w:jc w:val="right"/>
              <w:ind w:right="36"/>
              <w:spacing w:after="0" w:line="193" w:lineRule="exact"/>
              <w:rPr>
                <w:sz w:val="20"/>
                <w:szCs w:val="20"/>
                <w:color w:val="auto"/>
              </w:rPr>
            </w:pPr>
            <w:r>
              <w:rPr>
                <w:rFonts w:ascii="Arial" w:cs="Arial" w:eastAsia="Arial" w:hAnsi="Arial"/>
                <w:sz w:val="17"/>
                <w:szCs w:val="17"/>
                <w:b w:val="1"/>
                <w:bCs w:val="1"/>
                <w:color w:val="auto"/>
                <w:w w:val="84"/>
              </w:rPr>
              <w:t>$</w:t>
            </w:r>
          </w:p>
        </w:tc>
        <w:tc>
          <w:tcPr>
            <w:tcW w:w="76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5.0</w:t>
            </w:r>
          </w:p>
        </w:tc>
        <w:tc>
          <w:tcPr>
            <w:tcW w:w="3100" w:type="dxa"/>
            <w:vAlign w:val="bottom"/>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3960" w:type="dxa"/>
            <w:vAlign w:val="bottom"/>
            <w:gridSpan w:val="2"/>
          </w:tcPr>
          <w:p>
            <w:pPr>
              <w:spacing w:after="0" w:line="193" w:lineRule="exact"/>
              <w:rPr>
                <w:sz w:val="20"/>
                <w:szCs w:val="20"/>
                <w:color w:val="auto"/>
              </w:rPr>
            </w:pPr>
            <w:r>
              <w:rPr>
                <w:rFonts w:ascii="Arial" w:cs="Arial" w:eastAsia="Arial" w:hAnsi="Arial"/>
                <w:sz w:val="17"/>
                <w:szCs w:val="17"/>
                <w:color w:val="auto"/>
              </w:rPr>
              <w:t>Current assets, net of current liabilities</w:t>
            </w:r>
          </w:p>
        </w:tc>
        <w:tc>
          <w:tcPr>
            <w:tcW w:w="160" w:type="dxa"/>
            <w:vAlign w:val="bottom"/>
          </w:tcPr>
          <w:p>
            <w:pPr>
              <w:spacing w:after="0"/>
              <w:rPr>
                <w:sz w:val="16"/>
                <w:szCs w:val="16"/>
                <w:color w:val="auto"/>
              </w:rPr>
            </w:pPr>
          </w:p>
        </w:tc>
        <w:tc>
          <w:tcPr>
            <w:tcW w:w="680" w:type="dxa"/>
            <w:vAlign w:val="bottom"/>
          </w:tcPr>
          <w:p>
            <w:pPr>
              <w:jc w:val="right"/>
              <w:spacing w:after="0" w:line="193" w:lineRule="exact"/>
              <w:rPr>
                <w:sz w:val="20"/>
                <w:szCs w:val="20"/>
                <w:color w:val="auto"/>
              </w:rPr>
            </w:pPr>
            <w:r>
              <w:rPr>
                <w:rFonts w:ascii="Arial" w:cs="Arial" w:eastAsia="Arial" w:hAnsi="Arial"/>
                <w:sz w:val="17"/>
                <w:szCs w:val="17"/>
                <w:color w:val="auto"/>
              </w:rPr>
              <w:t>2,716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2,716</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2,716</w:t>
            </w:r>
          </w:p>
        </w:tc>
        <w:tc>
          <w:tcPr>
            <w:tcW w:w="3100" w:type="dxa"/>
            <w:vAlign w:val="bottom"/>
          </w:tcPr>
          <w:p>
            <w:pPr>
              <w:spacing w:after="0"/>
              <w:rPr>
                <w:sz w:val="16"/>
                <w:szCs w:val="16"/>
                <w:color w:val="auto"/>
              </w:rPr>
            </w:pPr>
          </w:p>
        </w:tc>
      </w:tr>
      <w:tr>
        <w:trPr>
          <w:trHeight w:val="200"/>
        </w:trPr>
        <w:tc>
          <w:tcPr>
            <w:tcW w:w="39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Long-term deposit</w:t>
            </w:r>
          </w:p>
        </w:tc>
        <w:tc>
          <w:tcPr>
            <w:tcW w:w="160" w:type="dxa"/>
            <w:vAlign w:val="bottom"/>
            <w:shd w:val="clear" w:color="auto" w:fill="CCFFCC"/>
          </w:tcPr>
          <w:p>
            <w:pPr>
              <w:spacing w:after="0"/>
              <w:rPr>
                <w:sz w:val="17"/>
                <w:szCs w:val="17"/>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8</w:t>
            </w: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8</w:t>
            </w:r>
          </w:p>
        </w:tc>
        <w:tc>
          <w:tcPr>
            <w:tcW w:w="22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8</w:t>
            </w:r>
          </w:p>
        </w:tc>
        <w:tc>
          <w:tcPr>
            <w:tcW w:w="3100" w:type="dxa"/>
            <w:vAlign w:val="bottom"/>
          </w:tcPr>
          <w:p>
            <w:pPr>
              <w:spacing w:after="0"/>
              <w:rPr>
                <w:sz w:val="17"/>
                <w:szCs w:val="17"/>
                <w:color w:val="auto"/>
              </w:rPr>
            </w:pPr>
          </w:p>
        </w:tc>
      </w:tr>
      <w:tr>
        <w:trPr>
          <w:trHeight w:val="200"/>
        </w:trPr>
        <w:tc>
          <w:tcPr>
            <w:tcW w:w="396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133</w:t>
            </w:r>
          </w:p>
        </w:tc>
        <w:tc>
          <w:tcPr>
            <w:tcW w:w="2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133</w:t>
            </w:r>
          </w:p>
        </w:tc>
        <w:tc>
          <w:tcPr>
            <w:tcW w:w="3100" w:type="dxa"/>
            <w:vAlign w:val="bottom"/>
          </w:tcPr>
          <w:p>
            <w:pPr>
              <w:spacing w:after="0"/>
              <w:rPr>
                <w:sz w:val="17"/>
                <w:szCs w:val="17"/>
                <w:color w:val="auto"/>
              </w:rPr>
            </w:pPr>
          </w:p>
        </w:tc>
      </w:tr>
      <w:tr>
        <w:trPr>
          <w:trHeight w:val="200"/>
        </w:trPr>
        <w:tc>
          <w:tcPr>
            <w:tcW w:w="39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Technology</w:t>
            </w:r>
          </w:p>
        </w:tc>
        <w:tc>
          <w:tcPr>
            <w:tcW w:w="160" w:type="dxa"/>
            <w:vAlign w:val="bottom"/>
            <w:shd w:val="clear" w:color="auto" w:fill="CCFFCC"/>
          </w:tcPr>
          <w:p>
            <w:pPr>
              <w:spacing w:after="0"/>
              <w:rPr>
                <w:sz w:val="17"/>
                <w:szCs w:val="17"/>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10,906</w:t>
            </w: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10,906</w:t>
            </w:r>
          </w:p>
        </w:tc>
        <w:tc>
          <w:tcPr>
            <w:tcW w:w="22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10,906</w:t>
            </w:r>
          </w:p>
        </w:tc>
        <w:tc>
          <w:tcPr>
            <w:tcW w:w="3100" w:type="dxa"/>
            <w:vAlign w:val="bottom"/>
          </w:tcPr>
          <w:p>
            <w:pPr>
              <w:spacing w:after="0"/>
              <w:rPr>
                <w:sz w:val="17"/>
                <w:szCs w:val="17"/>
                <w:color w:val="auto"/>
              </w:rPr>
            </w:pPr>
          </w:p>
        </w:tc>
      </w:tr>
      <w:tr>
        <w:trPr>
          <w:trHeight w:val="200"/>
        </w:trPr>
        <w:tc>
          <w:tcPr>
            <w:tcW w:w="396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25,183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69,804</w:t>
            </w:r>
          </w:p>
        </w:tc>
        <w:tc>
          <w:tcPr>
            <w:tcW w:w="2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92,892</w:t>
            </w:r>
          </w:p>
        </w:tc>
        <w:tc>
          <w:tcPr>
            <w:tcW w:w="3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39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assets acquired:</w:t>
            </w:r>
          </w:p>
        </w:tc>
        <w:tc>
          <w:tcPr>
            <w:tcW w:w="160" w:type="dxa"/>
            <w:vAlign w:val="bottom"/>
            <w:shd w:val="clear" w:color="auto" w:fill="CCFFCC"/>
          </w:tcPr>
          <w:p>
            <w:pPr>
              <w:spacing w:after="0"/>
              <w:rPr>
                <w:sz w:val="16"/>
                <w:szCs w:val="16"/>
                <w:color w:val="auto"/>
              </w:rPr>
            </w:pPr>
          </w:p>
        </w:tc>
        <w:tc>
          <w:tcPr>
            <w:tcW w:w="6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38,946</w:t>
            </w:r>
          </w:p>
        </w:tc>
        <w:tc>
          <w:tcPr>
            <w:tcW w:w="16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83,567</w:t>
            </w:r>
          </w:p>
        </w:tc>
        <w:tc>
          <w:tcPr>
            <w:tcW w:w="22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106,655</w:t>
            </w:r>
          </w:p>
        </w:tc>
        <w:tc>
          <w:tcPr>
            <w:tcW w:w="3100" w:type="dxa"/>
            <w:vAlign w:val="bottom"/>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81"/>
        </w:trPr>
        <w:tc>
          <w:tcPr>
            <w:tcW w:w="3960" w:type="dxa"/>
            <w:vAlign w:val="bottom"/>
            <w:gridSpan w:val="2"/>
          </w:tcPr>
          <w:p>
            <w:pPr>
              <w:spacing w:after="0" w:line="180" w:lineRule="exact"/>
              <w:rPr>
                <w:sz w:val="20"/>
                <w:szCs w:val="20"/>
                <w:color w:val="auto"/>
              </w:rPr>
            </w:pPr>
            <w:r>
              <w:rPr>
                <w:rFonts w:ascii="Arial" w:cs="Arial" w:eastAsia="Arial" w:hAnsi="Arial"/>
                <w:sz w:val="17"/>
                <w:szCs w:val="17"/>
                <w:color w:val="auto"/>
                <w:w w:val="99"/>
              </w:rPr>
              <w:t>Fair value of outstanding warrants granted by Vringo</w:t>
            </w:r>
          </w:p>
        </w:tc>
        <w:tc>
          <w:tcPr>
            <w:tcW w:w="1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7"/>
                <w:szCs w:val="17"/>
                <w:color w:val="auto"/>
              </w:rPr>
              <w:t>1,936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line="180" w:lineRule="exact"/>
              <w:rPr>
                <w:sz w:val="20"/>
                <w:szCs w:val="20"/>
                <w:color w:val="auto"/>
              </w:rPr>
            </w:pPr>
            <w:r>
              <w:rPr>
                <w:rFonts w:ascii="Arial" w:cs="Arial" w:eastAsia="Arial" w:hAnsi="Arial"/>
                <w:sz w:val="17"/>
                <w:szCs w:val="17"/>
                <w:color w:val="auto"/>
              </w:rPr>
              <w:t>5,183</w:t>
            </w:r>
          </w:p>
        </w:tc>
        <w:tc>
          <w:tcPr>
            <w:tcW w:w="2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Arial" w:cs="Arial" w:eastAsia="Arial" w:hAnsi="Arial"/>
                <w:sz w:val="17"/>
                <w:szCs w:val="17"/>
                <w:color w:val="auto"/>
              </w:rPr>
              <w:t>6,990</w:t>
            </w:r>
          </w:p>
        </w:tc>
        <w:tc>
          <w:tcPr>
            <w:tcW w:w="3100" w:type="dxa"/>
            <w:vAlign w:val="bottom"/>
          </w:tcPr>
          <w:p>
            <w:pPr>
              <w:spacing w:after="0"/>
              <w:rPr>
                <w:sz w:val="15"/>
                <w:szCs w:val="15"/>
                <w:color w:val="auto"/>
              </w:rPr>
            </w:pPr>
          </w:p>
        </w:tc>
      </w:tr>
      <w:tr>
        <w:trPr>
          <w:trHeight w:val="200"/>
        </w:trPr>
        <w:tc>
          <w:tcPr>
            <w:tcW w:w="3960" w:type="dxa"/>
            <w:vAlign w:val="bottom"/>
            <w:gridSpan w:val="2"/>
          </w:tcPr>
          <w:p>
            <w:pPr>
              <w:ind w:left="160"/>
              <w:spacing w:after="0"/>
              <w:rPr>
                <w:sz w:val="20"/>
                <w:szCs w:val="20"/>
                <w:color w:val="auto"/>
              </w:rPr>
            </w:pPr>
            <w:r>
              <w:rPr>
                <w:rFonts w:ascii="Arial" w:cs="Arial" w:eastAsia="Arial" w:hAnsi="Arial"/>
                <w:sz w:val="17"/>
                <w:szCs w:val="17"/>
                <w:color w:val="auto"/>
                <w:w w:val="92"/>
              </w:rPr>
              <w:t>prior to the Merger, classified as a long-term derivative</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3"/>
        </w:trPr>
        <w:tc>
          <w:tcPr>
            <w:tcW w:w="3960" w:type="dxa"/>
            <w:vAlign w:val="bottom"/>
            <w:gridSpan w:val="2"/>
          </w:tcPr>
          <w:p>
            <w:pPr>
              <w:ind w:left="160"/>
              <w:spacing w:after="0"/>
              <w:rPr>
                <w:sz w:val="20"/>
                <w:szCs w:val="20"/>
                <w:color w:val="auto"/>
              </w:rPr>
            </w:pPr>
            <w:r>
              <w:rPr>
                <w:rFonts w:ascii="Arial" w:cs="Arial" w:eastAsia="Arial" w:hAnsi="Arial"/>
                <w:sz w:val="17"/>
                <w:szCs w:val="17"/>
                <w:color w:val="auto"/>
              </w:rPr>
              <w:t>liability</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193"/>
        </w:trPr>
        <w:tc>
          <w:tcPr>
            <w:tcW w:w="396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b w:val="1"/>
                <w:bCs w:val="1"/>
                <w:color w:val="auto"/>
              </w:rPr>
              <w:t>Total liabilities assumed:</w:t>
            </w:r>
          </w:p>
        </w:tc>
        <w:tc>
          <w:tcPr>
            <w:tcW w:w="160" w:type="dxa"/>
            <w:vAlign w:val="bottom"/>
            <w:shd w:val="clear" w:color="auto" w:fill="CCFFCC"/>
          </w:tcPr>
          <w:p>
            <w:pPr>
              <w:spacing w:after="0"/>
              <w:rPr>
                <w:sz w:val="16"/>
                <w:szCs w:val="16"/>
                <w:color w:val="auto"/>
              </w:rPr>
            </w:pPr>
          </w:p>
        </w:tc>
        <w:tc>
          <w:tcPr>
            <w:tcW w:w="680" w:type="dxa"/>
            <w:vAlign w:val="bottom"/>
            <w:shd w:val="clear" w:color="auto" w:fill="CCFFCC"/>
          </w:tcPr>
          <w:p>
            <w:pPr>
              <w:jc w:val="right"/>
              <w:spacing w:after="0" w:line="194" w:lineRule="exact"/>
              <w:rPr>
                <w:sz w:val="20"/>
                <w:szCs w:val="20"/>
                <w:color w:val="auto"/>
              </w:rPr>
            </w:pPr>
            <w:r>
              <w:rPr>
                <w:rFonts w:ascii="Arial" w:cs="Arial" w:eastAsia="Arial" w:hAnsi="Arial"/>
                <w:sz w:val="17"/>
                <w:szCs w:val="17"/>
                <w:b w:val="1"/>
                <w:bCs w:val="1"/>
                <w:color w:val="auto"/>
              </w:rPr>
              <w:t>1,936</w:t>
            </w:r>
          </w:p>
        </w:tc>
        <w:tc>
          <w:tcPr>
            <w:tcW w:w="16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40"/>
              <w:spacing w:after="0" w:line="194" w:lineRule="exact"/>
              <w:rPr>
                <w:sz w:val="20"/>
                <w:szCs w:val="20"/>
                <w:color w:val="auto"/>
              </w:rPr>
            </w:pPr>
            <w:r>
              <w:rPr>
                <w:rFonts w:ascii="Arial" w:cs="Arial" w:eastAsia="Arial" w:hAnsi="Arial"/>
                <w:sz w:val="17"/>
                <w:szCs w:val="17"/>
                <w:b w:val="1"/>
                <w:bCs w:val="1"/>
                <w:color w:val="auto"/>
              </w:rPr>
              <w:t>5,183</w:t>
            </w:r>
          </w:p>
        </w:tc>
        <w:tc>
          <w:tcPr>
            <w:tcW w:w="22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80"/>
              <w:spacing w:after="0" w:line="194" w:lineRule="exact"/>
              <w:rPr>
                <w:sz w:val="20"/>
                <w:szCs w:val="20"/>
                <w:color w:val="auto"/>
              </w:rPr>
            </w:pPr>
            <w:r>
              <w:rPr>
                <w:rFonts w:ascii="Arial" w:cs="Arial" w:eastAsia="Arial" w:hAnsi="Arial"/>
                <w:sz w:val="17"/>
                <w:szCs w:val="17"/>
                <w:b w:val="1"/>
                <w:bCs w:val="1"/>
                <w:color w:val="auto"/>
              </w:rPr>
              <w:t>6,990</w:t>
            </w:r>
          </w:p>
        </w:tc>
        <w:tc>
          <w:tcPr>
            <w:tcW w:w="3100" w:type="dxa"/>
            <w:vAlign w:val="bottom"/>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39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estimated purchase price:</w:t>
            </w:r>
          </w:p>
        </w:tc>
        <w:tc>
          <w:tcPr>
            <w:tcW w:w="160" w:type="dxa"/>
            <w:vAlign w:val="bottom"/>
          </w:tcPr>
          <w:p>
            <w:pPr>
              <w:spacing w:after="0"/>
              <w:rPr>
                <w:sz w:val="16"/>
                <w:szCs w:val="16"/>
                <w:color w:val="auto"/>
              </w:rPr>
            </w:pPr>
          </w:p>
        </w:tc>
        <w:tc>
          <w:tcPr>
            <w:tcW w:w="68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37,010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line="193" w:lineRule="exact"/>
              <w:rPr>
                <w:sz w:val="20"/>
                <w:szCs w:val="20"/>
                <w:color w:val="auto"/>
              </w:rPr>
            </w:pPr>
            <w:r>
              <w:rPr>
                <w:rFonts w:ascii="Arial" w:cs="Arial" w:eastAsia="Arial" w:hAnsi="Arial"/>
                <w:sz w:val="17"/>
                <w:szCs w:val="17"/>
                <w:b w:val="1"/>
                <w:bCs w:val="1"/>
                <w:color w:val="auto"/>
              </w:rPr>
              <w:t>78,384</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99,665</w:t>
            </w:r>
          </w:p>
        </w:tc>
        <w:tc>
          <w:tcPr>
            <w:tcW w:w="310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81"/>
        </w:trPr>
        <w:tc>
          <w:tcPr>
            <w:tcW w:w="3960" w:type="dxa"/>
            <w:vAlign w:val="bottom"/>
            <w:gridSpan w:val="2"/>
            <w:shd w:val="clear" w:color="auto" w:fill="CCFFCC"/>
          </w:tcPr>
          <w:p>
            <w:pPr>
              <w:spacing w:after="0" w:line="180" w:lineRule="exact"/>
              <w:rPr>
                <w:sz w:val="20"/>
                <w:szCs w:val="20"/>
                <w:color w:val="auto"/>
              </w:rPr>
            </w:pPr>
            <w:r>
              <w:rPr>
                <w:rFonts w:ascii="Arial" w:cs="Arial" w:eastAsia="Arial" w:hAnsi="Arial"/>
                <w:sz w:val="17"/>
                <w:szCs w:val="17"/>
                <w:color w:val="auto"/>
              </w:rPr>
              <w:t>Fair value of stock options granted to employees,</w:t>
            </w:r>
          </w:p>
        </w:tc>
        <w:tc>
          <w:tcPr>
            <w:tcW w:w="160" w:type="dxa"/>
            <w:vAlign w:val="bottom"/>
            <w:shd w:val="clear" w:color="auto" w:fill="CCFFCC"/>
          </w:tcPr>
          <w:p>
            <w:pPr>
              <w:spacing w:after="0"/>
              <w:rPr>
                <w:sz w:val="15"/>
                <w:szCs w:val="15"/>
                <w:color w:val="auto"/>
              </w:rPr>
            </w:pPr>
          </w:p>
        </w:tc>
        <w:tc>
          <w:tcPr>
            <w:tcW w:w="680" w:type="dxa"/>
            <w:vAlign w:val="bottom"/>
            <w:shd w:val="clear" w:color="auto" w:fill="CCFFCC"/>
          </w:tcPr>
          <w:p>
            <w:pPr>
              <w:jc w:val="right"/>
              <w:spacing w:after="0" w:line="180" w:lineRule="exact"/>
              <w:rPr>
                <w:sz w:val="20"/>
                <w:szCs w:val="20"/>
                <w:color w:val="auto"/>
              </w:rPr>
            </w:pPr>
            <w:r>
              <w:rPr>
                <w:rFonts w:ascii="Arial" w:cs="Arial" w:eastAsia="Arial" w:hAnsi="Arial"/>
                <w:sz w:val="17"/>
                <w:szCs w:val="17"/>
                <w:color w:val="auto"/>
              </w:rPr>
              <w:t>3,051</w:t>
            </w:r>
          </w:p>
        </w:tc>
        <w:tc>
          <w:tcPr>
            <w:tcW w:w="160" w:type="dxa"/>
            <w:vAlign w:val="bottom"/>
            <w:tcBorders>
              <w:left w:val="single" w:sz="8" w:color="CCFFCC"/>
            </w:tcBorders>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40"/>
              <w:spacing w:after="0" w:line="180" w:lineRule="exact"/>
              <w:rPr>
                <w:sz w:val="20"/>
                <w:szCs w:val="20"/>
                <w:color w:val="auto"/>
              </w:rPr>
            </w:pPr>
            <w:r>
              <w:rPr>
                <w:rFonts w:ascii="Arial" w:cs="Arial" w:eastAsia="Arial" w:hAnsi="Arial"/>
                <w:sz w:val="17"/>
                <w:szCs w:val="17"/>
                <w:color w:val="auto"/>
              </w:rPr>
              <w:t>7,257</w:t>
            </w:r>
          </w:p>
        </w:tc>
        <w:tc>
          <w:tcPr>
            <w:tcW w:w="22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80"/>
              <w:spacing w:after="0" w:line="180" w:lineRule="exact"/>
              <w:rPr>
                <w:sz w:val="20"/>
                <w:szCs w:val="20"/>
                <w:color w:val="auto"/>
              </w:rPr>
            </w:pPr>
            <w:r>
              <w:rPr>
                <w:rFonts w:ascii="Arial" w:cs="Arial" w:eastAsia="Arial" w:hAnsi="Arial"/>
                <w:sz w:val="17"/>
                <w:szCs w:val="17"/>
                <w:color w:val="auto"/>
              </w:rPr>
              <w:t>9,502</w:t>
            </w:r>
          </w:p>
        </w:tc>
        <w:tc>
          <w:tcPr>
            <w:tcW w:w="3100" w:type="dxa"/>
            <w:vAlign w:val="bottom"/>
          </w:tcPr>
          <w:p>
            <w:pPr>
              <w:spacing w:after="0"/>
              <w:rPr>
                <w:sz w:val="15"/>
                <w:szCs w:val="15"/>
                <w:color w:val="auto"/>
              </w:rPr>
            </w:pPr>
          </w:p>
        </w:tc>
      </w:tr>
      <w:tr>
        <w:trPr>
          <w:trHeight w:val="200"/>
        </w:trPr>
        <w:tc>
          <w:tcPr>
            <w:tcW w:w="39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w w:val="96"/>
              </w:rPr>
              <w:t>management and consultants, classified as equity in</w:t>
            </w:r>
          </w:p>
        </w:tc>
        <w:tc>
          <w:tcPr>
            <w:tcW w:w="16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r>
      <w:tr>
        <w:trPr>
          <w:trHeight w:val="213"/>
        </w:trPr>
        <w:tc>
          <w:tcPr>
            <w:tcW w:w="39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these consolidated pro forma financial statements</w:t>
            </w:r>
          </w:p>
        </w:tc>
        <w:tc>
          <w:tcPr>
            <w:tcW w:w="1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188"/>
        </w:trPr>
        <w:tc>
          <w:tcPr>
            <w:tcW w:w="3960" w:type="dxa"/>
            <w:vAlign w:val="bottom"/>
            <w:gridSpan w:val="2"/>
          </w:tcPr>
          <w:p>
            <w:pPr>
              <w:spacing w:after="0" w:line="188" w:lineRule="exact"/>
              <w:rPr>
                <w:sz w:val="20"/>
                <w:szCs w:val="20"/>
                <w:color w:val="auto"/>
              </w:rPr>
            </w:pPr>
            <w:r>
              <w:rPr>
                <w:rFonts w:ascii="Arial" w:cs="Arial" w:eastAsia="Arial" w:hAnsi="Arial"/>
                <w:sz w:val="17"/>
                <w:szCs w:val="17"/>
                <w:color w:val="auto"/>
                <w:w w:val="99"/>
              </w:rPr>
              <w:t>Fair value of outstanding warrants granted by Vringo</w:t>
            </w:r>
          </w:p>
        </w:tc>
        <w:tc>
          <w:tcPr>
            <w:tcW w:w="160" w:type="dxa"/>
            <w:vAlign w:val="bottom"/>
          </w:tcPr>
          <w:p>
            <w:pPr>
              <w:spacing w:after="0"/>
              <w:rPr>
                <w:sz w:val="16"/>
                <w:szCs w:val="16"/>
                <w:color w:val="auto"/>
              </w:rPr>
            </w:pPr>
          </w:p>
        </w:tc>
        <w:tc>
          <w:tcPr>
            <w:tcW w:w="680" w:type="dxa"/>
            <w:vAlign w:val="bottom"/>
          </w:tcPr>
          <w:p>
            <w:pPr>
              <w:jc w:val="right"/>
              <w:spacing w:after="0" w:line="188" w:lineRule="exact"/>
              <w:rPr>
                <w:sz w:val="20"/>
                <w:szCs w:val="20"/>
                <w:color w:val="auto"/>
              </w:rPr>
            </w:pPr>
            <w:r>
              <w:rPr>
                <w:rFonts w:ascii="Arial" w:cs="Arial" w:eastAsia="Arial" w:hAnsi="Arial"/>
                <w:sz w:val="17"/>
                <w:szCs w:val="17"/>
                <w:color w:val="auto"/>
              </w:rPr>
              <w:t>4,740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12,689</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line="188" w:lineRule="exact"/>
              <w:rPr>
                <w:sz w:val="20"/>
                <w:szCs w:val="20"/>
                <w:color w:val="auto"/>
              </w:rPr>
            </w:pPr>
            <w:r>
              <w:rPr>
                <w:rFonts w:ascii="Arial" w:cs="Arial" w:eastAsia="Arial" w:hAnsi="Arial"/>
                <w:sz w:val="17"/>
                <w:szCs w:val="17"/>
                <w:color w:val="auto"/>
              </w:rPr>
              <w:t>17,115</w:t>
            </w:r>
          </w:p>
        </w:tc>
        <w:tc>
          <w:tcPr>
            <w:tcW w:w="3100" w:type="dxa"/>
            <w:vAlign w:val="bottom"/>
          </w:tcPr>
          <w:p>
            <w:pPr>
              <w:spacing w:after="0"/>
              <w:rPr>
                <w:sz w:val="16"/>
                <w:szCs w:val="16"/>
                <w:color w:val="auto"/>
              </w:rPr>
            </w:pPr>
          </w:p>
        </w:tc>
      </w:tr>
      <w:tr>
        <w:trPr>
          <w:trHeight w:val="200"/>
        </w:trPr>
        <w:tc>
          <w:tcPr>
            <w:tcW w:w="3960" w:type="dxa"/>
            <w:vAlign w:val="bottom"/>
            <w:gridSpan w:val="2"/>
          </w:tcPr>
          <w:p>
            <w:pPr>
              <w:ind w:left="160"/>
              <w:spacing w:after="0"/>
              <w:rPr>
                <w:sz w:val="20"/>
                <w:szCs w:val="20"/>
                <w:color w:val="auto"/>
              </w:rPr>
            </w:pPr>
            <w:r>
              <w:rPr>
                <w:rFonts w:ascii="Arial" w:cs="Arial" w:eastAsia="Arial" w:hAnsi="Arial"/>
                <w:sz w:val="17"/>
                <w:szCs w:val="17"/>
                <w:color w:val="auto"/>
              </w:rPr>
              <w:t>prior to the Merger, classified as equity, in these</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3"/>
        </w:trPr>
        <w:tc>
          <w:tcPr>
            <w:tcW w:w="3960" w:type="dxa"/>
            <w:vAlign w:val="bottom"/>
            <w:gridSpan w:val="2"/>
          </w:tcPr>
          <w:p>
            <w:pPr>
              <w:ind w:left="160"/>
              <w:spacing w:after="0"/>
              <w:rPr>
                <w:sz w:val="20"/>
                <w:szCs w:val="20"/>
                <w:color w:val="auto"/>
              </w:rPr>
            </w:pPr>
            <w:r>
              <w:rPr>
                <w:rFonts w:ascii="Arial" w:cs="Arial" w:eastAsia="Arial" w:hAnsi="Arial"/>
                <w:sz w:val="17"/>
                <w:szCs w:val="17"/>
                <w:color w:val="auto"/>
              </w:rPr>
              <w:t>consolidated pro forma financial statements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188"/>
        </w:trPr>
        <w:tc>
          <w:tcPr>
            <w:tcW w:w="396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9"/>
              </w:rPr>
              <w:t>Fair value of Vringo common stock shares and $0.01</w:t>
            </w:r>
          </w:p>
        </w:tc>
        <w:tc>
          <w:tcPr>
            <w:tcW w:w="160" w:type="dxa"/>
            <w:vAlign w:val="bottom"/>
            <w:shd w:val="clear" w:color="auto" w:fill="CCFFCC"/>
          </w:tcPr>
          <w:p>
            <w:pPr>
              <w:spacing w:after="0"/>
              <w:rPr>
                <w:sz w:val="16"/>
                <w:szCs w:val="16"/>
                <w:color w:val="auto"/>
              </w:rPr>
            </w:pPr>
          </w:p>
        </w:tc>
        <w:tc>
          <w:tcPr>
            <w:tcW w:w="68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color w:val="auto"/>
              </w:rPr>
              <w:t>29,219</w:t>
            </w:r>
          </w:p>
        </w:tc>
        <w:tc>
          <w:tcPr>
            <w:tcW w:w="16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58,438</w:t>
            </w:r>
          </w:p>
        </w:tc>
        <w:tc>
          <w:tcPr>
            <w:tcW w:w="22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73,048</w:t>
            </w:r>
          </w:p>
        </w:tc>
        <w:tc>
          <w:tcPr>
            <w:tcW w:w="3100" w:type="dxa"/>
            <w:vAlign w:val="bottom"/>
          </w:tcPr>
          <w:p>
            <w:pPr>
              <w:spacing w:after="0"/>
              <w:rPr>
                <w:sz w:val="16"/>
                <w:szCs w:val="16"/>
                <w:color w:val="auto"/>
              </w:rPr>
            </w:pPr>
          </w:p>
        </w:tc>
      </w:tr>
      <w:tr>
        <w:trPr>
          <w:trHeight w:val="200"/>
        </w:trPr>
        <w:tc>
          <w:tcPr>
            <w:tcW w:w="39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options granted to employees, management and</w:t>
            </w:r>
          </w:p>
        </w:tc>
        <w:tc>
          <w:tcPr>
            <w:tcW w:w="16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r>
      <w:tr>
        <w:trPr>
          <w:trHeight w:val="200"/>
        </w:trPr>
        <w:tc>
          <w:tcPr>
            <w:tcW w:w="39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w w:val="93"/>
              </w:rPr>
              <w:t>consultants, classified as equity in these consolidated</w:t>
            </w:r>
          </w:p>
        </w:tc>
        <w:tc>
          <w:tcPr>
            <w:tcW w:w="16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r>
      <w:tr>
        <w:trPr>
          <w:trHeight w:val="213"/>
        </w:trPr>
        <w:tc>
          <w:tcPr>
            <w:tcW w:w="396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pro forma financial statements</w:t>
            </w:r>
          </w:p>
        </w:tc>
        <w:tc>
          <w:tcPr>
            <w:tcW w:w="160" w:type="dxa"/>
            <w:vAlign w:val="bottom"/>
            <w:tcBorders>
              <w:bottom w:val="single" w:sz="8" w:color="auto"/>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60" w:type="dxa"/>
            <w:vAlign w:val="bottom"/>
            <w:tcBorders>
              <w:left w:val="single" w:sz="8" w:color="CCFFCC"/>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193"/>
        </w:trPr>
        <w:tc>
          <w:tcPr>
            <w:tcW w:w="39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Total estimated purchase price:</w:t>
            </w:r>
          </w:p>
        </w:tc>
        <w:tc>
          <w:tcPr>
            <w:tcW w:w="1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37,010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line="194" w:lineRule="exact"/>
              <w:rPr>
                <w:sz w:val="20"/>
                <w:szCs w:val="20"/>
                <w:color w:val="auto"/>
              </w:rPr>
            </w:pPr>
            <w:r>
              <w:rPr>
                <w:rFonts w:ascii="Arial" w:cs="Arial" w:eastAsia="Arial" w:hAnsi="Arial"/>
                <w:sz w:val="17"/>
                <w:szCs w:val="17"/>
                <w:b w:val="1"/>
                <w:bCs w:val="1"/>
                <w:color w:val="auto"/>
              </w:rPr>
              <w:t>78,384</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line="194" w:lineRule="exact"/>
              <w:rPr>
                <w:sz w:val="20"/>
                <w:szCs w:val="20"/>
                <w:color w:val="auto"/>
              </w:rPr>
            </w:pPr>
            <w:r>
              <w:rPr>
                <w:rFonts w:ascii="Arial" w:cs="Arial" w:eastAsia="Arial" w:hAnsi="Arial"/>
                <w:sz w:val="17"/>
                <w:szCs w:val="17"/>
                <w:b w:val="1"/>
                <w:bCs w:val="1"/>
                <w:color w:val="auto"/>
              </w:rPr>
              <w:t>99,665</w:t>
            </w:r>
          </w:p>
        </w:tc>
        <w:tc>
          <w:tcPr>
            <w:tcW w:w="3100" w:type="dxa"/>
            <w:vAlign w:val="bottom"/>
          </w:tcPr>
          <w:p>
            <w:pPr>
              <w:spacing w:after="0"/>
              <w:rPr>
                <w:sz w:val="16"/>
                <w:szCs w:val="16"/>
                <w:color w:val="auto"/>
              </w:rPr>
            </w:pPr>
          </w:p>
        </w:tc>
      </w:tr>
      <w:tr>
        <w:trPr>
          <w:trHeight w:val="707"/>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color w:val="auto"/>
              </w:rPr>
              <w:t>191</w:t>
            </w: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8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-3444875</wp:posOffset>
            </wp:positionV>
            <wp:extent cx="4408170" cy="135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-2665095</wp:posOffset>
            </wp:positionV>
            <wp:extent cx="4408170" cy="398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408170" cy="398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-2139950</wp:posOffset>
            </wp:positionV>
            <wp:extent cx="4408170" cy="143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40817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-723265</wp:posOffset>
            </wp:positionV>
            <wp:extent cx="4408170" cy="1435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408170" cy="14351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5" w:name="page206"/>
    <w:bookmarkEnd w:id="20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Unaudited Pro Forma Consolidated Statement of Operations, for the three month period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9331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8933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48"/>
        </w:trPr>
        <w:tc>
          <w:tcPr>
            <w:tcW w:w="1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2"/>
              </w:rPr>
              <w:t>Innovate/Protect</w:t>
            </w:r>
          </w:p>
        </w:tc>
        <w:tc>
          <w:tcPr>
            <w:tcW w:w="100" w:type="dxa"/>
            <w:vAlign w:val="bottom"/>
          </w:tcPr>
          <w:p>
            <w:pPr>
              <w:spacing w:after="0"/>
              <w:rPr>
                <w:sz w:val="12"/>
                <w:szCs w:val="12"/>
                <w:color w:val="auto"/>
              </w:rPr>
            </w:pPr>
          </w:p>
        </w:tc>
        <w:tc>
          <w:tcPr>
            <w:tcW w:w="800" w:type="dxa"/>
            <w:vAlign w:val="bottom"/>
          </w:tcPr>
          <w:p>
            <w:pPr>
              <w:ind w:left="240"/>
              <w:spacing w:after="0" w:line="148" w:lineRule="exact"/>
              <w:rPr>
                <w:sz w:val="20"/>
                <w:szCs w:val="20"/>
                <w:color w:val="auto"/>
              </w:rPr>
            </w:pPr>
            <w:r>
              <w:rPr>
                <w:rFonts w:ascii="Arial" w:cs="Arial" w:eastAsia="Arial" w:hAnsi="Arial"/>
                <w:sz w:val="13"/>
                <w:szCs w:val="13"/>
                <w:b w:val="1"/>
                <w:bCs w:val="1"/>
                <w:color w:val="auto"/>
              </w:rPr>
              <w:t>Vringo</w:t>
            </w:r>
          </w:p>
        </w:tc>
        <w:tc>
          <w:tcPr>
            <w:tcW w:w="100" w:type="dxa"/>
            <w:vAlign w:val="bottom"/>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Pro Forma</w:t>
            </w:r>
          </w:p>
        </w:tc>
        <w:tc>
          <w:tcPr>
            <w:tcW w:w="40" w:type="dxa"/>
            <w:vAlign w:val="bottom"/>
          </w:tcPr>
          <w:p>
            <w:pPr>
              <w:spacing w:after="0"/>
              <w:rPr>
                <w:sz w:val="12"/>
                <w:szCs w:val="12"/>
                <w:color w:val="auto"/>
              </w:rPr>
            </w:pPr>
          </w:p>
        </w:tc>
        <w:tc>
          <w:tcPr>
            <w:tcW w:w="52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rPr>
              <w:t>Notes</w:t>
            </w: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Pro Forma</w:t>
            </w:r>
          </w:p>
        </w:tc>
        <w:tc>
          <w:tcPr>
            <w:tcW w:w="2340" w:type="dxa"/>
            <w:vAlign w:val="bottom"/>
          </w:tcPr>
          <w:p>
            <w:pPr>
              <w:spacing w:after="0"/>
              <w:rPr>
                <w:sz w:val="12"/>
                <w:szCs w:val="12"/>
                <w:color w:val="auto"/>
              </w:rPr>
            </w:pPr>
          </w:p>
        </w:tc>
      </w:tr>
      <w:tr>
        <w:trPr>
          <w:trHeight w:val="158"/>
        </w:trPr>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adjustments</w:t>
            </w:r>
          </w:p>
        </w:tc>
        <w:tc>
          <w:tcPr>
            <w:tcW w:w="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consolidated</w:t>
            </w:r>
          </w:p>
        </w:tc>
        <w:tc>
          <w:tcPr>
            <w:tcW w:w="2340" w:type="dxa"/>
            <w:vAlign w:val="bottom"/>
          </w:tcPr>
          <w:p>
            <w:pPr>
              <w:spacing w:after="0"/>
              <w:rPr>
                <w:sz w:val="13"/>
                <w:szCs w:val="13"/>
                <w:color w:val="auto"/>
              </w:rPr>
            </w:pPr>
          </w:p>
        </w:tc>
      </w:tr>
      <w:tr>
        <w:trPr>
          <w:trHeight w:val="188"/>
        </w:trPr>
        <w:tc>
          <w:tcPr>
            <w:tcW w:w="11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40" w:type="dxa"/>
            <w:vAlign w:val="bottom"/>
            <w:gridSpan w:val="9"/>
          </w:tcPr>
          <w:p>
            <w:pPr>
              <w:ind w:left="560"/>
              <w:spacing w:after="0"/>
              <w:rPr>
                <w:sz w:val="20"/>
                <w:szCs w:val="20"/>
                <w:color w:val="auto"/>
              </w:rPr>
            </w:pPr>
            <w:r>
              <w:rPr>
                <w:rFonts w:ascii="Arial" w:cs="Arial" w:eastAsia="Arial" w:hAnsi="Arial"/>
                <w:sz w:val="13"/>
                <w:szCs w:val="13"/>
                <w:b w:val="1"/>
                <w:bCs w:val="1"/>
                <w:color w:val="auto"/>
              </w:rPr>
              <w:t>($ — in thousands, except share and per share data)</w:t>
            </w:r>
          </w:p>
        </w:tc>
        <w:tc>
          <w:tcPr>
            <w:tcW w:w="2340" w:type="dxa"/>
            <w:vAlign w:val="bottom"/>
          </w:tcPr>
          <w:p>
            <w:pPr>
              <w:spacing w:after="0"/>
              <w:rPr>
                <w:sz w:val="16"/>
                <w:szCs w:val="16"/>
                <w:color w:val="auto"/>
              </w:rPr>
            </w:pPr>
          </w:p>
        </w:tc>
      </w:tr>
      <w:tr>
        <w:trPr>
          <w:trHeight w:val="206"/>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2340" w:type="dxa"/>
            <w:vAlign w:val="bottom"/>
            <w:tcBorders>
              <w:left w:val="single" w:sz="8" w:color="CCFFCC"/>
            </w:tcBorders>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31</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454</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1</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485</w:t>
            </w:r>
          </w:p>
        </w:tc>
        <w:tc>
          <w:tcPr>
            <w:tcW w:w="2340" w:type="dxa"/>
            <w:vAlign w:val="bottom"/>
            <w:tcBorders>
              <w:left w:val="single" w:sz="8" w:color="CCFFCC"/>
            </w:tcBorders>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Operating legal costs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1,172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1,172</w:t>
            </w:r>
          </w:p>
        </w:tc>
        <w:tc>
          <w:tcPr>
            <w:tcW w:w="234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378</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(378)</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340" w:type="dxa"/>
            <w:vAlign w:val="bottom"/>
            <w:tcBorders>
              <w:left w:val="single" w:sz="8" w:color="CCFFCC"/>
            </w:tcBorders>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(156)</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34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Research and development</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512</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512</w:t>
            </w:r>
          </w:p>
        </w:tc>
        <w:tc>
          <w:tcPr>
            <w:tcW w:w="2340" w:type="dxa"/>
            <w:vAlign w:val="bottom"/>
            <w:tcBorders>
              <w:left w:val="single" w:sz="8" w:color="CCFFCC"/>
            </w:tcBorders>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Marketing</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759</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759</w:t>
            </w:r>
          </w:p>
        </w:tc>
        <w:tc>
          <w:tcPr>
            <w:tcW w:w="234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General and administrative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162</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1,460</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534</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2,156</w:t>
            </w:r>
          </w:p>
        </w:tc>
        <w:tc>
          <w:tcPr>
            <w:tcW w:w="2340" w:type="dxa"/>
            <w:vAlign w:val="bottom"/>
            <w:tcBorders>
              <w:left w:val="single" w:sz="8" w:color="CCFFCC"/>
            </w:tcBorders>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Borders>
              <w:left w:val="single" w:sz="8" w:color="CCFFCC"/>
            </w:tcBorders>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1,868</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2,762</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5,084</w:t>
            </w:r>
          </w:p>
        </w:tc>
        <w:tc>
          <w:tcPr>
            <w:tcW w:w="23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(1,868)</w:t>
            </w:r>
          </w:p>
        </w:tc>
        <w:tc>
          <w:tcPr>
            <w:tcW w:w="100" w:type="dxa"/>
            <w:vAlign w:val="bottom"/>
            <w:tcBorders>
              <w:lef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(2,656)</w:t>
            </w:r>
          </w:p>
        </w:tc>
        <w:tc>
          <w:tcPr>
            <w:tcW w:w="88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shd w:val="clear" w:color="auto" w:fill="CCFFCC"/>
          </w:tcPr>
          <w:p>
            <w:pPr>
              <w:spacing w:after="0"/>
              <w:rPr>
                <w:sz w:val="16"/>
                <w:szCs w:val="16"/>
                <w:color w:val="auto"/>
              </w:rPr>
            </w:pPr>
          </w:p>
        </w:tc>
        <w:tc>
          <w:tcPr>
            <w:tcW w:w="520" w:type="dxa"/>
            <w:vAlign w:val="bottom"/>
            <w:tcBorders>
              <w:righ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(4,978)</w:t>
            </w:r>
          </w:p>
        </w:tc>
        <w:tc>
          <w:tcPr>
            <w:tcW w:w="2340" w:type="dxa"/>
            <w:vAlign w:val="bottom"/>
            <w:tcBorders>
              <w:left w:val="single" w:sz="8" w:color="CCFFCC"/>
            </w:tcBorders>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Borders>
              <w:left w:val="single" w:sz="8" w:color="CCFFCC"/>
            </w:tcBorders>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color w:val="auto"/>
              </w:rPr>
              <w:t>Non-operating income (expense)</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w:t>
            </w:r>
          </w:p>
        </w:tc>
        <w:tc>
          <w:tcPr>
            <w:tcW w:w="2340" w:type="dxa"/>
            <w:vAlign w:val="bottom"/>
          </w:tcPr>
          <w:p>
            <w:pPr>
              <w:spacing w:after="0"/>
              <w:rPr>
                <w:sz w:val="16"/>
                <w:szCs w:val="16"/>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non-preferential reload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(1,091)</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(1,091)</w:t>
            </w:r>
          </w:p>
        </w:tc>
        <w:tc>
          <w:tcPr>
            <w:tcW w:w="2340" w:type="dxa"/>
            <w:vAlign w:val="bottom"/>
            <w:tcBorders>
              <w:left w:val="single" w:sz="8" w:color="CCFFCC"/>
            </w:tcBorders>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Loss on revaluation of warrants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(411)</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(411)</w:t>
            </w:r>
          </w:p>
        </w:tc>
        <w:tc>
          <w:tcPr>
            <w:tcW w:w="234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preferential reload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(1,476)</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(1,476)</w:t>
            </w:r>
          </w:p>
        </w:tc>
        <w:tc>
          <w:tcPr>
            <w:tcW w:w="2340" w:type="dxa"/>
            <w:vAlign w:val="bottom"/>
            <w:tcBorders>
              <w:left w:val="single" w:sz="8" w:color="CCFFCC"/>
            </w:tcBorders>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Borders>
              <w:left w:val="single" w:sz="8" w:color="CCFFCC"/>
            </w:tcBorders>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Loss before income taxes: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(5,624)</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(7,950)</w:t>
            </w:r>
          </w:p>
        </w:tc>
        <w:tc>
          <w:tcPr>
            <w:tcW w:w="23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Income taxes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100" w:type="dxa"/>
            <w:vAlign w:val="bottom"/>
            <w:tcBorders>
              <w:lef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100" w:type="dxa"/>
            <w:vAlign w:val="bottom"/>
            <w:tcBorders>
              <w:left w:val="single" w:sz="8" w:color="CCFFCC"/>
            </w:tcBorders>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6"/>
                <w:szCs w:val="16"/>
                <w:color w:val="auto"/>
              </w:rPr>
            </w:pPr>
          </w:p>
        </w:tc>
        <w:tc>
          <w:tcPr>
            <w:tcW w:w="520" w:type="dxa"/>
            <w:vAlign w:val="bottom"/>
            <w:tcBorders>
              <w:righ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2340" w:type="dxa"/>
            <w:vAlign w:val="bottom"/>
            <w:tcBorders>
              <w:left w:val="single" w:sz="8" w:color="CCFFCC"/>
            </w:tcBorders>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Borders>
              <w:left w:val="single" w:sz="8" w:color="CCFFCC"/>
            </w:tcBorders>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(5,644)</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(7,970)</w:t>
            </w:r>
          </w:p>
        </w:tc>
        <w:tc>
          <w:tcPr>
            <w:tcW w:w="23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1"/>
        </w:trPr>
        <w:tc>
          <w:tcPr>
            <w:tcW w:w="366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9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(0.43)</w:t>
            </w:r>
          </w:p>
        </w:tc>
        <w:tc>
          <w:tcPr>
            <w:tcW w:w="100" w:type="dxa"/>
            <w:vAlign w:val="bottom"/>
            <w:tcBorders>
              <w:left w:val="single" w:sz="8" w:color="CCFFCC"/>
            </w:tcBorders>
            <w:shd w:val="clear" w:color="auto" w:fill="CCFFCC"/>
          </w:tcPr>
          <w:p>
            <w:pPr>
              <w:spacing w:after="0"/>
              <w:rPr>
                <w:sz w:val="18"/>
                <w:szCs w:val="18"/>
                <w:color w:val="auto"/>
              </w:rPr>
            </w:pPr>
          </w:p>
        </w:tc>
        <w:tc>
          <w:tcPr>
            <w:tcW w:w="8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(0.46)</w:t>
            </w:r>
          </w:p>
        </w:tc>
        <w:tc>
          <w:tcPr>
            <w:tcW w:w="100" w:type="dxa"/>
            <w:vAlign w:val="bottom"/>
            <w:tcBorders>
              <w:lef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Borders>
              <w:right w:val="single" w:sz="8" w:color="CCFFCC"/>
            </w:tcBorders>
            <w:gridSpan w:val="2"/>
            <w:shd w:val="clear" w:color="auto" w:fill="CCFFCC"/>
          </w:tcPr>
          <w:p>
            <w:pPr>
              <w:jc w:val="right"/>
              <w:ind w:right="153"/>
              <w:spacing w:after="0" w:line="191" w:lineRule="exact"/>
              <w:rPr>
                <w:sz w:val="20"/>
                <w:szCs w:val="20"/>
                <w:color w:val="auto"/>
              </w:rPr>
            </w:pPr>
            <w:r>
              <w:rPr>
                <w:rFonts w:ascii="Arial" w:cs="Arial" w:eastAsia="Arial" w:hAnsi="Arial"/>
                <w:sz w:val="17"/>
                <w:szCs w:val="17"/>
                <w:color w:val="auto"/>
              </w:rPr>
              <w:t>3</w:t>
            </w:r>
          </w:p>
        </w:tc>
        <w:tc>
          <w:tcPr>
            <w:tcW w:w="8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(0.26)</w:t>
            </w:r>
          </w:p>
        </w:tc>
        <w:tc>
          <w:tcPr>
            <w:tcW w:w="2340" w:type="dxa"/>
            <w:vAlign w:val="bottom"/>
            <w:tcBorders>
              <w:left w:val="single" w:sz="8" w:color="CCFFCC"/>
            </w:tcBorders>
          </w:tcPr>
          <w:p>
            <w:pPr>
              <w:spacing w:after="0"/>
              <w:rPr>
                <w:sz w:val="18"/>
                <w:szCs w:val="18"/>
                <w:color w:val="auto"/>
              </w:rPr>
            </w:pPr>
          </w:p>
        </w:tc>
      </w:tr>
      <w:tr>
        <w:trPr>
          <w:trHeight w:val="20"/>
        </w:trPr>
        <w:tc>
          <w:tcPr>
            <w:tcW w:w="1140" w:type="dxa"/>
            <w:vAlign w:val="bottom"/>
            <w:tcBorders>
              <w:top w:val="single" w:sz="8" w:color="CCFFCC"/>
            </w:tcBorders>
            <w:shd w:val="clear" w:color="auto" w:fill="CCFFCC"/>
          </w:tcPr>
          <w:p>
            <w:pPr>
              <w:spacing w:after="0" w:line="20" w:lineRule="exact"/>
              <w:rPr>
                <w:sz w:val="1"/>
                <w:szCs w:val="1"/>
                <w:color w:val="auto"/>
              </w:rPr>
            </w:pPr>
          </w:p>
        </w:tc>
        <w:tc>
          <w:tcPr>
            <w:tcW w:w="25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340" w:type="dxa"/>
            <w:vAlign w:val="bottom"/>
            <w:tcBorders>
              <w:left w:val="single" w:sz="8" w:color="CCFFCC"/>
            </w:tcBorders>
          </w:tcPr>
          <w:p>
            <w:pPr>
              <w:spacing w:after="0" w:line="20" w:lineRule="exact"/>
              <w:rPr>
                <w:sz w:val="1"/>
                <w:szCs w:val="1"/>
                <w:color w:val="auto"/>
              </w:rPr>
            </w:pPr>
          </w:p>
        </w:tc>
      </w:tr>
      <w:tr>
        <w:trPr>
          <w:trHeight w:val="178"/>
        </w:trPr>
        <w:tc>
          <w:tcPr>
            <w:tcW w:w="3660" w:type="dxa"/>
            <w:vAlign w:val="bottom"/>
            <w:gridSpan w:val="2"/>
          </w:tcPr>
          <w:p>
            <w:pPr>
              <w:spacing w:after="0" w:line="178" w:lineRule="exact"/>
              <w:rPr>
                <w:sz w:val="20"/>
                <w:szCs w:val="20"/>
                <w:color w:val="auto"/>
              </w:rPr>
            </w:pPr>
            <w:r>
              <w:rPr>
                <w:rFonts w:ascii="Arial" w:cs="Arial" w:eastAsia="Arial" w:hAnsi="Arial"/>
                <w:sz w:val="17"/>
                <w:szCs w:val="17"/>
                <w:color w:val="auto"/>
                <w:w w:val="87"/>
              </w:rPr>
              <w:t>Weighted average shares used in computing basic and</w:t>
            </w:r>
          </w:p>
        </w:tc>
        <w:tc>
          <w:tcPr>
            <w:tcW w:w="9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rPr>
              <w:t>4,635,117</w:t>
            </w:r>
          </w:p>
        </w:tc>
        <w:tc>
          <w:tcPr>
            <w:tcW w:w="10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w w:val="93"/>
              </w:rPr>
              <w:t>12,371,472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53"/>
              <w:spacing w:after="0" w:line="178" w:lineRule="exact"/>
              <w:rPr>
                <w:sz w:val="20"/>
                <w:szCs w:val="20"/>
                <w:color w:val="auto"/>
              </w:rPr>
            </w:pPr>
            <w:r>
              <w:rPr>
                <w:rFonts w:ascii="Arial" w:cs="Arial" w:eastAsia="Arial" w:hAnsi="Arial"/>
                <w:sz w:val="17"/>
                <w:szCs w:val="17"/>
                <w:color w:val="auto"/>
              </w:rPr>
              <w:t>3</w:t>
            </w:r>
          </w:p>
        </w:tc>
        <w:tc>
          <w:tcPr>
            <w:tcW w:w="8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w w:val="91"/>
              </w:rPr>
              <w:t>30,484,641</w:t>
            </w:r>
          </w:p>
        </w:tc>
        <w:tc>
          <w:tcPr>
            <w:tcW w:w="2340" w:type="dxa"/>
            <w:vAlign w:val="bottom"/>
          </w:tcPr>
          <w:p>
            <w:pPr>
              <w:spacing w:after="0"/>
              <w:rPr>
                <w:sz w:val="15"/>
                <w:szCs w:val="15"/>
                <w:color w:val="auto"/>
              </w:rPr>
            </w:pPr>
          </w:p>
        </w:tc>
      </w:tr>
      <w:tr>
        <w:trPr>
          <w:trHeight w:val="213"/>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diluted net loss per common share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717"/>
        </w:trPr>
        <w:tc>
          <w:tcPr>
            <w:tcW w:w="1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5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34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-2259330</wp:posOffset>
            </wp:positionV>
            <wp:extent cx="4925060" cy="1435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92506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-1988820</wp:posOffset>
            </wp:positionV>
            <wp:extent cx="4925060" cy="135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92506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-1471295</wp:posOffset>
            </wp:positionV>
            <wp:extent cx="4925060" cy="143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92506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-1200785</wp:posOffset>
            </wp:positionV>
            <wp:extent cx="4925060" cy="1670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92506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-906145</wp:posOffset>
            </wp:positionV>
            <wp:extent cx="4925060" cy="3181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925060" cy="31813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6" w:name="page207"/>
    <w:bookmarkEnd w:id="20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Unaudited Pro Forma Consolidated Balance Sheets, as of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3"/>
                <w:szCs w:val="13"/>
                <w:b w:val="1"/>
                <w:bCs w:val="1"/>
                <w:color w:val="auto"/>
              </w:rPr>
              <w:t>Historical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9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w w:val="92"/>
              </w:rPr>
              <w:t>Innovate/Protect</w:t>
            </w:r>
          </w:p>
        </w:tc>
        <w:tc>
          <w:tcPr>
            <w:tcW w:w="82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Vringo</w:t>
            </w:r>
          </w:p>
        </w:tc>
        <w:tc>
          <w:tcPr>
            <w:tcW w:w="7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2"/>
                <w:szCs w:val="12"/>
                <w:color w:val="auto"/>
              </w:rPr>
            </w:pPr>
          </w:p>
        </w:tc>
        <w:tc>
          <w:tcPr>
            <w:tcW w:w="50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Notes</w:t>
            </w: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Pro Forma</w:t>
            </w:r>
          </w:p>
        </w:tc>
      </w:tr>
      <w:tr>
        <w:trPr>
          <w:trHeight w:val="158"/>
        </w:trPr>
        <w:tc>
          <w:tcPr>
            <w:tcW w:w="9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adjustments</w:t>
            </w: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94"/>
              </w:rPr>
              <w:t>consolidated</w:t>
            </w:r>
          </w:p>
        </w:tc>
      </w:tr>
      <w:tr>
        <w:trPr>
          <w:trHeight w:val="188"/>
        </w:trPr>
        <w:tc>
          <w:tcPr>
            <w:tcW w:w="9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rPr>
              <w:t>($ — in thousands)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Cash and cash equivalents</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3,980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3,630</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7,610</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Accounts receivable</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152</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152</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144</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184</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current assets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4,020</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3,926</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7,946</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Long-term deposit</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8</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8</w:t>
            </w: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133</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145</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Intangible assets, net</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2,912</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2,912</w:t>
            </w: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Technology</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10,906</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10,906</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Goodwill</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56,335</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1,*</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56,335</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6,944</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4,067</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67,241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78,252</w:t>
            </w: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366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Liabilities and stockholders’ equity:</w:t>
            </w:r>
          </w:p>
        </w:tc>
        <w:tc>
          <w:tcPr>
            <w:tcW w:w="860" w:type="dxa"/>
            <w:vAlign w:val="bottom"/>
            <w:shd w:val="clear" w:color="auto" w:fill="CCFFCC"/>
          </w:tcPr>
          <w:p>
            <w:pPr>
              <w:spacing w:after="0"/>
              <w:rPr>
                <w:sz w:val="16"/>
                <w:szCs w:val="16"/>
                <w:color w:val="auto"/>
              </w:rPr>
            </w:pP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tcBorders>
              <w:right w:val="single" w:sz="8" w:color="CCFFCC"/>
            </w:tcBorders>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tcBorders>
              <w:left w:val="single" w:sz="8" w:color="CCFFCC"/>
            </w:tcBorders>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Current liabilities: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Deferred tax liabilities, net – short-term</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Accounts payable and accrued expenses</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525</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617</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852</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4</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1,994</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Accrued severance pay</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233</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233</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Accrued employee compensation</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341</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357</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698</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Current portion, note payable – related party</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2,000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2,000</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2,866</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1,210</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852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4,928</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Long-term liabilities</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Note payable – related party</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1,200</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1,200</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Derivative liabilities on account of warrants</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1,836</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21,733</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5</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25,839</w:t>
            </w: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4,106</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(1,836)</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long-term liabilities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1,200</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1,836</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24,003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27,039</w:t>
            </w:r>
          </w:p>
        </w:tc>
      </w:tr>
      <w:tr>
        <w:trPr>
          <w:trHeight w:val="188"/>
        </w:trPr>
        <w:tc>
          <w:tcPr>
            <w:tcW w:w="366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5"/>
              </w:rPr>
              <w:t>Preferred stock, Series A Convertible, $0.0001 par</w:t>
            </w:r>
          </w:p>
        </w:tc>
        <w:tc>
          <w:tcPr>
            <w:tcW w:w="86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1,761</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20" w:type="dxa"/>
            <w:vAlign w:val="bottom"/>
            <w:tcBorders>
              <w:right w:val="single" w:sz="8" w:color="CCFFCC"/>
            </w:tcBorders>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(1,761)</w:t>
            </w:r>
          </w:p>
        </w:tc>
        <w:tc>
          <w:tcPr>
            <w:tcW w:w="620" w:type="dxa"/>
            <w:vAlign w:val="bottom"/>
            <w:tcBorders>
              <w:left w:val="single" w:sz="8" w:color="CCFFCC"/>
              <w:right w:val="single" w:sz="8" w:color="CCFFCC"/>
            </w:tcBorders>
            <w:gridSpan w:val="2"/>
            <w:shd w:val="clear" w:color="auto" w:fill="CCFFCC"/>
          </w:tcPr>
          <w:p>
            <w:pPr>
              <w:jc w:val="right"/>
              <w:ind w:right="53"/>
              <w:spacing w:after="0" w:line="188" w:lineRule="exact"/>
              <w:rPr>
                <w:sz w:val="20"/>
                <w:szCs w:val="20"/>
                <w:color w:val="auto"/>
              </w:rPr>
            </w:pPr>
            <w:r>
              <w:rPr>
                <w:rFonts w:ascii="Arial" w:cs="Arial" w:eastAsia="Arial" w:hAnsi="Arial"/>
                <w:sz w:val="17"/>
                <w:szCs w:val="17"/>
                <w:color w:val="auto"/>
              </w:rPr>
              <w:t>6</w:t>
            </w:r>
          </w:p>
        </w:tc>
        <w:tc>
          <w:tcPr>
            <w:tcW w:w="8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value; 6,968 authorized and issued and 6,818</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3"/>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Stockholders’ equity (deficit)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366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Preferred stock, Series A Convertible, $0.01 par</w:t>
            </w:r>
          </w:p>
        </w:tc>
        <w:tc>
          <w:tcPr>
            <w:tcW w:w="1000" w:type="dxa"/>
            <w:vAlign w:val="bottom"/>
            <w:tcBorders>
              <w:right w:val="single" w:sz="8" w:color="CCFFCC"/>
            </w:tcBorders>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w:t>
            </w:r>
          </w:p>
        </w:tc>
        <w:tc>
          <w:tcPr>
            <w:tcW w:w="620" w:type="dxa"/>
            <w:vAlign w:val="bottom"/>
            <w:tcBorders>
              <w:left w:val="single" w:sz="8" w:color="CCFFCC"/>
              <w:right w:val="single" w:sz="8" w:color="CCFFCC"/>
            </w:tcBorders>
            <w:gridSpan w:val="2"/>
            <w:shd w:val="clear" w:color="auto" w:fill="CCFFCC"/>
          </w:tcPr>
          <w:p>
            <w:pPr>
              <w:jc w:val="right"/>
              <w:ind w:right="53"/>
              <w:spacing w:after="0" w:line="188" w:lineRule="exact"/>
              <w:rPr>
                <w:sz w:val="20"/>
                <w:szCs w:val="20"/>
                <w:color w:val="auto"/>
              </w:rPr>
            </w:pPr>
            <w:r>
              <w:rPr>
                <w:rFonts w:ascii="Arial" w:cs="Arial" w:eastAsia="Arial" w:hAnsi="Arial"/>
                <w:sz w:val="17"/>
                <w:szCs w:val="17"/>
                <w:color w:val="auto"/>
              </w:rPr>
              <w:t>6</w:t>
            </w:r>
          </w:p>
        </w:tc>
        <w:tc>
          <w:tcPr>
            <w:tcW w:w="8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value per share; 6,818 authorized, issued and</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3"/>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88"/>
        </w:trPr>
        <w:tc>
          <w:tcPr>
            <w:tcW w:w="3660" w:type="dxa"/>
            <w:vAlign w:val="bottom"/>
            <w:gridSpan w:val="2"/>
          </w:tcPr>
          <w:p>
            <w:pPr>
              <w:spacing w:after="0" w:line="188" w:lineRule="exact"/>
              <w:rPr>
                <w:sz w:val="20"/>
                <w:szCs w:val="20"/>
                <w:color w:val="auto"/>
              </w:rPr>
            </w:pPr>
            <w:r>
              <w:rPr>
                <w:rFonts w:ascii="Arial" w:cs="Arial" w:eastAsia="Arial" w:hAnsi="Arial"/>
                <w:sz w:val="17"/>
                <w:szCs w:val="17"/>
                <w:color w:val="auto"/>
              </w:rPr>
              <w:t>Common stock, $0.01 par value per share,</w:t>
            </w:r>
          </w:p>
        </w:tc>
        <w:tc>
          <w:tcPr>
            <w:tcW w:w="86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88" w:lineRule="exact"/>
              <w:rPr>
                <w:sz w:val="20"/>
                <w:szCs w:val="20"/>
                <w:color w:val="auto"/>
              </w:rPr>
            </w:pPr>
            <w:r>
              <w:rPr>
                <w:rFonts w:ascii="Arial" w:cs="Arial" w:eastAsia="Arial" w:hAnsi="Arial"/>
                <w:sz w:val="17"/>
                <w:szCs w:val="17"/>
                <w:b w:val="1"/>
                <w:bCs w:val="1"/>
                <w:color w:val="auto"/>
              </w:rPr>
              <w:t>139</w:t>
            </w:r>
          </w:p>
        </w:tc>
        <w:tc>
          <w:tcPr>
            <w:tcW w:w="70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w:t>
            </w:r>
          </w:p>
        </w:tc>
        <w:tc>
          <w:tcPr>
            <w:tcW w:w="620" w:type="dxa"/>
            <w:vAlign w:val="bottom"/>
            <w:gridSpan w:val="2"/>
          </w:tcPr>
          <w:p>
            <w:pPr>
              <w:jc w:val="right"/>
              <w:ind w:right="53"/>
              <w:spacing w:after="0" w:line="188" w:lineRule="exact"/>
              <w:rPr>
                <w:sz w:val="20"/>
                <w:szCs w:val="20"/>
                <w:color w:val="auto"/>
              </w:rPr>
            </w:pPr>
            <w:r>
              <w:rPr>
                <w:rFonts w:ascii="Arial" w:cs="Arial" w:eastAsia="Arial" w:hAnsi="Arial"/>
                <w:sz w:val="17"/>
                <w:szCs w:val="17"/>
                <w:color w:val="auto"/>
              </w:rPr>
              <w:t>7</w:t>
            </w:r>
          </w:p>
        </w:tc>
        <w:tc>
          <w:tcPr>
            <w:tcW w:w="82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320</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w w:val="93"/>
              </w:rPr>
              <w:t>150,000,000** authorized, 31,979,592 issued and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181</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7</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5,742</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44,072</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(15,237)</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8</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51,443</w:t>
            </w:r>
          </w:p>
        </w:tc>
      </w:tr>
      <w:tr>
        <w:trPr>
          <w:trHeight w:val="200"/>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6,734</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10,132</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Accumulated deficit</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(4,626)</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(43,190)</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(852)</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4</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(5,478)</w:t>
            </w: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43,190</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8</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stockholders’ equity (deficit)</w:t>
            </w:r>
          </w:p>
        </w:tc>
        <w:tc>
          <w:tcPr>
            <w:tcW w:w="8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1,117</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20" w:type="dxa"/>
            <w:vAlign w:val="bottom"/>
            <w:tcBorders>
              <w:right w:val="single" w:sz="8" w:color="CCFFCC"/>
            </w:tcBorders>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1,021</w:t>
            </w:r>
          </w:p>
        </w:tc>
        <w:tc>
          <w:tcPr>
            <w:tcW w:w="7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44,147</w:t>
            </w:r>
          </w:p>
        </w:tc>
        <w:tc>
          <w:tcPr>
            <w:tcW w:w="120" w:type="dxa"/>
            <w:vAlign w:val="bottom"/>
            <w:tcBorders>
              <w:left w:val="single" w:sz="8" w:color="CCFFCC"/>
            </w:tcBorders>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46,285</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liabilities and stockholders’ equity</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6,944</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4,067</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67,241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78,252</w:t>
            </w: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1"/>
        </w:trPr>
        <w:tc>
          <w:tcPr>
            <w:tcW w:w="900" w:type="dxa"/>
            <w:vAlign w:val="bottom"/>
            <w:tcBorders>
              <w:bottom w:val="single" w:sz="8" w:color="auto"/>
            </w:tcBorders>
          </w:tcPr>
          <w:p>
            <w:pPr>
              <w:spacing w:after="0"/>
              <w:rPr>
                <w:sz w:val="20"/>
                <w:szCs w:val="20"/>
                <w:color w:val="auto"/>
              </w:rPr>
            </w:pP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-5242560</wp:posOffset>
            </wp:positionV>
            <wp:extent cx="4837430" cy="135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-4471035</wp:posOffset>
            </wp:positionV>
            <wp:extent cx="4837430" cy="1670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-3412490</wp:posOffset>
            </wp:positionV>
            <wp:extent cx="4837430" cy="135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-2640965</wp:posOffset>
            </wp:positionV>
            <wp:extent cx="4837430" cy="135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-333375</wp:posOffset>
            </wp:positionV>
            <wp:extent cx="4837430" cy="1670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225" w:lineRule="exact"/>
        <w:rPr>
          <w:sz w:val="20"/>
          <w:szCs w:val="20"/>
          <w:color w:val="auto"/>
        </w:rPr>
      </w:pPr>
    </w:p>
    <w:p>
      <w:pPr>
        <w:ind w:left="260" w:hanging="250"/>
        <w:spacing w:after="0"/>
        <w:tabs>
          <w:tab w:leader="none" w:pos="26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 xml:space="preserve">Refer to preliminary Purchase Price Allocation table on page </w:t>
      </w:r>
      <w:r>
        <w:rPr>
          <w:rFonts w:ascii="Arial" w:cs="Arial" w:eastAsia="Arial" w:hAnsi="Arial"/>
          <w:sz w:val="13"/>
          <w:szCs w:val="13"/>
          <w:u w:val="single" w:color="auto"/>
          <w:color w:val="0000EE"/>
        </w:rPr>
        <w:t>190</w:t>
      </w:r>
      <w:r>
        <w:rPr>
          <w:rFonts w:ascii="Arial" w:cs="Arial" w:eastAsia="Arial" w:hAnsi="Arial"/>
          <w:sz w:val="13"/>
          <w:szCs w:val="13"/>
          <w:color w:val="auto"/>
        </w:rPr>
        <w:t>.</w:t>
      </w:r>
    </w:p>
    <w:p>
      <w:pPr>
        <w:spacing w:after="0" w:line="114" w:lineRule="exact"/>
        <w:rPr>
          <w:sz w:val="20"/>
          <w:szCs w:val="20"/>
          <w:color w:val="auto"/>
        </w:rPr>
      </w:pPr>
    </w:p>
    <w:p>
      <w:pPr>
        <w:ind w:left="260" w:right="1239" w:hanging="250"/>
        <w:spacing w:after="0" w:line="296" w:lineRule="auto"/>
        <w:tabs>
          <w:tab w:leader="none" w:pos="26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increase in common stock $0.01 par value per share, from 28,000,000 to 150,000,000, is expected to take place at the stockholders’ meeting to approve the merger.</w:t>
      </w:r>
    </w:p>
    <w:p>
      <w:pPr>
        <w:spacing w:after="0" w:line="200" w:lineRule="exact"/>
        <w:rPr>
          <w:sz w:val="20"/>
          <w:szCs w:val="20"/>
          <w:color w:val="auto"/>
        </w:rPr>
      </w:pPr>
    </w:p>
    <w:p>
      <w:pPr>
        <w:spacing w:after="0" w:line="27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7" w:name="page208"/>
    <w:bookmarkEnd w:id="20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Notes to the Unaudited Pro Forma Consolidated Statements of Operations and Balance Sheet:</w:t>
      </w:r>
    </w:p>
    <w:p>
      <w:pPr>
        <w:spacing w:after="0" w:line="109" w:lineRule="exact"/>
        <w:rPr>
          <w:sz w:val="20"/>
          <w:szCs w:val="20"/>
          <w:color w:val="auto"/>
        </w:rPr>
      </w:pPr>
    </w:p>
    <w:p>
      <w:pPr>
        <w:ind w:left="260" w:right="1239" w:hanging="250"/>
        <w:spacing w:after="0" w:line="264" w:lineRule="auto"/>
        <w:tabs>
          <w:tab w:leader="none" w:pos="2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This pro-forma adjustment represents additional amortization expense, recorded in connection with amortizable intangible assets acquired in the Merger, assuming the acquisition of Vringo occurred on 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7421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ind w:left="80"/>
              <w:spacing w:after="0" w:line="139" w:lineRule="exact"/>
              <w:rPr>
                <w:sz w:val="20"/>
                <w:szCs w:val="20"/>
                <w:color w:val="auto"/>
              </w:rPr>
            </w:pPr>
            <w:r>
              <w:rPr>
                <w:rFonts w:ascii="Arial" w:cs="Arial" w:eastAsia="Arial" w:hAnsi="Arial"/>
                <w:sz w:val="13"/>
                <w:szCs w:val="13"/>
                <w:b w:val="1"/>
                <w:bCs w:val="1"/>
                <w:color w:val="auto"/>
                <w:w w:val="93"/>
              </w:rPr>
              <w:t>Gross carrying amount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12"/>
                <w:szCs w:val="12"/>
                <w:color w:val="auto"/>
              </w:rPr>
            </w:pPr>
          </w:p>
        </w:tc>
        <w:tc>
          <w:tcPr>
            <w:tcW w:w="17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2"/>
              </w:rPr>
              <w:t>Three month period ended</w:t>
            </w: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March 31, 2012</w:t>
            </w:r>
          </w:p>
        </w:tc>
        <w:tc>
          <w:tcPr>
            <w:tcW w:w="0" w:type="dxa"/>
            <w:vAlign w:val="bottom"/>
          </w:tcPr>
          <w:p>
            <w:pPr>
              <w:spacing w:after="0"/>
              <w:rPr>
                <w:sz w:val="1"/>
                <w:szCs w:val="1"/>
                <w:color w:val="auto"/>
              </w:rPr>
            </w:pPr>
          </w:p>
        </w:tc>
      </w:tr>
      <w:tr>
        <w:trPr>
          <w:trHeight w:val="183"/>
        </w:trPr>
        <w:tc>
          <w:tcPr>
            <w:tcW w:w="3300" w:type="dxa"/>
            <w:vAlign w:val="bottom"/>
            <w:vMerge w:val="restart"/>
          </w:tcPr>
          <w:p>
            <w:pPr>
              <w:spacing w:after="0"/>
              <w:rPr>
                <w:sz w:val="20"/>
                <w:szCs w:val="20"/>
                <w:color w:val="auto"/>
              </w:rPr>
            </w:pPr>
            <w:r>
              <w:rPr>
                <w:rFonts w:ascii="Arial" w:cs="Arial" w:eastAsia="Arial" w:hAnsi="Arial"/>
                <w:sz w:val="17"/>
                <w:szCs w:val="17"/>
                <w:b w:val="1"/>
                <w:bCs w:val="1"/>
                <w:color w:val="auto"/>
              </w:rPr>
              <w:t>Cost of revenue:</w:t>
            </w:r>
          </w:p>
        </w:tc>
        <w:tc>
          <w:tcPr>
            <w:tcW w:w="160" w:type="dxa"/>
            <w:vAlign w:val="bottom"/>
          </w:tcPr>
          <w:p>
            <w:pPr>
              <w:spacing w:after="0"/>
              <w:rPr>
                <w:sz w:val="15"/>
                <w:szCs w:val="15"/>
                <w:color w:val="auto"/>
              </w:rPr>
            </w:pPr>
          </w:p>
        </w:tc>
        <w:tc>
          <w:tcPr>
            <w:tcW w:w="1440" w:type="dxa"/>
            <w:vAlign w:val="bottom"/>
            <w:gridSpan w:val="3"/>
          </w:tcPr>
          <w:p>
            <w:pPr>
              <w:ind w:left="200"/>
              <w:spacing w:after="0"/>
              <w:rPr>
                <w:sz w:val="20"/>
                <w:szCs w:val="20"/>
                <w:color w:val="auto"/>
              </w:rPr>
            </w:pPr>
            <w:r>
              <w:rPr>
                <w:rFonts w:ascii="Arial" w:cs="Arial" w:eastAsia="Arial" w:hAnsi="Arial"/>
                <w:sz w:val="13"/>
                <w:szCs w:val="13"/>
                <w:b w:val="1"/>
                <w:bCs w:val="1"/>
                <w:color w:val="auto"/>
              </w:rPr>
              <w:t>($ — in thousands)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(years)</w:t>
            </w:r>
          </w:p>
        </w:tc>
        <w:tc>
          <w:tcPr>
            <w:tcW w:w="160" w:type="dxa"/>
            <w:vAlign w:val="bottom"/>
          </w:tcPr>
          <w:p>
            <w:pPr>
              <w:spacing w:after="0"/>
              <w:rPr>
                <w:sz w:val="15"/>
                <w:szCs w:val="15"/>
                <w:color w:val="auto"/>
              </w:rPr>
            </w:pPr>
          </w:p>
        </w:tc>
        <w:tc>
          <w:tcPr>
            <w:tcW w:w="1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11"/>
        </w:trPr>
        <w:tc>
          <w:tcPr>
            <w:tcW w:w="3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Technology</w:t>
            </w:r>
          </w:p>
        </w:tc>
        <w:tc>
          <w:tcPr>
            <w:tcW w:w="160" w:type="dxa"/>
            <w:vAlign w:val="bottom"/>
            <w:tcBorders>
              <w:bottom w:val="single" w:sz="8" w:color="CCFFCC"/>
            </w:tcBorders>
            <w:shd w:val="clear" w:color="auto" w:fill="CCFFCC"/>
          </w:tcPr>
          <w:p>
            <w:pPr>
              <w:spacing w:after="0"/>
              <w:rPr>
                <w:sz w:val="17"/>
                <w:szCs w:val="17"/>
                <w:color w:val="auto"/>
              </w:rPr>
            </w:pPr>
          </w:p>
        </w:tc>
        <w:tc>
          <w:tcPr>
            <w:tcW w:w="740" w:type="dxa"/>
            <w:vAlign w:val="bottom"/>
            <w:tcBorders>
              <w:bottom w:val="single" w:sz="8" w:color="CCFFCC"/>
            </w:tcBorders>
            <w:shd w:val="clear" w:color="auto" w:fill="CCFFCC"/>
          </w:tcPr>
          <w:p>
            <w:pPr>
              <w:spacing w:after="0"/>
              <w:rPr>
                <w:sz w:val="17"/>
                <w:szCs w:val="17"/>
                <w:color w:val="auto"/>
              </w:rPr>
            </w:pPr>
          </w:p>
        </w:tc>
        <w:tc>
          <w:tcPr>
            <w:tcW w:w="700" w:type="dxa"/>
            <w:vAlign w:val="bottom"/>
            <w:tcBorders>
              <w:bottom w:val="single" w:sz="8" w:color="CCFFCC"/>
            </w:tcBorders>
            <w:gridSpan w:val="2"/>
            <w:shd w:val="clear" w:color="auto" w:fill="CCFFCC"/>
          </w:tcPr>
          <w:p>
            <w:pPr>
              <w:jc w:val="right"/>
              <w:ind w:right="17"/>
              <w:spacing w:after="0"/>
              <w:rPr>
                <w:sz w:val="20"/>
                <w:szCs w:val="20"/>
                <w:color w:val="auto"/>
              </w:rPr>
            </w:pPr>
            <w:r>
              <w:rPr>
                <w:rFonts w:ascii="Arial" w:cs="Arial" w:eastAsia="Arial" w:hAnsi="Arial"/>
                <w:sz w:val="17"/>
                <w:szCs w:val="17"/>
                <w:color w:val="auto"/>
              </w:rPr>
              <w:t>10,906</w:t>
            </w:r>
          </w:p>
        </w:tc>
        <w:tc>
          <w:tcPr>
            <w:tcW w:w="800" w:type="dxa"/>
            <w:vAlign w:val="bottom"/>
            <w:tcBorders>
              <w:bottom w:val="single" w:sz="8" w:color="CCFFCC"/>
            </w:tcBorders>
            <w:gridSpan w:val="3"/>
            <w:shd w:val="clear" w:color="auto" w:fill="CCFFCC"/>
          </w:tcPr>
          <w:p>
            <w:pPr>
              <w:jc w:val="right"/>
              <w:ind w:right="113"/>
              <w:spacing w:after="0"/>
              <w:rPr>
                <w:sz w:val="20"/>
                <w:szCs w:val="20"/>
                <w:color w:val="auto"/>
              </w:rPr>
            </w:pPr>
            <w:r>
              <w:rPr>
                <w:rFonts w:ascii="Arial" w:cs="Arial" w:eastAsia="Arial" w:hAnsi="Arial"/>
                <w:sz w:val="17"/>
                <w:szCs w:val="17"/>
                <w:color w:val="auto"/>
              </w:rPr>
              <w:t>6</w:t>
            </w:r>
          </w:p>
        </w:tc>
        <w:tc>
          <w:tcPr>
            <w:tcW w:w="16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454</w:t>
            </w:r>
          </w:p>
        </w:tc>
        <w:tc>
          <w:tcPr>
            <w:tcW w:w="3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454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92"/>
              </w:rPr>
              <w:t>Gross carrying</w:t>
            </w:r>
          </w:p>
        </w:tc>
        <w:tc>
          <w:tcPr>
            <w:tcW w:w="160" w:type="dxa"/>
            <w:vAlign w:val="bottom"/>
          </w:tcPr>
          <w:p>
            <w:pPr>
              <w:spacing w:after="0"/>
              <w:rPr>
                <w:sz w:val="12"/>
                <w:szCs w:val="12"/>
                <w:color w:val="auto"/>
              </w:rPr>
            </w:pPr>
          </w:p>
        </w:tc>
        <w:tc>
          <w:tcPr>
            <w:tcW w:w="3260" w:type="dxa"/>
            <w:vAlign w:val="bottom"/>
            <w:gridSpan w:val="7"/>
          </w:tcPr>
          <w:p>
            <w:pPr>
              <w:ind w:left="280"/>
              <w:spacing w:after="0" w:line="148" w:lineRule="exact"/>
              <w:rPr>
                <w:sz w:val="20"/>
                <w:szCs w:val="20"/>
                <w:color w:val="auto"/>
              </w:rPr>
            </w:pPr>
            <w:r>
              <w:rPr>
                <w:rFonts w:ascii="Arial" w:cs="Arial" w:eastAsia="Arial" w:hAnsi="Arial"/>
                <w:sz w:val="13"/>
                <w:szCs w:val="13"/>
                <w:b w:val="1"/>
                <w:bCs w:val="1"/>
                <w:color w:val="auto"/>
              </w:rPr>
              <w:t>Amortization of intangible assets and liabilities</w:t>
            </w: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gridSpan w:val="6"/>
          </w:tcPr>
          <w:p>
            <w:pPr>
              <w:jc w:val="center"/>
              <w:ind w:right="1600"/>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Goodwill</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8"/>
              </w:rPr>
              <w:t>56,335</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8"/>
              </w:rPr>
              <w:t>Goodwill is reviewed for impairment at least</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6"/>
              </w:rPr>
              <w:t>annually in accordance with the provisions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ACS 350 “Intangibles, Goodwill and Other”</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8"/>
              </w:rPr>
              <w:t>Fair value of vested stock options granted to</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9"/>
              </w:rPr>
              <w:t>6,734</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(which also</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employees, management and consultants,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reflects the impact of partial acceleration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7"/>
              </w:rPr>
              <w:t>classified as equity in these consolidated pro</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vesting of outstanding options granted to</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forma financial statements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7"/>
              </w:rPr>
              <w:t>employees, management and consultants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3"/>
              </w:rPr>
              <w:t>Vringo triggered directly by the Merger) will be</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1"/>
              </w:rPr>
              <w:t>adjusted for options exercised. This adjustment</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6"/>
              </w:rPr>
              <w:t>will be recorded as internal reclassification in</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additional paid-in capital.</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6"/>
              </w:rPr>
              <w:t>Fair value of outstanding warrants granted by</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9"/>
              </w:rPr>
              <w:t>4,106</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to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4"/>
              </w:rPr>
              <w:t>Vringo prior to the Merger, classified as a long</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classified as a derivative liability will be</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3"/>
              </w:rPr>
              <w:t>term derivative liability, as these warrants bear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7"/>
              </w:rPr>
              <w:t>adjusted at the end of each reporting period.</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certain down-round protection clauses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6"/>
              </w:rPr>
              <w:t>Fair value of outstanding warrants granted by</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8"/>
              </w:rPr>
              <w:t>10,132</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to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3"/>
              </w:rPr>
              <w:t>Vringo prior to the Merger, classified as equity,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0"/>
              </w:rPr>
              <w:t>classified as equity will be adjusted for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in these consolidated pro forma financial</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2"/>
              </w:rPr>
              <w:t>exercised. This adjustment will be recorded as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statements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internal reclassification in additional paid-in</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7"/>
                <w:szCs w:val="17"/>
                <w:color w:val="auto"/>
                <w:w w:val="96"/>
              </w:rPr>
              <w:t>capital.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-3022600</wp:posOffset>
            </wp:positionV>
            <wp:extent cx="4837430" cy="1435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837430" cy="14351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2.  Amortization and depreciation and capital acquisition costs, were reclassified into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Three month period ended</w:t>
            </w:r>
          </w:p>
        </w:tc>
        <w:tc>
          <w:tcPr>
            <w:tcW w:w="3100" w:type="dxa"/>
            <w:vAlign w:val="bottom"/>
          </w:tcPr>
          <w:p>
            <w:pPr>
              <w:spacing w:after="0"/>
              <w:rPr>
                <w:sz w:val="12"/>
                <w:szCs w:val="12"/>
                <w:color w:val="auto"/>
              </w:rPr>
            </w:pPr>
          </w:p>
        </w:tc>
      </w:tr>
      <w:tr>
        <w:trPr>
          <w:trHeight w:val="158"/>
        </w:trPr>
        <w:tc>
          <w:tcPr>
            <w:tcW w:w="1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March 31, 2012</w:t>
            </w:r>
          </w:p>
        </w:tc>
        <w:tc>
          <w:tcPr>
            <w:tcW w:w="3100" w:type="dxa"/>
            <w:vAlign w:val="bottom"/>
          </w:tcPr>
          <w:p>
            <w:pPr>
              <w:spacing w:after="0"/>
              <w:rPr>
                <w:sz w:val="13"/>
                <w:szCs w:val="13"/>
                <w:color w:val="auto"/>
              </w:rPr>
            </w:pPr>
          </w:p>
        </w:tc>
      </w:tr>
      <w:tr>
        <w:trPr>
          <w:trHeight w:val="181"/>
        </w:trPr>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3100" w:type="dxa"/>
            <w:vAlign w:val="bottom"/>
          </w:tcPr>
          <w:p>
            <w:pPr>
              <w:spacing w:after="0"/>
              <w:rPr>
                <w:sz w:val="15"/>
                <w:szCs w:val="15"/>
                <w:color w:val="auto"/>
              </w:rPr>
            </w:pPr>
          </w:p>
        </w:tc>
      </w:tr>
      <w:tr>
        <w:trPr>
          <w:trHeight w:val="213"/>
        </w:trPr>
        <w:tc>
          <w:tcPr>
            <w:tcW w:w="312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3820" w:type="dxa"/>
            <w:vAlign w:val="bottom"/>
            <w:gridSpan w:val="3"/>
          </w:tcPr>
          <w:p>
            <w:pPr>
              <w:jc w:val="right"/>
              <w:ind w:right="380"/>
              <w:spacing w:after="0"/>
              <w:rPr>
                <w:sz w:val="20"/>
                <w:szCs w:val="20"/>
                <w:color w:val="auto"/>
              </w:rPr>
            </w:pPr>
            <w:r>
              <w:rPr>
                <w:rFonts w:ascii="Arial" w:cs="Arial" w:eastAsia="Arial" w:hAnsi="Arial"/>
                <w:sz w:val="17"/>
                <w:szCs w:val="17"/>
                <w:color w:val="auto"/>
              </w:rPr>
              <w:t>534</w:t>
            </w:r>
          </w:p>
        </w:tc>
        <w:tc>
          <w:tcPr>
            <w:tcW w:w="3100" w:type="dxa"/>
            <w:vAlign w:val="bottom"/>
          </w:tcPr>
          <w:p>
            <w:pPr>
              <w:spacing w:after="0"/>
              <w:rPr>
                <w:sz w:val="18"/>
                <w:szCs w:val="18"/>
                <w:color w:val="auto"/>
              </w:rPr>
            </w:pPr>
          </w:p>
        </w:tc>
      </w:tr>
      <w:tr>
        <w:trPr>
          <w:trHeight w:val="201"/>
        </w:trPr>
        <w:tc>
          <w:tcPr>
            <w:tcW w:w="31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3820" w:type="dxa"/>
            <w:vAlign w:val="bottom"/>
            <w:gridSpan w:val="3"/>
            <w:shd w:val="clear" w:color="auto" w:fill="CCFFCC"/>
          </w:tcPr>
          <w:p>
            <w:pPr>
              <w:jc w:val="right"/>
              <w:ind w:right="340"/>
              <w:spacing w:after="0"/>
              <w:rPr>
                <w:sz w:val="20"/>
                <w:szCs w:val="20"/>
                <w:color w:val="auto"/>
              </w:rPr>
            </w:pPr>
            <w:r>
              <w:rPr>
                <w:rFonts w:ascii="Arial" w:cs="Arial" w:eastAsia="Arial" w:hAnsi="Arial"/>
                <w:sz w:val="17"/>
                <w:szCs w:val="17"/>
                <w:color w:val="auto"/>
              </w:rPr>
              <w:t>(378)</w:t>
            </w:r>
          </w:p>
        </w:tc>
        <w:tc>
          <w:tcPr>
            <w:tcW w:w="3100" w:type="dxa"/>
            <w:vAlign w:val="bottom"/>
          </w:tcPr>
          <w:p>
            <w:pPr>
              <w:spacing w:after="0"/>
              <w:rPr>
                <w:sz w:val="17"/>
                <w:szCs w:val="17"/>
                <w:color w:val="auto"/>
              </w:rPr>
            </w:pPr>
          </w:p>
        </w:tc>
      </w:tr>
      <w:tr>
        <w:trPr>
          <w:trHeight w:val="200"/>
        </w:trPr>
        <w:tc>
          <w:tcPr>
            <w:tcW w:w="312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220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7"/>
                <w:szCs w:val="17"/>
                <w:color w:val="auto"/>
              </w:rPr>
              <w:t>(156)</w:t>
            </w:r>
          </w:p>
        </w:tc>
        <w:tc>
          <w:tcPr>
            <w:tcW w:w="3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1140" w:type="dxa"/>
            <w:vAlign w:val="bottom"/>
            <w:shd w:val="clear" w:color="auto" w:fill="CCFFCC"/>
          </w:tcPr>
          <w:p>
            <w:pPr>
              <w:spacing w:after="0"/>
              <w:rPr>
                <w:sz w:val="16"/>
                <w:szCs w:val="16"/>
                <w:color w:val="auto"/>
              </w:rPr>
            </w:pPr>
          </w:p>
        </w:tc>
        <w:tc>
          <w:tcPr>
            <w:tcW w:w="1980" w:type="dxa"/>
            <w:vAlign w:val="bottom"/>
            <w:shd w:val="clear" w:color="auto" w:fill="CCFFCC"/>
          </w:tcPr>
          <w:p>
            <w:pPr>
              <w:spacing w:after="0"/>
              <w:rPr>
                <w:sz w:val="16"/>
                <w:szCs w:val="16"/>
                <w:color w:val="auto"/>
              </w:rPr>
            </w:pPr>
          </w:p>
        </w:tc>
        <w:tc>
          <w:tcPr>
            <w:tcW w:w="2200" w:type="dxa"/>
            <w:vAlign w:val="bottom"/>
            <w:shd w:val="clear" w:color="auto" w:fill="CCFFCC"/>
          </w:tcPr>
          <w:p>
            <w:pPr>
              <w:spacing w:after="0"/>
              <w:rPr>
                <w:sz w:val="16"/>
                <w:szCs w:val="16"/>
                <w:color w:val="auto"/>
              </w:rPr>
            </w:pPr>
          </w:p>
        </w:tc>
        <w:tc>
          <w:tcPr>
            <w:tcW w:w="1620" w:type="dxa"/>
            <w:vAlign w:val="bottom"/>
            <w:gridSpan w:val="2"/>
            <w:shd w:val="clear" w:color="auto" w:fill="CCFFCC"/>
          </w:tcPr>
          <w:p>
            <w:pPr>
              <w:jc w:val="right"/>
              <w:ind w:right="380"/>
              <w:spacing w:after="0" w:line="193" w:lineRule="exact"/>
              <w:rPr>
                <w:sz w:val="20"/>
                <w:szCs w:val="20"/>
                <w:color w:val="auto"/>
              </w:rPr>
            </w:pPr>
            <w:r>
              <w:rPr>
                <w:rFonts w:ascii="Arial" w:cs="Arial" w:eastAsia="Arial" w:hAnsi="Arial"/>
                <w:sz w:val="17"/>
                <w:szCs w:val="17"/>
                <w:color w:val="auto"/>
              </w:rPr>
              <w:t>—</w:t>
            </w:r>
          </w:p>
        </w:tc>
        <w:tc>
          <w:tcPr>
            <w:tcW w:w="3100" w:type="dxa"/>
            <w:vAlign w:val="bottom"/>
          </w:tcPr>
          <w:p>
            <w:pPr>
              <w:spacing w:after="0"/>
              <w:rPr>
                <w:sz w:val="16"/>
                <w:szCs w:val="16"/>
                <w:color w:val="auto"/>
              </w:rPr>
            </w:pPr>
          </w:p>
        </w:tc>
      </w:tr>
      <w:tr>
        <w:trPr>
          <w:trHeight w:val="719"/>
        </w:trPr>
        <w:tc>
          <w:tcPr>
            <w:tcW w:w="1140" w:type="dxa"/>
            <w:vAlign w:val="bottom"/>
            <w:tcBorders>
              <w:top w:val="single" w:sz="8" w:color="CCFFCC"/>
            </w:tcBorders>
          </w:tcPr>
          <w:p>
            <w:pPr>
              <w:spacing w:after="0"/>
              <w:rPr>
                <w:sz w:val="24"/>
                <w:szCs w:val="24"/>
                <w:color w:val="auto"/>
              </w:rPr>
            </w:pPr>
          </w:p>
        </w:tc>
        <w:tc>
          <w:tcPr>
            <w:tcW w:w="1980" w:type="dxa"/>
            <w:vAlign w:val="bottom"/>
            <w:tcBorders>
              <w:top w:val="single" w:sz="8" w:color="CCFFCC"/>
            </w:tcBorders>
          </w:tcPr>
          <w:p>
            <w:pPr>
              <w:spacing w:after="0"/>
              <w:rPr>
                <w:sz w:val="24"/>
                <w:szCs w:val="24"/>
                <w:color w:val="auto"/>
              </w:rPr>
            </w:pPr>
          </w:p>
        </w:tc>
        <w:tc>
          <w:tcPr>
            <w:tcW w:w="2200" w:type="dxa"/>
            <w:vAlign w:val="bottom"/>
            <w:tcBorders>
              <w:top w:val="single" w:sz="8" w:color="CCFFCC"/>
            </w:tcBorders>
          </w:tcPr>
          <w:p>
            <w:pPr>
              <w:jc w:val="right"/>
              <w:ind w:right="796"/>
              <w:spacing w:after="0"/>
              <w:rPr>
                <w:sz w:val="20"/>
                <w:szCs w:val="20"/>
                <w:color w:val="auto"/>
              </w:rPr>
            </w:pPr>
            <w:r>
              <w:rPr>
                <w:rFonts w:ascii="Arial" w:cs="Arial" w:eastAsia="Arial" w:hAnsi="Arial"/>
                <w:sz w:val="17"/>
                <w:szCs w:val="17"/>
                <w:color w:val="auto"/>
              </w:rPr>
              <w:t>194</w:t>
            </w: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CCFFCC"/>
            </w:tcBorders>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2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-596265</wp:posOffset>
            </wp:positionV>
            <wp:extent cx="44081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408170" cy="825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8" w:name="page209"/>
    <w:bookmarkEnd w:id="20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hanging="250"/>
        <w:spacing w:after="0" w:line="285" w:lineRule="auto"/>
        <w:tabs>
          <w:tab w:leader="none" w:pos="2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three month period ended March 31,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483743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162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2"/>
              </w:rPr>
              <w:t>Three month period ended</w:t>
            </w:r>
          </w:p>
        </w:tc>
        <w:tc>
          <w:tcPr>
            <w:tcW w:w="0" w:type="dxa"/>
            <w:vAlign w:val="bottom"/>
          </w:tcPr>
          <w:p>
            <w:pPr>
              <w:spacing w:after="0"/>
              <w:rPr>
                <w:sz w:val="1"/>
                <w:szCs w:val="1"/>
                <w:color w:val="auto"/>
              </w:rPr>
            </w:pPr>
          </w:p>
        </w:tc>
      </w:tr>
      <w:tr>
        <w:trPr>
          <w:trHeight w:val="158"/>
        </w:trPr>
        <w:tc>
          <w:tcPr>
            <w:tcW w:w="6000" w:type="dxa"/>
            <w:vAlign w:val="bottom"/>
          </w:tcPr>
          <w:p>
            <w:pPr>
              <w:spacing w:after="0"/>
              <w:rPr>
                <w:sz w:val="13"/>
                <w:szCs w:val="13"/>
                <w:color w:val="auto"/>
              </w:rPr>
            </w:pPr>
          </w:p>
        </w:tc>
        <w:tc>
          <w:tcPr>
            <w:tcW w:w="1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5"/>
              </w:rPr>
              <w:t>March 31, 2012</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6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0"/>
              </w:rPr>
              <w:t>($ — in thousands, except</w:t>
            </w:r>
          </w:p>
        </w:tc>
        <w:tc>
          <w:tcPr>
            <w:tcW w:w="0" w:type="dxa"/>
            <w:vAlign w:val="bottom"/>
          </w:tcPr>
          <w:p>
            <w:pPr>
              <w:spacing w:after="0"/>
              <w:rPr>
                <w:sz w:val="1"/>
                <w:szCs w:val="1"/>
                <w:color w:val="auto"/>
              </w:rPr>
            </w:pPr>
          </w:p>
        </w:tc>
      </w:tr>
      <w:tr>
        <w:trPr>
          <w:trHeight w:val="173"/>
        </w:trPr>
        <w:tc>
          <w:tcPr>
            <w:tcW w:w="6000" w:type="dxa"/>
            <w:vAlign w:val="bottom"/>
            <w:vMerge w:val="restart"/>
          </w:tcPr>
          <w:p>
            <w:pPr>
              <w:spacing w:after="0"/>
              <w:rPr>
                <w:sz w:val="20"/>
                <w:szCs w:val="20"/>
                <w:color w:val="auto"/>
              </w:rPr>
            </w:pPr>
            <w:r>
              <w:rPr>
                <w:rFonts w:ascii="Arial" w:cs="Arial" w:eastAsia="Arial" w:hAnsi="Arial"/>
                <w:sz w:val="17"/>
                <w:szCs w:val="17"/>
                <w:b w:val="1"/>
                <w:bCs w:val="1"/>
                <w:color w:val="auto"/>
              </w:rPr>
              <w:t>Numerator:</w:t>
            </w: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share and per share data)</w:t>
            </w:r>
          </w:p>
        </w:tc>
        <w:tc>
          <w:tcPr>
            <w:tcW w:w="0" w:type="dxa"/>
            <w:vAlign w:val="bottom"/>
          </w:tcPr>
          <w:p>
            <w:pPr>
              <w:spacing w:after="0"/>
              <w:rPr>
                <w:sz w:val="1"/>
                <w:szCs w:val="1"/>
                <w:color w:val="auto"/>
              </w:rPr>
            </w:pPr>
          </w:p>
        </w:tc>
      </w:tr>
      <w:tr>
        <w:trPr>
          <w:trHeight w:val="185"/>
        </w:trPr>
        <w:tc>
          <w:tcPr>
            <w:tcW w:w="60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00" w:type="dxa"/>
            <w:vAlign w:val="bottom"/>
            <w:shd w:val="clear" w:color="auto" w:fill="CCFFCC"/>
          </w:tcPr>
          <w:p>
            <w:pPr>
              <w:spacing w:after="0"/>
              <w:rPr>
                <w:sz w:val="20"/>
                <w:szCs w:val="20"/>
                <w:color w:val="auto"/>
              </w:rPr>
            </w:pPr>
            <w:r>
              <w:rPr>
                <w:rFonts w:ascii="Arial" w:cs="Arial" w:eastAsia="Arial" w:hAnsi="Arial"/>
                <w:sz w:val="17"/>
                <w:szCs w:val="17"/>
                <w:color w:val="auto"/>
              </w:rPr>
              <w:t>Net loss attributable to common stock shares (basic and diluted):</w:t>
            </w: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(7,970)</w:t>
            </w:r>
          </w:p>
        </w:tc>
        <w:tc>
          <w:tcPr>
            <w:tcW w:w="0" w:type="dxa"/>
            <w:vAlign w:val="bottom"/>
          </w:tcPr>
          <w:p>
            <w:pPr>
              <w:spacing w:after="0"/>
              <w:rPr>
                <w:sz w:val="1"/>
                <w:szCs w:val="1"/>
                <w:color w:val="auto"/>
              </w:rPr>
            </w:pPr>
          </w:p>
        </w:tc>
      </w:tr>
      <w:tr>
        <w:trPr>
          <w:trHeight w:val="200"/>
        </w:trPr>
        <w:tc>
          <w:tcPr>
            <w:tcW w:w="6000" w:type="dxa"/>
            <w:vAlign w:val="bottom"/>
          </w:tcPr>
          <w:p>
            <w:pPr>
              <w:spacing w:after="0"/>
              <w:rPr>
                <w:sz w:val="20"/>
                <w:szCs w:val="20"/>
                <w:color w:val="auto"/>
              </w:rPr>
            </w:pPr>
            <w:r>
              <w:rPr>
                <w:rFonts w:ascii="Arial" w:cs="Arial" w:eastAsia="Arial" w:hAnsi="Arial"/>
                <w:sz w:val="17"/>
                <w:szCs w:val="17"/>
                <w:b w:val="1"/>
                <w:bCs w:val="1"/>
                <w:color w:val="auto"/>
              </w:rPr>
              <w:t>Denominator: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0" w:type="dxa"/>
            <w:vAlign w:val="bottom"/>
            <w:shd w:val="clear" w:color="auto" w:fill="CCFFCC"/>
          </w:tcPr>
          <w:p>
            <w:pPr>
              <w:spacing w:after="0"/>
              <w:rPr>
                <w:sz w:val="20"/>
                <w:szCs w:val="20"/>
                <w:color w:val="auto"/>
              </w:rPr>
            </w:pPr>
            <w:r>
              <w:rPr>
                <w:rFonts w:ascii="Arial" w:cs="Arial" w:eastAsia="Arial" w:hAnsi="Arial"/>
                <w:sz w:val="17"/>
                <w:szCs w:val="17"/>
                <w:color w:val="auto"/>
              </w:rPr>
              <w:t>Weighted average of Vringo common stock shares, outstanding for the period:</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12,371,472</w:t>
            </w:r>
          </w:p>
        </w:tc>
        <w:tc>
          <w:tcPr>
            <w:tcW w:w="0" w:type="dxa"/>
            <w:vAlign w:val="bottom"/>
          </w:tcPr>
          <w:p>
            <w:pPr>
              <w:spacing w:after="0"/>
              <w:rPr>
                <w:sz w:val="1"/>
                <w:szCs w:val="1"/>
                <w:color w:val="auto"/>
              </w:rPr>
            </w:pPr>
          </w:p>
        </w:tc>
      </w:tr>
      <w:tr>
        <w:trPr>
          <w:trHeight w:val="188"/>
        </w:trPr>
        <w:tc>
          <w:tcPr>
            <w:tcW w:w="6000" w:type="dxa"/>
            <w:vAlign w:val="bottom"/>
          </w:tcPr>
          <w:p>
            <w:pPr>
              <w:spacing w:after="0" w:line="188" w:lineRule="exact"/>
              <w:rPr>
                <w:sz w:val="20"/>
                <w:szCs w:val="20"/>
                <w:color w:val="auto"/>
              </w:rPr>
            </w:pPr>
            <w:r>
              <w:rPr>
                <w:rFonts w:ascii="Arial" w:cs="Arial" w:eastAsia="Arial" w:hAnsi="Arial"/>
                <w:sz w:val="17"/>
                <w:szCs w:val="17"/>
                <w:color w:val="auto"/>
                <w:w w:val="94"/>
              </w:rPr>
              <w:t>Weighted average of Vringo common stock shares issued to former Innovate/Protect</w:t>
            </w:r>
          </w:p>
        </w:tc>
        <w:tc>
          <w:tcPr>
            <w:tcW w:w="1620" w:type="dxa"/>
            <w:vAlign w:val="bottom"/>
            <w:gridSpan w:val="2"/>
          </w:tcPr>
          <w:p>
            <w:pPr>
              <w:jc w:val="right"/>
              <w:ind w:right="200"/>
              <w:spacing w:after="0" w:line="188" w:lineRule="exact"/>
              <w:rPr>
                <w:sz w:val="20"/>
                <w:szCs w:val="20"/>
                <w:color w:val="auto"/>
              </w:rPr>
            </w:pPr>
            <w:r>
              <w:rPr>
                <w:rFonts w:ascii="Arial" w:cs="Arial" w:eastAsia="Arial" w:hAnsi="Arial"/>
                <w:sz w:val="17"/>
                <w:szCs w:val="17"/>
                <w:color w:val="auto"/>
              </w:rPr>
              <w:t>18,113,169</w:t>
            </w:r>
          </w:p>
        </w:tc>
        <w:tc>
          <w:tcPr>
            <w:tcW w:w="0" w:type="dxa"/>
            <w:vAlign w:val="bottom"/>
          </w:tcPr>
          <w:p>
            <w:pPr>
              <w:spacing w:after="0"/>
              <w:rPr>
                <w:sz w:val="1"/>
                <w:szCs w:val="1"/>
                <w:color w:val="auto"/>
              </w:rPr>
            </w:pPr>
          </w:p>
        </w:tc>
      </w:tr>
      <w:tr>
        <w:trPr>
          <w:trHeight w:val="213"/>
        </w:trPr>
        <w:tc>
          <w:tcPr>
            <w:tcW w:w="6000" w:type="dxa"/>
            <w:vAlign w:val="bottom"/>
          </w:tcPr>
          <w:p>
            <w:pPr>
              <w:ind w:left="160"/>
              <w:spacing w:after="0"/>
              <w:rPr>
                <w:sz w:val="20"/>
                <w:szCs w:val="20"/>
                <w:color w:val="auto"/>
              </w:rPr>
            </w:pPr>
            <w:r>
              <w:rPr>
                <w:rFonts w:ascii="Arial" w:cs="Arial" w:eastAsia="Arial" w:hAnsi="Arial"/>
                <w:sz w:val="17"/>
                <w:szCs w:val="17"/>
                <w:color w:val="auto"/>
              </w:rPr>
              <w:t>stockholders, outstanding for the period:</w:t>
            </w:r>
          </w:p>
        </w:tc>
        <w:tc>
          <w:tcPr>
            <w:tcW w:w="1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00" w:type="dxa"/>
            <w:vAlign w:val="bottom"/>
            <w:shd w:val="clear" w:color="auto" w:fill="CCFFCC"/>
          </w:tcPr>
          <w:p>
            <w:pPr>
              <w:spacing w:after="0" w:line="194" w:lineRule="exact"/>
              <w:rPr>
                <w:sz w:val="20"/>
                <w:szCs w:val="20"/>
                <w:color w:val="auto"/>
              </w:rPr>
            </w:pPr>
            <w:r>
              <w:rPr>
                <w:rFonts w:ascii="Arial" w:cs="Arial" w:eastAsia="Arial" w:hAnsi="Arial"/>
                <w:sz w:val="17"/>
                <w:szCs w:val="17"/>
                <w:color w:val="auto"/>
              </w:rPr>
              <w:t>Total common stock shares outstanding, after the Merger:</w:t>
            </w:r>
          </w:p>
        </w:tc>
        <w:tc>
          <w:tcPr>
            <w:tcW w:w="1620" w:type="dxa"/>
            <w:vAlign w:val="bottom"/>
            <w:gridSpan w:val="2"/>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30,484,641</w:t>
            </w:r>
          </w:p>
        </w:tc>
        <w:tc>
          <w:tcPr>
            <w:tcW w:w="0" w:type="dxa"/>
            <w:vAlign w:val="bottom"/>
          </w:tcPr>
          <w:p>
            <w:pPr>
              <w:spacing w:after="0"/>
              <w:rPr>
                <w:sz w:val="1"/>
                <w:szCs w:val="1"/>
                <w:color w:val="auto"/>
              </w:rPr>
            </w:pPr>
          </w:p>
        </w:tc>
      </w:tr>
      <w:tr>
        <w:trPr>
          <w:trHeight w:val="20"/>
        </w:trPr>
        <w:tc>
          <w:tcPr>
            <w:tcW w:w="600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00" w:type="dxa"/>
            <w:vAlign w:val="bottom"/>
          </w:tcPr>
          <w:p>
            <w:pPr>
              <w:spacing w:after="0" w:line="193" w:lineRule="exact"/>
              <w:rPr>
                <w:sz w:val="20"/>
                <w:szCs w:val="20"/>
                <w:color w:val="auto"/>
              </w:rPr>
            </w:pPr>
            <w:r>
              <w:rPr>
                <w:rFonts w:ascii="Arial" w:cs="Arial" w:eastAsia="Arial" w:hAnsi="Arial"/>
                <w:sz w:val="17"/>
                <w:szCs w:val="17"/>
                <w:color w:val="auto"/>
              </w:rPr>
              <w:t>Basic and diluted net losses per share of common stock:</w:t>
            </w:r>
          </w:p>
        </w:tc>
        <w:tc>
          <w:tcPr>
            <w:tcW w:w="16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4837430" cy="1435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837430" cy="143510"/>
                    </a:xfrm>
                    <a:prstGeom prst="rect">
                      <a:avLst/>
                    </a:prstGeom>
                    <a:noFill/>
                  </pic:spPr>
                </pic:pic>
              </a:graphicData>
            </a:graphic>
          </wp:anchor>
        </w:drawing>
      </w:r>
    </w:p>
    <w:p>
      <w:pPr>
        <w:spacing w:after="0" w:line="68" w:lineRule="exact"/>
        <w:rPr>
          <w:sz w:val="20"/>
          <w:szCs w:val="20"/>
          <w:color w:val="auto"/>
        </w:rPr>
      </w:pPr>
    </w:p>
    <w:p>
      <w:pPr>
        <w:ind w:left="260" w:right="1239" w:hanging="250"/>
        <w:spacing w:after="0" w:line="267" w:lineRule="auto"/>
        <w:tabs>
          <w:tab w:leader="none" w:pos="2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This adjustment represents direct, incremental costs of this Merger, which were not yet reflected in the historical financial statements of either company. These costs include mainly legal, accounting and filing fees.</w:t>
      </w:r>
    </w:p>
    <w:p>
      <w:pPr>
        <w:spacing w:after="0" w:line="66" w:lineRule="exact"/>
        <w:rPr>
          <w:rFonts w:ascii="Arial" w:cs="Arial" w:eastAsia="Arial" w:hAnsi="Arial"/>
          <w:sz w:val="17"/>
          <w:szCs w:val="17"/>
          <w:color w:val="auto"/>
        </w:rPr>
      </w:pPr>
    </w:p>
    <w:p>
      <w:pPr>
        <w:jc w:val="both"/>
        <w:ind w:left="260" w:right="1239" w:hanging="250"/>
        <w:spacing w:after="0" w:line="285" w:lineRule="auto"/>
        <w:tabs>
          <w:tab w:leader="none" w:pos="2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According to the Merger Agreement, Vringo will grant former Innovate/Protect stockholders 16,809,838 warrants, at an exercise price of $1.76. 8,741,116 of these warrants bear down-round protection clauses; as a result, they will be classified as a long term derivative liability and recorded at fair value. Fair value, in the total amount of $21.7 million, was calculated using the Black-Scholes-Merton and the Monte-Carlo models, using the following assumptions: 77.96% expected volatility, a risk-free interest rate of 0.77%, estimated life of 5 years and no dividend yield. The fair value of our common stock, used for this valuation, was $3.39.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61" w:lineRule="exact"/>
        <w:rPr>
          <w:rFonts w:ascii="Arial" w:cs="Arial" w:eastAsia="Arial" w:hAnsi="Arial"/>
          <w:sz w:val="15"/>
          <w:szCs w:val="15"/>
          <w:color w:val="auto"/>
        </w:rPr>
      </w:pPr>
    </w:p>
    <w:p>
      <w:pPr>
        <w:jc w:val="both"/>
        <w:ind w:left="260" w:right="1239" w:hanging="250"/>
        <w:spacing w:after="0" w:line="251" w:lineRule="auto"/>
        <w:tabs>
          <w:tab w:leader="none" w:pos="2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0" w:lineRule="exact"/>
        <w:rPr>
          <w:sz w:val="20"/>
          <w:szCs w:val="20"/>
          <w:color w:val="auto"/>
        </w:rPr>
      </w:pPr>
    </w:p>
    <w:p>
      <w:pPr>
        <w:jc w:val="both"/>
        <w:ind w:left="300" w:right="1239"/>
        <w:spacing w:after="0" w:line="266" w:lineRule="auto"/>
        <w:rPr>
          <w:sz w:val="20"/>
          <w:szCs w:val="20"/>
          <w:color w:val="auto"/>
        </w:rPr>
      </w:pPr>
      <w:r>
        <w:rPr>
          <w:rFonts w:ascii="Arial" w:cs="Arial" w:eastAsia="Arial" w:hAnsi="Arial"/>
          <w:sz w:val="16"/>
          <w:szCs w:val="16"/>
          <w:color w:val="auto"/>
        </w:rPr>
        <w:t>The 6,818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$1,761 thousand, was cancelled, as, according to GAAP, these pro forma consolidated financial statements will only include the 6,818 Series A Convertible Preferred stock, presented at par value.</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9" w:name="page210"/>
    <w:bookmarkEnd w:id="20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hanging="250"/>
        <w:spacing w:after="0" w:line="256" w:lineRule="auto"/>
        <w:tabs>
          <w:tab w:leader="none" w:pos="2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44081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5320" w:type="dxa"/>
            <w:vAlign w:val="bottom"/>
          </w:tcPr>
          <w:p>
            <w:pPr>
              <w:spacing w:after="0"/>
              <w:rPr>
                <w:sz w:val="12"/>
                <w:szCs w:val="12"/>
                <w:color w:val="auto"/>
              </w:rPr>
            </w:pPr>
          </w:p>
        </w:tc>
        <w:tc>
          <w:tcPr>
            <w:tcW w:w="1620" w:type="dxa"/>
            <w:vAlign w:val="bottom"/>
            <w:gridSpan w:val="2"/>
          </w:tcPr>
          <w:p>
            <w:pPr>
              <w:jc w:val="right"/>
              <w:ind w:right="660"/>
              <w:spacing w:after="0" w:line="144" w:lineRule="exact"/>
              <w:rPr>
                <w:sz w:val="20"/>
                <w:szCs w:val="20"/>
                <w:color w:val="auto"/>
              </w:rPr>
            </w:pPr>
            <w:r>
              <w:rPr>
                <w:rFonts w:ascii="Arial" w:cs="Arial" w:eastAsia="Arial" w:hAnsi="Arial"/>
                <w:sz w:val="13"/>
                <w:szCs w:val="13"/>
                <w:b w:val="1"/>
                <w:bCs w:val="1"/>
                <w:color w:val="auto"/>
              </w:rPr>
              <w:t>As of</w:t>
            </w:r>
          </w:p>
        </w:tc>
      </w:tr>
      <w:tr>
        <w:trPr>
          <w:trHeight w:val="158"/>
        </w:trPr>
        <w:tc>
          <w:tcPr>
            <w:tcW w:w="5320" w:type="dxa"/>
            <w:vAlign w:val="bottom"/>
          </w:tcPr>
          <w:p>
            <w:pPr>
              <w:spacing w:after="0"/>
              <w:rPr>
                <w:sz w:val="13"/>
                <w:szCs w:val="13"/>
                <w:color w:val="auto"/>
              </w:rPr>
            </w:pPr>
          </w:p>
        </w:tc>
        <w:tc>
          <w:tcPr>
            <w:tcW w:w="16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March 31, 2012</w:t>
            </w:r>
          </w:p>
        </w:tc>
      </w:tr>
      <w:tr>
        <w:trPr>
          <w:trHeight w:val="193"/>
        </w:trPr>
        <w:tc>
          <w:tcPr>
            <w:tcW w:w="53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Vringo common stock outstanding as of March 31, 2012</w:t>
            </w:r>
          </w:p>
        </w:tc>
        <w:tc>
          <w:tcPr>
            <w:tcW w:w="16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13,866,423</w:t>
            </w:r>
          </w:p>
        </w:tc>
      </w:tr>
      <w:tr>
        <w:trPr>
          <w:trHeight w:val="200"/>
        </w:trPr>
        <w:tc>
          <w:tcPr>
            <w:tcW w:w="5320" w:type="dxa"/>
            <w:vAlign w:val="bottom"/>
          </w:tcPr>
          <w:p>
            <w:pPr>
              <w:spacing w:after="0"/>
              <w:rPr>
                <w:sz w:val="20"/>
                <w:szCs w:val="20"/>
                <w:color w:val="auto"/>
              </w:rPr>
            </w:pPr>
            <w:r>
              <w:rPr>
                <w:rFonts w:ascii="Arial" w:cs="Arial" w:eastAsia="Arial" w:hAnsi="Arial"/>
                <w:sz w:val="17"/>
                <w:szCs w:val="17"/>
                <w:color w:val="auto"/>
              </w:rPr>
              <w:t>Vringo common stock issued to former Innovate/Protect stockholders</w:t>
            </w: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18,113,169</w:t>
            </w:r>
          </w:p>
        </w:tc>
      </w:tr>
      <w:tr>
        <w:trPr>
          <w:trHeight w:val="20"/>
        </w:trPr>
        <w:tc>
          <w:tcPr>
            <w:tcW w:w="5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53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Total common stock outstanding, pursuant to the Merger</w:t>
            </w:r>
          </w:p>
        </w:tc>
        <w:tc>
          <w:tcPr>
            <w:tcW w:w="16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31,979,592</w:t>
            </w:r>
          </w:p>
        </w:tc>
      </w:tr>
      <w:tr>
        <w:trPr>
          <w:trHeight w:val="20"/>
        </w:trPr>
        <w:tc>
          <w:tcPr>
            <w:tcW w:w="532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44081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68" w:lineRule="exact"/>
        <w:rPr>
          <w:sz w:val="20"/>
          <w:szCs w:val="20"/>
          <w:color w:val="auto"/>
        </w:rPr>
      </w:pPr>
    </w:p>
    <w:p>
      <w:pPr>
        <w:jc w:val="both"/>
        <w:ind w:left="260" w:right="1239" w:hanging="250"/>
        <w:spacing w:after="0" w:line="267" w:lineRule="auto"/>
        <w:tabs>
          <w:tab w:leader="none" w:pos="2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$4,626 thousand, plus adjustments reflected in Note 4. Vringo’s historical deficit, in the total amount of $43,190 thousand, will be cancelled upon consolidation. Finally, an adjustment to additional paid-in capital, in the total amount of $15,237 thousand was recorded, in order to adjust the total consolidated equity, as per the abovementioned GAAP requirements.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Unaudited Pro Forma Consolidated Statement of Operations, for the period from June 8, 2011 (date of inception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Innovate/Protect)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056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4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48"/>
        </w:trPr>
        <w:tc>
          <w:tcPr>
            <w:tcW w:w="1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00" w:type="dxa"/>
            <w:vAlign w:val="bottom"/>
          </w:tcPr>
          <w:p>
            <w:pPr>
              <w:spacing w:after="0" w:line="148" w:lineRule="exact"/>
              <w:rPr>
                <w:sz w:val="20"/>
                <w:szCs w:val="20"/>
                <w:color w:val="auto"/>
              </w:rPr>
            </w:pPr>
            <w:r>
              <w:rPr>
                <w:rFonts w:ascii="Arial" w:cs="Arial" w:eastAsia="Arial" w:hAnsi="Arial"/>
                <w:sz w:val="13"/>
                <w:szCs w:val="13"/>
                <w:b w:val="1"/>
                <w:bCs w:val="1"/>
                <w:color w:val="auto"/>
                <w:w w:val="84"/>
              </w:rPr>
              <w:t>Innovate/Protect</w:t>
            </w:r>
          </w:p>
        </w:tc>
        <w:tc>
          <w:tcPr>
            <w:tcW w:w="12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b w:val="1"/>
                <w:bCs w:val="1"/>
                <w:color w:val="auto"/>
              </w:rPr>
              <w:t>Vringo</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2"/>
                <w:szCs w:val="12"/>
                <w:color w:val="auto"/>
              </w:rPr>
            </w:pPr>
          </w:p>
        </w:tc>
        <w:tc>
          <w:tcPr>
            <w:tcW w:w="50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w w:val="99"/>
              </w:rPr>
              <w:t>Notes</w:t>
            </w: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Pro Forma</w:t>
            </w:r>
          </w:p>
        </w:tc>
        <w:tc>
          <w:tcPr>
            <w:tcW w:w="2480" w:type="dxa"/>
            <w:vAlign w:val="bottom"/>
          </w:tcPr>
          <w:p>
            <w:pPr>
              <w:spacing w:after="0"/>
              <w:rPr>
                <w:sz w:val="12"/>
                <w:szCs w:val="12"/>
                <w:color w:val="auto"/>
              </w:rPr>
            </w:pPr>
          </w:p>
        </w:tc>
      </w:tr>
      <w:tr>
        <w:trPr>
          <w:trHeight w:val="158"/>
        </w:trPr>
        <w:tc>
          <w:tcPr>
            <w:tcW w:w="1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93"/>
              </w:rPr>
              <w:t>adjustments</w:t>
            </w: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consolidated</w:t>
            </w:r>
          </w:p>
        </w:tc>
        <w:tc>
          <w:tcPr>
            <w:tcW w:w="2480" w:type="dxa"/>
            <w:vAlign w:val="bottom"/>
          </w:tcPr>
          <w:p>
            <w:pPr>
              <w:spacing w:after="0"/>
              <w:rPr>
                <w:sz w:val="13"/>
                <w:szCs w:val="13"/>
                <w:color w:val="auto"/>
              </w:rPr>
            </w:pPr>
          </w:p>
        </w:tc>
      </w:tr>
      <w:tr>
        <w:trPr>
          <w:trHeight w:val="188"/>
        </w:trPr>
        <w:tc>
          <w:tcPr>
            <w:tcW w:w="11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80" w:type="dxa"/>
            <w:vAlign w:val="bottom"/>
            <w:gridSpan w:val="9"/>
          </w:tcPr>
          <w:p>
            <w:pPr>
              <w:ind w:left="540"/>
              <w:spacing w:after="0"/>
              <w:rPr>
                <w:sz w:val="20"/>
                <w:szCs w:val="20"/>
                <w:color w:val="auto"/>
              </w:rPr>
            </w:pPr>
            <w:r>
              <w:rPr>
                <w:rFonts w:ascii="Arial" w:cs="Arial" w:eastAsia="Arial" w:hAnsi="Arial"/>
                <w:sz w:val="13"/>
                <w:szCs w:val="13"/>
                <w:b w:val="1"/>
                <w:bCs w:val="1"/>
                <w:color w:val="auto"/>
              </w:rPr>
              <w:t>($ — in thousands, except share and per share data)</w:t>
            </w:r>
          </w:p>
        </w:tc>
        <w:tc>
          <w:tcPr>
            <w:tcW w:w="2480" w:type="dxa"/>
            <w:vAlign w:val="bottom"/>
          </w:tcPr>
          <w:p>
            <w:pPr>
              <w:spacing w:after="0"/>
              <w:rPr>
                <w:sz w:val="16"/>
                <w:szCs w:val="16"/>
                <w:color w:val="auto"/>
              </w:rPr>
            </w:pPr>
          </w:p>
        </w:tc>
      </w:tr>
      <w:tr>
        <w:trPr>
          <w:trHeight w:val="206"/>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415</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415</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0"/>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1,026</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1</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1,132</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Operating legal costs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1,102</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1,102</w:t>
            </w:r>
          </w:p>
        </w:tc>
        <w:tc>
          <w:tcPr>
            <w:tcW w:w="2480" w:type="dxa"/>
            <w:vAlign w:val="bottom"/>
          </w:tcPr>
          <w:p>
            <w:pPr>
              <w:spacing w:after="0"/>
              <w:rPr>
                <w:sz w:val="17"/>
                <w:szCs w:val="17"/>
                <w:color w:val="auto"/>
              </w:rPr>
            </w:pPr>
          </w:p>
        </w:tc>
      </w:tr>
      <w:tr>
        <w:trPr>
          <w:trHeight w:val="200"/>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997</w:t>
            </w:r>
          </w:p>
        </w:tc>
        <w:tc>
          <w:tcPr>
            <w:tcW w:w="120" w:type="dxa"/>
            <w:vAlign w:val="bottom"/>
            <w:tcBorders>
              <w:left w:val="single" w:sz="8" w:color="CCFFCC"/>
            </w:tcBorders>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(997)</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328</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(328)</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80" w:type="dxa"/>
            <w:vAlign w:val="bottom"/>
          </w:tcPr>
          <w:p>
            <w:pPr>
              <w:spacing w:after="0"/>
              <w:rPr>
                <w:sz w:val="17"/>
                <w:szCs w:val="17"/>
                <w:color w:val="auto"/>
              </w:rPr>
            </w:pPr>
          </w:p>
        </w:tc>
      </w:tr>
      <w:tr>
        <w:trPr>
          <w:trHeight w:val="200"/>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Startup and capital acquisition costs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120" w:type="dxa"/>
            <w:vAlign w:val="bottom"/>
            <w:tcBorders>
              <w:left w:val="single" w:sz="8" w:color="CCFFCC"/>
            </w:tcBorders>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(106)</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1,171</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1,171</w:t>
            </w:r>
          </w:p>
        </w:tc>
        <w:tc>
          <w:tcPr>
            <w:tcW w:w="2480" w:type="dxa"/>
            <w:vAlign w:val="bottom"/>
          </w:tcPr>
          <w:p>
            <w:pPr>
              <w:spacing w:after="0"/>
              <w:rPr>
                <w:sz w:val="17"/>
                <w:szCs w:val="17"/>
                <w:color w:val="auto"/>
              </w:rPr>
            </w:pPr>
          </w:p>
        </w:tc>
      </w:tr>
      <w:tr>
        <w:trPr>
          <w:trHeight w:val="200"/>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Marketing</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1,084</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1,084</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213</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1,610</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1,431</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3,254</w:t>
            </w:r>
          </w:p>
        </w:tc>
        <w:tc>
          <w:tcPr>
            <w:tcW w:w="24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3"/>
        </w:trPr>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2,746</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3,971</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1,106</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7,743</w:t>
            </w:r>
          </w:p>
        </w:tc>
        <w:tc>
          <w:tcPr>
            <w:tcW w:w="2480" w:type="dxa"/>
            <w:vAlign w:val="bottom"/>
            <w:tcBorders>
              <w:left w:val="single" w:sz="8" w:color="CCFFCC"/>
            </w:tcBorders>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Borders>
              <w:left w:val="single" w:sz="8" w:color="CCFFCC"/>
            </w:tcBorders>
          </w:tcPr>
          <w:p>
            <w:pPr>
              <w:spacing w:after="0" w:line="20" w:lineRule="exact"/>
              <w:rPr>
                <w:sz w:val="1"/>
                <w:szCs w:val="1"/>
                <w:color w:val="auto"/>
              </w:rPr>
            </w:pPr>
          </w:p>
        </w:tc>
      </w:tr>
      <w:tr>
        <w:trPr>
          <w:trHeight w:val="193"/>
        </w:trPr>
        <w:tc>
          <w:tcPr>
            <w:tcW w:w="358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(2,746)</w:t>
            </w:r>
          </w:p>
        </w:tc>
        <w:tc>
          <w:tcPr>
            <w:tcW w:w="840" w:type="dxa"/>
            <w:vAlign w:val="bottom"/>
            <w:gridSpan w:val="2"/>
          </w:tcPr>
          <w:p>
            <w:pPr>
              <w:jc w:val="right"/>
              <w:spacing w:after="0" w:line="193" w:lineRule="exact"/>
              <w:rPr>
                <w:sz w:val="20"/>
                <w:szCs w:val="20"/>
                <w:color w:val="auto"/>
              </w:rPr>
            </w:pPr>
            <w:r>
              <w:rPr>
                <w:rFonts w:ascii="Arial" w:cs="Arial" w:eastAsia="Arial" w:hAnsi="Arial"/>
                <w:sz w:val="17"/>
                <w:szCs w:val="17"/>
                <w:b w:val="1"/>
                <w:bCs w:val="1"/>
                <w:color w:val="auto"/>
              </w:rPr>
              <w:t>(3,556)</w:t>
            </w:r>
          </w:p>
        </w:tc>
        <w:tc>
          <w:tcPr>
            <w:tcW w:w="860" w:type="dxa"/>
            <w:vAlign w:val="bottom"/>
            <w:gridSpan w:val="3"/>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(7,328)</w:t>
            </w:r>
          </w:p>
        </w:tc>
        <w:tc>
          <w:tcPr>
            <w:tcW w:w="24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3"/>
        </w:trPr>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Non-operating income (expense)</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13</w:t>
            </w:r>
          </w:p>
        </w:tc>
        <w:tc>
          <w:tcPr>
            <w:tcW w:w="100" w:type="dxa"/>
            <w:vAlign w:val="bottom"/>
            <w:tcBorders>
              <w:left w:val="single" w:sz="8" w:color="CCFFCC"/>
            </w:tcBorders>
            <w:shd w:val="clear" w:color="auto" w:fill="CCFFCC"/>
          </w:tcPr>
          <w:p>
            <w:pPr>
              <w:spacing w:after="0"/>
              <w:rPr>
                <w:sz w:val="16"/>
                <w:szCs w:val="16"/>
                <w:color w:val="auto"/>
              </w:rPr>
            </w:pPr>
          </w:p>
        </w:tc>
        <w:tc>
          <w:tcPr>
            <w:tcW w:w="76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5</w:t>
            </w:r>
          </w:p>
        </w:tc>
        <w:tc>
          <w:tcPr>
            <w:tcW w:w="2480" w:type="dxa"/>
            <w:vAlign w:val="bottom"/>
            <w:tcBorders>
              <w:left w:val="single" w:sz="8" w:color="CCFFCC"/>
            </w:tcBorders>
          </w:tcPr>
          <w:p>
            <w:pPr>
              <w:spacing w:after="0"/>
              <w:rPr>
                <w:sz w:val="16"/>
                <w:szCs w:val="16"/>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w w:val="93"/>
              </w:rPr>
              <w:t>Interest and amortization of debt discount expense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(1,324)</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(1,324)</w:t>
            </w:r>
          </w:p>
        </w:tc>
        <w:tc>
          <w:tcPr>
            <w:tcW w:w="2480" w:type="dxa"/>
            <w:vAlign w:val="bottom"/>
          </w:tcPr>
          <w:p>
            <w:pPr>
              <w:spacing w:after="0"/>
              <w:rPr>
                <w:sz w:val="17"/>
                <w:szCs w:val="17"/>
                <w:color w:val="auto"/>
              </w:rPr>
            </w:pPr>
          </w:p>
        </w:tc>
      </w:tr>
      <w:tr>
        <w:trPr>
          <w:trHeight w:val="200"/>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Loss on revaluation of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(934)</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(934)</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Gain on restructuring of venture loan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963</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963</w:t>
            </w:r>
          </w:p>
        </w:tc>
        <w:tc>
          <w:tcPr>
            <w:tcW w:w="24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3"/>
        </w:trPr>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Loss before income taxes: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(4,838)</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(8,618)</w:t>
            </w:r>
          </w:p>
        </w:tc>
        <w:tc>
          <w:tcPr>
            <w:tcW w:w="2480" w:type="dxa"/>
            <w:vAlign w:val="bottom"/>
            <w:tcBorders>
              <w:left w:val="single" w:sz="8" w:color="CCFFCC"/>
            </w:tcBorders>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Borders>
              <w:left w:val="single" w:sz="8" w:color="CCFFCC"/>
            </w:tcBorders>
          </w:tcPr>
          <w:p>
            <w:pPr>
              <w:spacing w:after="0" w:line="20" w:lineRule="exact"/>
              <w:rPr>
                <w:sz w:val="1"/>
                <w:szCs w:val="1"/>
                <w:color w:val="auto"/>
              </w:rPr>
            </w:pPr>
          </w:p>
        </w:tc>
      </w:tr>
      <w:tr>
        <w:trPr>
          <w:trHeight w:val="193"/>
        </w:trPr>
        <w:tc>
          <w:tcPr>
            <w:tcW w:w="3580" w:type="dxa"/>
            <w:vAlign w:val="bottom"/>
            <w:gridSpan w:val="2"/>
          </w:tcPr>
          <w:p>
            <w:pPr>
              <w:spacing w:after="0" w:line="193" w:lineRule="exact"/>
              <w:rPr>
                <w:sz w:val="20"/>
                <w:szCs w:val="20"/>
                <w:color w:val="auto"/>
              </w:rPr>
            </w:pPr>
            <w:r>
              <w:rPr>
                <w:rFonts w:ascii="Arial" w:cs="Arial" w:eastAsia="Arial" w:hAnsi="Arial"/>
                <w:sz w:val="17"/>
                <w:szCs w:val="17"/>
                <w:color w:val="auto"/>
              </w:rPr>
              <w:t>Income taxes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line="193" w:lineRule="exact"/>
              <w:rPr>
                <w:sz w:val="20"/>
                <w:szCs w:val="20"/>
                <w:color w:val="auto"/>
              </w:rPr>
            </w:pPr>
            <w:r>
              <w:rPr>
                <w:rFonts w:ascii="Arial" w:cs="Arial" w:eastAsia="Arial" w:hAnsi="Arial"/>
                <w:sz w:val="17"/>
                <w:szCs w:val="17"/>
                <w:b w:val="1"/>
                <w:bCs w:val="1"/>
                <w:color w:val="auto"/>
              </w:rPr>
              <w:t>(61)</w:t>
            </w: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(61)</w:t>
            </w:r>
          </w:p>
        </w:tc>
        <w:tc>
          <w:tcPr>
            <w:tcW w:w="24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3"/>
        </w:trPr>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(4,899)</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(8,679)</w:t>
            </w:r>
          </w:p>
        </w:tc>
        <w:tc>
          <w:tcPr>
            <w:tcW w:w="2480" w:type="dxa"/>
            <w:vAlign w:val="bottom"/>
            <w:tcBorders>
              <w:left w:val="single" w:sz="8" w:color="CCFFCC"/>
            </w:tcBorders>
          </w:tcPr>
          <w:p>
            <w:pPr>
              <w:spacing w:after="0"/>
              <w:rPr>
                <w:sz w:val="18"/>
                <w:szCs w:val="18"/>
                <w:color w:val="auto"/>
              </w:rPr>
            </w:pPr>
          </w:p>
        </w:tc>
      </w:tr>
      <w:tr>
        <w:trPr>
          <w:trHeight w:val="20"/>
        </w:trPr>
        <w:tc>
          <w:tcPr>
            <w:tcW w:w="11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80" w:type="dxa"/>
            <w:vAlign w:val="bottom"/>
            <w:tcBorders>
              <w:left w:val="single" w:sz="8" w:color="CCFFCC"/>
            </w:tcBorders>
          </w:tcPr>
          <w:p>
            <w:pPr>
              <w:spacing w:after="0" w:line="20" w:lineRule="exact"/>
              <w:rPr>
                <w:sz w:val="1"/>
                <w:szCs w:val="1"/>
                <w:color w:val="auto"/>
              </w:rPr>
            </w:pPr>
          </w:p>
        </w:tc>
      </w:tr>
      <w:tr>
        <w:trPr>
          <w:trHeight w:val="191"/>
        </w:trPr>
        <w:tc>
          <w:tcPr>
            <w:tcW w:w="3580" w:type="dxa"/>
            <w:vAlign w:val="bottom"/>
            <w:gridSpan w:val="2"/>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90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(0.98)</w:t>
            </w:r>
          </w:p>
        </w:tc>
        <w:tc>
          <w:tcPr>
            <w:tcW w:w="840" w:type="dxa"/>
            <w:vAlign w:val="bottom"/>
            <w:gridSpan w:val="2"/>
          </w:tcPr>
          <w:p>
            <w:pPr>
              <w:jc w:val="right"/>
              <w:spacing w:after="0" w:line="191" w:lineRule="exact"/>
              <w:rPr>
                <w:sz w:val="20"/>
                <w:szCs w:val="20"/>
                <w:color w:val="auto"/>
              </w:rPr>
            </w:pPr>
            <w:r>
              <w:rPr>
                <w:rFonts w:ascii="Arial" w:cs="Arial" w:eastAsia="Arial" w:hAnsi="Arial"/>
                <w:sz w:val="17"/>
                <w:szCs w:val="17"/>
                <w:b w:val="1"/>
                <w:bCs w:val="1"/>
                <w:color w:val="auto"/>
              </w:rPr>
              <w:t>(0.</w:t>
            </w:r>
            <w:r>
              <w:rPr>
                <w:rFonts w:ascii="Arial" w:cs="Arial" w:eastAsia="Arial" w:hAnsi="Arial"/>
                <w:sz w:val="17"/>
                <w:szCs w:val="17"/>
                <w:b w:val="1"/>
                <w:bCs w:val="1"/>
                <w:u w:val="single" w:color="auto"/>
                <w:color w:val="auto"/>
              </w:rPr>
              <w:t>70)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53"/>
              <w:spacing w:after="0" w:line="191" w:lineRule="exact"/>
              <w:rPr>
                <w:sz w:val="20"/>
                <w:szCs w:val="20"/>
                <w:color w:val="auto"/>
              </w:rPr>
            </w:pPr>
            <w:r>
              <w:rPr>
                <w:rFonts w:ascii="Arial" w:cs="Arial" w:eastAsia="Arial" w:hAnsi="Arial"/>
                <w:sz w:val="17"/>
                <w:szCs w:val="17"/>
                <w:color w:val="auto"/>
              </w:rPr>
              <w:t>3</w:t>
            </w:r>
          </w:p>
        </w:tc>
        <w:tc>
          <w:tcPr>
            <w:tcW w:w="82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(0.35)</w:t>
            </w:r>
          </w:p>
        </w:tc>
        <w:tc>
          <w:tcPr>
            <w:tcW w:w="24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8"/>
        </w:trPr>
        <w:tc>
          <w:tcPr>
            <w:tcW w:w="3580" w:type="dxa"/>
            <w:vAlign w:val="bottom"/>
            <w:gridSpan w:val="2"/>
            <w:shd w:val="clear" w:color="auto" w:fill="CCFFCC"/>
          </w:tcPr>
          <w:p>
            <w:pPr>
              <w:spacing w:after="0" w:line="178" w:lineRule="exact"/>
              <w:rPr>
                <w:sz w:val="20"/>
                <w:szCs w:val="20"/>
                <w:color w:val="auto"/>
              </w:rPr>
            </w:pPr>
            <w:r>
              <w:rPr>
                <w:rFonts w:ascii="Arial" w:cs="Arial" w:eastAsia="Arial" w:hAnsi="Arial"/>
                <w:sz w:val="17"/>
                <w:szCs w:val="17"/>
                <w:color w:val="auto"/>
                <w:w w:val="93"/>
              </w:rPr>
              <w:t>Weighted average shares used in computing basic</w:t>
            </w:r>
          </w:p>
        </w:tc>
        <w:tc>
          <w:tcPr>
            <w:tcW w:w="90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rPr>
              <w:t>2,802,100</w:t>
            </w:r>
          </w:p>
        </w:tc>
        <w:tc>
          <w:tcPr>
            <w:tcW w:w="840" w:type="dxa"/>
            <w:vAlign w:val="bottom"/>
            <w:tcBorders>
              <w:left w:val="single" w:sz="8" w:color="CCFFCC"/>
            </w:tcBorders>
            <w:gridSpan w:val="2"/>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rPr>
              <w:t>6,965,927</w:t>
            </w:r>
          </w:p>
        </w:tc>
        <w:tc>
          <w:tcPr>
            <w:tcW w:w="100" w:type="dxa"/>
            <w:vAlign w:val="bottom"/>
            <w:tcBorders>
              <w:left w:val="single" w:sz="8" w:color="CCFFCC"/>
            </w:tcBorders>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560" w:type="dxa"/>
            <w:vAlign w:val="bottom"/>
            <w:tcBorders>
              <w:right w:val="single" w:sz="8" w:color="CCFFCC"/>
            </w:tcBorders>
            <w:gridSpan w:val="2"/>
            <w:shd w:val="clear" w:color="auto" w:fill="CCFFCC"/>
          </w:tcPr>
          <w:p>
            <w:pPr>
              <w:jc w:val="right"/>
              <w:ind w:right="153"/>
              <w:spacing w:after="0" w:line="178" w:lineRule="exact"/>
              <w:rPr>
                <w:sz w:val="20"/>
                <w:szCs w:val="20"/>
                <w:color w:val="auto"/>
              </w:rPr>
            </w:pPr>
            <w:r>
              <w:rPr>
                <w:rFonts w:ascii="Arial" w:cs="Arial" w:eastAsia="Arial" w:hAnsi="Arial"/>
                <w:sz w:val="17"/>
                <w:szCs w:val="17"/>
                <w:color w:val="auto"/>
              </w:rPr>
              <w:t>3</w:t>
            </w:r>
          </w:p>
        </w:tc>
        <w:tc>
          <w:tcPr>
            <w:tcW w:w="82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w w:val="93"/>
              </w:rPr>
              <w:t>25,079,096</w:t>
            </w:r>
          </w:p>
        </w:tc>
        <w:tc>
          <w:tcPr>
            <w:tcW w:w="2480" w:type="dxa"/>
            <w:vAlign w:val="bottom"/>
            <w:tcBorders>
              <w:left w:val="single" w:sz="8" w:color="CCFFCC"/>
            </w:tcBorders>
          </w:tcPr>
          <w:p>
            <w:pPr>
              <w:spacing w:after="0"/>
              <w:rPr>
                <w:sz w:val="15"/>
                <w:szCs w:val="15"/>
                <w:color w:val="auto"/>
              </w:rPr>
            </w:pPr>
          </w:p>
        </w:tc>
      </w:tr>
      <w:tr>
        <w:trPr>
          <w:trHeight w:val="253"/>
        </w:trPr>
        <w:tc>
          <w:tcPr>
            <w:tcW w:w="35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and diluted net loss per common share</w:t>
            </w:r>
          </w:p>
        </w:tc>
        <w:tc>
          <w:tcPr>
            <w:tcW w:w="900" w:type="dxa"/>
            <w:vAlign w:val="bottom"/>
            <w:tcBorders>
              <w:bottom w:val="single" w:sz="8" w:color="auto"/>
            </w:tcBorders>
            <w:shd w:val="clear" w:color="auto" w:fill="CCFFCC"/>
          </w:tcPr>
          <w:p>
            <w:pPr>
              <w:spacing w:after="0"/>
              <w:rPr>
                <w:sz w:val="21"/>
                <w:szCs w:val="21"/>
                <w:color w:val="auto"/>
              </w:rPr>
            </w:pPr>
          </w:p>
        </w:tc>
        <w:tc>
          <w:tcPr>
            <w:tcW w:w="120" w:type="dxa"/>
            <w:vAlign w:val="bottom"/>
            <w:tcBorders>
              <w:left w:val="single" w:sz="8" w:color="CCFFCC"/>
              <w:bottom w:val="single" w:sz="8" w:color="CCFFCC"/>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spacing w:after="0"/>
              <w:rPr>
                <w:sz w:val="21"/>
                <w:szCs w:val="21"/>
                <w:color w:val="auto"/>
              </w:rPr>
            </w:pPr>
          </w:p>
        </w:tc>
        <w:tc>
          <w:tcPr>
            <w:tcW w:w="100" w:type="dxa"/>
            <w:vAlign w:val="bottom"/>
            <w:tcBorders>
              <w:left w:val="single" w:sz="8" w:color="CCFFCC"/>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right w:val="single" w:sz="8" w:color="CCFFCC"/>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spacing w:after="0"/>
              <w:rPr>
                <w:sz w:val="21"/>
                <w:szCs w:val="21"/>
                <w:color w:val="auto"/>
              </w:rPr>
            </w:pPr>
          </w:p>
        </w:tc>
        <w:tc>
          <w:tcPr>
            <w:tcW w:w="2480" w:type="dxa"/>
            <w:vAlign w:val="bottom"/>
            <w:tcBorders>
              <w:left w:val="single" w:sz="8" w:color="CCFFCC"/>
            </w:tcBorders>
          </w:tcPr>
          <w:p>
            <w:pPr>
              <w:spacing w:after="0"/>
              <w:rPr>
                <w:sz w:val="21"/>
                <w:szCs w:val="21"/>
                <w:color w:val="auto"/>
              </w:rPr>
            </w:pPr>
          </w:p>
        </w:tc>
      </w:tr>
      <w:tr>
        <w:trPr>
          <w:trHeight w:val="717"/>
        </w:trPr>
        <w:tc>
          <w:tcPr>
            <w:tcW w:w="1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Arial" w:cs="Arial" w:eastAsia="Arial" w:hAnsi="Arial"/>
                <w:sz w:val="17"/>
                <w:szCs w:val="17"/>
                <w:color w:val="auto"/>
                <w:w w:val="84"/>
              </w:rPr>
              <w:t>196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4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48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-2124075</wp:posOffset>
            </wp:positionV>
            <wp:extent cx="4837430" cy="1435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-1336040</wp:posOffset>
            </wp:positionV>
            <wp:extent cx="4837430" cy="1435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-1065530</wp:posOffset>
            </wp:positionV>
            <wp:extent cx="4837430" cy="1911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837430" cy="1911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-619760</wp:posOffset>
            </wp:positionV>
            <wp:extent cx="4837430" cy="317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83743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0" w:name="page211"/>
    <w:bookmarkEnd w:id="2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Notes to the Unaudited Pro Forma Consolidated Statements of Operations:</w:t>
      </w:r>
    </w:p>
    <w:p>
      <w:pPr>
        <w:spacing w:after="0" w:line="109" w:lineRule="exact"/>
        <w:rPr>
          <w:sz w:val="20"/>
          <w:szCs w:val="20"/>
          <w:color w:val="auto"/>
        </w:rPr>
      </w:pPr>
    </w:p>
    <w:p>
      <w:pPr>
        <w:ind w:left="260" w:right="1239" w:hanging="259"/>
        <w:spacing w:after="0" w:line="264" w:lineRule="auto"/>
        <w:tabs>
          <w:tab w:leader="none" w:pos="240" w:val="left"/>
        </w:tabs>
        <w:rPr>
          <w:sz w:val="20"/>
          <w:szCs w:val="20"/>
          <w:color w:val="auto"/>
        </w:rPr>
      </w:pPr>
      <w:r>
        <w:rPr>
          <w:rFonts w:ascii="Arial" w:cs="Arial" w:eastAsia="Arial" w:hAnsi="Arial"/>
          <w:sz w:val="17"/>
          <w:szCs w:val="17"/>
          <w:color w:val="auto"/>
        </w:rPr>
        <w:t>1.</w:t>
        <w:tab/>
        <w:t>This pro-forma adjustment represents additional amortization expense, recorded in connection with amortizable intangible assets acquired in the Merger, assuming the acquisition of Vringo occurred on 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3600" w:type="dxa"/>
            <w:vAlign w:val="bottom"/>
          </w:tcPr>
          <w:p>
            <w:pPr>
              <w:spacing w:after="0"/>
              <w:rPr>
                <w:sz w:val="12"/>
                <w:szCs w:val="12"/>
                <w:color w:val="auto"/>
              </w:rPr>
            </w:pPr>
          </w:p>
        </w:tc>
        <w:tc>
          <w:tcPr>
            <w:tcW w:w="15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Gross carrying amount</w:t>
            </w:r>
          </w:p>
        </w:tc>
        <w:tc>
          <w:tcPr>
            <w:tcW w:w="1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Life</w:t>
            </w:r>
          </w:p>
        </w:tc>
        <w:tc>
          <w:tcPr>
            <w:tcW w:w="140" w:type="dxa"/>
            <w:vAlign w:val="bottom"/>
          </w:tcPr>
          <w:p>
            <w:pPr>
              <w:spacing w:after="0"/>
              <w:rPr>
                <w:sz w:val="12"/>
                <w:szCs w:val="12"/>
                <w:color w:val="auto"/>
              </w:rPr>
            </w:pPr>
          </w:p>
        </w:tc>
        <w:tc>
          <w:tcPr>
            <w:tcW w:w="16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3"/>
              </w:rPr>
              <w:t>Period from June 8,</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2011 through</w:t>
            </w: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December 31, 2011</w:t>
            </w:r>
          </w:p>
        </w:tc>
        <w:tc>
          <w:tcPr>
            <w:tcW w:w="0" w:type="dxa"/>
            <w:vAlign w:val="bottom"/>
          </w:tcPr>
          <w:p>
            <w:pPr>
              <w:spacing w:after="0"/>
              <w:rPr>
                <w:sz w:val="1"/>
                <w:szCs w:val="1"/>
                <w:color w:val="auto"/>
              </w:rPr>
            </w:pPr>
          </w:p>
        </w:tc>
      </w:tr>
      <w:tr>
        <w:trPr>
          <w:trHeight w:val="183"/>
        </w:trPr>
        <w:tc>
          <w:tcPr>
            <w:tcW w:w="3600" w:type="dxa"/>
            <w:vAlign w:val="bottom"/>
            <w:vMerge w:val="restart"/>
          </w:tcPr>
          <w:p>
            <w:pPr>
              <w:spacing w:after="0"/>
              <w:rPr>
                <w:sz w:val="20"/>
                <w:szCs w:val="20"/>
                <w:color w:val="auto"/>
              </w:rPr>
            </w:pPr>
            <w:r>
              <w:rPr>
                <w:rFonts w:ascii="Arial" w:cs="Arial" w:eastAsia="Arial" w:hAnsi="Arial"/>
                <w:sz w:val="17"/>
                <w:szCs w:val="17"/>
                <w:b w:val="1"/>
                <w:bCs w:val="1"/>
                <w:color w:val="auto"/>
              </w:rPr>
              <w:t>Cost of revenue:</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(years)</w:t>
            </w:r>
          </w:p>
        </w:tc>
        <w:tc>
          <w:tcPr>
            <w:tcW w:w="14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11"/>
        </w:trPr>
        <w:tc>
          <w:tcPr>
            <w:tcW w:w="36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Technology</w:t>
            </w:r>
          </w:p>
        </w:tc>
        <w:tc>
          <w:tcPr>
            <w:tcW w:w="1500" w:type="dxa"/>
            <w:vAlign w:val="bottom"/>
            <w:tcBorders>
              <w:bottom w:val="single" w:sz="8" w:color="CCFFCC"/>
            </w:tcBorders>
            <w:shd w:val="clear" w:color="auto" w:fill="CCFFCC"/>
          </w:tcPr>
          <w:p>
            <w:pPr>
              <w:jc w:val="right"/>
              <w:ind w:right="88"/>
              <w:spacing w:after="0"/>
              <w:rPr>
                <w:sz w:val="20"/>
                <w:szCs w:val="20"/>
                <w:color w:val="auto"/>
              </w:rPr>
            </w:pPr>
            <w:r>
              <w:rPr>
                <w:rFonts w:ascii="Arial" w:cs="Arial" w:eastAsia="Arial" w:hAnsi="Arial"/>
                <w:sz w:val="17"/>
                <w:szCs w:val="17"/>
                <w:color w:val="auto"/>
              </w:rPr>
              <w:t>10,906</w:t>
            </w:r>
          </w:p>
        </w:tc>
        <w:tc>
          <w:tcPr>
            <w:tcW w:w="760" w:type="dxa"/>
            <w:vAlign w:val="bottom"/>
            <w:tcBorders>
              <w:bottom w:val="single" w:sz="8" w:color="CCFFCC"/>
            </w:tcBorders>
            <w:gridSpan w:val="2"/>
            <w:shd w:val="clear" w:color="auto" w:fill="CCFFCC"/>
          </w:tcPr>
          <w:p>
            <w:pPr>
              <w:jc w:val="right"/>
              <w:ind w:right="133"/>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FFCC"/>
            </w:tcBorders>
            <w:shd w:val="clear" w:color="auto" w:fill="CCFFCC"/>
          </w:tcPr>
          <w:p>
            <w:pPr>
              <w:spacing w:after="0"/>
              <w:rPr>
                <w:sz w:val="17"/>
                <w:szCs w:val="17"/>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1,026</w:t>
            </w:r>
          </w:p>
        </w:tc>
        <w:tc>
          <w:tcPr>
            <w:tcW w:w="2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1,026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4837430" cy="1435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837430" cy="14351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2.  Amortization and depreciation, startup and capital acquisition costs, were reclassified into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Period from June 8, 2011</w:t>
            </w:r>
          </w:p>
        </w:tc>
      </w:tr>
      <w:tr>
        <w:trPr>
          <w:trHeight w:val="158"/>
        </w:trPr>
        <w:tc>
          <w:tcPr>
            <w:tcW w:w="532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through December 31, 2011</w:t>
            </w:r>
          </w:p>
        </w:tc>
      </w:tr>
      <w:tr>
        <w:trPr>
          <w:trHeight w:val="181"/>
        </w:trPr>
        <w:tc>
          <w:tcPr>
            <w:tcW w:w="53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r>
      <w:tr>
        <w:trPr>
          <w:trHeight w:val="213"/>
        </w:trPr>
        <w:tc>
          <w:tcPr>
            <w:tcW w:w="53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280" w:type="dxa"/>
            <w:vAlign w:val="bottom"/>
          </w:tcPr>
          <w:p>
            <w:pPr>
              <w:jc w:val="right"/>
              <w:spacing w:after="0"/>
              <w:rPr>
                <w:sz w:val="20"/>
                <w:szCs w:val="20"/>
                <w:color w:val="auto"/>
              </w:rPr>
            </w:pPr>
            <w:r>
              <w:rPr>
                <w:rFonts w:ascii="Arial" w:cs="Arial" w:eastAsia="Arial" w:hAnsi="Arial"/>
                <w:sz w:val="17"/>
                <w:szCs w:val="17"/>
                <w:color w:val="auto"/>
              </w:rPr>
              <w:t>1,431</w:t>
            </w:r>
          </w:p>
        </w:tc>
        <w:tc>
          <w:tcPr>
            <w:tcW w:w="340" w:type="dxa"/>
            <w:vAlign w:val="bottom"/>
          </w:tcPr>
          <w:p>
            <w:pPr>
              <w:spacing w:after="0"/>
              <w:rPr>
                <w:sz w:val="18"/>
                <w:szCs w:val="18"/>
                <w:color w:val="auto"/>
              </w:rPr>
            </w:pPr>
          </w:p>
        </w:tc>
      </w:tr>
      <w:tr>
        <w:trPr>
          <w:trHeight w:val="201"/>
        </w:trPr>
        <w:tc>
          <w:tcPr>
            <w:tcW w:w="5320" w:type="dxa"/>
            <w:vAlign w:val="bottom"/>
            <w:shd w:val="clear" w:color="auto" w:fill="CCFFCC"/>
          </w:tcPr>
          <w:p>
            <w:pPr>
              <w:spacing w:after="0"/>
              <w:rPr>
                <w:sz w:val="20"/>
                <w:szCs w:val="20"/>
                <w:color w:val="auto"/>
              </w:rPr>
            </w:pPr>
            <w:r>
              <w:rPr>
                <w:rFonts w:ascii="Arial" w:cs="Arial" w:eastAsia="Arial" w:hAnsi="Arial"/>
                <w:sz w:val="17"/>
                <w:szCs w:val="17"/>
                <w:color w:val="auto"/>
              </w:rPr>
              <w:t>Compensation</w:t>
            </w:r>
          </w:p>
        </w:tc>
        <w:tc>
          <w:tcPr>
            <w:tcW w:w="1620" w:type="dxa"/>
            <w:vAlign w:val="bottom"/>
            <w:gridSpan w:val="2"/>
            <w:shd w:val="clear" w:color="auto" w:fill="CCFFCC"/>
          </w:tcPr>
          <w:p>
            <w:pPr>
              <w:jc w:val="right"/>
              <w:ind w:right="280"/>
              <w:spacing w:after="0"/>
              <w:rPr>
                <w:sz w:val="20"/>
                <w:szCs w:val="20"/>
                <w:color w:val="auto"/>
              </w:rPr>
            </w:pPr>
            <w:r>
              <w:rPr>
                <w:rFonts w:ascii="Arial" w:cs="Arial" w:eastAsia="Arial" w:hAnsi="Arial"/>
                <w:sz w:val="17"/>
                <w:szCs w:val="17"/>
                <w:color w:val="auto"/>
              </w:rPr>
              <w:t>(997)</w:t>
            </w:r>
          </w:p>
        </w:tc>
      </w:tr>
      <w:tr>
        <w:trPr>
          <w:trHeight w:val="200"/>
        </w:trPr>
        <w:tc>
          <w:tcPr>
            <w:tcW w:w="5320" w:type="dxa"/>
            <w:vAlign w:val="bottom"/>
          </w:tcPr>
          <w:p>
            <w:pPr>
              <w:spacing w:after="0"/>
              <w:rPr>
                <w:sz w:val="20"/>
                <w:szCs w:val="20"/>
                <w:color w:val="auto"/>
              </w:rPr>
            </w:pPr>
            <w:r>
              <w:rPr>
                <w:rFonts w:ascii="Arial" w:cs="Arial" w:eastAsia="Arial" w:hAnsi="Arial"/>
                <w:sz w:val="17"/>
                <w:szCs w:val="17"/>
                <w:color w:val="auto"/>
              </w:rPr>
              <w:t>Amortization and depreciation</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(328)</w:t>
            </w:r>
          </w:p>
        </w:tc>
      </w:tr>
      <w:tr>
        <w:trPr>
          <w:trHeight w:val="200"/>
        </w:trPr>
        <w:tc>
          <w:tcPr>
            <w:tcW w:w="5320" w:type="dxa"/>
            <w:vAlign w:val="bottom"/>
            <w:shd w:val="clear" w:color="auto" w:fill="CCFFCC"/>
          </w:tcPr>
          <w:p>
            <w:pPr>
              <w:spacing w:after="0"/>
              <w:rPr>
                <w:sz w:val="20"/>
                <w:szCs w:val="20"/>
                <w:color w:val="auto"/>
              </w:rPr>
            </w:pPr>
            <w:r>
              <w:rPr>
                <w:rFonts w:ascii="Arial" w:cs="Arial" w:eastAsia="Arial" w:hAnsi="Arial"/>
                <w:sz w:val="17"/>
                <w:szCs w:val="17"/>
                <w:color w:val="auto"/>
              </w:rPr>
              <w:t>Startup and capital acquisition costs</w:t>
            </w:r>
          </w:p>
        </w:tc>
        <w:tc>
          <w:tcPr>
            <w:tcW w:w="1620" w:type="dxa"/>
            <w:vAlign w:val="bottom"/>
            <w:gridSpan w:val="2"/>
            <w:shd w:val="clear" w:color="auto" w:fill="CCFFCC"/>
          </w:tcPr>
          <w:p>
            <w:pPr>
              <w:jc w:val="right"/>
              <w:ind w:right="280"/>
              <w:spacing w:after="0"/>
              <w:rPr>
                <w:sz w:val="20"/>
                <w:szCs w:val="20"/>
                <w:color w:val="auto"/>
              </w:rPr>
            </w:pPr>
            <w:r>
              <w:rPr>
                <w:rFonts w:ascii="Arial" w:cs="Arial" w:eastAsia="Arial" w:hAnsi="Arial"/>
                <w:sz w:val="17"/>
                <w:szCs w:val="17"/>
                <w:color w:val="auto"/>
              </w:rPr>
              <w:t>(106)</w:t>
            </w:r>
          </w:p>
        </w:tc>
      </w:tr>
      <w:tr>
        <w:trPr>
          <w:trHeight w:val="20"/>
        </w:trPr>
        <w:tc>
          <w:tcPr>
            <w:tcW w:w="532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r>
      <w:tr>
        <w:trPr>
          <w:trHeight w:val="193"/>
        </w:trPr>
        <w:tc>
          <w:tcPr>
            <w:tcW w:w="5320" w:type="dxa"/>
            <w:vAlign w:val="bottom"/>
          </w:tcPr>
          <w:p>
            <w:pPr>
              <w:spacing w:after="0"/>
              <w:rPr>
                <w:sz w:val="16"/>
                <w:szCs w:val="16"/>
                <w:color w:val="auto"/>
              </w:rPr>
            </w:pPr>
          </w:p>
        </w:tc>
        <w:tc>
          <w:tcPr>
            <w:tcW w:w="1620" w:type="dxa"/>
            <w:vAlign w:val="bottom"/>
            <w:gridSpan w:val="2"/>
          </w:tcPr>
          <w:p>
            <w:pPr>
              <w:jc w:val="right"/>
              <w:ind w:right="340"/>
              <w:spacing w:after="0" w:line="193" w:lineRule="exact"/>
              <w:rPr>
                <w:sz w:val="20"/>
                <w:szCs w:val="20"/>
                <w:color w:val="auto"/>
              </w:rPr>
            </w:pPr>
            <w:r>
              <w:rPr>
                <w:rFonts w:ascii="Arial" w:cs="Arial" w:eastAsia="Arial" w:hAnsi="Arial"/>
                <w:sz w:val="17"/>
                <w:szCs w:val="17"/>
                <w:color w:val="auto"/>
              </w:rPr>
              <w:t>—</w:t>
            </w:r>
          </w:p>
        </w:tc>
      </w:tr>
      <w:tr>
        <w:trPr>
          <w:trHeight w:val="20"/>
        </w:trPr>
        <w:tc>
          <w:tcPr>
            <w:tcW w:w="5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4408170" cy="1435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408170" cy="143510"/>
                    </a:xfrm>
                    <a:prstGeom prst="rect">
                      <a:avLst/>
                    </a:prstGeom>
                    <a:noFill/>
                  </pic:spPr>
                </pic:pic>
              </a:graphicData>
            </a:graphic>
          </wp:anchor>
        </w:drawing>
      </w:r>
    </w:p>
    <w:p>
      <w:pPr>
        <w:spacing w:after="0" w:line="68" w:lineRule="exact"/>
        <w:rPr>
          <w:sz w:val="20"/>
          <w:szCs w:val="20"/>
          <w:color w:val="auto"/>
        </w:rPr>
      </w:pPr>
    </w:p>
    <w:p>
      <w:pPr>
        <w:jc w:val="both"/>
        <w:ind w:left="260" w:right="1239" w:hanging="250"/>
        <w:spacing w:after="0" w:line="285" w:lineRule="auto"/>
        <w:tabs>
          <w:tab w:leader="none" w:pos="2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48374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2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2"/>
              </w:rPr>
              <w:t>Period from June 8, 2011</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1"/>
              </w:rPr>
              <w:t>through December 31, 2011</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0"/>
              </w:rPr>
              <w:t>($ — in thousands, except</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Numerator:</w:t>
            </w: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share and per share data)</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attributable to common stock shares (basic and diluted):</w:t>
            </w: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(8,679)</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Denominator: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Weighted average of Vringo common stock shares, outstanding for the period:</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6,965,927</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00" w:type="dxa"/>
            <w:vAlign w:val="bottom"/>
            <w:gridSpan w:val="2"/>
          </w:tcPr>
          <w:p>
            <w:pPr>
              <w:spacing w:after="0" w:line="188" w:lineRule="exact"/>
              <w:rPr>
                <w:sz w:val="20"/>
                <w:szCs w:val="20"/>
                <w:color w:val="auto"/>
              </w:rPr>
            </w:pPr>
            <w:r>
              <w:rPr>
                <w:rFonts w:ascii="Arial" w:cs="Arial" w:eastAsia="Arial" w:hAnsi="Arial"/>
                <w:sz w:val="17"/>
                <w:szCs w:val="17"/>
                <w:color w:val="auto"/>
                <w:w w:val="94"/>
              </w:rPr>
              <w:t>Weighted average of Vringo common stock shares issued to former Innovate/Protect</w:t>
            </w:r>
          </w:p>
        </w:tc>
        <w:tc>
          <w:tcPr>
            <w:tcW w:w="1620" w:type="dxa"/>
            <w:vAlign w:val="bottom"/>
            <w:gridSpan w:val="2"/>
          </w:tcPr>
          <w:p>
            <w:pPr>
              <w:jc w:val="right"/>
              <w:ind w:right="200"/>
              <w:spacing w:after="0" w:line="188" w:lineRule="exact"/>
              <w:rPr>
                <w:sz w:val="20"/>
                <w:szCs w:val="20"/>
                <w:color w:val="auto"/>
              </w:rPr>
            </w:pPr>
            <w:r>
              <w:rPr>
                <w:rFonts w:ascii="Arial" w:cs="Arial" w:eastAsia="Arial" w:hAnsi="Arial"/>
                <w:sz w:val="17"/>
                <w:szCs w:val="17"/>
                <w:color w:val="auto"/>
              </w:rPr>
              <w:t>18,113,169</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ind w:left="160"/>
              <w:spacing w:after="0"/>
              <w:rPr>
                <w:sz w:val="20"/>
                <w:szCs w:val="20"/>
                <w:color w:val="auto"/>
              </w:rPr>
            </w:pPr>
            <w:r>
              <w:rPr>
                <w:rFonts w:ascii="Arial" w:cs="Arial" w:eastAsia="Arial" w:hAnsi="Arial"/>
                <w:sz w:val="17"/>
                <w:szCs w:val="17"/>
                <w:color w:val="auto"/>
              </w:rPr>
              <w:t>stockholders, outstanding for the period:</w:t>
            </w:r>
          </w:p>
        </w:tc>
        <w:tc>
          <w:tcPr>
            <w:tcW w:w="1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0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color w:val="auto"/>
              </w:rPr>
              <w:t>Total common stock shares outstanding, after the Merger:</w:t>
            </w:r>
          </w:p>
        </w:tc>
        <w:tc>
          <w:tcPr>
            <w:tcW w:w="1620" w:type="dxa"/>
            <w:vAlign w:val="bottom"/>
            <w:gridSpan w:val="2"/>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25,079,096</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486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00" w:type="dxa"/>
            <w:vAlign w:val="bottom"/>
            <w:gridSpan w:val="2"/>
          </w:tcPr>
          <w:p>
            <w:pPr>
              <w:spacing w:after="0" w:line="193" w:lineRule="exact"/>
              <w:rPr>
                <w:sz w:val="20"/>
                <w:szCs w:val="20"/>
                <w:color w:val="auto"/>
              </w:rPr>
            </w:pPr>
            <w:r>
              <w:rPr>
                <w:rFonts w:ascii="Arial" w:cs="Arial" w:eastAsia="Arial" w:hAnsi="Arial"/>
                <w:sz w:val="17"/>
                <w:szCs w:val="17"/>
                <w:color w:val="auto"/>
              </w:rPr>
              <w:t>Basic and diluted net losses per share of common stock:</w:t>
            </w:r>
          </w:p>
        </w:tc>
        <w:tc>
          <w:tcPr>
            <w:tcW w:w="16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(0.35)</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9"/>
        </w:trPr>
        <w:tc>
          <w:tcPr>
            <w:tcW w:w="6000" w:type="dxa"/>
            <w:vAlign w:val="bottom"/>
            <w:gridSpan w:val="2"/>
          </w:tcPr>
          <w:p>
            <w:pPr>
              <w:ind w:left="4200"/>
              <w:spacing w:after="0"/>
              <w:rPr>
                <w:sz w:val="20"/>
                <w:szCs w:val="20"/>
                <w:color w:val="auto"/>
              </w:rPr>
            </w:pPr>
            <w:r>
              <w:rPr>
                <w:rFonts w:ascii="Arial" w:cs="Arial" w:eastAsia="Arial" w:hAnsi="Arial"/>
                <w:sz w:val="17"/>
                <w:szCs w:val="17"/>
                <w:color w:val="auto"/>
              </w:rPr>
              <w:t>197</w:t>
            </w:r>
          </w:p>
        </w:tc>
        <w:tc>
          <w:tcPr>
            <w:tcW w:w="1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8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-731520</wp:posOffset>
            </wp:positionV>
            <wp:extent cx="4837430" cy="1435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1" w:name="page212"/>
    <w:bookmarkEnd w:id="2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COMPARISON OF RIGHTS OF</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STOCKHOLDERS AND INNOVATE/PROTECT STOCKHOLDERS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General</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Vringo and Innovate/Protect are both organized under the laws of the State of Delaware and, accordingly, the rights of holders of Vringo stock and Innovate/Protect stock are currently, and will continue to be, governed by the DGCL. Any differences, therefore, in the rights of holders of Vringo stock and Innovate/Protect stock arise primarily from differences in the companies’ respective certificates of incorporation and bylaws. Upon completion of the Merger, holders of Innovate/Protect capital stock and warrants will receive shares of Vringo common stock and preferred stock and warrants in exchange for their respective shares of Innovate/Protect stock and warrants. As a result, upon completion of the Merger, the rights of holders of Innovate/Protect capital stock and warrants who become holders of Vringo common stock and preferred stock and warrants in connection with the Merger will be governed by the DGCL, Vringo’s Certificate and Vringo’s Bylaws.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Certain Differences Between the Rights of Vringo Stockholders and Innovate/Protect Stockholders</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The following is a summary of the material differences between the current rights of Vringo stockholders and the current rights of Innovate/Protect stockholders. Although Vringo and Innovate/Protect believe that this summary covers the material differences between the two companies’ stockholder rights, this summary may not contain all of the information that is important to you. This summary is not intended to be a complete discussion of the respective rights of Vringo stockholders and Innovate/Protect stockholders, and it is qualified in its entirety by reference to the DGCL and the various documents of Vringo and Innovate/Protect referred to in this summary. In addition, the characterization of some of the differences in the rights of Vringo stockholders and Innovate/Protect stockholders as material is not intended to indicate that other differences do not exist or are not important. Vringo and Innovate/Protect urge you to carefully read this entire proxy statement/prospectus, the relevant provisions of the DGCL and the other documents referred to in this proxy statement/prospectus for a more complete understanding of the differences between the rights of a Vringo stockholder and the rights of an Innovate/Protect stockholder. Vringo has filed with the SEC its documents referenced in this comparison of stockholder rights and will send copies of these documents to you, without charge, upon your request. See the section entitled “Where You Can Find Additional Information” beginning on page </w:t>
      </w:r>
      <w:r>
        <w:rPr>
          <w:rFonts w:ascii="Arial" w:cs="Arial" w:eastAsia="Arial" w:hAnsi="Arial"/>
          <w:sz w:val="15"/>
          <w:szCs w:val="15"/>
          <w:u w:val="single" w:color="auto"/>
          <w:color w:val="0000EE"/>
        </w:rPr>
        <w:t>204</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49015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015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ind w:left="1540"/>
              <w:spacing w:after="0"/>
              <w:rPr>
                <w:sz w:val="20"/>
                <w:szCs w:val="20"/>
                <w:color w:val="auto"/>
              </w:rPr>
            </w:pPr>
            <w:r>
              <w:rPr>
                <w:rFonts w:ascii="Arial" w:cs="Arial" w:eastAsia="Arial" w:hAnsi="Arial"/>
                <w:sz w:val="13"/>
                <w:szCs w:val="13"/>
                <w:b w:val="1"/>
                <w:bCs w:val="1"/>
                <w:color w:val="auto"/>
              </w:rPr>
              <w:t>Vringo</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Innovate/Protect</w:t>
            </w: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3660" w:type="dxa"/>
            <w:vAlign w:val="bottom"/>
          </w:tcPr>
          <w:p>
            <w:pPr>
              <w:ind w:left="2740"/>
              <w:spacing w:after="0" w:line="180" w:lineRule="exact"/>
              <w:rPr>
                <w:sz w:val="20"/>
                <w:szCs w:val="20"/>
                <w:color w:val="auto"/>
              </w:rPr>
            </w:pPr>
            <w:r>
              <w:rPr>
                <w:rFonts w:ascii="Arial" w:cs="Arial" w:eastAsia="Arial" w:hAnsi="Arial"/>
                <w:sz w:val="17"/>
                <w:szCs w:val="17"/>
                <w:b w:val="1"/>
                <w:bCs w:val="1"/>
                <w:color w:val="auto"/>
              </w:rPr>
              <w:t>Authorized</w:t>
            </w:r>
          </w:p>
        </w:tc>
        <w:tc>
          <w:tcPr>
            <w:tcW w:w="3860" w:type="dxa"/>
            <w:vAlign w:val="bottom"/>
            <w:gridSpan w:val="3"/>
          </w:tcPr>
          <w:p>
            <w:pPr>
              <w:spacing w:after="0" w:line="180" w:lineRule="exact"/>
              <w:rPr>
                <w:sz w:val="20"/>
                <w:szCs w:val="20"/>
                <w:color w:val="auto"/>
              </w:rPr>
            </w:pPr>
            <w:r>
              <w:rPr>
                <w:rFonts w:ascii="Arial" w:cs="Arial" w:eastAsia="Arial" w:hAnsi="Arial"/>
                <w:sz w:val="17"/>
                <w:szCs w:val="17"/>
                <w:b w:val="1"/>
                <w:bCs w:val="1"/>
                <w:color w:val="auto"/>
              </w:rPr>
              <w:t>Capital Stock</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20"/>
                <w:szCs w:val="20"/>
                <w:color w:val="auto"/>
              </w:rPr>
            </w:pPr>
            <w:r>
              <w:rPr>
                <w:rFonts w:ascii="Arial" w:cs="Arial" w:eastAsia="Arial" w:hAnsi="Arial"/>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w w:val="95"/>
              </w:rPr>
              <w:t>The Vringo Certificate authorizes Vringo to issue</w:t>
            </w:r>
          </w:p>
        </w:tc>
        <w:tc>
          <w:tcPr>
            <w:tcW w:w="1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520" w:type="dxa"/>
            <w:vAlign w:val="bottom"/>
          </w:tcPr>
          <w:p>
            <w:pPr>
              <w:ind w:left="140"/>
              <w:spacing w:after="0"/>
              <w:rPr>
                <w:sz w:val="20"/>
                <w:szCs w:val="20"/>
                <w:color w:val="auto"/>
              </w:rPr>
            </w:pPr>
            <w:r>
              <w:rPr>
                <w:rFonts w:ascii="Arial" w:cs="Arial" w:eastAsia="Arial" w:hAnsi="Arial"/>
                <w:sz w:val="17"/>
                <w:szCs w:val="17"/>
                <w:color w:val="auto"/>
              </w:rPr>
              <w:t>The Innovate/Protect Certificate authorizes</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w w:val="94"/>
              </w:rPr>
              <w:t>33,000,000 shares of its capital stock divided into</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87"/>
              </w:rPr>
              <w:t>Innovate/Protect to issue 110,000,000 shares of its</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w w:val="93"/>
              </w:rPr>
              <w:t>two classes: 28,000,000 shares of common stock,</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rPr>
              <w:t>capital stock divided into two classes:</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w w:val="91"/>
              </w:rPr>
              <w:t>par value $0.01 per share and 5,000,000 shares of</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92"/>
              </w:rPr>
              <w:t>100,000,000 shares of common stock, par value</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w w:val="90"/>
              </w:rPr>
              <w:t>preferred stock, par value $0.01 per share. In order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98"/>
              </w:rPr>
              <w:t>$0.0001 per share, and 10,000,000 shares of</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rPr>
              <w:t>to complete the Merger, Vringo is seeking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98"/>
              </w:rPr>
              <w:t>preferred stock, par value $0.0001 per share.</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rPr>
              <w:t>stockholder approval pursuant to this proxy</w:t>
            </w:r>
          </w:p>
        </w:tc>
        <w:tc>
          <w:tcPr>
            <w:tcW w:w="14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auto"/>
              </w:rPr>
              <w:t>•</w:t>
            </w:r>
          </w:p>
        </w:tc>
        <w:tc>
          <w:tcPr>
            <w:tcW w:w="3520" w:type="dxa"/>
            <w:vAlign w:val="bottom"/>
            <w:vMerge w:val="restart"/>
          </w:tcPr>
          <w:p>
            <w:pPr>
              <w:ind w:left="140"/>
              <w:spacing w:after="0"/>
              <w:rPr>
                <w:sz w:val="20"/>
                <w:szCs w:val="20"/>
                <w:color w:val="auto"/>
              </w:rPr>
            </w:pPr>
            <w:r>
              <w:rPr>
                <w:rFonts w:ascii="Arial" w:cs="Arial" w:eastAsia="Arial" w:hAnsi="Arial"/>
                <w:sz w:val="17"/>
                <w:szCs w:val="17"/>
                <w:color w:val="auto"/>
              </w:rPr>
              <w:t>The Innovate/Protect Certificate also allows</w:t>
            </w:r>
          </w:p>
        </w:tc>
        <w:tc>
          <w:tcPr>
            <w:tcW w:w="0" w:type="dxa"/>
            <w:vAlign w:val="bottom"/>
          </w:tcPr>
          <w:p>
            <w:pPr>
              <w:spacing w:after="0"/>
              <w:rPr>
                <w:sz w:val="1"/>
                <w:szCs w:val="1"/>
                <w:color w:val="auto"/>
              </w:rPr>
            </w:pPr>
          </w:p>
        </w:tc>
      </w:tr>
      <w:tr>
        <w:trPr>
          <w:trHeight w:val="100"/>
        </w:trPr>
        <w:tc>
          <w:tcPr>
            <w:tcW w:w="200" w:type="dxa"/>
            <w:vAlign w:val="bottom"/>
          </w:tcPr>
          <w:p>
            <w:pPr>
              <w:spacing w:after="0"/>
              <w:rPr>
                <w:sz w:val="8"/>
                <w:szCs w:val="8"/>
                <w:color w:val="auto"/>
              </w:rPr>
            </w:pPr>
          </w:p>
        </w:tc>
        <w:tc>
          <w:tcPr>
            <w:tcW w:w="3660" w:type="dxa"/>
            <w:vAlign w:val="bottom"/>
            <w:vMerge w:val="restart"/>
          </w:tcPr>
          <w:p>
            <w:pPr>
              <w:ind w:left="140"/>
              <w:spacing w:after="0"/>
              <w:rPr>
                <w:sz w:val="20"/>
                <w:szCs w:val="20"/>
                <w:color w:val="auto"/>
              </w:rPr>
            </w:pPr>
            <w:r>
              <w:rPr>
                <w:rFonts w:ascii="Arial" w:cs="Arial" w:eastAsia="Arial" w:hAnsi="Arial"/>
                <w:sz w:val="17"/>
                <w:szCs w:val="17"/>
                <w:color w:val="auto"/>
              </w:rPr>
              <w:t>statement/prospectus to amend the Vringo</w:t>
            </w:r>
          </w:p>
        </w:tc>
        <w:tc>
          <w:tcPr>
            <w:tcW w:w="1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20" w:type="dxa"/>
            <w:vAlign w:val="bottom"/>
            <w:vMerge w:val="restart"/>
          </w:tcPr>
          <w:p>
            <w:pPr>
              <w:ind w:left="140"/>
              <w:spacing w:after="0"/>
              <w:rPr>
                <w:sz w:val="20"/>
                <w:szCs w:val="20"/>
                <w:color w:val="auto"/>
              </w:rPr>
            </w:pPr>
            <w:r>
              <w:rPr>
                <w:rFonts w:ascii="Arial" w:cs="Arial" w:eastAsia="Arial" w:hAnsi="Arial"/>
                <w:sz w:val="17"/>
                <w:szCs w:val="17"/>
                <w:color w:val="auto"/>
                <w:w w:val="89"/>
              </w:rPr>
              <w:t>Innovate/Protect to issue any class of its preferred</w:t>
            </w: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3660" w:type="dxa"/>
            <w:vAlign w:val="bottom"/>
          </w:tcPr>
          <w:p>
            <w:pPr>
              <w:ind w:left="140"/>
              <w:spacing w:after="0" w:line="114" w:lineRule="exact"/>
              <w:rPr>
                <w:sz w:val="20"/>
                <w:szCs w:val="20"/>
                <w:color w:val="auto"/>
              </w:rPr>
            </w:pPr>
            <w:r>
              <w:rPr>
                <w:rFonts w:ascii="Arial" w:cs="Arial" w:eastAsia="Arial" w:hAnsi="Arial"/>
                <w:sz w:val="13"/>
                <w:szCs w:val="13"/>
                <w:color w:val="auto"/>
              </w:rPr>
              <w:t>Certificate to implement a reverse stock split of</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720" w:type="dxa"/>
            <w:vAlign w:val="bottom"/>
            <w:vMerge w:val="restart"/>
          </w:tcPr>
          <w:p>
            <w:pPr>
              <w:spacing w:after="0"/>
              <w:rPr>
                <w:sz w:val="20"/>
                <w:szCs w:val="20"/>
                <w:color w:val="auto"/>
              </w:rPr>
            </w:pPr>
            <w:r>
              <w:rPr>
                <w:rFonts w:ascii="Arial" w:cs="Arial" w:eastAsia="Arial" w:hAnsi="Arial"/>
                <w:sz w:val="17"/>
                <w:szCs w:val="17"/>
                <w:color w:val="auto"/>
                <w:w w:val="95"/>
              </w:rPr>
              <w:t>Vringo’s outstanding common stock and to increase</w:t>
            </w:r>
          </w:p>
        </w:tc>
        <w:tc>
          <w:tcPr>
            <w:tcW w:w="1560" w:type="dxa"/>
            <w:vAlign w:val="bottom"/>
          </w:tcPr>
          <w:p>
            <w:pPr>
              <w:ind w:left="280"/>
              <w:spacing w:after="0"/>
              <w:rPr>
                <w:sz w:val="20"/>
                <w:szCs w:val="20"/>
                <w:color w:val="auto"/>
              </w:rPr>
            </w:pPr>
            <w:r>
              <w:rPr>
                <w:rFonts w:ascii="Arial" w:cs="Arial" w:eastAsia="Arial" w:hAnsi="Arial"/>
                <w:sz w:val="17"/>
                <w:szCs w:val="17"/>
                <w:color w:val="auto"/>
                <w:w w:val="87"/>
              </w:rPr>
              <w:t>stock in any series.</w:t>
            </w:r>
          </w:p>
        </w:tc>
        <w:tc>
          <w:tcPr>
            <w:tcW w:w="0" w:type="dxa"/>
            <w:vAlign w:val="bottom"/>
          </w:tcPr>
          <w:p>
            <w:pPr>
              <w:spacing w:after="0"/>
              <w:rPr>
                <w:sz w:val="1"/>
                <w:szCs w:val="1"/>
                <w:color w:val="auto"/>
              </w:rPr>
            </w:pPr>
          </w:p>
        </w:tc>
      </w:tr>
      <w:tr>
        <w:trPr>
          <w:trHeight w:val="74"/>
        </w:trPr>
        <w:tc>
          <w:tcPr>
            <w:tcW w:w="37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20"/>
                <w:szCs w:val="20"/>
                <w:color w:val="auto"/>
              </w:rPr>
            </w:pPr>
            <w:r>
              <w:rPr>
                <w:rFonts w:ascii="Arial" w:cs="Arial" w:eastAsia="Arial" w:hAnsi="Arial"/>
                <w:sz w:val="17"/>
                <w:szCs w:val="17"/>
                <w:color w:val="auto"/>
                <w:w w:val="95"/>
              </w:rPr>
              <w:t>the number of authorized shares of Vringo common</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20"/>
                <w:szCs w:val="20"/>
                <w:color w:val="auto"/>
              </w:rPr>
            </w:pPr>
            <w:r>
              <w:rPr>
                <w:rFonts w:ascii="Arial" w:cs="Arial" w:eastAsia="Arial" w:hAnsi="Arial"/>
                <w:sz w:val="17"/>
                <w:szCs w:val="17"/>
                <w:color w:val="auto"/>
              </w:rPr>
              <w:t>stock from 28,000,000 to up to a maximum of</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7"/>
                <w:szCs w:val="17"/>
                <w:color w:val="auto"/>
              </w:rPr>
              <w:t>150,000,000 shares.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000" w:right="6259" w:hanging="669"/>
        <w:spacing w:after="0" w:line="248" w:lineRule="auto"/>
        <w:tabs>
          <w:tab w:leader="none" w:pos="10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no shares of preferred stock are issued and outstanding. The preferred stock may be issued from time to time in one or more series.</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49"/>
        </w:trPr>
        <w:tc>
          <w:tcPr>
            <w:tcW w:w="3700" w:type="dxa"/>
            <w:vAlign w:val="bottom"/>
            <w:gridSpan w:val="4"/>
          </w:tcPr>
          <w:p>
            <w:pPr>
              <w:spacing w:after="0"/>
              <w:rPr>
                <w:sz w:val="20"/>
                <w:szCs w:val="20"/>
                <w:color w:val="auto"/>
              </w:rPr>
            </w:pPr>
            <w:r>
              <w:rPr>
                <w:rFonts w:ascii="Arial" w:cs="Arial" w:eastAsia="Arial" w:hAnsi="Arial"/>
                <w:sz w:val="13"/>
                <w:szCs w:val="13"/>
                <w:b w:val="1"/>
                <w:bCs w:val="1"/>
                <w:color w:val="0000EE"/>
              </w:rPr>
              <w:t>TABLE OF CONTENTS</w:t>
            </w:r>
          </w:p>
        </w:tc>
        <w:tc>
          <w:tcPr>
            <w:tcW w:w="1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8"/>
        </w:trPr>
        <w:tc>
          <w:tcPr>
            <w:tcW w:w="700" w:type="dxa"/>
            <w:vAlign w:val="bottom"/>
            <w:tcBorders>
              <w:top w:val="single" w:sz="8" w:color="0000EE"/>
              <w:bottom w:val="single" w:sz="8" w:color="auto"/>
            </w:tcBorders>
          </w:tcPr>
          <w:p>
            <w:pPr>
              <w:spacing w:after="0"/>
              <w:rPr>
                <w:sz w:val="14"/>
                <w:szCs w:val="14"/>
                <w:color w:val="auto"/>
              </w:rPr>
            </w:pPr>
          </w:p>
        </w:tc>
        <w:tc>
          <w:tcPr>
            <w:tcW w:w="440" w:type="dxa"/>
            <w:vAlign w:val="bottom"/>
            <w:tcBorders>
              <w:top w:val="single" w:sz="8" w:color="0000EE"/>
              <w:bottom w:val="single" w:sz="8" w:color="auto"/>
            </w:tcBorders>
          </w:tcPr>
          <w:p>
            <w:pPr>
              <w:spacing w:after="0"/>
              <w:rPr>
                <w:sz w:val="14"/>
                <w:szCs w:val="14"/>
                <w:color w:val="auto"/>
              </w:rPr>
            </w:pPr>
          </w:p>
        </w:tc>
        <w:tc>
          <w:tcPr>
            <w:tcW w:w="280" w:type="dxa"/>
            <w:vAlign w:val="bottom"/>
            <w:tcBorders>
              <w:top w:val="single" w:sz="8" w:color="0000EE"/>
              <w:bottom w:val="single" w:sz="8" w:color="auto"/>
            </w:tcBorders>
          </w:tcPr>
          <w:p>
            <w:pPr>
              <w:spacing w:after="0"/>
              <w:rPr>
                <w:sz w:val="14"/>
                <w:szCs w:val="14"/>
                <w:color w:val="auto"/>
              </w:rPr>
            </w:pPr>
          </w:p>
        </w:tc>
        <w:tc>
          <w:tcPr>
            <w:tcW w:w="22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Vringo</w:t>
            </w:r>
          </w:p>
        </w:tc>
        <w:tc>
          <w:tcPr>
            <w:tcW w:w="160" w:type="dxa"/>
            <w:vAlign w:val="bottom"/>
          </w:tcPr>
          <w:p>
            <w:pPr>
              <w:spacing w:after="0"/>
              <w:rPr>
                <w:sz w:val="14"/>
                <w:szCs w:val="14"/>
                <w:color w:val="auto"/>
              </w:rPr>
            </w:pPr>
          </w:p>
        </w:tc>
        <w:tc>
          <w:tcPr>
            <w:tcW w:w="386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Innovate/Protect</w:t>
            </w:r>
          </w:p>
        </w:tc>
        <w:tc>
          <w:tcPr>
            <w:tcW w:w="2320" w:type="dxa"/>
            <w:vAlign w:val="bottom"/>
          </w:tcPr>
          <w:p>
            <w:pPr>
              <w:spacing w:after="0"/>
              <w:rPr>
                <w:sz w:val="14"/>
                <w:szCs w:val="14"/>
                <w:color w:val="auto"/>
              </w:rPr>
            </w:pPr>
          </w:p>
        </w:tc>
      </w:tr>
      <w:tr>
        <w:trPr>
          <w:trHeight w:val="181"/>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20" w:type="dxa"/>
            <w:vAlign w:val="bottom"/>
            <w:gridSpan w:val="4"/>
          </w:tcPr>
          <w:p>
            <w:pPr>
              <w:jc w:val="center"/>
              <w:ind w:right="3760"/>
              <w:spacing w:after="0" w:line="180" w:lineRule="exact"/>
              <w:rPr>
                <w:sz w:val="20"/>
                <w:szCs w:val="20"/>
                <w:color w:val="auto"/>
              </w:rPr>
            </w:pPr>
            <w:r>
              <w:rPr>
                <w:rFonts w:ascii="Arial" w:cs="Arial" w:eastAsia="Arial" w:hAnsi="Arial"/>
                <w:sz w:val="17"/>
                <w:szCs w:val="17"/>
                <w:b w:val="1"/>
                <w:bCs w:val="1"/>
                <w:color w:val="auto"/>
                <w:w w:val="89"/>
              </w:rPr>
              <w:t>Stockholder Action by Written Consent</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The Vringo Bylaws allow stockholders to act by</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The Innovate/Protect Bylaws allow Innovate/Protect</w:t>
            </w:r>
          </w:p>
        </w:tc>
      </w:tr>
      <w:tr>
        <w:trPr>
          <w:trHeight w:val="196"/>
        </w:trPr>
        <w:tc>
          <w:tcPr>
            <w:tcW w:w="3700" w:type="dxa"/>
            <w:vAlign w:val="bottom"/>
            <w:gridSpan w:val="4"/>
          </w:tcPr>
          <w:p>
            <w:pPr>
              <w:spacing w:after="0"/>
              <w:rPr>
                <w:sz w:val="20"/>
                <w:szCs w:val="20"/>
                <w:color w:val="auto"/>
              </w:rPr>
            </w:pPr>
            <w:r>
              <w:rPr>
                <w:rFonts w:ascii="Arial" w:cs="Arial" w:eastAsia="Arial" w:hAnsi="Arial"/>
                <w:sz w:val="17"/>
                <w:szCs w:val="17"/>
                <w:color w:val="auto"/>
              </w:rPr>
              <w:t>written consent.</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stockholders to act by written consent.</w:t>
            </w: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20" w:type="dxa"/>
            <w:vAlign w:val="bottom"/>
            <w:gridSpan w:val="4"/>
          </w:tcPr>
          <w:p>
            <w:pPr>
              <w:jc w:val="center"/>
              <w:ind w:right="3740"/>
              <w:spacing w:after="0"/>
              <w:rPr>
                <w:sz w:val="20"/>
                <w:szCs w:val="20"/>
                <w:color w:val="auto"/>
              </w:rPr>
            </w:pPr>
            <w:r>
              <w:rPr>
                <w:rFonts w:ascii="Arial" w:cs="Arial" w:eastAsia="Arial" w:hAnsi="Arial"/>
                <w:sz w:val="17"/>
                <w:szCs w:val="17"/>
                <w:b w:val="1"/>
                <w:bCs w:val="1"/>
                <w:color w:val="auto"/>
                <w:w w:val="88"/>
              </w:rPr>
              <w:t>Dividends</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3"/>
              </w:rPr>
              <w:t>The Vringo Certificate sets forth what dividends may</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The Innovate/Protect Certificate provides that</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0"/>
              </w:rPr>
              <w:t>be paid on common stock from legally available funds,</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Innovate/Protect’s board of directors shall have authority</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when and if determined by the Vringo board of</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to establish and designate series, and to fix the number of</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1"/>
              </w:rPr>
              <w:t>directors and subject to any preferential dividend right</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shares included in each such series and the variations in</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3"/>
              </w:rPr>
              <w:t>on any then outstanding preferred stock. The Vringo</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the relative rights, preferences and limitations as between</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9"/>
              </w:rPr>
              <w:t>Certificate also sets forth that the Vringo board of</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series, provided that, if the stated dividends and amounts</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directors may designate preferred stock and in</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payable on liquidation are not paid in full, the shares of</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4"/>
              </w:rPr>
              <w:t>connection with such designation fix dividend rights.</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all series of the same class shall share ratably in the</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payment of dividends including accumulations, if any, in</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accordance with the sums which would be payable on</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such shares if all dividends were declared and paid in</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full, and in any distribution of assets other than by way of</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dividends in accordance with the sums which would be</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payable on such distribution if all sums payable were</w:t>
            </w: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discharged in full.</w:t>
            </w: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20" w:type="dxa"/>
            <w:vAlign w:val="bottom"/>
            <w:gridSpan w:val="4"/>
          </w:tcPr>
          <w:p>
            <w:pPr>
              <w:jc w:val="center"/>
              <w:ind w:right="3740"/>
              <w:spacing w:after="0"/>
              <w:rPr>
                <w:sz w:val="20"/>
                <w:szCs w:val="20"/>
                <w:color w:val="auto"/>
              </w:rPr>
            </w:pPr>
            <w:r>
              <w:rPr>
                <w:rFonts w:ascii="Arial" w:cs="Arial" w:eastAsia="Arial" w:hAnsi="Arial"/>
                <w:sz w:val="17"/>
                <w:szCs w:val="17"/>
                <w:b w:val="1"/>
                <w:bCs w:val="1"/>
                <w:color w:val="auto"/>
                <w:w w:val="89"/>
              </w:rPr>
              <w:t>Rights on Liquidation</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2"/>
              </w:rPr>
              <w:t>The Vringo Certificate provides that upon a voluntary</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The Innovate/Protect Certificate and bylaws do not</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8"/>
              </w:rPr>
              <w:t>or involuntary liquidation or dissolution, holders of</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provide guidelines for liquidation rights.</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9"/>
              </w:rPr>
              <w:t>common stock are entitled to receive all assets of</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Vringo available for distribution subject to any</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4"/>
              </w:rPr>
              <w:t>preferential liquidation right on any then outstanding</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2"/>
              </w:rPr>
              <w:t>preferred stock. The Vringo Certificate also sets forth</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that the Vringo board of directors may designate</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preferred stock and in connection with such</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196"/>
        </w:trPr>
        <w:tc>
          <w:tcPr>
            <w:tcW w:w="3700" w:type="dxa"/>
            <w:vAlign w:val="bottom"/>
            <w:gridSpan w:val="4"/>
          </w:tcPr>
          <w:p>
            <w:pPr>
              <w:spacing w:after="0"/>
              <w:rPr>
                <w:sz w:val="20"/>
                <w:szCs w:val="20"/>
                <w:color w:val="auto"/>
              </w:rPr>
            </w:pPr>
            <w:r>
              <w:rPr>
                <w:rFonts w:ascii="Arial" w:cs="Arial" w:eastAsia="Arial" w:hAnsi="Arial"/>
                <w:sz w:val="17"/>
                <w:szCs w:val="17"/>
                <w:color w:val="auto"/>
              </w:rPr>
              <w:t>designation fix liquidation rights.</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20" w:type="dxa"/>
            <w:vAlign w:val="bottom"/>
            <w:gridSpan w:val="4"/>
          </w:tcPr>
          <w:p>
            <w:pPr>
              <w:jc w:val="center"/>
              <w:ind w:right="3740"/>
              <w:spacing w:after="0"/>
              <w:rPr>
                <w:sz w:val="20"/>
                <w:szCs w:val="20"/>
                <w:color w:val="auto"/>
              </w:rPr>
            </w:pPr>
            <w:r>
              <w:rPr>
                <w:rFonts w:ascii="Arial" w:cs="Arial" w:eastAsia="Arial" w:hAnsi="Arial"/>
                <w:sz w:val="17"/>
                <w:szCs w:val="17"/>
                <w:b w:val="1"/>
                <w:bCs w:val="1"/>
                <w:color w:val="auto"/>
                <w:w w:val="89"/>
              </w:rPr>
              <w:t>Supermajority Vote Requirements</w:t>
            </w:r>
          </w:p>
        </w:tc>
      </w:tr>
      <w:tr>
        <w:trPr>
          <w:trHeight w:val="200"/>
        </w:trPr>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2"/>
              </w:rPr>
              <w:t>The Vringo Certificate provides that no</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The Innovate/Protect Certificate and bylaws do not</w:t>
            </w: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0"/>
              </w:rPr>
              <w:t>director (other than directors elected by</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describe any supermajority vote requirements.</w:t>
            </w: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89"/>
              </w:rPr>
              <w:t>one or more series of Vringo’s preferred</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4"/>
              </w:rPr>
              <w:t>stock) may be removed from office by</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2"/>
              </w:rPr>
              <w:t>the stockholders except for cause and,</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89"/>
              </w:rPr>
              <w:t>in addition to any other vote required by</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9"/>
              </w:rPr>
              <w:t>law, upon the affirmative vote of not</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9"/>
              </w:rPr>
              <w:t>less than 66 2/3% of the total voting</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7"/>
              </w:rPr>
              <w:t>power of all outstanding securities of</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1"/>
              </w:rPr>
              <w:t>Vringo then entitled to vote generally in</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0"/>
              </w:rPr>
              <w:t>the election of directors, voting together</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13"/>
        </w:trPr>
        <w:tc>
          <w:tcPr>
            <w:tcW w:w="700" w:type="dxa"/>
            <w:vAlign w:val="bottom"/>
          </w:tcPr>
          <w:p>
            <w:pPr>
              <w:spacing w:after="0"/>
              <w:rPr>
                <w:sz w:val="18"/>
                <w:szCs w:val="18"/>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rPr>
              <w:t>as a single class.</w:t>
            </w: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714"/>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20" w:type="dxa"/>
            <w:vAlign w:val="bottom"/>
            <w:gridSpan w:val="2"/>
          </w:tcPr>
          <w:p>
            <w:pPr>
              <w:jc w:val="right"/>
              <w:ind w:right="3197"/>
              <w:spacing w:after="0"/>
              <w:rPr>
                <w:sz w:val="20"/>
                <w:szCs w:val="20"/>
                <w:color w:val="auto"/>
              </w:rPr>
            </w:pPr>
            <w:r>
              <w:rPr>
                <w:rFonts w:ascii="Arial" w:cs="Arial" w:eastAsia="Arial" w:hAnsi="Arial"/>
                <w:sz w:val="17"/>
                <w:szCs w:val="17"/>
                <w:color w:val="auto"/>
              </w:rPr>
              <w:t>199</w:t>
            </w:r>
          </w:p>
        </w:tc>
        <w:tc>
          <w:tcPr>
            <w:tcW w:w="2320" w:type="dxa"/>
            <w:vAlign w:val="bottom"/>
          </w:tcPr>
          <w:p>
            <w:pPr>
              <w:spacing w:after="0"/>
              <w:rPr>
                <w:sz w:val="24"/>
                <w:szCs w:val="24"/>
                <w:color w:val="auto"/>
              </w:rPr>
            </w:pPr>
          </w:p>
        </w:tc>
      </w:tr>
      <w:tr>
        <w:trPr>
          <w:trHeight w:val="150"/>
        </w:trPr>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860" w:type="dxa"/>
            <w:vAlign w:val="bottom"/>
            <w:tcBorders>
              <w:bottom w:val="single" w:sz="8" w:color="9A9A9A"/>
            </w:tcBorders>
          </w:tcPr>
          <w:p>
            <w:pPr>
              <w:spacing w:after="0"/>
              <w:rPr>
                <w:sz w:val="13"/>
                <w:szCs w:val="13"/>
                <w:color w:val="auto"/>
              </w:rPr>
            </w:pPr>
          </w:p>
        </w:tc>
        <w:tc>
          <w:tcPr>
            <w:tcW w:w="2320" w:type="dxa"/>
            <w:vAlign w:val="bottom"/>
            <w:tcBorders>
              <w:bottom w:val="single" w:sz="8" w:color="9A9A9A"/>
            </w:tcBorders>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60" w:type="dxa"/>
            <w:vAlign w:val="bottom"/>
            <w:tcBorders>
              <w:bottom w:val="single" w:sz="8" w:color="EEEEEE"/>
            </w:tcBorders>
          </w:tcPr>
          <w:p>
            <w:pPr>
              <w:spacing w:after="0" w:line="20" w:lineRule="exact"/>
              <w:rPr>
                <w:sz w:val="1"/>
                <w:szCs w:val="1"/>
                <w:color w:val="auto"/>
              </w:rPr>
            </w:pPr>
          </w:p>
        </w:tc>
        <w:tc>
          <w:tcPr>
            <w:tcW w:w="23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-6125845</wp:posOffset>
            </wp:positionV>
            <wp:extent cx="48056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13" w:name="page214"/>
    <w:bookmarkEnd w:id="2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48056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spacing w:after="0" w:line="4" w:lineRule="exact"/>
        <w:rPr>
          <w:sz w:val="20"/>
          <w:szCs w:val="20"/>
          <w:color w:val="auto"/>
        </w:rPr>
      </w:pPr>
    </w:p>
    <w:p>
      <w:pPr>
        <w:ind w:left="1660"/>
        <w:spacing w:after="0"/>
        <w:tabs>
          <w:tab w:leader="none" w:pos="5280" w:val="left"/>
        </w:tabs>
        <w:rPr>
          <w:sz w:val="20"/>
          <w:szCs w:val="20"/>
          <w:color w:val="auto"/>
        </w:rPr>
      </w:pPr>
      <w:r>
        <w:rPr>
          <w:rFonts w:ascii="Arial" w:cs="Arial" w:eastAsia="Arial" w:hAnsi="Arial"/>
          <w:sz w:val="13"/>
          <w:szCs w:val="13"/>
          <w:b w:val="1"/>
          <w:bCs w:val="1"/>
          <w:color w:val="auto"/>
        </w:rPr>
        <w:t>Vringo</w:t>
      </w:r>
      <w:r>
        <w:rPr>
          <w:sz w:val="20"/>
          <w:szCs w:val="20"/>
          <w:color w:val="auto"/>
        </w:rPr>
        <w:tab/>
      </w:r>
      <w:r>
        <w:rPr>
          <w:rFonts w:ascii="Arial" w:cs="Arial" w:eastAsia="Arial" w:hAnsi="Arial"/>
          <w:sz w:val="13"/>
          <w:szCs w:val="13"/>
          <w:b w:val="1"/>
          <w:bCs w:val="1"/>
          <w:color w:val="auto"/>
        </w:rPr>
        <w:t>Innovate/Protect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49015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901565" cy="8255"/>
                    </a:xfrm>
                    <a:prstGeom prst="rect">
                      <a:avLst/>
                    </a:prstGeom>
                    <a:noFill/>
                  </pic:spPr>
                </pic:pic>
              </a:graphicData>
            </a:graphic>
          </wp:anchor>
        </w:drawing>
      </w:r>
    </w:p>
    <w:p>
      <w:pPr>
        <w:ind w:left="1000" w:right="6419" w:hanging="669"/>
        <w:spacing w:after="0" w:line="279" w:lineRule="auto"/>
        <w:tabs>
          <w:tab w:leader="none" w:pos="10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Vringo Certificate also provides that though Vringo’s board of directors is expressly authorized to make, adopt, amend, alter, rescind or repeal Vringo’s Bylaws, Vringo’s stockholders may adopt, amend, alter, rescind or repeal Vringo’s Bylaws with, in addition to any other vote required by law, the affirmative vote of the holders of not less than 66 2/3% of the total voting power of all outstanding securities of Vringo then entitled to vote generally in the election of directors, voting together as a single class.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80" w:type="dxa"/>
            <w:vAlign w:val="bottom"/>
            <w:gridSpan w:val="2"/>
          </w:tcPr>
          <w:p>
            <w:pPr>
              <w:jc w:val="center"/>
              <w:ind w:left="1976"/>
              <w:spacing w:after="0"/>
              <w:rPr>
                <w:sz w:val="20"/>
                <w:szCs w:val="20"/>
                <w:color w:val="auto"/>
              </w:rPr>
            </w:pPr>
            <w:r>
              <w:rPr>
                <w:rFonts w:ascii="Arial" w:cs="Arial" w:eastAsia="Arial" w:hAnsi="Arial"/>
                <w:sz w:val="17"/>
                <w:szCs w:val="17"/>
                <w:b w:val="1"/>
                <w:bCs w:val="1"/>
                <w:color w:val="auto"/>
                <w:w w:val="87"/>
              </w:rPr>
              <w:t>Conversion Rights</w:t>
            </w:r>
          </w:p>
        </w:tc>
        <w:tc>
          <w:tcPr>
            <w:tcW w:w="5520" w:type="dxa"/>
            <w:vAlign w:val="bottom"/>
          </w:tcPr>
          <w:p>
            <w:pPr>
              <w:spacing w:after="0"/>
              <w:rPr>
                <w:sz w:val="16"/>
                <w:szCs w:val="16"/>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w w:val="93"/>
              </w:rPr>
              <w:t>The Vringo Certificate sets forth that the Vringo board</w:t>
            </w:r>
          </w:p>
        </w:tc>
        <w:tc>
          <w:tcPr>
            <w:tcW w:w="6260" w:type="dxa"/>
            <w:vAlign w:val="bottom"/>
            <w:gridSpan w:val="2"/>
          </w:tcPr>
          <w:p>
            <w:pPr>
              <w:ind w:left="80"/>
              <w:spacing w:after="0"/>
              <w:rPr>
                <w:sz w:val="20"/>
                <w:szCs w:val="20"/>
                <w:color w:val="auto"/>
              </w:rPr>
            </w:pPr>
            <w:r>
              <w:rPr>
                <w:rFonts w:ascii="Arial" w:cs="Arial" w:eastAsia="Arial" w:hAnsi="Arial"/>
                <w:sz w:val="17"/>
                <w:szCs w:val="17"/>
                <w:color w:val="auto"/>
              </w:rPr>
              <w:t>The Innovate/Protect Certificate sets forth that the</w:t>
            </w: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of directors may designate preferred stock and in</w:t>
            </w:r>
          </w:p>
        </w:tc>
        <w:tc>
          <w:tcPr>
            <w:tcW w:w="6260" w:type="dxa"/>
            <w:vAlign w:val="bottom"/>
            <w:gridSpan w:val="2"/>
          </w:tcPr>
          <w:p>
            <w:pPr>
              <w:ind w:left="80"/>
              <w:spacing w:after="0"/>
              <w:rPr>
                <w:sz w:val="20"/>
                <w:szCs w:val="20"/>
                <w:color w:val="auto"/>
              </w:rPr>
            </w:pPr>
            <w:r>
              <w:rPr>
                <w:rFonts w:ascii="Arial" w:cs="Arial" w:eastAsia="Arial" w:hAnsi="Arial"/>
                <w:sz w:val="17"/>
                <w:szCs w:val="17"/>
                <w:color w:val="auto"/>
              </w:rPr>
              <w:t>Innovate/Protect board of directors may designate</w:t>
            </w:r>
          </w:p>
        </w:tc>
      </w:tr>
      <w:tr>
        <w:trPr>
          <w:trHeight w:val="200"/>
        </w:trPr>
        <w:tc>
          <w:tcPr>
            <w:tcW w:w="10040" w:type="dxa"/>
            <w:vAlign w:val="bottom"/>
            <w:gridSpan w:val="5"/>
          </w:tcPr>
          <w:p>
            <w:pPr>
              <w:spacing w:after="0"/>
              <w:rPr>
                <w:sz w:val="20"/>
                <w:szCs w:val="20"/>
                <w:color w:val="auto"/>
              </w:rPr>
            </w:pPr>
            <w:r>
              <w:rPr>
                <w:rFonts w:ascii="Arial" w:cs="Arial" w:eastAsia="Arial" w:hAnsi="Arial"/>
                <w:sz w:val="17"/>
                <w:szCs w:val="17"/>
                <w:color w:val="auto"/>
              </w:rPr>
              <w:t>connection with such designation fix conversion rights.  preferred stock and fix the variations in the relative</w:t>
            </w: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260" w:type="dxa"/>
            <w:vAlign w:val="bottom"/>
            <w:gridSpan w:val="2"/>
          </w:tcPr>
          <w:p>
            <w:pPr>
              <w:ind w:left="80"/>
              <w:spacing w:after="0"/>
              <w:rPr>
                <w:sz w:val="20"/>
                <w:szCs w:val="20"/>
                <w:color w:val="auto"/>
              </w:rPr>
            </w:pPr>
            <w:r>
              <w:rPr>
                <w:rFonts w:ascii="Arial" w:cs="Arial" w:eastAsia="Arial" w:hAnsi="Arial"/>
                <w:sz w:val="17"/>
                <w:szCs w:val="17"/>
                <w:color w:val="auto"/>
              </w:rPr>
              <w:t>rights, preferences and limitations as between series.</w:t>
            </w: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00" w:type="dxa"/>
            <w:vAlign w:val="bottom"/>
            <w:gridSpan w:val="3"/>
          </w:tcPr>
          <w:p>
            <w:pPr>
              <w:jc w:val="center"/>
              <w:ind w:right="3376"/>
              <w:spacing w:after="0"/>
              <w:rPr>
                <w:sz w:val="20"/>
                <w:szCs w:val="20"/>
                <w:color w:val="auto"/>
              </w:rPr>
            </w:pPr>
            <w:r>
              <w:rPr>
                <w:rFonts w:ascii="Arial" w:cs="Arial" w:eastAsia="Arial" w:hAnsi="Arial"/>
                <w:sz w:val="17"/>
                <w:szCs w:val="17"/>
                <w:b w:val="1"/>
                <w:bCs w:val="1"/>
                <w:color w:val="auto"/>
                <w:w w:val="88"/>
              </w:rPr>
              <w:t>Number of Directors and Elections</w:t>
            </w:r>
          </w:p>
        </w:tc>
      </w:tr>
      <w:tr>
        <w:trPr>
          <w:trHeight w:val="200"/>
        </w:trPr>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3"/>
              </w:rPr>
              <w:t>The Vringo Certificate provides that the</w:t>
            </w:r>
          </w:p>
        </w:tc>
        <w:tc>
          <w:tcPr>
            <w:tcW w:w="740" w:type="dxa"/>
            <w:vAlign w:val="bottom"/>
          </w:tcPr>
          <w:p>
            <w:pPr>
              <w:ind w:left="240"/>
              <w:spacing w:after="0"/>
              <w:rPr>
                <w:sz w:val="20"/>
                <w:szCs w:val="20"/>
                <w:color w:val="auto"/>
              </w:rPr>
            </w:pPr>
            <w:r>
              <w:rPr>
                <w:rFonts w:ascii="Arial" w:cs="Arial" w:eastAsia="Arial" w:hAnsi="Arial"/>
                <w:sz w:val="17"/>
                <w:szCs w:val="17"/>
                <w:color w:val="auto"/>
              </w:rPr>
              <w:t>•</w:t>
            </w:r>
          </w:p>
        </w:tc>
        <w:tc>
          <w:tcPr>
            <w:tcW w:w="5520" w:type="dxa"/>
            <w:vAlign w:val="bottom"/>
          </w:tcPr>
          <w:p>
            <w:pPr>
              <w:spacing w:after="0"/>
              <w:rPr>
                <w:sz w:val="20"/>
                <w:szCs w:val="20"/>
                <w:color w:val="auto"/>
              </w:rPr>
            </w:pPr>
            <w:r>
              <w:rPr>
                <w:rFonts w:ascii="Arial" w:cs="Arial" w:eastAsia="Arial" w:hAnsi="Arial"/>
                <w:sz w:val="17"/>
                <w:szCs w:val="17"/>
                <w:color w:val="auto"/>
              </w:rPr>
              <w:t>The Innovate/Protect bylaws provide that the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3"/>
              </w:rPr>
              <w:t>board of directors will consist of no less</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number of directors constituting the entire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0"/>
              </w:rPr>
              <w:t>than one member with the exact number</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board of directors shall be the number, not less</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to be determined as provided in the</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than one nor more than fifteen, fixed from time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5"/>
              </w:rPr>
              <w:t>Vringo bylaws or as set forth from time</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to time by a majority of the total number of</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7"/>
              </w:rPr>
              <w:t>to time by a duly adopted amendment</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directors which Innovate/Protect would have,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2"/>
              </w:rPr>
              <w:t>thereto by Vringo’s board of directors or</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prior to any increase or decrease, if there were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stockholders. The Vringo Bylaws</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no vacancies, provided, however, that no</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provide that the exact number of</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decrease shall shorten the term of an incumbent</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4"/>
              </w:rPr>
              <w:t>members of the board of directors is to</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 The number of directors may be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be determined by a resolution of the</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increased or decreased by the action of</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Vringo board of directors.</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Innovate/Protect’s stockholders or of</w:t>
            </w:r>
          </w:p>
        </w:tc>
      </w:tr>
      <w:tr>
        <w:trPr>
          <w:trHeight w:val="200"/>
        </w:trPr>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2"/>
              </w:rPr>
              <w:t>The Vringo Certificate provides that any</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Innovate/Protect’s directors.</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vacancy of the board of directors of</w:t>
            </w:r>
          </w:p>
        </w:tc>
        <w:tc>
          <w:tcPr>
            <w:tcW w:w="74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9"/>
              </w:rPr>
              <w:t>Vringo will be filled by a majority vote</w:t>
            </w:r>
          </w:p>
        </w:tc>
        <w:tc>
          <w:tcPr>
            <w:tcW w:w="74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of the directors then in office.</w:t>
            </w:r>
          </w:p>
        </w:tc>
        <w:tc>
          <w:tcPr>
            <w:tcW w:w="74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200"/>
        </w:trPr>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The Vringo bylaws provide that</w:t>
            </w:r>
          </w:p>
        </w:tc>
        <w:tc>
          <w:tcPr>
            <w:tcW w:w="740" w:type="dxa"/>
            <w:vAlign w:val="bottom"/>
          </w:tcPr>
          <w:p>
            <w:pPr>
              <w:ind w:left="240"/>
              <w:spacing w:after="0"/>
              <w:rPr>
                <w:sz w:val="20"/>
                <w:szCs w:val="20"/>
                <w:color w:val="auto"/>
              </w:rPr>
            </w:pPr>
            <w:r>
              <w:rPr>
                <w:rFonts w:ascii="Arial" w:cs="Arial" w:eastAsia="Arial" w:hAnsi="Arial"/>
                <w:sz w:val="17"/>
                <w:szCs w:val="17"/>
                <w:color w:val="auto"/>
              </w:rPr>
              <w:t>•</w:t>
            </w:r>
          </w:p>
        </w:tc>
        <w:tc>
          <w:tcPr>
            <w:tcW w:w="5520" w:type="dxa"/>
            <w:vAlign w:val="bottom"/>
          </w:tcPr>
          <w:p>
            <w:pPr>
              <w:spacing w:after="0"/>
              <w:rPr>
                <w:sz w:val="20"/>
                <w:szCs w:val="20"/>
                <w:color w:val="auto"/>
              </w:rPr>
            </w:pPr>
            <w:r>
              <w:rPr>
                <w:rFonts w:ascii="Arial" w:cs="Arial" w:eastAsia="Arial" w:hAnsi="Arial"/>
                <w:sz w:val="17"/>
                <w:szCs w:val="17"/>
                <w:color w:val="auto"/>
              </w:rPr>
              <w:t>The Innovate/Protect Bylaws provide that</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5"/>
              </w:rPr>
              <w:t>directors shall be elected by a plurality</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directors are elected at an annual meeting of</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of the voting power of the shares</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stockholders, and directors who are elected in</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present in person or represented by</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the interim to fill vacancies and newly created</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1"/>
              </w:rPr>
              <w:t>proxy at the meeting and entitled to vote</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directorships, shall hold office until the next</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on the election of directors.</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annual meeting of stockholders and until their</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successors have been elected and qualified or</w:t>
            </w:r>
          </w:p>
        </w:tc>
      </w:tr>
      <w:tr>
        <w:trPr>
          <w:trHeight w:val="213"/>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until their earlier resignation or removal.</w:t>
            </w:r>
          </w:p>
        </w:tc>
      </w:tr>
      <w:tr>
        <w:trPr>
          <w:trHeight w:val="915"/>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40" w:type="dxa"/>
            <w:vAlign w:val="bottom"/>
          </w:tcPr>
          <w:p>
            <w:pPr>
              <w:ind w:left="420"/>
              <w:spacing w:after="0"/>
              <w:rPr>
                <w:sz w:val="20"/>
                <w:szCs w:val="20"/>
                <w:color w:val="auto"/>
              </w:rPr>
            </w:pPr>
            <w:r>
              <w:rPr>
                <w:rFonts w:ascii="Arial" w:cs="Arial" w:eastAsia="Arial" w:hAnsi="Arial"/>
                <w:sz w:val="17"/>
                <w:szCs w:val="17"/>
                <w:color w:val="auto"/>
              </w:rPr>
              <w:t>200</w:t>
            </w:r>
          </w:p>
        </w:tc>
        <w:tc>
          <w:tcPr>
            <w:tcW w:w="5520" w:type="dxa"/>
            <w:vAlign w:val="bottom"/>
          </w:tcPr>
          <w:p>
            <w:pPr>
              <w:spacing w:after="0"/>
              <w:rPr>
                <w:sz w:val="24"/>
                <w:szCs w:val="24"/>
                <w:color w:val="auto"/>
              </w:rPr>
            </w:pPr>
          </w:p>
        </w:tc>
      </w:tr>
      <w:tr>
        <w:trPr>
          <w:trHeight w:val="150"/>
        </w:trPr>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520" w:type="dxa"/>
            <w:vAlign w:val="bottom"/>
            <w:tcBorders>
              <w:bottom w:val="single" w:sz="8" w:color="9A9A9A"/>
            </w:tcBorders>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55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149"/>
        </w:trPr>
        <w:tc>
          <w:tcPr>
            <w:tcW w:w="3860" w:type="dxa"/>
            <w:vAlign w:val="bottom"/>
            <w:gridSpan w:val="2"/>
          </w:tcPr>
          <w:p>
            <w:pPr>
              <w:spacing w:after="0"/>
              <w:rPr>
                <w:sz w:val="20"/>
                <w:szCs w:val="20"/>
                <w:color w:val="auto"/>
              </w:rPr>
            </w:pPr>
            <w:r>
              <w:rPr>
                <w:rFonts w:ascii="Arial" w:cs="Arial" w:eastAsia="Arial" w:hAnsi="Arial"/>
                <w:sz w:val="13"/>
                <w:szCs w:val="13"/>
                <w:b w:val="1"/>
                <w:bCs w:val="1"/>
                <w:color w:val="0000EE"/>
              </w:rPr>
              <w:t>TABLE OF CONTENTS</w:t>
            </w:r>
          </w:p>
        </w:tc>
        <w:tc>
          <w:tcPr>
            <w:tcW w:w="1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68"/>
        </w:trPr>
        <w:tc>
          <w:tcPr>
            <w:tcW w:w="1420" w:type="dxa"/>
            <w:vAlign w:val="bottom"/>
            <w:tcBorders>
              <w:top w:val="single" w:sz="8" w:color="0000EE"/>
              <w:bottom w:val="single" w:sz="8" w:color="auto"/>
            </w:tcBorders>
          </w:tcPr>
          <w:p>
            <w:pPr>
              <w:spacing w:after="0"/>
              <w:rPr>
                <w:sz w:val="14"/>
                <w:szCs w:val="14"/>
                <w:color w:val="auto"/>
              </w:rPr>
            </w:pPr>
          </w:p>
        </w:tc>
        <w:tc>
          <w:tcPr>
            <w:tcW w:w="24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Vringo</w:t>
            </w:r>
          </w:p>
        </w:tc>
        <w:tc>
          <w:tcPr>
            <w:tcW w:w="140" w:type="dxa"/>
            <w:vAlign w:val="bottom"/>
          </w:tcPr>
          <w:p>
            <w:pPr>
              <w:spacing w:after="0"/>
              <w:rPr>
                <w:sz w:val="14"/>
                <w:szCs w:val="14"/>
                <w:color w:val="auto"/>
              </w:rPr>
            </w:pPr>
          </w:p>
        </w:tc>
        <w:tc>
          <w:tcPr>
            <w:tcW w:w="372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Innovate/Protect</w:t>
            </w:r>
          </w:p>
        </w:tc>
      </w:tr>
      <w:tr>
        <w:trPr>
          <w:trHeight w:val="181"/>
        </w:trPr>
        <w:tc>
          <w:tcPr>
            <w:tcW w:w="1420" w:type="dxa"/>
            <w:vAlign w:val="bottom"/>
          </w:tcPr>
          <w:p>
            <w:pPr>
              <w:spacing w:after="0"/>
              <w:rPr>
                <w:sz w:val="15"/>
                <w:szCs w:val="15"/>
                <w:color w:val="auto"/>
              </w:rPr>
            </w:pPr>
          </w:p>
        </w:tc>
        <w:tc>
          <w:tcPr>
            <w:tcW w:w="2440" w:type="dxa"/>
            <w:vAlign w:val="bottom"/>
          </w:tcPr>
          <w:p>
            <w:pPr>
              <w:ind w:left="1940"/>
              <w:spacing w:after="0" w:line="180" w:lineRule="exact"/>
              <w:rPr>
                <w:sz w:val="20"/>
                <w:szCs w:val="20"/>
                <w:color w:val="auto"/>
              </w:rPr>
            </w:pPr>
            <w:r>
              <w:rPr>
                <w:rFonts w:ascii="Arial" w:cs="Arial" w:eastAsia="Arial" w:hAnsi="Arial"/>
                <w:sz w:val="17"/>
                <w:szCs w:val="17"/>
                <w:b w:val="1"/>
                <w:bCs w:val="1"/>
                <w:color w:val="auto"/>
                <w:w w:val="90"/>
              </w:rPr>
              <w:t>Voting</w:t>
            </w:r>
          </w:p>
        </w:tc>
        <w:tc>
          <w:tcPr>
            <w:tcW w:w="3860" w:type="dxa"/>
            <w:vAlign w:val="bottom"/>
            <w:gridSpan w:val="2"/>
          </w:tcPr>
          <w:p>
            <w:pPr>
              <w:ind w:left="20"/>
              <w:spacing w:after="0" w:line="180" w:lineRule="exact"/>
              <w:rPr>
                <w:sz w:val="20"/>
                <w:szCs w:val="20"/>
                <w:color w:val="auto"/>
              </w:rPr>
            </w:pPr>
            <w:r>
              <w:rPr>
                <w:rFonts w:ascii="Arial" w:cs="Arial" w:eastAsia="Arial" w:hAnsi="Arial"/>
                <w:sz w:val="17"/>
                <w:szCs w:val="17"/>
                <w:b w:val="1"/>
                <w:bCs w:val="1"/>
                <w:color w:val="auto"/>
              </w:rPr>
              <w:t>Rights</w:t>
            </w:r>
          </w:p>
        </w:tc>
      </w:tr>
      <w:tr>
        <w:trPr>
          <w:trHeight w:val="200"/>
        </w:trPr>
        <w:tc>
          <w:tcPr>
            <w:tcW w:w="3860" w:type="dxa"/>
            <w:vAlign w:val="bottom"/>
            <w:gridSpan w:val="2"/>
          </w:tcPr>
          <w:p>
            <w:pPr>
              <w:spacing w:after="0"/>
              <w:rPr>
                <w:sz w:val="20"/>
                <w:szCs w:val="20"/>
                <w:color w:val="auto"/>
              </w:rPr>
            </w:pPr>
            <w:r>
              <w:rPr>
                <w:rFonts w:ascii="Arial" w:cs="Arial" w:eastAsia="Arial" w:hAnsi="Arial"/>
                <w:sz w:val="17"/>
                <w:szCs w:val="17"/>
                <w:color w:val="auto"/>
              </w:rPr>
              <w:t>The Vringo Certificate provides that each holder of</w:t>
            </w:r>
          </w:p>
        </w:tc>
        <w:tc>
          <w:tcPr>
            <w:tcW w:w="1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The Innovate/Protect Certificate provides that the</w:t>
            </w:r>
          </w:p>
        </w:tc>
      </w:tr>
      <w:tr>
        <w:trPr>
          <w:trHeight w:val="200"/>
        </w:trPr>
        <w:tc>
          <w:tcPr>
            <w:tcW w:w="3860" w:type="dxa"/>
            <w:vAlign w:val="bottom"/>
            <w:gridSpan w:val="2"/>
          </w:tcPr>
          <w:p>
            <w:pPr>
              <w:spacing w:after="0"/>
              <w:rPr>
                <w:sz w:val="20"/>
                <w:szCs w:val="20"/>
                <w:color w:val="auto"/>
              </w:rPr>
            </w:pPr>
            <w:r>
              <w:rPr>
                <w:rFonts w:ascii="Arial" w:cs="Arial" w:eastAsia="Arial" w:hAnsi="Arial"/>
                <w:sz w:val="17"/>
                <w:szCs w:val="17"/>
                <w:color w:val="auto"/>
                <w:w w:val="90"/>
              </w:rPr>
              <w:t>common stock is entitled to one vote for each share held</w:t>
            </w:r>
          </w:p>
        </w:tc>
        <w:tc>
          <w:tcPr>
            <w:tcW w:w="1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7"/>
                <w:szCs w:val="17"/>
                <w:color w:val="auto"/>
                <w:w w:val="98"/>
              </w:rPr>
              <w:t>Vringo board of directors may designate preferred</w:t>
            </w:r>
          </w:p>
        </w:tc>
      </w:tr>
      <w:tr>
        <w:trPr>
          <w:trHeight w:val="200"/>
        </w:trPr>
        <w:tc>
          <w:tcPr>
            <w:tcW w:w="3860" w:type="dxa"/>
            <w:vAlign w:val="bottom"/>
            <w:gridSpan w:val="2"/>
          </w:tcPr>
          <w:p>
            <w:pPr>
              <w:spacing w:after="0"/>
              <w:rPr>
                <w:sz w:val="20"/>
                <w:szCs w:val="20"/>
                <w:color w:val="auto"/>
              </w:rPr>
            </w:pPr>
            <w:r>
              <w:rPr>
                <w:rFonts w:ascii="Arial" w:cs="Arial" w:eastAsia="Arial" w:hAnsi="Arial"/>
                <w:sz w:val="17"/>
                <w:szCs w:val="17"/>
                <w:color w:val="auto"/>
                <w:w w:val="95"/>
              </w:rPr>
              <w:t>at all meetings of stockholders. The Vringo Certificate</w:t>
            </w:r>
          </w:p>
        </w:tc>
        <w:tc>
          <w:tcPr>
            <w:tcW w:w="1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stock and in connection with such designation fix</w:t>
            </w:r>
          </w:p>
        </w:tc>
      </w:tr>
      <w:tr>
        <w:trPr>
          <w:trHeight w:val="200"/>
        </w:trPr>
        <w:tc>
          <w:tcPr>
            <w:tcW w:w="3860" w:type="dxa"/>
            <w:vAlign w:val="bottom"/>
            <w:gridSpan w:val="2"/>
          </w:tcPr>
          <w:p>
            <w:pPr>
              <w:spacing w:after="0"/>
              <w:rPr>
                <w:sz w:val="20"/>
                <w:szCs w:val="20"/>
                <w:color w:val="auto"/>
              </w:rPr>
            </w:pPr>
            <w:r>
              <w:rPr>
                <w:rFonts w:ascii="Arial" w:cs="Arial" w:eastAsia="Arial" w:hAnsi="Arial"/>
                <w:sz w:val="17"/>
                <w:szCs w:val="17"/>
                <w:color w:val="auto"/>
                <w:w w:val="97"/>
              </w:rPr>
              <w:t>also sets forth that the Vringo board of directors may</w:t>
            </w:r>
          </w:p>
        </w:tc>
        <w:tc>
          <w:tcPr>
            <w:tcW w:w="1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voting rights.</w:t>
            </w:r>
          </w:p>
        </w:tc>
      </w:tr>
      <w:tr>
        <w:trPr>
          <w:trHeight w:val="200"/>
        </w:trPr>
        <w:tc>
          <w:tcPr>
            <w:tcW w:w="3860" w:type="dxa"/>
            <w:vAlign w:val="bottom"/>
            <w:gridSpan w:val="2"/>
          </w:tcPr>
          <w:p>
            <w:pPr>
              <w:spacing w:after="0"/>
              <w:rPr>
                <w:sz w:val="20"/>
                <w:szCs w:val="20"/>
                <w:color w:val="auto"/>
              </w:rPr>
            </w:pPr>
            <w:r>
              <w:rPr>
                <w:rFonts w:ascii="Arial" w:cs="Arial" w:eastAsia="Arial" w:hAnsi="Arial"/>
                <w:sz w:val="17"/>
                <w:szCs w:val="17"/>
                <w:color w:val="auto"/>
                <w:w w:val="94"/>
              </w:rPr>
              <w:t>designate preferred stock and in connection with such</w:t>
            </w:r>
          </w:p>
        </w:tc>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213"/>
        </w:trPr>
        <w:tc>
          <w:tcPr>
            <w:tcW w:w="3860" w:type="dxa"/>
            <w:vAlign w:val="bottom"/>
            <w:gridSpan w:val="2"/>
          </w:tcPr>
          <w:p>
            <w:pPr>
              <w:spacing w:after="0"/>
              <w:rPr>
                <w:sz w:val="20"/>
                <w:szCs w:val="20"/>
                <w:color w:val="auto"/>
              </w:rPr>
            </w:pPr>
            <w:r>
              <w:rPr>
                <w:rFonts w:ascii="Arial" w:cs="Arial" w:eastAsia="Arial" w:hAnsi="Arial"/>
                <w:sz w:val="17"/>
                <w:szCs w:val="17"/>
                <w:color w:val="auto"/>
              </w:rPr>
              <w:t>designation fix voting rights.</w:t>
            </w: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-1089660</wp:posOffset>
            </wp:positionV>
            <wp:extent cx="49015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901565" cy="8255"/>
                    </a:xfrm>
                    <a:prstGeom prst="rect">
                      <a:avLst/>
                    </a:prstGeom>
                    <a:noFill/>
                  </pic:spPr>
                </pic:pic>
              </a:graphicData>
            </a:graphic>
          </wp:anchor>
        </w:drawing>
      </w:r>
    </w:p>
    <w:p>
      <w:pPr>
        <w:spacing w:after="0" w:line="168"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The Vringo bylaws do not provide guidelines for the</w:t>
      </w:r>
      <w:r>
        <w:rPr>
          <w:sz w:val="20"/>
          <w:szCs w:val="20"/>
          <w:color w:val="auto"/>
        </w:rPr>
        <w:tab/>
      </w:r>
      <w:r>
        <w:rPr>
          <w:rFonts w:ascii="Arial" w:cs="Arial" w:eastAsia="Arial" w:hAnsi="Arial"/>
          <w:sz w:val="15"/>
          <w:szCs w:val="15"/>
          <w:color w:val="auto"/>
        </w:rPr>
        <w:t>The Innovate/Protect bylaws provide that a stockholder</w:t>
      </w:r>
    </w:p>
    <w:p>
      <w:pPr>
        <w:spacing w:after="0" w:line="17"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submission of stockholder nominations and proposals by</w:t>
      </w:r>
      <w:r>
        <w:rPr>
          <w:sz w:val="20"/>
          <w:szCs w:val="20"/>
          <w:color w:val="auto"/>
        </w:rPr>
        <w:tab/>
      </w:r>
      <w:r>
        <w:rPr>
          <w:rFonts w:ascii="Arial" w:cs="Arial" w:eastAsia="Arial" w:hAnsi="Arial"/>
          <w:sz w:val="15"/>
          <w:szCs w:val="15"/>
          <w:color w:val="auto"/>
        </w:rPr>
        <w:t>of Innovate/Protect may bring a matter before a</w:t>
      </w:r>
    </w:p>
    <w:p>
      <w:pPr>
        <w:spacing w:after="0" w:line="5"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Vringo stockholders.</w:t>
      </w:r>
      <w:r>
        <w:rPr>
          <w:sz w:val="20"/>
          <w:szCs w:val="20"/>
          <w:color w:val="auto"/>
        </w:rPr>
        <w:tab/>
      </w:r>
      <w:r>
        <w:rPr>
          <w:rFonts w:ascii="Arial" w:cs="Arial" w:eastAsia="Arial" w:hAnsi="Arial"/>
          <w:sz w:val="15"/>
          <w:szCs w:val="15"/>
          <w:color w:val="auto"/>
        </w:rPr>
        <w:t>meeting of stockholders or for action by written</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consent without a meeting only if such stockholder</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matter is a proper matter for stockholder action and</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such stockholder shall have provided notice in writing</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to Innovate/Protect’s board of directors.</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Adjournment of a Stockholder Meeting</w:t>
      </w:r>
    </w:p>
    <w:p>
      <w:pPr>
        <w:spacing w:after="0" w:line="5"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The Vringo Bylaws provide that any meeting of</w:t>
      </w:r>
      <w:r>
        <w:rPr>
          <w:sz w:val="20"/>
          <w:szCs w:val="20"/>
          <w:color w:val="auto"/>
        </w:rPr>
        <w:tab/>
      </w:r>
      <w:r>
        <w:rPr>
          <w:rFonts w:ascii="Arial" w:cs="Arial" w:eastAsia="Arial" w:hAnsi="Arial"/>
          <w:sz w:val="15"/>
          <w:szCs w:val="15"/>
          <w:color w:val="auto"/>
        </w:rPr>
        <w:t>The Innovate/Protect Bylaws provide a meeting of</w:t>
      </w:r>
    </w:p>
    <w:p>
      <w:pPr>
        <w:spacing w:after="0" w:line="5"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stockholders, annual or special, may adjourn from time to</w:t>
      </w:r>
      <w:r>
        <w:rPr>
          <w:sz w:val="20"/>
          <w:szCs w:val="20"/>
          <w:color w:val="auto"/>
        </w:rPr>
        <w:tab/>
      </w:r>
      <w:r>
        <w:rPr>
          <w:rFonts w:ascii="Arial" w:cs="Arial" w:eastAsia="Arial" w:hAnsi="Arial"/>
          <w:sz w:val="15"/>
          <w:szCs w:val="15"/>
          <w:color w:val="auto"/>
        </w:rPr>
        <w:t>stockholders may be adjourned by a majority of</w:t>
      </w:r>
    </w:p>
    <w:p>
      <w:pPr>
        <w:spacing w:after="0" w:line="5"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time to reconvene at the same or some other place, and</w:t>
      </w:r>
      <w:r>
        <w:rPr>
          <w:sz w:val="20"/>
          <w:szCs w:val="20"/>
          <w:color w:val="auto"/>
        </w:rPr>
        <w:tab/>
      </w:r>
      <w:r>
        <w:rPr>
          <w:rFonts w:ascii="Arial" w:cs="Arial" w:eastAsia="Arial" w:hAnsi="Arial"/>
          <w:sz w:val="15"/>
          <w:szCs w:val="15"/>
          <w:color w:val="auto"/>
        </w:rPr>
        <w:t>Innovate/Protect’s stockholders or directors to another</w:t>
      </w:r>
    </w:p>
    <w:p>
      <w:pPr>
        <w:spacing w:after="0" w:line="5"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notice need not be given of the adjourned meeting if the</w:t>
      </w:r>
      <w:r>
        <w:rPr>
          <w:sz w:val="20"/>
          <w:szCs w:val="20"/>
          <w:color w:val="auto"/>
        </w:rPr>
        <w:tab/>
      </w:r>
      <w:r>
        <w:rPr>
          <w:rFonts w:ascii="Arial" w:cs="Arial" w:eastAsia="Arial" w:hAnsi="Arial"/>
          <w:sz w:val="15"/>
          <w:szCs w:val="15"/>
          <w:color w:val="auto"/>
        </w:rPr>
        <w:t>place, date or time.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time, place, if any, thereof, and the means of remote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if any, by which stockholders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proxy holders may be deemed to be present in person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vote at such adjourned meeting are announced at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meeting at which the adjournment is taken. At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adjourned meeting, Vringo may transact any business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which might have been transacted at the original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meeting. If the adjournment is for more than 30 days, 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if after the adjournment a new record date is fixed for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adjourned meeting, a notice of the adjourned meeting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shall be given to each stockholder of record entitled to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vote at the meeting.</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Removal of Directors</w:t>
      </w:r>
    </w:p>
    <w:tbl>
      <w:tblPr>
        <w:tblLayout w:type="fixed"/>
        <w:tblInd w:w="0" w:type="dxa"/>
        <w:tblCellMar>
          <w:top w:w="0" w:type="dxa"/>
          <w:left w:w="0" w:type="dxa"/>
          <w:bottom w:w="0" w:type="dxa"/>
          <w:right w:w="0" w:type="dxa"/>
        </w:tblCellMar>
      </w:tblPr>
      <w:tr>
        <w:trPr>
          <w:trHeight w:val="193"/>
        </w:trPr>
        <w:tc>
          <w:tcPr>
            <w:tcW w:w="3900" w:type="dxa"/>
            <w:vAlign w:val="bottom"/>
            <w:gridSpan w:val="2"/>
          </w:tcPr>
          <w:p>
            <w:pPr>
              <w:spacing w:after="0" w:line="194" w:lineRule="exact"/>
              <w:rPr>
                <w:sz w:val="20"/>
                <w:szCs w:val="20"/>
                <w:color w:val="auto"/>
              </w:rPr>
            </w:pPr>
            <w:r>
              <w:rPr>
                <w:rFonts w:ascii="Arial" w:cs="Arial" w:eastAsia="Arial" w:hAnsi="Arial"/>
                <w:sz w:val="17"/>
                <w:szCs w:val="17"/>
                <w:color w:val="auto"/>
                <w:w w:val="96"/>
              </w:rPr>
              <w:t>The Vringo Certificate provides that no director (other</w:t>
            </w: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The Innovate/Protect bylaws provide that any or all of</w:t>
            </w: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3"/>
              </w:rPr>
              <w:t>than directors elected by one or more series of Vringo’s</w:t>
            </w:r>
          </w:p>
        </w:tc>
        <w:tc>
          <w:tcPr>
            <w:tcW w:w="6140" w:type="dxa"/>
            <w:vAlign w:val="bottom"/>
          </w:tcPr>
          <w:p>
            <w:pPr>
              <w:ind w:left="100"/>
              <w:spacing w:after="0"/>
              <w:rPr>
                <w:sz w:val="20"/>
                <w:szCs w:val="20"/>
                <w:color w:val="auto"/>
              </w:rPr>
            </w:pPr>
            <w:r>
              <w:rPr>
                <w:rFonts w:ascii="Arial" w:cs="Arial" w:eastAsia="Arial" w:hAnsi="Arial"/>
                <w:sz w:val="17"/>
                <w:szCs w:val="17"/>
                <w:color w:val="auto"/>
              </w:rPr>
              <w:t>the directors may be removed for cause or without</w:t>
            </w: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rPr>
              <w:t>preferred stock) may be removed from office by the</w:t>
            </w:r>
          </w:p>
        </w:tc>
        <w:tc>
          <w:tcPr>
            <w:tcW w:w="6140" w:type="dxa"/>
            <w:vAlign w:val="bottom"/>
          </w:tcPr>
          <w:p>
            <w:pPr>
              <w:ind w:left="100"/>
              <w:spacing w:after="0"/>
              <w:rPr>
                <w:sz w:val="20"/>
                <w:szCs w:val="20"/>
                <w:color w:val="auto"/>
              </w:rPr>
            </w:pPr>
            <w:r>
              <w:rPr>
                <w:rFonts w:ascii="Arial" w:cs="Arial" w:eastAsia="Arial" w:hAnsi="Arial"/>
                <w:sz w:val="17"/>
                <w:szCs w:val="17"/>
                <w:color w:val="auto"/>
              </w:rPr>
              <w:t>cause by the stockholders.</w:t>
            </w: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7"/>
              </w:rPr>
              <w:t>stockholders except for cause and, in addition to any</w:t>
            </w:r>
          </w:p>
        </w:tc>
        <w:tc>
          <w:tcPr>
            <w:tcW w:w="6140" w:type="dxa"/>
            <w:vAlign w:val="bottom"/>
          </w:tcPr>
          <w:p>
            <w:pPr>
              <w:spacing w:after="0"/>
              <w:rPr>
                <w:sz w:val="17"/>
                <w:szCs w:val="17"/>
                <w:color w:val="auto"/>
              </w:rPr>
            </w:pP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4"/>
              </w:rPr>
              <w:t>other vote required by law, upon the affirmative vote of</w:t>
            </w:r>
          </w:p>
        </w:tc>
        <w:tc>
          <w:tcPr>
            <w:tcW w:w="6140" w:type="dxa"/>
            <w:vAlign w:val="bottom"/>
          </w:tcPr>
          <w:p>
            <w:pPr>
              <w:spacing w:after="0"/>
              <w:rPr>
                <w:sz w:val="17"/>
                <w:szCs w:val="17"/>
                <w:color w:val="auto"/>
              </w:rPr>
            </w:pP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9"/>
              </w:rPr>
              <w:t>not less than 66 2/3% of the total voting power of all</w:t>
            </w:r>
          </w:p>
        </w:tc>
        <w:tc>
          <w:tcPr>
            <w:tcW w:w="6140" w:type="dxa"/>
            <w:vAlign w:val="bottom"/>
          </w:tcPr>
          <w:p>
            <w:pPr>
              <w:spacing w:after="0"/>
              <w:rPr>
                <w:sz w:val="17"/>
                <w:szCs w:val="17"/>
                <w:color w:val="auto"/>
              </w:rPr>
            </w:pP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9"/>
              </w:rPr>
              <w:t>outstanding securities of Vringo then entitled to vote</w:t>
            </w:r>
          </w:p>
        </w:tc>
        <w:tc>
          <w:tcPr>
            <w:tcW w:w="6140" w:type="dxa"/>
            <w:vAlign w:val="bottom"/>
          </w:tcPr>
          <w:p>
            <w:pPr>
              <w:spacing w:after="0"/>
              <w:rPr>
                <w:sz w:val="17"/>
                <w:szCs w:val="17"/>
                <w:color w:val="auto"/>
              </w:rPr>
            </w:pP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1"/>
              </w:rPr>
              <w:t>generally in the election of directors, voting together as a</w:t>
            </w:r>
          </w:p>
        </w:tc>
        <w:tc>
          <w:tcPr>
            <w:tcW w:w="6140" w:type="dxa"/>
            <w:vAlign w:val="bottom"/>
          </w:tcPr>
          <w:p>
            <w:pPr>
              <w:spacing w:after="0"/>
              <w:rPr>
                <w:sz w:val="17"/>
                <w:szCs w:val="17"/>
                <w:color w:val="auto"/>
              </w:rPr>
            </w:pPr>
          </w:p>
        </w:tc>
      </w:tr>
      <w:tr>
        <w:trPr>
          <w:trHeight w:val="213"/>
        </w:trPr>
        <w:tc>
          <w:tcPr>
            <w:tcW w:w="3900" w:type="dxa"/>
            <w:vAlign w:val="bottom"/>
            <w:gridSpan w:val="2"/>
          </w:tcPr>
          <w:p>
            <w:pPr>
              <w:spacing w:after="0"/>
              <w:rPr>
                <w:sz w:val="20"/>
                <w:szCs w:val="20"/>
                <w:color w:val="auto"/>
              </w:rPr>
            </w:pPr>
            <w:r>
              <w:rPr>
                <w:rFonts w:ascii="Arial" w:cs="Arial" w:eastAsia="Arial" w:hAnsi="Arial"/>
                <w:sz w:val="17"/>
                <w:szCs w:val="17"/>
                <w:color w:val="auto"/>
              </w:rPr>
              <w:t>single class.</w:t>
            </w:r>
          </w:p>
        </w:tc>
        <w:tc>
          <w:tcPr>
            <w:tcW w:w="6140" w:type="dxa"/>
            <w:vAlign w:val="bottom"/>
          </w:tcPr>
          <w:p>
            <w:pPr>
              <w:spacing w:after="0"/>
              <w:rPr>
                <w:sz w:val="18"/>
                <w:szCs w:val="18"/>
                <w:color w:val="auto"/>
              </w:rPr>
            </w:pPr>
          </w:p>
        </w:tc>
      </w:tr>
      <w:tr>
        <w:trPr>
          <w:trHeight w:val="714"/>
        </w:trPr>
        <w:tc>
          <w:tcPr>
            <w:tcW w:w="1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140" w:type="dxa"/>
            <w:vAlign w:val="bottom"/>
          </w:tcPr>
          <w:p>
            <w:pPr>
              <w:jc w:val="right"/>
              <w:ind w:right="5516"/>
              <w:spacing w:after="0"/>
              <w:rPr>
                <w:sz w:val="20"/>
                <w:szCs w:val="20"/>
                <w:color w:val="auto"/>
              </w:rPr>
            </w:pPr>
            <w:r>
              <w:rPr>
                <w:rFonts w:ascii="Arial" w:cs="Arial" w:eastAsia="Arial" w:hAnsi="Arial"/>
                <w:sz w:val="17"/>
                <w:szCs w:val="17"/>
                <w:color w:val="auto"/>
              </w:rPr>
              <w:t>201</w:t>
            </w:r>
          </w:p>
        </w:tc>
      </w:tr>
      <w:tr>
        <w:trPr>
          <w:trHeight w:val="150"/>
        </w:trPr>
        <w:tc>
          <w:tcPr>
            <w:tcW w:w="1140" w:type="dxa"/>
            <w:vAlign w:val="bottom"/>
          </w:tcPr>
          <w:p>
            <w:pPr>
              <w:spacing w:after="0"/>
              <w:rPr>
                <w:sz w:val="13"/>
                <w:szCs w:val="13"/>
                <w:color w:val="auto"/>
              </w:rPr>
            </w:pPr>
          </w:p>
        </w:tc>
        <w:tc>
          <w:tcPr>
            <w:tcW w:w="2760" w:type="dxa"/>
            <w:vAlign w:val="bottom"/>
            <w:tcBorders>
              <w:bottom w:val="single" w:sz="8" w:color="9A9A9A"/>
            </w:tcBorders>
          </w:tcPr>
          <w:p>
            <w:pPr>
              <w:spacing w:after="0"/>
              <w:rPr>
                <w:sz w:val="13"/>
                <w:szCs w:val="13"/>
                <w:color w:val="auto"/>
              </w:rPr>
            </w:pPr>
          </w:p>
        </w:tc>
        <w:tc>
          <w:tcPr>
            <w:tcW w:w="614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c>
          <w:tcPr>
            <w:tcW w:w="6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15" w:name="page216"/>
    <w:bookmarkEnd w:id="215"/>
    <w:tbl>
      <w:tblPr>
        <w:tblLayout w:type="fixed"/>
        <w:tblInd w:w="3" w:type="dxa"/>
        <w:tblCellMar>
          <w:top w:w="0" w:type="dxa"/>
          <w:left w:w="0" w:type="dxa"/>
          <w:bottom w:w="0" w:type="dxa"/>
          <w:right w:w="0" w:type="dxa"/>
        </w:tblCellMar>
      </w:tblPr>
      <w:tr>
        <w:trPr>
          <w:trHeight w:val="149"/>
        </w:trPr>
        <w:tc>
          <w:tcPr>
            <w:tcW w:w="386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0" w:type="dxa"/>
            <w:vAlign w:val="bottom"/>
            <w:tcBorders>
              <w:top w:val="single" w:sz="8" w:color="0000EE"/>
              <w:bottom w:val="single" w:sz="8" w:color="auto"/>
            </w:tcBorders>
          </w:tcPr>
          <w:p>
            <w:pPr>
              <w:spacing w:after="0"/>
              <w:rPr>
                <w:sz w:val="14"/>
                <w:szCs w:val="14"/>
                <w:color w:val="auto"/>
              </w:rPr>
            </w:pPr>
          </w:p>
        </w:tc>
        <w:tc>
          <w:tcPr>
            <w:tcW w:w="1220" w:type="dxa"/>
            <w:vAlign w:val="bottom"/>
            <w:tcBorders>
              <w:top w:val="single" w:sz="8" w:color="0000EE"/>
              <w:bottom w:val="single" w:sz="8" w:color="auto"/>
            </w:tcBorders>
          </w:tcPr>
          <w:p>
            <w:pPr>
              <w:spacing w:after="0"/>
              <w:rPr>
                <w:sz w:val="14"/>
                <w:szCs w:val="14"/>
                <w:color w:val="auto"/>
              </w:rPr>
            </w:pPr>
          </w:p>
        </w:tc>
        <w:tc>
          <w:tcPr>
            <w:tcW w:w="24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Vringo</w:t>
            </w: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auto"/>
                <w:w w:val="75"/>
              </w:rPr>
              <w:t>on</w:t>
            </w:r>
          </w:p>
        </w:tc>
        <w:tc>
          <w:tcPr>
            <w:tcW w:w="2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Innovate/Protect</w:t>
            </w: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40" w:type="dxa"/>
            <w:vAlign w:val="bottom"/>
          </w:tcPr>
          <w:p>
            <w:pPr>
              <w:ind w:left="1540"/>
              <w:spacing w:after="0" w:line="180" w:lineRule="exact"/>
              <w:rPr>
                <w:sz w:val="20"/>
                <w:szCs w:val="20"/>
                <w:color w:val="auto"/>
              </w:rPr>
            </w:pPr>
            <w:r>
              <w:rPr>
                <w:rFonts w:ascii="Arial" w:cs="Arial" w:eastAsia="Arial" w:hAnsi="Arial"/>
                <w:sz w:val="17"/>
                <w:szCs w:val="17"/>
                <w:b w:val="1"/>
                <w:bCs w:val="1"/>
                <w:color w:val="auto"/>
                <w:w w:val="89"/>
              </w:rPr>
              <w:t>Restrictions</w:t>
            </w:r>
          </w:p>
        </w:tc>
        <w:tc>
          <w:tcPr>
            <w:tcW w:w="140" w:type="dxa"/>
            <w:vAlign w:val="bottom"/>
            <w:vMerge w:val="continue"/>
          </w:tcPr>
          <w:p>
            <w:pPr>
              <w:spacing w:after="0"/>
              <w:rPr>
                <w:sz w:val="15"/>
                <w:szCs w:val="15"/>
                <w:color w:val="auto"/>
              </w:rPr>
            </w:pPr>
          </w:p>
        </w:tc>
        <w:tc>
          <w:tcPr>
            <w:tcW w:w="3720" w:type="dxa"/>
            <w:vAlign w:val="bottom"/>
            <w:gridSpan w:val="2"/>
          </w:tcPr>
          <w:p>
            <w:pPr>
              <w:ind w:left="80"/>
              <w:spacing w:after="0" w:line="180" w:lineRule="exact"/>
              <w:rPr>
                <w:sz w:val="20"/>
                <w:szCs w:val="20"/>
                <w:color w:val="auto"/>
              </w:rPr>
            </w:pPr>
            <w:r>
              <w:rPr>
                <w:rFonts w:ascii="Arial" w:cs="Arial" w:eastAsia="Arial" w:hAnsi="Arial"/>
                <w:sz w:val="17"/>
                <w:szCs w:val="17"/>
                <w:b w:val="1"/>
                <w:bCs w:val="1"/>
                <w:color w:val="auto"/>
              </w:rPr>
              <w:t>Transfers</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w w:val="96"/>
              </w:rPr>
              <w:t>The Vringo bylaws provide that Vringo shall have the</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The Innovate/Protect bylaws provide that upon</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w w:val="95"/>
              </w:rPr>
              <w:t>power to enter into and perform any lawful agreement</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w w:val="94"/>
              </w:rPr>
              <w:t>compliance with provisions restricting the transfer or</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w w:val="98"/>
              </w:rPr>
              <w:t>with any number of stockholders of any one or more</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registration of transfer of shares of stock, if any,</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w w:val="88"/>
              </w:rPr>
              <w:t>classes of stock of Vringo to restrict the transfer of shares</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w w:val="97"/>
              </w:rPr>
              <w:t>transfers or registration of transfer of shares of the</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w w:val="91"/>
              </w:rPr>
              <w:t>of stock of Vringo of any one or more classes owned by</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w w:val="95"/>
              </w:rPr>
              <w:t>stock of Innovate/Protect shall be made only on the</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rPr>
              <w:t>such stockholders.</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w w:val="89"/>
              </w:rPr>
              <w:t>stock ledger of the corporation by the registered holder</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thereof or an authorized representative.</w:t>
            </w: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300" w:type="dxa"/>
            <w:vAlign w:val="bottom"/>
            <w:gridSpan w:val="4"/>
          </w:tcPr>
          <w:p>
            <w:pPr>
              <w:ind w:left="1160"/>
              <w:spacing w:after="0"/>
              <w:rPr>
                <w:sz w:val="20"/>
                <w:szCs w:val="20"/>
                <w:color w:val="auto"/>
              </w:rPr>
            </w:pPr>
            <w:r>
              <w:rPr>
                <w:rFonts w:ascii="Arial" w:cs="Arial" w:eastAsia="Arial" w:hAnsi="Arial"/>
                <w:sz w:val="17"/>
                <w:szCs w:val="17"/>
                <w:b w:val="1"/>
                <w:bCs w:val="1"/>
                <w:color w:val="auto"/>
              </w:rPr>
              <w:t>Amendment of Charter and Bylaws</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20"/>
                <w:szCs w:val="20"/>
                <w:color w:val="auto"/>
              </w:rPr>
            </w:pPr>
            <w:r>
              <w:rPr>
                <w:rFonts w:ascii="Arial" w:cs="Arial" w:eastAsia="Arial" w:hAnsi="Arial"/>
                <w:sz w:val="17"/>
                <w:szCs w:val="17"/>
                <w:color w:val="auto"/>
              </w:rPr>
              <w:t>•</w:t>
            </w: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w w:val="91"/>
              </w:rPr>
              <w:t>The Vringo Certificate provides that Vringo’s board</w:t>
            </w:r>
          </w:p>
        </w:tc>
        <w:tc>
          <w:tcPr>
            <w:tcW w:w="1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520" w:type="dxa"/>
            <w:vAlign w:val="bottom"/>
          </w:tcPr>
          <w:p>
            <w:pPr>
              <w:ind w:left="140"/>
              <w:spacing w:after="0"/>
              <w:rPr>
                <w:sz w:val="20"/>
                <w:szCs w:val="20"/>
                <w:color w:val="auto"/>
              </w:rPr>
            </w:pPr>
            <w:r>
              <w:rPr>
                <w:rFonts w:ascii="Arial" w:cs="Arial" w:eastAsia="Arial" w:hAnsi="Arial"/>
                <w:sz w:val="17"/>
                <w:szCs w:val="17"/>
                <w:color w:val="auto"/>
              </w:rPr>
              <w:t>The Innovate/Protect bylaws provide that</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w w:val="91"/>
              </w:rPr>
              <w:t>of directors is expressly authorized to make, adopt,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rPr>
              <w:t>Innovate/Protect’s bylaws may be amended,</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w w:val="97"/>
              </w:rPr>
              <w:t>amend, alter, rescind or repeal Vringo’s Bylaws.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89"/>
              </w:rPr>
              <w:t>added to, rescinded or repealed at any meeting of</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rPr>
              <w:t>Notwithstanding the foregoing, Vringo’s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rPr>
              <w:t>Innovate/Protect’s board of directors or</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w w:val="95"/>
              </w:rPr>
              <w:t>stockholders may adopt, amend, alter, rescind or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89"/>
              </w:rPr>
              <w:t>stockholders, provided that notice of the proposed</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rPr>
              <w:t>repeal Vringo’s Bylaws with, in addition to any</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96"/>
              </w:rPr>
              <w:t>change was given in the notice of the meeting.</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w w:val="95"/>
              </w:rPr>
              <w:t>other vote required by law, the affirmative vote of</w:t>
            </w:r>
          </w:p>
        </w:tc>
        <w:tc>
          <w:tcPr>
            <w:tcW w:w="14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auto"/>
              </w:rPr>
              <w:t>•</w:t>
            </w:r>
          </w:p>
        </w:tc>
        <w:tc>
          <w:tcPr>
            <w:tcW w:w="3520" w:type="dxa"/>
            <w:vAlign w:val="bottom"/>
            <w:vMerge w:val="restart"/>
          </w:tcPr>
          <w:p>
            <w:pPr>
              <w:ind w:left="140"/>
              <w:spacing w:after="0"/>
              <w:rPr>
                <w:sz w:val="20"/>
                <w:szCs w:val="20"/>
                <w:color w:val="auto"/>
              </w:rPr>
            </w:pPr>
            <w:r>
              <w:rPr>
                <w:rFonts w:ascii="Arial" w:cs="Arial" w:eastAsia="Arial" w:hAnsi="Arial"/>
                <w:sz w:val="17"/>
                <w:szCs w:val="17"/>
                <w:color w:val="auto"/>
                <w:w w:val="90"/>
              </w:rPr>
              <w:t>The Innovate/Protect Certificate provides that the</w:t>
            </w: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3660" w:type="dxa"/>
            <w:vAlign w:val="bottom"/>
            <w:gridSpan w:val="2"/>
          </w:tcPr>
          <w:p>
            <w:pPr>
              <w:ind w:left="140"/>
              <w:spacing w:after="0" w:line="127" w:lineRule="exact"/>
              <w:rPr>
                <w:sz w:val="20"/>
                <w:szCs w:val="20"/>
                <w:color w:val="auto"/>
              </w:rPr>
            </w:pPr>
            <w:r>
              <w:rPr>
                <w:rFonts w:ascii="Arial" w:cs="Arial" w:eastAsia="Arial" w:hAnsi="Arial"/>
                <w:sz w:val="14"/>
                <w:szCs w:val="14"/>
                <w:color w:val="auto"/>
              </w:rPr>
              <w:t>the holders of not less than 66 2/3% of the total</w:t>
            </w:r>
          </w:p>
        </w:tc>
        <w:tc>
          <w:tcPr>
            <w:tcW w:w="1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-2307590</wp:posOffset>
            </wp:positionV>
            <wp:extent cx="49015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901565" cy="8255"/>
                    </a:xfrm>
                    <a:prstGeom prst="rect">
                      <a:avLst/>
                    </a:prstGeom>
                    <a:noFill/>
                  </pic:spPr>
                </pic:pic>
              </a:graphicData>
            </a:graphic>
          </wp:anchor>
        </w:drawing>
      </w:r>
    </w:p>
    <w:tbl>
      <w:tblPr>
        <w:tblLayout w:type="fixed"/>
        <w:tblInd w:w="343" w:type="dxa"/>
        <w:tblCellMar>
          <w:top w:w="0" w:type="dxa"/>
          <w:left w:w="0" w:type="dxa"/>
          <w:bottom w:w="0" w:type="dxa"/>
          <w:right w:w="0" w:type="dxa"/>
        </w:tblCellMar>
      </w:tblPr>
      <w:tr>
        <w:trPr>
          <w:trHeight w:val="186"/>
        </w:trPr>
        <w:tc>
          <w:tcPr>
            <w:tcW w:w="3720" w:type="dxa"/>
            <w:vAlign w:val="bottom"/>
            <w:vMerge w:val="restart"/>
          </w:tcPr>
          <w:p>
            <w:pPr>
              <w:spacing w:after="0"/>
              <w:rPr>
                <w:sz w:val="20"/>
                <w:szCs w:val="20"/>
                <w:color w:val="auto"/>
              </w:rPr>
            </w:pPr>
            <w:r>
              <w:rPr>
                <w:rFonts w:ascii="Arial" w:cs="Arial" w:eastAsia="Arial" w:hAnsi="Arial"/>
                <w:sz w:val="17"/>
                <w:szCs w:val="17"/>
                <w:color w:val="auto"/>
                <w:w w:val="97"/>
              </w:rPr>
              <w:t>voting power of all outstanding securities of Vringo</w:t>
            </w:r>
          </w:p>
        </w:tc>
        <w:tc>
          <w:tcPr>
            <w:tcW w:w="3580" w:type="dxa"/>
            <w:vAlign w:val="bottom"/>
          </w:tcPr>
          <w:p>
            <w:pPr>
              <w:ind w:left="280"/>
              <w:spacing w:after="0" w:line="186" w:lineRule="exact"/>
              <w:rPr>
                <w:sz w:val="20"/>
                <w:szCs w:val="20"/>
                <w:color w:val="auto"/>
              </w:rPr>
            </w:pPr>
            <w:r>
              <w:rPr>
                <w:rFonts w:ascii="Arial" w:cs="Arial" w:eastAsia="Arial" w:hAnsi="Arial"/>
                <w:sz w:val="17"/>
                <w:szCs w:val="17"/>
                <w:color w:val="auto"/>
                <w:w w:val="88"/>
              </w:rPr>
              <w:t>power to make, alter, or repeal the bylaws, and to</w:t>
            </w:r>
          </w:p>
        </w:tc>
        <w:tc>
          <w:tcPr>
            <w:tcW w:w="0" w:type="dxa"/>
            <w:vAlign w:val="bottom"/>
          </w:tcPr>
          <w:p>
            <w:pPr>
              <w:spacing w:after="0"/>
              <w:rPr>
                <w:sz w:val="1"/>
                <w:szCs w:val="1"/>
                <w:color w:val="auto"/>
              </w:rPr>
            </w:pPr>
          </w:p>
        </w:tc>
      </w:tr>
      <w:tr>
        <w:trPr>
          <w:trHeight w:val="88"/>
        </w:trPr>
        <w:tc>
          <w:tcPr>
            <w:tcW w:w="3720" w:type="dxa"/>
            <w:vAlign w:val="bottom"/>
            <w:vMerge w:val="continue"/>
          </w:tcPr>
          <w:p>
            <w:pPr>
              <w:spacing w:after="0"/>
              <w:rPr>
                <w:sz w:val="7"/>
                <w:szCs w:val="7"/>
                <w:color w:val="auto"/>
              </w:rPr>
            </w:pPr>
          </w:p>
        </w:tc>
        <w:tc>
          <w:tcPr>
            <w:tcW w:w="3580" w:type="dxa"/>
            <w:vAlign w:val="bottom"/>
            <w:vMerge w:val="restart"/>
          </w:tcPr>
          <w:p>
            <w:pPr>
              <w:ind w:left="280"/>
              <w:spacing w:after="0"/>
              <w:rPr>
                <w:sz w:val="20"/>
                <w:szCs w:val="20"/>
                <w:color w:val="auto"/>
              </w:rPr>
            </w:pPr>
            <w:r>
              <w:rPr>
                <w:rFonts w:ascii="Arial" w:cs="Arial" w:eastAsia="Arial" w:hAnsi="Arial"/>
                <w:sz w:val="17"/>
                <w:szCs w:val="17"/>
                <w:color w:val="auto"/>
              </w:rPr>
              <w:t>adopt any new bylaw, shall be vested in</w:t>
            </w:r>
          </w:p>
        </w:tc>
        <w:tc>
          <w:tcPr>
            <w:tcW w:w="0" w:type="dxa"/>
            <w:vAlign w:val="bottom"/>
          </w:tcPr>
          <w:p>
            <w:pPr>
              <w:spacing w:after="0"/>
              <w:rPr>
                <w:sz w:val="1"/>
                <w:szCs w:val="1"/>
                <w:color w:val="auto"/>
              </w:rPr>
            </w:pPr>
          </w:p>
        </w:tc>
      </w:tr>
      <w:tr>
        <w:trPr>
          <w:trHeight w:val="113"/>
        </w:trPr>
        <w:tc>
          <w:tcPr>
            <w:tcW w:w="3720" w:type="dxa"/>
            <w:vAlign w:val="bottom"/>
            <w:vMerge w:val="restart"/>
          </w:tcPr>
          <w:p>
            <w:pPr>
              <w:spacing w:after="0"/>
              <w:rPr>
                <w:sz w:val="20"/>
                <w:szCs w:val="20"/>
                <w:color w:val="auto"/>
              </w:rPr>
            </w:pPr>
            <w:r>
              <w:rPr>
                <w:rFonts w:ascii="Arial" w:cs="Arial" w:eastAsia="Arial" w:hAnsi="Arial"/>
                <w:sz w:val="17"/>
                <w:szCs w:val="17"/>
                <w:color w:val="auto"/>
              </w:rPr>
              <w:t>then entitled to vote generally in the election of</w:t>
            </w: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720" w:type="dxa"/>
            <w:vAlign w:val="bottom"/>
            <w:vMerge w:val="continue"/>
          </w:tcPr>
          <w:p>
            <w:pPr>
              <w:spacing w:after="0"/>
              <w:rPr>
                <w:sz w:val="7"/>
                <w:szCs w:val="7"/>
                <w:color w:val="auto"/>
              </w:rPr>
            </w:pPr>
          </w:p>
        </w:tc>
        <w:tc>
          <w:tcPr>
            <w:tcW w:w="3580" w:type="dxa"/>
            <w:vAlign w:val="bottom"/>
            <w:vMerge w:val="restart"/>
          </w:tcPr>
          <w:p>
            <w:pPr>
              <w:ind w:left="280"/>
              <w:spacing w:after="0"/>
              <w:rPr>
                <w:sz w:val="20"/>
                <w:szCs w:val="20"/>
                <w:color w:val="auto"/>
              </w:rPr>
            </w:pPr>
            <w:r>
              <w:rPr>
                <w:rFonts w:ascii="Arial" w:cs="Arial" w:eastAsia="Arial" w:hAnsi="Arial"/>
                <w:sz w:val="17"/>
                <w:szCs w:val="17"/>
                <w:color w:val="auto"/>
              </w:rPr>
              <w:t>Innovate/Protect’s board of directors.</w:t>
            </w:r>
          </w:p>
        </w:tc>
        <w:tc>
          <w:tcPr>
            <w:tcW w:w="0" w:type="dxa"/>
            <w:vAlign w:val="bottom"/>
          </w:tcPr>
          <w:p>
            <w:pPr>
              <w:spacing w:after="0"/>
              <w:rPr>
                <w:sz w:val="1"/>
                <w:szCs w:val="1"/>
                <w:color w:val="auto"/>
              </w:rPr>
            </w:pPr>
          </w:p>
        </w:tc>
      </w:tr>
      <w:tr>
        <w:trPr>
          <w:trHeight w:val="125"/>
        </w:trPr>
        <w:tc>
          <w:tcPr>
            <w:tcW w:w="3720" w:type="dxa"/>
            <w:vAlign w:val="bottom"/>
            <w:vMerge w:val="restart"/>
          </w:tcPr>
          <w:p>
            <w:pPr>
              <w:spacing w:after="0"/>
              <w:rPr>
                <w:sz w:val="20"/>
                <w:szCs w:val="20"/>
                <w:color w:val="auto"/>
              </w:rPr>
            </w:pPr>
            <w:r>
              <w:rPr>
                <w:rFonts w:ascii="Arial" w:cs="Arial" w:eastAsia="Arial" w:hAnsi="Arial"/>
                <w:sz w:val="17"/>
                <w:szCs w:val="17"/>
                <w:color w:val="auto"/>
              </w:rPr>
              <w:t>directors, voting together as a single class.</w:t>
            </w: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720" w:type="dxa"/>
            <w:vAlign w:val="bottom"/>
            <w:vMerge w:val="continue"/>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3" w:right="6279" w:hanging="343"/>
        <w:spacing w:after="0" w:line="248" w:lineRule="auto"/>
        <w:tabs>
          <w:tab w:leader="none" w:pos="34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Vringo Certificate may be amended by the affirmative vote of the holders of a majority of the shares of the issued and outstanding stock of Vringo entitled to vote.</w:t>
      </w:r>
    </w:p>
    <w:p>
      <w:pPr>
        <w:spacing w:after="0" w:line="200" w:lineRule="exact"/>
        <w:rPr>
          <w:sz w:val="20"/>
          <w:szCs w:val="20"/>
          <w:color w:val="auto"/>
        </w:rPr>
      </w:pPr>
    </w:p>
    <w:p>
      <w:pPr>
        <w:spacing w:after="0" w:line="295" w:lineRule="exact"/>
        <w:rPr>
          <w:sz w:val="20"/>
          <w:szCs w:val="20"/>
          <w:color w:val="auto"/>
        </w:rPr>
      </w:pPr>
    </w:p>
    <w:p>
      <w:pPr>
        <w:ind w:left="4203"/>
        <w:spacing w:after="0"/>
        <w:rPr>
          <w:sz w:val="20"/>
          <w:szCs w:val="20"/>
          <w:color w:val="auto"/>
        </w:rPr>
      </w:pPr>
      <w:r>
        <w:rPr>
          <w:rFonts w:ascii="Arial" w:cs="Arial" w:eastAsia="Arial" w:hAnsi="Arial"/>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93980</wp:posOffset>
            </wp:positionV>
            <wp:extent cx="5674360" cy="571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102"/>
          </w:cols>
          <w:pgMar w:left="357" w:top="742" w:right="1440" w:bottom="1440" w:gutter="0" w:footer="0" w:header="0"/>
        </w:sectPr>
      </w:pPr>
    </w:p>
    <w:bookmarkStart w:id="216" w:name="page217"/>
    <w:bookmarkEnd w:id="2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LEGAL MATTERS</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validity of the shares of common stock offered hereby by Vringo and certain federal income tax consequences of the Merger will be passed upon by Mintz, Levin, Cohn, Ferris, Glovsky and Popeo, P.C., New York, New York.</w:t>
      </w:r>
    </w:p>
    <w:p>
      <w:pPr>
        <w:spacing w:after="0" w:line="13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EXPERTS</w:t>
      </w:r>
    </w:p>
    <w:p>
      <w:pPr>
        <w:spacing w:after="0" w:line="109"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included in this proxy statement/prospectus included herein in reliance upon the report of Somekh Chaikin, a member firm of KPMG International, an independent registered public accounting firm, appearing elsewhere herein, and are included in reliance upon the authority of such firm as experts in accounting and auditing.</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7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consolidated financial statements of Innovate/Protect, Inc. (a development stage company) as of December 31, 2011 and for the period from June 8, 2011 (inception) to December 31, 2011, included in this proxy statement/prospectus and elsewhere in the registration statement have been so included herein in reliance upon the report of Grant Thornton LLP, an independent registered public accounting firm, upon the authority of such firm as experts in accounting and auditing.</w:t>
      </w:r>
    </w:p>
    <w:p>
      <w:pPr>
        <w:spacing w:after="0" w:line="200" w:lineRule="exact"/>
        <w:rPr>
          <w:sz w:val="20"/>
          <w:szCs w:val="20"/>
          <w:color w:val="auto"/>
        </w:rPr>
      </w:pPr>
    </w:p>
    <w:p>
      <w:pPr>
        <w:spacing w:after="0" w:line="27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7" w:name="page218"/>
    <w:bookmarkEnd w:id="2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FUTURE STOCKHOLDER PROPOSALS</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Stockholder proposals that are intended to be included in the proxy materials for Vringo next annual meeting of stockholders must comply with all of the requirements of Rule 14a-8 of the Exchange. Under this rule, stockholder proposals that are intended to be presented at Vringo next annual meeting of stockholders, but which are not submitted for inclusion in Vringo’s proxy statement for the applicable annual meeting of stockholders, must be received by Vringo on or before March 14, 2013 so that they may be considered by Vringo for inclusion in its proxy statement relating to that meeting. Vringo stockholder proposals must be submitted in writing to the Secretary of Vringo (Attn: Corporate Secretary, Vringo, Inc., 44 W. 28th Street, Suite 1414, New York, New York 10001).</w:t>
      </w:r>
    </w:p>
    <w:p>
      <w:pPr>
        <w:spacing w:after="0" w:line="180"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Vringo files annual, quarterly and current reports, proxy statements and other information with the SEC. You may read and copy any of this information at the SEC’s public reference room at 100 F Street, N.E., Washington, D.C. 20549. Please call the SEC at 1-800-SEC-0330 or 202-942-8090 for further information on the public reference room. Vringo’s SEC filings are also available to the public on the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The reports and other information filed by Vringo with the SEC are also available at Vringo’s website at </w:t>
      </w:r>
      <w:r>
        <w:rPr>
          <w:rFonts w:ascii="Arial" w:cs="Arial" w:eastAsia="Arial" w:hAnsi="Arial"/>
          <w:sz w:val="17"/>
          <w:szCs w:val="17"/>
          <w:i w:val="1"/>
          <w:iCs w:val="1"/>
          <w:color w:val="auto"/>
        </w:rPr>
        <w:t>www.vringo.com</w:t>
      </w:r>
      <w:r>
        <w:rPr>
          <w:rFonts w:ascii="Arial" w:cs="Arial" w:eastAsia="Arial" w:hAnsi="Arial"/>
          <w:sz w:val="17"/>
          <w:szCs w:val="17"/>
          <w:color w:val="auto"/>
        </w:rPr>
        <w:t>. The information contained on the SEC website and the Vringo’s website is specifically not incorporated by reference into this proxy statement/prospectus, and should not be considered to be a part of this proxy statement/prospectus.</w:t>
      </w:r>
    </w:p>
    <w:p>
      <w:pPr>
        <w:spacing w:after="0" w:line="84"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Vringo has filed with the SEC a Registration Statement on Form S-4 of which this proxy statement/prospectus forms a part. The registration statement registers the shares of Vringo common stock to be issued to Innovate/Protect stockholders in connection with the Merger. The registration statement, including the exhibits and annexes attached thereto, contains additional relevant information about the common stock of Vringo. The rules and regulations of the SEC allow Vringo and Innovate/Protect to omit certain information included in the registration statement from this proxy statement/prospectus.</w:t>
      </w:r>
    </w:p>
    <w:p>
      <w:pPr>
        <w:spacing w:after="0" w:line="68"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This document is a prospectus and a proxy statement Vringo for the Vringo annual meeting. You should rely only on the information contained in this proxy statement/prospectus to vote your shares at the Vringo annual meeting. Vringo has not authorized anyone to give any information or make any representation about the Merger or Vringo that is different from, or in addition to, the information or representations contained in this proxy statement/prospectus. Therefore, if anyone does give you information or representations of this sort, you should not rely on it or them. The information contained in this proxy statement/prospectus speaks only as of the date of this document unless the information specifically indicates that another date applies.</w:t>
      </w:r>
    </w:p>
    <w:p>
      <w:pPr>
        <w:spacing w:after="0" w:line="84" w:lineRule="exact"/>
        <w:rPr>
          <w:sz w:val="20"/>
          <w:szCs w:val="20"/>
          <w:color w:val="auto"/>
        </w:rPr>
      </w:pPr>
    </w:p>
    <w:p>
      <w:pPr>
        <w:jc w:val="center"/>
        <w:ind w:right="1219"/>
        <w:spacing w:after="0"/>
        <w:rPr>
          <w:sz w:val="20"/>
          <w:szCs w:val="20"/>
          <w:color w:val="auto"/>
        </w:rPr>
      </w:pPr>
      <w:r>
        <w:rPr>
          <w:rFonts w:ascii="Arial" w:cs="Arial" w:eastAsia="Arial" w:hAnsi="Arial"/>
          <w:sz w:val="16"/>
          <w:szCs w:val="16"/>
          <w:color w:val="auto"/>
        </w:rPr>
        <w:t>You can obtain documents from Vringo by requesting them in writing or by telephone from Vringo at the following address:</w:t>
      </w:r>
    </w:p>
    <w:p>
      <w:pPr>
        <w:spacing w:after="0" w:line="1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Vringo, Inc.</w:t>
      </w:r>
    </w:p>
    <w:p>
      <w:pPr>
        <w:spacing w:after="0" w:line="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44 W. 28th Street, Suite 1414</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New York, New York 10001</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Attn: Corporate Secretary</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(646) 525-4319</w:t>
      </w:r>
    </w:p>
    <w:p>
      <w:pPr>
        <w:spacing w:after="0" w:line="93"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If you are a Vringo stockholder, you may also obtain the documents referred to in this proxy statement/prospectus by requesting them in writing or by telephone from Clifford Weinstein, Chief Communications Officer, Vringo, Inc. at telephone number 646-532-6777 or via email address cliff@vringo.com or Vringo’s proxy solicitor at the address and the telephone number listed below:</w:t>
      </w:r>
    </w:p>
    <w:p>
      <w:pPr>
        <w:spacing w:after="0" w:line="40"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Morrow &amp; Co., LLC</w:t>
      </w:r>
    </w:p>
    <w:p>
      <w:pPr>
        <w:spacing w:after="0" w:line="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470 West Avenue</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Stamford, Connecticut 06902</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(203) 658-9400</w:t>
      </w:r>
    </w:p>
    <w:p>
      <w:pPr>
        <w:spacing w:after="0" w:line="9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This proxy statement/prospectus, a form of proxy card and Vringo’s Annual Report to Stockholders for 2011 are available on the Internet at </w:t>
      </w:r>
      <w:r>
        <w:rPr>
          <w:rFonts w:ascii="Arial" w:cs="Arial" w:eastAsia="Arial" w:hAnsi="Arial"/>
          <w:sz w:val="17"/>
          <w:szCs w:val="17"/>
          <w:i w:val="1"/>
          <w:iCs w:val="1"/>
          <w:color w:val="auto"/>
        </w:rPr>
        <w:t>https://materials.proxyvote.com/92911N</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8" w:name="page219"/>
    <w:bookmarkEnd w:id="2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1"/>
                <w:szCs w:val="11"/>
                <w:b w:val="1"/>
                <w:bCs w:val="1"/>
                <w:color w:val="auto"/>
                <w:w w:val="75"/>
              </w:rPr>
              <w:t>Page</w:t>
            </w:r>
          </w:p>
        </w:tc>
        <w:tc>
          <w:tcPr>
            <w:tcW w:w="2420" w:type="dxa"/>
            <w:vAlign w:val="bottom"/>
          </w:tcPr>
          <w:p>
            <w:pPr>
              <w:spacing w:after="0"/>
              <w:rPr>
                <w:sz w:val="14"/>
                <w:szCs w:val="14"/>
                <w:color w:val="auto"/>
              </w:rPr>
            </w:pPr>
          </w:p>
        </w:tc>
      </w:tr>
      <w:tr>
        <w:trPr>
          <w:trHeight w:val="193"/>
        </w:trPr>
        <w:tc>
          <w:tcPr>
            <w:tcW w:w="6700" w:type="dxa"/>
            <w:vAlign w:val="bottom"/>
            <w:gridSpan w:val="13"/>
            <w:shd w:val="clear" w:color="auto" w:fill="CCFFCC"/>
          </w:tcPr>
          <w:p>
            <w:pPr>
              <w:spacing w:after="0" w:line="193" w:lineRule="exact"/>
              <w:rPr>
                <w:sz w:val="20"/>
                <w:szCs w:val="20"/>
                <w:color w:val="auto"/>
              </w:rPr>
            </w:pPr>
            <w:r>
              <w:rPr>
                <w:rFonts w:ascii="Arial" w:cs="Arial" w:eastAsia="Arial" w:hAnsi="Arial"/>
                <w:sz w:val="17"/>
                <w:szCs w:val="17"/>
                <w:color w:val="auto"/>
              </w:rPr>
              <w:t>CONSOLIDATED FINANCIAL STATEMENTS (Unaudited)</w:t>
            </w:r>
          </w:p>
        </w:tc>
        <w:tc>
          <w:tcPr>
            <w:tcW w:w="16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tcBorders>
              <w:left w:val="single" w:sz="8" w:color="CCFFCC"/>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188"/>
        </w:trPr>
        <w:tc>
          <w:tcPr>
            <w:tcW w:w="6700" w:type="dxa"/>
            <w:vAlign w:val="bottom"/>
            <w:gridSpan w:val="13"/>
          </w:tcPr>
          <w:p>
            <w:pPr>
              <w:spacing w:after="0" w:line="188" w:lineRule="exact"/>
              <w:rPr>
                <w:sz w:val="20"/>
                <w:szCs w:val="20"/>
                <w:color w:val="auto"/>
              </w:rPr>
            </w:pPr>
            <w:r>
              <w:rPr>
                <w:rFonts w:ascii="Arial" w:cs="Arial" w:eastAsia="Arial" w:hAnsi="Arial"/>
                <w:sz w:val="17"/>
                <w:szCs w:val="17"/>
                <w:color w:val="auto"/>
              </w:rPr>
              <w:t>AS OF MARCH 31, 2012 AND DECEMBER 31, 2011 AND FOR THE THREE MONTHS</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160" w:type="dxa"/>
            <w:vAlign w:val="bottom"/>
          </w:tcPr>
          <w:p>
            <w:pPr>
              <w:spacing w:after="0"/>
              <w:rPr>
                <w:sz w:val="17"/>
                <w:szCs w:val="17"/>
                <w:color w:val="auto"/>
              </w:rPr>
            </w:pPr>
          </w:p>
        </w:tc>
        <w:tc>
          <w:tcPr>
            <w:tcW w:w="6540" w:type="dxa"/>
            <w:vAlign w:val="bottom"/>
            <w:gridSpan w:val="12"/>
          </w:tcPr>
          <w:p>
            <w:pPr>
              <w:spacing w:after="0"/>
              <w:rPr>
                <w:sz w:val="20"/>
                <w:szCs w:val="20"/>
                <w:color w:val="auto"/>
              </w:rPr>
            </w:pPr>
            <w:r>
              <w:rPr>
                <w:rFonts w:ascii="Arial" w:cs="Arial" w:eastAsia="Arial" w:hAnsi="Arial"/>
                <w:sz w:val="17"/>
                <w:szCs w:val="17"/>
                <w:color w:val="auto"/>
              </w:rPr>
              <w:t>ENDED MARCH 31, 2012 AND MARCH 31, 2011 AND FOR THE PERIOD FROM</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160" w:type="dxa"/>
            <w:vAlign w:val="bottom"/>
          </w:tcPr>
          <w:p>
            <w:pPr>
              <w:spacing w:after="0"/>
              <w:rPr>
                <w:sz w:val="18"/>
                <w:szCs w:val="18"/>
                <w:color w:val="auto"/>
              </w:rPr>
            </w:pPr>
          </w:p>
        </w:tc>
        <w:tc>
          <w:tcPr>
            <w:tcW w:w="6540" w:type="dxa"/>
            <w:vAlign w:val="bottom"/>
            <w:gridSpan w:val="12"/>
          </w:tcPr>
          <w:p>
            <w:pPr>
              <w:spacing w:after="0"/>
              <w:rPr>
                <w:sz w:val="20"/>
                <w:szCs w:val="20"/>
                <w:color w:val="auto"/>
              </w:rPr>
            </w:pPr>
            <w:r>
              <w:rPr>
                <w:rFonts w:ascii="Arial" w:cs="Arial" w:eastAsia="Arial" w:hAnsi="Arial"/>
                <w:sz w:val="17"/>
                <w:szCs w:val="17"/>
                <w:color w:val="auto"/>
              </w:rPr>
              <w:t>JANUARY 9, 2006 (INCEPTION) TO MARCH 31, 2012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1"/>
        </w:trPr>
        <w:tc>
          <w:tcPr>
            <w:tcW w:w="160" w:type="dxa"/>
            <w:vAlign w:val="bottom"/>
            <w:tcBorders>
              <w:bottom w:val="single" w:sz="8" w:color="CCFFCC"/>
            </w:tcBorders>
            <w:shd w:val="clear" w:color="auto" w:fill="CCFFCC"/>
          </w:tcPr>
          <w:p>
            <w:pPr>
              <w:spacing w:after="0"/>
              <w:rPr>
                <w:sz w:val="15"/>
                <w:szCs w:val="15"/>
                <w:color w:val="auto"/>
              </w:rPr>
            </w:pPr>
          </w:p>
        </w:tc>
        <w:tc>
          <w:tcPr>
            <w:tcW w:w="1880" w:type="dxa"/>
            <w:vAlign w:val="bottom"/>
            <w:tcBorders>
              <w:bottom w:val="single" w:sz="8" w:color="0000EE"/>
            </w:tcBorders>
            <w:gridSpan w:val="2"/>
            <w:shd w:val="clear" w:color="auto" w:fill="CCFFCC"/>
          </w:tcPr>
          <w:p>
            <w:pPr>
              <w:spacing w:after="0" w:line="163" w:lineRule="exact"/>
              <w:rPr>
                <w:sz w:val="20"/>
                <w:szCs w:val="20"/>
                <w:color w:val="auto"/>
              </w:rPr>
            </w:pPr>
            <w:r>
              <w:rPr>
                <w:rFonts w:ascii="Arial" w:cs="Arial" w:eastAsia="Arial" w:hAnsi="Arial"/>
                <w:sz w:val="17"/>
                <w:szCs w:val="17"/>
                <w:color w:val="0000EE"/>
                <w:w w:val="86"/>
              </w:rPr>
              <w:t>Consolidated Balance Sheet</w:t>
            </w:r>
          </w:p>
        </w:tc>
        <w:tc>
          <w:tcPr>
            <w:tcW w:w="4660" w:type="dxa"/>
            <w:vAlign w:val="bottom"/>
            <w:tcBorders>
              <w:bottom w:val="single" w:sz="8" w:color="CCFFCC"/>
            </w:tcBorders>
            <w:gridSpan w:val="10"/>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240" w:type="dxa"/>
            <w:vAlign w:val="bottom"/>
            <w:tcBorders>
              <w:bottom w:val="single" w:sz="8" w:color="CCFFCC"/>
              <w:right w:val="single" w:sz="8" w:color="CCFFCC"/>
            </w:tcBorders>
            <w:shd w:val="clear" w:color="auto" w:fill="CCFFCC"/>
          </w:tcPr>
          <w:p>
            <w:pPr>
              <w:spacing w:after="0"/>
              <w:rPr>
                <w:sz w:val="15"/>
                <w:szCs w:val="15"/>
                <w:color w:val="auto"/>
              </w:rPr>
            </w:pPr>
          </w:p>
        </w:tc>
        <w:tc>
          <w:tcPr>
            <w:tcW w:w="160" w:type="dxa"/>
            <w:vAlign w:val="bottom"/>
            <w:tcBorders>
              <w:bottom w:val="single" w:sz="8" w:color="0000EE"/>
            </w:tcBorders>
            <w:shd w:val="clear" w:color="auto" w:fill="CCFFCC"/>
          </w:tcPr>
          <w:p>
            <w:pPr>
              <w:jc w:val="center"/>
              <w:spacing w:after="0" w:line="163" w:lineRule="exact"/>
              <w:rPr>
                <w:sz w:val="20"/>
                <w:szCs w:val="20"/>
                <w:color w:val="auto"/>
              </w:rPr>
            </w:pPr>
            <w:r>
              <w:rPr>
                <w:rFonts w:ascii="Arial" w:cs="Arial" w:eastAsia="Arial" w:hAnsi="Arial"/>
                <w:sz w:val="17"/>
                <w:szCs w:val="17"/>
                <w:color w:val="0000EE"/>
                <w:w w:val="78"/>
              </w:rPr>
              <w:t>F-2</w:t>
            </w:r>
          </w:p>
        </w:tc>
        <w:tc>
          <w:tcPr>
            <w:tcW w:w="360" w:type="dxa"/>
            <w:vAlign w:val="bottom"/>
            <w:tcBorders>
              <w:left w:val="single" w:sz="8" w:color="CCFFCC"/>
              <w:bottom w:val="single" w:sz="8" w:color="CCFFCC"/>
            </w:tcBorders>
            <w:gridSpan w:val="3"/>
            <w:shd w:val="clear" w:color="auto" w:fill="CCFFCC"/>
          </w:tcPr>
          <w:p>
            <w:pPr>
              <w:spacing w:after="0"/>
              <w:rPr>
                <w:sz w:val="15"/>
                <w:szCs w:val="15"/>
                <w:color w:val="auto"/>
              </w:rPr>
            </w:pPr>
          </w:p>
        </w:tc>
        <w:tc>
          <w:tcPr>
            <w:tcW w:w="2420" w:type="dxa"/>
            <w:vAlign w:val="bottom"/>
          </w:tcPr>
          <w:p>
            <w:pPr>
              <w:spacing w:after="0"/>
              <w:rPr>
                <w:sz w:val="15"/>
                <w:szCs w:val="15"/>
                <w:color w:val="auto"/>
              </w:rPr>
            </w:pPr>
          </w:p>
        </w:tc>
      </w:tr>
      <w:tr>
        <w:trPr>
          <w:trHeight w:val="172"/>
        </w:trPr>
        <w:tc>
          <w:tcPr>
            <w:tcW w:w="160" w:type="dxa"/>
            <w:vAlign w:val="bottom"/>
          </w:tcPr>
          <w:p>
            <w:pPr>
              <w:spacing w:after="0"/>
              <w:rPr>
                <w:sz w:val="14"/>
                <w:szCs w:val="14"/>
                <w:color w:val="auto"/>
              </w:rPr>
            </w:pPr>
          </w:p>
        </w:tc>
        <w:tc>
          <w:tcPr>
            <w:tcW w:w="2600" w:type="dxa"/>
            <w:vAlign w:val="bottom"/>
            <w:tcBorders>
              <w:bottom w:val="single" w:sz="8" w:color="0000EE"/>
            </w:tcBorders>
            <w:gridSpan w:val="4"/>
          </w:tcPr>
          <w:p>
            <w:pPr>
              <w:spacing w:after="0" w:line="163" w:lineRule="exact"/>
              <w:rPr>
                <w:sz w:val="20"/>
                <w:szCs w:val="20"/>
                <w:color w:val="auto"/>
              </w:rPr>
            </w:pPr>
            <w:r>
              <w:rPr>
                <w:rFonts w:ascii="Arial" w:cs="Arial" w:eastAsia="Arial" w:hAnsi="Arial"/>
                <w:sz w:val="17"/>
                <w:szCs w:val="17"/>
                <w:color w:val="0000EE"/>
                <w:w w:val="88"/>
              </w:rPr>
              <w:t>Consolidated Statement of Operations</w:t>
            </w:r>
          </w:p>
        </w:tc>
        <w:tc>
          <w:tcPr>
            <w:tcW w:w="3940" w:type="dxa"/>
            <w:vAlign w:val="bottom"/>
            <w:gridSpan w:val="8"/>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0000EE"/>
            </w:tcBorders>
          </w:tcPr>
          <w:p>
            <w:pPr>
              <w:jc w:val="center"/>
              <w:spacing w:after="0" w:line="163" w:lineRule="exact"/>
              <w:rPr>
                <w:sz w:val="20"/>
                <w:szCs w:val="20"/>
                <w:color w:val="auto"/>
              </w:rPr>
            </w:pPr>
            <w:r>
              <w:rPr>
                <w:rFonts w:ascii="Arial" w:cs="Arial" w:eastAsia="Arial" w:hAnsi="Arial"/>
                <w:sz w:val="17"/>
                <w:szCs w:val="17"/>
                <w:color w:val="0000EE"/>
                <w:w w:val="78"/>
              </w:rPr>
              <w:t>F-4</w:t>
            </w:r>
          </w:p>
        </w:tc>
        <w:tc>
          <w:tcPr>
            <w:tcW w:w="360" w:type="dxa"/>
            <w:vAlign w:val="bottom"/>
            <w:gridSpan w:val="3"/>
          </w:tcPr>
          <w:p>
            <w:pPr>
              <w:spacing w:after="0"/>
              <w:rPr>
                <w:sz w:val="14"/>
                <w:szCs w:val="14"/>
                <w:color w:val="auto"/>
              </w:rPr>
            </w:pPr>
          </w:p>
        </w:tc>
        <w:tc>
          <w:tcPr>
            <w:tcW w:w="2420" w:type="dxa"/>
            <w:vAlign w:val="bottom"/>
          </w:tcPr>
          <w:p>
            <w:pPr>
              <w:spacing w:after="0"/>
              <w:rPr>
                <w:sz w:val="14"/>
                <w:szCs w:val="14"/>
                <w:color w:val="auto"/>
              </w:rPr>
            </w:pPr>
          </w:p>
        </w:tc>
      </w:tr>
      <w:tr>
        <w:trPr>
          <w:trHeight w:val="189"/>
        </w:trPr>
        <w:tc>
          <w:tcPr>
            <w:tcW w:w="160" w:type="dxa"/>
            <w:vAlign w:val="bottom"/>
            <w:shd w:val="clear" w:color="auto" w:fill="CCFFCC"/>
          </w:tcPr>
          <w:p>
            <w:pPr>
              <w:spacing w:after="0"/>
              <w:rPr>
                <w:sz w:val="16"/>
                <w:szCs w:val="16"/>
                <w:color w:val="auto"/>
              </w:rPr>
            </w:pPr>
          </w:p>
        </w:tc>
        <w:tc>
          <w:tcPr>
            <w:tcW w:w="6540" w:type="dxa"/>
            <w:vAlign w:val="bottom"/>
            <w:gridSpan w:val="12"/>
            <w:shd w:val="clear" w:color="auto" w:fill="CCFFCC"/>
          </w:tcPr>
          <w:p>
            <w:pPr>
              <w:spacing w:after="0" w:line="172" w:lineRule="exact"/>
              <w:rPr>
                <w:sz w:val="20"/>
                <w:szCs w:val="20"/>
                <w:color w:val="auto"/>
              </w:rPr>
            </w:pPr>
            <w:r>
              <w:rPr>
                <w:rFonts w:ascii="Arial" w:cs="Arial" w:eastAsia="Arial" w:hAnsi="Arial"/>
                <w:sz w:val="17"/>
                <w:szCs w:val="17"/>
                <w:color w:val="0000EE"/>
              </w:rPr>
              <w:t>Consolidated Statement of Stockholders’ Equity (Deficit)</w:t>
            </w:r>
          </w:p>
        </w:tc>
        <w:tc>
          <w:tcPr>
            <w:tcW w:w="16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520" w:type="dxa"/>
            <w:vAlign w:val="bottom"/>
            <w:gridSpan w:val="4"/>
            <w:shd w:val="clear" w:color="auto" w:fill="CCFFCC"/>
          </w:tcPr>
          <w:p>
            <w:pPr>
              <w:jc w:val="center"/>
              <w:ind w:right="320"/>
              <w:spacing w:after="0" w:line="172" w:lineRule="exact"/>
              <w:rPr>
                <w:sz w:val="20"/>
                <w:szCs w:val="20"/>
                <w:color w:val="auto"/>
              </w:rPr>
            </w:pPr>
            <w:r>
              <w:rPr>
                <w:rFonts w:ascii="Arial" w:cs="Arial" w:eastAsia="Arial" w:hAnsi="Arial"/>
                <w:sz w:val="17"/>
                <w:szCs w:val="17"/>
                <w:color w:val="0000EE"/>
                <w:w w:val="78"/>
              </w:rPr>
              <w:t>F-6</w:t>
            </w:r>
          </w:p>
        </w:tc>
        <w:tc>
          <w:tcPr>
            <w:tcW w:w="2420" w:type="dxa"/>
            <w:vAlign w:val="bottom"/>
          </w:tcPr>
          <w:p>
            <w:pPr>
              <w:spacing w:after="0"/>
              <w:rPr>
                <w:sz w:val="16"/>
                <w:szCs w:val="16"/>
                <w:color w:val="auto"/>
              </w:rPr>
            </w:pPr>
          </w:p>
        </w:tc>
      </w:tr>
      <w:tr>
        <w:trPr>
          <w:trHeight w:val="163"/>
        </w:trPr>
        <w:tc>
          <w:tcPr>
            <w:tcW w:w="160" w:type="dxa"/>
            <w:vAlign w:val="bottom"/>
            <w:tcBorders>
              <w:top w:val="single" w:sz="8" w:color="CCFFCC"/>
            </w:tcBorders>
          </w:tcPr>
          <w:p>
            <w:pPr>
              <w:spacing w:after="0"/>
              <w:rPr>
                <w:sz w:val="14"/>
                <w:szCs w:val="14"/>
                <w:color w:val="auto"/>
              </w:rPr>
            </w:pPr>
          </w:p>
        </w:tc>
        <w:tc>
          <w:tcPr>
            <w:tcW w:w="3840" w:type="dxa"/>
            <w:vAlign w:val="bottom"/>
            <w:tcBorders>
              <w:top w:val="single" w:sz="8" w:color="0000EE"/>
            </w:tcBorders>
            <w:gridSpan w:val="10"/>
          </w:tcPr>
          <w:p>
            <w:pPr>
              <w:spacing w:after="0" w:line="163" w:lineRule="exact"/>
              <w:rPr>
                <w:sz w:val="20"/>
                <w:szCs w:val="20"/>
                <w:color w:val="auto"/>
              </w:rPr>
            </w:pPr>
            <w:r>
              <w:rPr>
                <w:rFonts w:ascii="Arial" w:cs="Arial" w:eastAsia="Arial" w:hAnsi="Arial"/>
                <w:sz w:val="17"/>
                <w:szCs w:val="17"/>
                <w:color w:val="0000EE"/>
              </w:rPr>
              <w:t>Consolidated Statement of Cash Flows</w:t>
            </w:r>
          </w:p>
        </w:tc>
        <w:tc>
          <w:tcPr>
            <w:tcW w:w="2700" w:type="dxa"/>
            <w:vAlign w:val="bottom"/>
            <w:tcBorders>
              <w:top w:val="single" w:sz="8" w:color="CCFFCC"/>
            </w:tcBorders>
            <w:gridSpan w:val="2"/>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160" w:type="dxa"/>
            <w:vAlign w:val="bottom"/>
            <w:tcBorders>
              <w:top w:val="single" w:sz="8" w:color="0000EE"/>
            </w:tcBorders>
          </w:tcPr>
          <w:p>
            <w:pPr>
              <w:jc w:val="center"/>
              <w:spacing w:after="0" w:line="163" w:lineRule="exact"/>
              <w:rPr>
                <w:sz w:val="20"/>
                <w:szCs w:val="20"/>
                <w:color w:val="auto"/>
              </w:rPr>
            </w:pPr>
            <w:r>
              <w:rPr>
                <w:rFonts w:ascii="Arial" w:cs="Arial" w:eastAsia="Arial" w:hAnsi="Arial"/>
                <w:sz w:val="17"/>
                <w:szCs w:val="17"/>
                <w:color w:val="0000EE"/>
                <w:w w:val="78"/>
              </w:rPr>
              <w:t>F-7</w:t>
            </w:r>
          </w:p>
        </w:tc>
        <w:tc>
          <w:tcPr>
            <w:tcW w:w="360" w:type="dxa"/>
            <w:vAlign w:val="bottom"/>
            <w:tcBorders>
              <w:top w:val="single" w:sz="8" w:color="CCFFCC"/>
            </w:tcBorders>
            <w:gridSpan w:val="3"/>
          </w:tcPr>
          <w:p>
            <w:pPr>
              <w:spacing w:after="0"/>
              <w:rPr>
                <w:sz w:val="14"/>
                <w:szCs w:val="14"/>
                <w:color w:val="auto"/>
              </w:rPr>
            </w:pP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0000EE"/>
            </w:tcBorders>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540" w:type="dxa"/>
            <w:vAlign w:val="bottom"/>
            <w:gridSpan w:val="12"/>
            <w:shd w:val="clear" w:color="auto" w:fill="CCFFCC"/>
          </w:tcPr>
          <w:p>
            <w:pPr>
              <w:spacing w:after="0" w:line="172" w:lineRule="exact"/>
              <w:rPr>
                <w:sz w:val="20"/>
                <w:szCs w:val="20"/>
                <w:color w:val="auto"/>
              </w:rPr>
            </w:pPr>
            <w:r>
              <w:rPr>
                <w:rFonts w:ascii="Arial" w:cs="Arial" w:eastAsia="Arial" w:hAnsi="Arial"/>
                <w:sz w:val="17"/>
                <w:szCs w:val="17"/>
                <w:color w:val="0000EE"/>
              </w:rPr>
              <w:t>Notes to Consolidated Financial Statements</w:t>
            </w:r>
          </w:p>
        </w:tc>
        <w:tc>
          <w:tcPr>
            <w:tcW w:w="1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520" w:type="dxa"/>
            <w:vAlign w:val="bottom"/>
            <w:gridSpan w:val="4"/>
            <w:shd w:val="clear" w:color="auto" w:fill="CCFFCC"/>
          </w:tcPr>
          <w:p>
            <w:pPr>
              <w:jc w:val="center"/>
              <w:ind w:right="320"/>
              <w:spacing w:after="0" w:line="172" w:lineRule="exact"/>
              <w:rPr>
                <w:sz w:val="20"/>
                <w:szCs w:val="20"/>
                <w:color w:val="auto"/>
              </w:rPr>
            </w:pPr>
            <w:r>
              <w:rPr>
                <w:rFonts w:ascii="Arial" w:cs="Arial" w:eastAsia="Arial" w:hAnsi="Arial"/>
                <w:sz w:val="17"/>
                <w:szCs w:val="17"/>
                <w:color w:val="0000EE"/>
                <w:w w:val="78"/>
              </w:rPr>
              <w:t>F-9</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6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0" w:type="dxa"/>
            <w:vAlign w:val="bottom"/>
            <w:tcBorders>
              <w:right w:val="single" w:sz="8" w:color="0000EE"/>
            </w:tcBorders>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200"/>
        </w:trPr>
        <w:tc>
          <w:tcPr>
            <w:tcW w:w="6700" w:type="dxa"/>
            <w:vAlign w:val="bottom"/>
            <w:gridSpan w:val="13"/>
          </w:tcPr>
          <w:p>
            <w:pPr>
              <w:spacing w:after="0"/>
              <w:rPr>
                <w:sz w:val="20"/>
                <w:szCs w:val="20"/>
                <w:color w:val="auto"/>
              </w:rPr>
            </w:pPr>
            <w:r>
              <w:rPr>
                <w:rFonts w:ascii="Arial" w:cs="Arial" w:eastAsia="Arial" w:hAnsi="Arial"/>
                <w:sz w:val="17"/>
                <w:szCs w:val="17"/>
                <w:color w:val="auto"/>
              </w:rPr>
              <w:t>CONSOLIDATED FINANCIAL STATEMENTS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188"/>
        </w:trPr>
        <w:tc>
          <w:tcPr>
            <w:tcW w:w="6700" w:type="dxa"/>
            <w:vAlign w:val="bottom"/>
            <w:gridSpan w:val="13"/>
            <w:shd w:val="clear" w:color="auto" w:fill="CCFFCC"/>
          </w:tcPr>
          <w:p>
            <w:pPr>
              <w:spacing w:after="0" w:line="188" w:lineRule="exact"/>
              <w:rPr>
                <w:sz w:val="20"/>
                <w:szCs w:val="20"/>
                <w:color w:val="auto"/>
              </w:rPr>
            </w:pPr>
            <w:r>
              <w:rPr>
                <w:rFonts w:ascii="Arial" w:cs="Arial" w:eastAsia="Arial" w:hAnsi="Arial"/>
                <w:sz w:val="17"/>
                <w:szCs w:val="17"/>
                <w:color w:val="auto"/>
                <w:w w:val="95"/>
              </w:rPr>
              <w:t>AS OF DECEMBER 31, 2011 AND 2010 AND FOR THE PERIOD FROM JANUARY 9, 2006</w:t>
            </w:r>
          </w:p>
        </w:tc>
        <w:tc>
          <w:tcPr>
            <w:tcW w:w="16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tcBorders>
              <w:left w:val="single" w:sz="8" w:color="CCFFCC"/>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213"/>
        </w:trPr>
        <w:tc>
          <w:tcPr>
            <w:tcW w:w="160" w:type="dxa"/>
            <w:vAlign w:val="bottom"/>
            <w:shd w:val="clear" w:color="auto" w:fill="CCFFCC"/>
          </w:tcPr>
          <w:p>
            <w:pPr>
              <w:spacing w:after="0"/>
              <w:rPr>
                <w:sz w:val="18"/>
                <w:szCs w:val="18"/>
                <w:color w:val="auto"/>
              </w:rPr>
            </w:pPr>
          </w:p>
        </w:tc>
        <w:tc>
          <w:tcPr>
            <w:tcW w:w="6540" w:type="dxa"/>
            <w:vAlign w:val="bottom"/>
            <w:gridSpan w:val="12"/>
            <w:shd w:val="clear" w:color="auto" w:fill="CCFFCC"/>
          </w:tcPr>
          <w:p>
            <w:pPr>
              <w:spacing w:after="0"/>
              <w:rPr>
                <w:sz w:val="20"/>
                <w:szCs w:val="20"/>
                <w:color w:val="auto"/>
              </w:rPr>
            </w:pPr>
            <w:r>
              <w:rPr>
                <w:rFonts w:ascii="Arial" w:cs="Arial" w:eastAsia="Arial" w:hAnsi="Arial"/>
                <w:sz w:val="17"/>
                <w:szCs w:val="17"/>
                <w:color w:val="auto"/>
              </w:rPr>
              <w:t>(INCEPTION) TO DECEMBER 31, 2011</w:t>
            </w:r>
          </w:p>
        </w:tc>
        <w:tc>
          <w:tcPr>
            <w:tcW w:w="16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72"/>
        </w:trPr>
        <w:tc>
          <w:tcPr>
            <w:tcW w:w="160" w:type="dxa"/>
            <w:vAlign w:val="bottom"/>
          </w:tcPr>
          <w:p>
            <w:pPr>
              <w:spacing w:after="0"/>
              <w:rPr>
                <w:sz w:val="14"/>
                <w:szCs w:val="14"/>
                <w:color w:val="auto"/>
              </w:rPr>
            </w:pPr>
          </w:p>
        </w:tc>
        <w:tc>
          <w:tcPr>
            <w:tcW w:w="3920" w:type="dxa"/>
            <w:vAlign w:val="bottom"/>
            <w:tcBorders>
              <w:bottom w:val="single" w:sz="8" w:color="0000EE"/>
            </w:tcBorders>
            <w:gridSpan w:val="11"/>
          </w:tcPr>
          <w:p>
            <w:pPr>
              <w:spacing w:after="0" w:line="163" w:lineRule="exact"/>
              <w:rPr>
                <w:sz w:val="20"/>
                <w:szCs w:val="20"/>
                <w:color w:val="auto"/>
              </w:rPr>
            </w:pPr>
            <w:r>
              <w:rPr>
                <w:rFonts w:ascii="Arial" w:cs="Arial" w:eastAsia="Arial" w:hAnsi="Arial"/>
                <w:sz w:val="17"/>
                <w:szCs w:val="17"/>
                <w:color w:val="0000EE"/>
                <w:w w:val="89"/>
              </w:rPr>
              <w:t>Report of Independent Registered Public Accounting Firm</w:t>
            </w: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0000EE"/>
            </w:tcBorders>
            <w:gridSpan w:val="2"/>
          </w:tcPr>
          <w:p>
            <w:pPr>
              <w:jc w:val="center"/>
              <w:spacing w:after="0" w:line="163" w:lineRule="exact"/>
              <w:rPr>
                <w:sz w:val="20"/>
                <w:szCs w:val="20"/>
                <w:color w:val="auto"/>
              </w:rPr>
            </w:pPr>
            <w:r>
              <w:rPr>
                <w:rFonts w:ascii="Arial" w:cs="Arial" w:eastAsia="Arial" w:hAnsi="Arial"/>
                <w:sz w:val="16"/>
                <w:szCs w:val="16"/>
                <w:color w:val="0000EE"/>
                <w:w w:val="72"/>
              </w:rPr>
              <w:t>F-20</w:t>
            </w:r>
          </w:p>
        </w:tc>
        <w:tc>
          <w:tcPr>
            <w:tcW w:w="280" w:type="dxa"/>
            <w:vAlign w:val="bottom"/>
            <w:gridSpan w:val="2"/>
          </w:tcPr>
          <w:p>
            <w:pPr>
              <w:spacing w:after="0"/>
              <w:rPr>
                <w:sz w:val="14"/>
                <w:szCs w:val="14"/>
                <w:color w:val="auto"/>
              </w:rPr>
            </w:pPr>
          </w:p>
        </w:tc>
        <w:tc>
          <w:tcPr>
            <w:tcW w:w="2420" w:type="dxa"/>
            <w:vAlign w:val="bottom"/>
          </w:tcPr>
          <w:p>
            <w:pPr>
              <w:spacing w:after="0"/>
              <w:rPr>
                <w:sz w:val="14"/>
                <w:szCs w:val="14"/>
                <w:color w:val="auto"/>
              </w:rPr>
            </w:pPr>
          </w:p>
        </w:tc>
      </w:tr>
      <w:tr>
        <w:trPr>
          <w:trHeight w:val="172"/>
        </w:trPr>
        <w:tc>
          <w:tcPr>
            <w:tcW w:w="160" w:type="dxa"/>
            <w:vAlign w:val="bottom"/>
            <w:shd w:val="clear" w:color="auto" w:fill="CCFFCC"/>
          </w:tcPr>
          <w:p>
            <w:pPr>
              <w:spacing w:after="0"/>
              <w:rPr>
                <w:sz w:val="14"/>
                <w:szCs w:val="14"/>
                <w:color w:val="auto"/>
              </w:rPr>
            </w:pPr>
          </w:p>
        </w:tc>
        <w:tc>
          <w:tcPr>
            <w:tcW w:w="6540" w:type="dxa"/>
            <w:vAlign w:val="bottom"/>
            <w:gridSpan w:val="12"/>
            <w:shd w:val="clear" w:color="auto" w:fill="CCFFCC"/>
          </w:tcPr>
          <w:p>
            <w:pPr>
              <w:spacing w:after="0" w:line="172" w:lineRule="exact"/>
              <w:rPr>
                <w:sz w:val="20"/>
                <w:szCs w:val="20"/>
                <w:color w:val="auto"/>
              </w:rPr>
            </w:pPr>
            <w:r>
              <w:rPr>
                <w:rFonts w:ascii="Arial" w:cs="Arial" w:eastAsia="Arial" w:hAnsi="Arial"/>
                <w:sz w:val="17"/>
                <w:szCs w:val="17"/>
                <w:color w:val="0000EE"/>
              </w:rPr>
              <w:t>Consolidated Balance Sheets</w:t>
            </w:r>
          </w:p>
        </w:tc>
        <w:tc>
          <w:tcPr>
            <w:tcW w:w="160" w:type="dxa"/>
            <w:vAlign w:val="bottom"/>
            <w:shd w:val="clear" w:color="auto" w:fill="CCFFCC"/>
          </w:tcPr>
          <w:p>
            <w:pPr>
              <w:spacing w:after="0"/>
              <w:rPr>
                <w:sz w:val="14"/>
                <w:szCs w:val="14"/>
                <w:color w:val="auto"/>
              </w:rPr>
            </w:pPr>
          </w:p>
        </w:tc>
        <w:tc>
          <w:tcPr>
            <w:tcW w:w="760" w:type="dxa"/>
            <w:vAlign w:val="bottom"/>
            <w:gridSpan w:val="5"/>
            <w:shd w:val="clear" w:color="auto" w:fill="CCFFCC"/>
          </w:tcPr>
          <w:p>
            <w:pPr>
              <w:jc w:val="center"/>
              <w:ind w:right="120"/>
              <w:spacing w:after="0" w:line="172" w:lineRule="exact"/>
              <w:rPr>
                <w:sz w:val="20"/>
                <w:szCs w:val="20"/>
                <w:color w:val="auto"/>
              </w:rPr>
            </w:pPr>
            <w:r>
              <w:rPr>
                <w:rFonts w:ascii="Arial" w:cs="Arial" w:eastAsia="Arial" w:hAnsi="Arial"/>
                <w:sz w:val="17"/>
                <w:szCs w:val="17"/>
                <w:color w:val="0000EE"/>
                <w:w w:val="91"/>
              </w:rPr>
              <w:t>F-21 – F-</w:t>
            </w:r>
          </w:p>
        </w:tc>
        <w:tc>
          <w:tcPr>
            <w:tcW w:w="2420" w:type="dxa"/>
            <w:vAlign w:val="bottom"/>
          </w:tcPr>
          <w:p>
            <w:pPr>
              <w:spacing w:after="0"/>
              <w:rPr>
                <w:sz w:val="14"/>
                <w:szCs w:val="14"/>
                <w:color w:val="auto"/>
              </w:rPr>
            </w:pPr>
          </w:p>
        </w:tc>
      </w:tr>
      <w:tr>
        <w:trPr>
          <w:trHeight w:val="180"/>
        </w:trPr>
        <w:tc>
          <w:tcPr>
            <w:tcW w:w="160" w:type="dxa"/>
            <w:vAlign w:val="bottom"/>
            <w:tcBorders>
              <w:top w:val="single" w:sz="8" w:color="CCFFCC"/>
            </w:tcBorders>
            <w:shd w:val="clear" w:color="auto" w:fill="CCFFCC"/>
          </w:tcPr>
          <w:p>
            <w:pPr>
              <w:spacing w:after="0"/>
              <w:rPr>
                <w:sz w:val="15"/>
                <w:szCs w:val="15"/>
                <w:color w:val="auto"/>
              </w:rPr>
            </w:pPr>
          </w:p>
        </w:tc>
        <w:tc>
          <w:tcPr>
            <w:tcW w:w="980" w:type="dxa"/>
            <w:vAlign w:val="bottom"/>
            <w:tcBorders>
              <w:top w:val="single" w:sz="8" w:color="0000EE"/>
            </w:tcBorders>
            <w:shd w:val="clear" w:color="auto" w:fill="CCFFCC"/>
          </w:tcPr>
          <w:p>
            <w:pPr>
              <w:spacing w:after="0"/>
              <w:rPr>
                <w:sz w:val="15"/>
                <w:szCs w:val="15"/>
                <w:color w:val="auto"/>
              </w:rPr>
            </w:pPr>
          </w:p>
        </w:tc>
        <w:tc>
          <w:tcPr>
            <w:tcW w:w="900" w:type="dxa"/>
            <w:vAlign w:val="bottom"/>
            <w:tcBorders>
              <w:top w:val="single" w:sz="8" w:color="0000EE"/>
            </w:tcBorders>
            <w:shd w:val="clear" w:color="auto" w:fill="CCFFCC"/>
          </w:tcPr>
          <w:p>
            <w:pPr>
              <w:spacing w:after="0"/>
              <w:rPr>
                <w:sz w:val="15"/>
                <w:szCs w:val="15"/>
                <w:color w:val="auto"/>
              </w:rPr>
            </w:pPr>
          </w:p>
        </w:tc>
        <w:tc>
          <w:tcPr>
            <w:tcW w:w="60" w:type="dxa"/>
            <w:vAlign w:val="bottom"/>
            <w:tcBorders>
              <w:top w:val="single" w:sz="8" w:color="0000EE"/>
            </w:tcBorders>
            <w:shd w:val="clear" w:color="auto" w:fill="CCFFCC"/>
          </w:tcPr>
          <w:p>
            <w:pPr>
              <w:spacing w:after="0"/>
              <w:rPr>
                <w:sz w:val="15"/>
                <w:szCs w:val="15"/>
                <w:color w:val="auto"/>
              </w:rPr>
            </w:pPr>
          </w:p>
        </w:tc>
        <w:tc>
          <w:tcPr>
            <w:tcW w:w="660" w:type="dxa"/>
            <w:vAlign w:val="bottom"/>
            <w:tcBorders>
              <w:top w:val="single" w:sz="8" w:color="CCFFCC"/>
              <w:right w:val="single" w:sz="8" w:color="CCFFCC"/>
            </w:tcBorders>
            <w:shd w:val="clear" w:color="auto" w:fill="CCFFCC"/>
          </w:tcPr>
          <w:p>
            <w:pPr>
              <w:spacing w:after="0"/>
              <w:rPr>
                <w:sz w:val="15"/>
                <w:szCs w:val="15"/>
                <w:color w:val="auto"/>
              </w:rPr>
            </w:pPr>
          </w:p>
        </w:tc>
        <w:tc>
          <w:tcPr>
            <w:tcW w:w="20" w:type="dxa"/>
            <w:vAlign w:val="bottom"/>
            <w:tcBorders>
              <w:top w:val="single" w:sz="8" w:color="CCFFCC"/>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260" w:type="dxa"/>
            <w:vAlign w:val="bottom"/>
            <w:tcBorders>
              <w:top w:val="single" w:sz="8" w:color="CCFFCC"/>
            </w:tcBorders>
            <w:shd w:val="clear" w:color="auto" w:fill="CCFFCC"/>
          </w:tcPr>
          <w:p>
            <w:pPr>
              <w:spacing w:after="0"/>
              <w:rPr>
                <w:sz w:val="15"/>
                <w:szCs w:val="15"/>
                <w:color w:val="auto"/>
              </w:rPr>
            </w:pPr>
          </w:p>
        </w:tc>
        <w:tc>
          <w:tcPr>
            <w:tcW w:w="260" w:type="dxa"/>
            <w:vAlign w:val="bottom"/>
            <w:tcBorders>
              <w:top w:val="single" w:sz="8" w:color="CCFFCC"/>
            </w:tcBorders>
            <w:shd w:val="clear" w:color="auto" w:fill="CCFFCC"/>
          </w:tcPr>
          <w:p>
            <w:pPr>
              <w:spacing w:after="0"/>
              <w:rPr>
                <w:sz w:val="15"/>
                <w:szCs w:val="15"/>
                <w:color w:val="auto"/>
              </w:rPr>
            </w:pPr>
          </w:p>
        </w:tc>
        <w:tc>
          <w:tcPr>
            <w:tcW w:w="60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62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CCFFCC"/>
            </w:tcBorders>
            <w:shd w:val="clear" w:color="auto" w:fill="CCFFCC"/>
          </w:tcPr>
          <w:p>
            <w:pPr>
              <w:spacing w:after="0"/>
              <w:rPr>
                <w:sz w:val="15"/>
                <w:szCs w:val="15"/>
                <w:color w:val="auto"/>
              </w:rPr>
            </w:pPr>
          </w:p>
        </w:tc>
        <w:tc>
          <w:tcPr>
            <w:tcW w:w="400" w:type="dxa"/>
            <w:vAlign w:val="bottom"/>
            <w:tcBorders>
              <w:top w:val="single" w:sz="8" w:color="0000EE"/>
            </w:tcBorders>
            <w:gridSpan w:val="2"/>
            <w:shd w:val="clear" w:color="auto" w:fill="CCFFCC"/>
          </w:tcPr>
          <w:p>
            <w:pPr>
              <w:jc w:val="center"/>
              <w:ind w:left="156"/>
              <w:spacing w:after="0" w:line="180" w:lineRule="exact"/>
              <w:rPr>
                <w:sz w:val="20"/>
                <w:szCs w:val="20"/>
                <w:color w:val="auto"/>
              </w:rPr>
            </w:pPr>
            <w:r>
              <w:rPr>
                <w:rFonts w:ascii="Arial" w:cs="Arial" w:eastAsia="Arial" w:hAnsi="Arial"/>
                <w:sz w:val="17"/>
                <w:szCs w:val="17"/>
                <w:color w:val="0000EE"/>
                <w:w w:val="84"/>
              </w:rPr>
              <w:t>22</w:t>
            </w:r>
          </w:p>
        </w:tc>
        <w:tc>
          <w:tcPr>
            <w:tcW w:w="80" w:type="dxa"/>
            <w:vAlign w:val="bottom"/>
            <w:tcBorders>
              <w:top w:val="single" w:sz="8" w:color="0000EE"/>
              <w:left w:val="single" w:sz="8" w:color="CCFFCC"/>
            </w:tcBorders>
            <w:shd w:val="clear" w:color="auto" w:fill="CCFFCC"/>
          </w:tcPr>
          <w:p>
            <w:pPr>
              <w:spacing w:after="0"/>
              <w:rPr>
                <w:sz w:val="15"/>
                <w:szCs w:val="15"/>
                <w:color w:val="auto"/>
              </w:rPr>
            </w:pPr>
          </w:p>
        </w:tc>
        <w:tc>
          <w:tcPr>
            <w:tcW w:w="160" w:type="dxa"/>
            <w:vAlign w:val="bottom"/>
            <w:tcBorders>
              <w:top w:val="single" w:sz="8" w:color="0000EE"/>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2420" w:type="dxa"/>
            <w:vAlign w:val="bottom"/>
          </w:tcPr>
          <w:p>
            <w:pPr>
              <w:spacing w:after="0"/>
              <w:rPr>
                <w:sz w:val="15"/>
                <w:szCs w:val="15"/>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66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6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72"/>
        </w:trPr>
        <w:tc>
          <w:tcPr>
            <w:tcW w:w="160" w:type="dxa"/>
            <w:vAlign w:val="bottom"/>
          </w:tcPr>
          <w:p>
            <w:pPr>
              <w:spacing w:after="0"/>
              <w:rPr>
                <w:sz w:val="14"/>
                <w:szCs w:val="14"/>
                <w:color w:val="auto"/>
              </w:rPr>
            </w:pPr>
          </w:p>
        </w:tc>
        <w:tc>
          <w:tcPr>
            <w:tcW w:w="2620" w:type="dxa"/>
            <w:vAlign w:val="bottom"/>
            <w:tcBorders>
              <w:bottom w:val="single" w:sz="8" w:color="0000EE"/>
            </w:tcBorders>
            <w:gridSpan w:val="5"/>
          </w:tcPr>
          <w:p>
            <w:pPr>
              <w:spacing w:after="0" w:line="163" w:lineRule="exact"/>
              <w:rPr>
                <w:sz w:val="20"/>
                <w:szCs w:val="20"/>
                <w:color w:val="auto"/>
              </w:rPr>
            </w:pPr>
            <w:r>
              <w:rPr>
                <w:rFonts w:ascii="Arial" w:cs="Arial" w:eastAsia="Arial" w:hAnsi="Arial"/>
                <w:sz w:val="17"/>
                <w:szCs w:val="17"/>
                <w:color w:val="0000EE"/>
                <w:w w:val="87"/>
              </w:rPr>
              <w:t>Consolidated Statements of Operations</w:t>
            </w:r>
          </w:p>
        </w:tc>
        <w:tc>
          <w:tcPr>
            <w:tcW w:w="3920" w:type="dxa"/>
            <w:vAlign w:val="bottom"/>
            <w:gridSpan w:val="7"/>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0000EE"/>
            </w:tcBorders>
            <w:gridSpan w:val="2"/>
          </w:tcPr>
          <w:p>
            <w:pPr>
              <w:jc w:val="center"/>
              <w:spacing w:after="0" w:line="163" w:lineRule="exact"/>
              <w:rPr>
                <w:sz w:val="20"/>
                <w:szCs w:val="20"/>
                <w:color w:val="auto"/>
              </w:rPr>
            </w:pPr>
            <w:r>
              <w:rPr>
                <w:rFonts w:ascii="Arial" w:cs="Arial" w:eastAsia="Arial" w:hAnsi="Arial"/>
                <w:sz w:val="16"/>
                <w:szCs w:val="16"/>
                <w:color w:val="0000EE"/>
                <w:w w:val="72"/>
              </w:rPr>
              <w:t>F-23</w:t>
            </w:r>
          </w:p>
        </w:tc>
        <w:tc>
          <w:tcPr>
            <w:tcW w:w="280" w:type="dxa"/>
            <w:vAlign w:val="bottom"/>
            <w:gridSpan w:val="2"/>
          </w:tcPr>
          <w:p>
            <w:pPr>
              <w:spacing w:after="0"/>
              <w:rPr>
                <w:sz w:val="14"/>
                <w:szCs w:val="14"/>
                <w:color w:val="auto"/>
              </w:rPr>
            </w:pPr>
          </w:p>
        </w:tc>
        <w:tc>
          <w:tcPr>
            <w:tcW w:w="2420" w:type="dxa"/>
            <w:vAlign w:val="bottom"/>
          </w:tcPr>
          <w:p>
            <w:pPr>
              <w:spacing w:after="0"/>
              <w:rPr>
                <w:sz w:val="14"/>
                <w:szCs w:val="14"/>
                <w:color w:val="auto"/>
              </w:rPr>
            </w:pPr>
          </w:p>
        </w:tc>
      </w:tr>
      <w:tr>
        <w:trPr>
          <w:trHeight w:val="172"/>
        </w:trPr>
        <w:tc>
          <w:tcPr>
            <w:tcW w:w="160" w:type="dxa"/>
            <w:vAlign w:val="bottom"/>
            <w:tcBorders>
              <w:bottom w:val="single" w:sz="8" w:color="CCFFCC"/>
            </w:tcBorders>
            <w:shd w:val="clear" w:color="auto" w:fill="CCFFCC"/>
          </w:tcPr>
          <w:p>
            <w:pPr>
              <w:spacing w:after="0"/>
              <w:rPr>
                <w:sz w:val="14"/>
                <w:szCs w:val="14"/>
                <w:color w:val="auto"/>
              </w:rPr>
            </w:pPr>
          </w:p>
        </w:tc>
        <w:tc>
          <w:tcPr>
            <w:tcW w:w="3780" w:type="dxa"/>
            <w:vAlign w:val="bottom"/>
            <w:tcBorders>
              <w:bottom w:val="single" w:sz="8" w:color="0000EE"/>
            </w:tcBorders>
            <w:gridSpan w:val="9"/>
            <w:shd w:val="clear" w:color="auto" w:fill="CCFFCC"/>
          </w:tcPr>
          <w:p>
            <w:pPr>
              <w:spacing w:after="0" w:line="172" w:lineRule="exact"/>
              <w:rPr>
                <w:sz w:val="20"/>
                <w:szCs w:val="20"/>
                <w:color w:val="auto"/>
              </w:rPr>
            </w:pPr>
            <w:r>
              <w:rPr>
                <w:rFonts w:ascii="Arial" w:cs="Arial" w:eastAsia="Arial" w:hAnsi="Arial"/>
                <w:sz w:val="17"/>
                <w:szCs w:val="17"/>
                <w:color w:val="0000EE"/>
                <w:w w:val="90"/>
              </w:rPr>
              <w:t>Statements of Changes in Stockholders’ Equity (Deficit)</w:t>
            </w:r>
          </w:p>
        </w:tc>
        <w:tc>
          <w:tcPr>
            <w:tcW w:w="2760" w:type="dxa"/>
            <w:vAlign w:val="bottom"/>
            <w:tcBorders>
              <w:bottom w:val="single" w:sz="8" w:color="CCFFCC"/>
            </w:tcBorders>
            <w:gridSpan w:val="3"/>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640" w:type="dxa"/>
            <w:vAlign w:val="bottom"/>
            <w:tcBorders>
              <w:bottom w:val="single" w:sz="8" w:color="0000EE"/>
            </w:tcBorders>
            <w:gridSpan w:val="4"/>
            <w:shd w:val="clear" w:color="auto" w:fill="CCFFCC"/>
          </w:tcPr>
          <w:p>
            <w:pPr>
              <w:jc w:val="center"/>
              <w:spacing w:after="0" w:line="172" w:lineRule="exact"/>
              <w:rPr>
                <w:sz w:val="20"/>
                <w:szCs w:val="20"/>
                <w:color w:val="auto"/>
              </w:rPr>
            </w:pPr>
            <w:r>
              <w:rPr>
                <w:rFonts w:ascii="Arial" w:cs="Arial" w:eastAsia="Arial" w:hAnsi="Arial"/>
                <w:sz w:val="17"/>
                <w:szCs w:val="17"/>
                <w:color w:val="0000EE"/>
                <w:w w:val="91"/>
              </w:rPr>
              <w:t>F-24 – F-</w:t>
            </w:r>
          </w:p>
        </w:tc>
        <w:tc>
          <w:tcPr>
            <w:tcW w:w="120" w:type="dxa"/>
            <w:vAlign w:val="bottom"/>
            <w:tcBorders>
              <w:bottom w:val="single" w:sz="8" w:color="CCFFCC"/>
            </w:tcBorders>
            <w:shd w:val="clear" w:color="auto" w:fill="CCFFCC"/>
          </w:tcPr>
          <w:p>
            <w:pPr>
              <w:spacing w:after="0"/>
              <w:rPr>
                <w:sz w:val="14"/>
                <w:szCs w:val="14"/>
                <w:color w:val="auto"/>
              </w:rPr>
            </w:pPr>
          </w:p>
        </w:tc>
        <w:tc>
          <w:tcPr>
            <w:tcW w:w="2420" w:type="dxa"/>
            <w:vAlign w:val="bottom"/>
          </w:tcPr>
          <w:p>
            <w:pPr>
              <w:spacing w:after="0"/>
              <w:rPr>
                <w:sz w:val="14"/>
                <w:szCs w:val="14"/>
                <w:color w:val="auto"/>
              </w:rPr>
            </w:pPr>
          </w:p>
        </w:tc>
      </w:tr>
      <w:tr>
        <w:trPr>
          <w:trHeight w:val="180"/>
        </w:trPr>
        <w:tc>
          <w:tcPr>
            <w:tcW w:w="1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660" w:type="dxa"/>
            <w:vAlign w:val="bottom"/>
            <w:tcBorders>
              <w:right w:val="single" w:sz="8" w:color="CCFFCC"/>
            </w:tcBorders>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6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620" w:type="dxa"/>
            <w:vAlign w:val="bottom"/>
            <w:shd w:val="clear" w:color="auto" w:fill="CCFFCC"/>
          </w:tcPr>
          <w:p>
            <w:pPr>
              <w:spacing w:after="0"/>
              <w:rPr>
                <w:sz w:val="15"/>
                <w:szCs w:val="15"/>
                <w:color w:val="auto"/>
              </w:rPr>
            </w:pPr>
          </w:p>
        </w:tc>
        <w:tc>
          <w:tcPr>
            <w:tcW w:w="560" w:type="dxa"/>
            <w:vAlign w:val="bottom"/>
            <w:gridSpan w:val="3"/>
            <w:shd w:val="clear" w:color="auto" w:fill="CCFFCC"/>
          </w:tcPr>
          <w:p>
            <w:pPr>
              <w:jc w:val="center"/>
              <w:ind w:left="316"/>
              <w:spacing w:after="0" w:line="180" w:lineRule="exact"/>
              <w:rPr>
                <w:sz w:val="20"/>
                <w:szCs w:val="20"/>
                <w:color w:val="auto"/>
              </w:rPr>
            </w:pPr>
            <w:r>
              <w:rPr>
                <w:rFonts w:ascii="Arial" w:cs="Arial" w:eastAsia="Arial" w:hAnsi="Arial"/>
                <w:sz w:val="17"/>
                <w:szCs w:val="17"/>
                <w:color w:val="0000EE"/>
                <w:w w:val="84"/>
              </w:rPr>
              <w:t>25</w:t>
            </w:r>
          </w:p>
        </w:tc>
        <w:tc>
          <w:tcPr>
            <w:tcW w:w="80" w:type="dxa"/>
            <w:vAlign w:val="bottom"/>
            <w:tcBorders>
              <w:left w:val="single" w:sz="8" w:color="CCFFCC"/>
            </w:tcBorders>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420" w:type="dxa"/>
            <w:vAlign w:val="bottom"/>
          </w:tcPr>
          <w:p>
            <w:pPr>
              <w:spacing w:after="0"/>
              <w:rPr>
                <w:sz w:val="15"/>
                <w:szCs w:val="15"/>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66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6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540" w:type="dxa"/>
            <w:vAlign w:val="bottom"/>
            <w:gridSpan w:val="12"/>
          </w:tcPr>
          <w:p>
            <w:pPr>
              <w:spacing w:after="0" w:line="163" w:lineRule="exact"/>
              <w:rPr>
                <w:sz w:val="20"/>
                <w:szCs w:val="20"/>
                <w:color w:val="auto"/>
              </w:rPr>
            </w:pPr>
            <w:r>
              <w:rPr>
                <w:rFonts w:ascii="Arial" w:cs="Arial" w:eastAsia="Arial" w:hAnsi="Arial"/>
                <w:sz w:val="17"/>
                <w:szCs w:val="17"/>
                <w:color w:val="0000EE"/>
              </w:rPr>
              <w:t>Consolidated Statements of Cash Flows</w:t>
            </w:r>
          </w:p>
        </w:tc>
        <w:tc>
          <w:tcPr>
            <w:tcW w:w="160" w:type="dxa"/>
            <w:vAlign w:val="bottom"/>
          </w:tcPr>
          <w:p>
            <w:pPr>
              <w:spacing w:after="0"/>
              <w:rPr>
                <w:sz w:val="14"/>
                <w:szCs w:val="14"/>
                <w:color w:val="auto"/>
              </w:rPr>
            </w:pPr>
          </w:p>
        </w:tc>
        <w:tc>
          <w:tcPr>
            <w:tcW w:w="760" w:type="dxa"/>
            <w:vAlign w:val="bottom"/>
            <w:gridSpan w:val="5"/>
          </w:tcPr>
          <w:p>
            <w:pPr>
              <w:jc w:val="center"/>
              <w:ind w:right="120"/>
              <w:spacing w:after="0" w:line="163" w:lineRule="exact"/>
              <w:rPr>
                <w:sz w:val="20"/>
                <w:szCs w:val="20"/>
                <w:color w:val="auto"/>
              </w:rPr>
            </w:pPr>
            <w:r>
              <w:rPr>
                <w:rFonts w:ascii="Arial" w:cs="Arial" w:eastAsia="Arial" w:hAnsi="Arial"/>
                <w:sz w:val="17"/>
                <w:szCs w:val="17"/>
                <w:color w:val="0000EE"/>
                <w:w w:val="91"/>
              </w:rPr>
              <w:t>F-26 – F-</w:t>
            </w:r>
          </w:p>
        </w:tc>
        <w:tc>
          <w:tcPr>
            <w:tcW w:w="2420" w:type="dxa"/>
            <w:vAlign w:val="bottom"/>
          </w:tcPr>
          <w:p>
            <w:pPr>
              <w:spacing w:after="0"/>
              <w:rPr>
                <w:sz w:val="14"/>
                <w:szCs w:val="14"/>
                <w:color w:val="auto"/>
              </w:rPr>
            </w:pPr>
          </w:p>
        </w:tc>
      </w:tr>
      <w:tr>
        <w:trPr>
          <w:trHeight w:val="180"/>
        </w:trPr>
        <w:tc>
          <w:tcPr>
            <w:tcW w:w="160" w:type="dxa"/>
            <w:vAlign w:val="bottom"/>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top w:val="single" w:sz="8" w:color="0000EE"/>
            </w:tcBorders>
            <w:gridSpan w:val="2"/>
          </w:tcPr>
          <w:p>
            <w:pPr>
              <w:jc w:val="center"/>
              <w:ind w:left="156"/>
              <w:spacing w:after="0" w:line="180" w:lineRule="exact"/>
              <w:rPr>
                <w:sz w:val="20"/>
                <w:szCs w:val="20"/>
                <w:color w:val="auto"/>
              </w:rPr>
            </w:pPr>
            <w:r>
              <w:rPr>
                <w:rFonts w:ascii="Arial" w:cs="Arial" w:eastAsia="Arial" w:hAnsi="Arial"/>
                <w:sz w:val="17"/>
                <w:szCs w:val="17"/>
                <w:color w:val="0000EE"/>
                <w:w w:val="84"/>
              </w:rPr>
              <w:t>27</w:t>
            </w: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9"/>
        </w:trPr>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tcBorders>
              <w:bottom w:val="single" w:sz="8" w:color="CCFFCC"/>
            </w:tcBorders>
            <w:shd w:val="clear" w:color="auto" w:fill="CCFFCC"/>
          </w:tcPr>
          <w:p>
            <w:pPr>
              <w:spacing w:after="0"/>
              <w:rPr>
                <w:sz w:val="14"/>
                <w:szCs w:val="14"/>
                <w:color w:val="auto"/>
              </w:rPr>
            </w:pPr>
          </w:p>
        </w:tc>
        <w:tc>
          <w:tcPr>
            <w:tcW w:w="3180" w:type="dxa"/>
            <w:vAlign w:val="bottom"/>
            <w:tcBorders>
              <w:bottom w:val="single" w:sz="8" w:color="0000EE"/>
            </w:tcBorders>
            <w:gridSpan w:val="8"/>
            <w:shd w:val="clear" w:color="auto" w:fill="CCFFCC"/>
          </w:tcPr>
          <w:p>
            <w:pPr>
              <w:spacing w:after="0" w:line="172" w:lineRule="exact"/>
              <w:rPr>
                <w:sz w:val="20"/>
                <w:szCs w:val="20"/>
                <w:color w:val="auto"/>
              </w:rPr>
            </w:pPr>
            <w:r>
              <w:rPr>
                <w:rFonts w:ascii="Arial" w:cs="Arial" w:eastAsia="Arial" w:hAnsi="Arial"/>
                <w:sz w:val="17"/>
                <w:szCs w:val="17"/>
                <w:color w:val="0000EE"/>
                <w:w w:val="87"/>
              </w:rPr>
              <w:t>Notes to the Consolidated Financial Statements</w:t>
            </w:r>
          </w:p>
        </w:tc>
        <w:tc>
          <w:tcPr>
            <w:tcW w:w="3360" w:type="dxa"/>
            <w:vAlign w:val="bottom"/>
            <w:tcBorders>
              <w:bottom w:val="single" w:sz="8" w:color="CCFFCC"/>
            </w:tcBorders>
            <w:gridSpan w:val="4"/>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640" w:type="dxa"/>
            <w:vAlign w:val="bottom"/>
            <w:tcBorders>
              <w:bottom w:val="single" w:sz="8" w:color="0000EE"/>
            </w:tcBorders>
            <w:gridSpan w:val="4"/>
            <w:shd w:val="clear" w:color="auto" w:fill="CCFFCC"/>
          </w:tcPr>
          <w:p>
            <w:pPr>
              <w:jc w:val="center"/>
              <w:spacing w:after="0" w:line="172" w:lineRule="exact"/>
              <w:rPr>
                <w:sz w:val="20"/>
                <w:szCs w:val="20"/>
                <w:color w:val="auto"/>
              </w:rPr>
            </w:pPr>
            <w:r>
              <w:rPr>
                <w:rFonts w:ascii="Arial" w:cs="Arial" w:eastAsia="Arial" w:hAnsi="Arial"/>
                <w:sz w:val="17"/>
                <w:szCs w:val="17"/>
                <w:color w:val="0000EE"/>
                <w:w w:val="91"/>
              </w:rPr>
              <w:t>F-28 – F-</w:t>
            </w:r>
          </w:p>
        </w:tc>
        <w:tc>
          <w:tcPr>
            <w:tcW w:w="120" w:type="dxa"/>
            <w:vAlign w:val="bottom"/>
            <w:tcBorders>
              <w:bottom w:val="single" w:sz="8" w:color="CCFFCC"/>
            </w:tcBorders>
            <w:shd w:val="clear" w:color="auto" w:fill="CCFFCC"/>
          </w:tcPr>
          <w:p>
            <w:pPr>
              <w:spacing w:after="0"/>
              <w:rPr>
                <w:sz w:val="14"/>
                <w:szCs w:val="14"/>
                <w:color w:val="auto"/>
              </w:rPr>
            </w:pPr>
          </w:p>
        </w:tc>
        <w:tc>
          <w:tcPr>
            <w:tcW w:w="2420" w:type="dxa"/>
            <w:vAlign w:val="bottom"/>
          </w:tcPr>
          <w:p>
            <w:pPr>
              <w:spacing w:after="0"/>
              <w:rPr>
                <w:sz w:val="14"/>
                <w:szCs w:val="14"/>
                <w:color w:val="auto"/>
              </w:rPr>
            </w:pPr>
          </w:p>
        </w:tc>
      </w:tr>
      <w:tr>
        <w:trPr>
          <w:trHeight w:val="198"/>
        </w:trPr>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60" w:type="dxa"/>
            <w:vAlign w:val="bottom"/>
            <w:tcBorders>
              <w:righ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620" w:type="dxa"/>
            <w:vAlign w:val="bottom"/>
            <w:shd w:val="clear" w:color="auto" w:fill="CCFFCC"/>
          </w:tcPr>
          <w:p>
            <w:pPr>
              <w:spacing w:after="0"/>
              <w:rPr>
                <w:sz w:val="17"/>
                <w:szCs w:val="17"/>
                <w:color w:val="auto"/>
              </w:rPr>
            </w:pPr>
          </w:p>
        </w:tc>
        <w:tc>
          <w:tcPr>
            <w:tcW w:w="560" w:type="dxa"/>
            <w:vAlign w:val="bottom"/>
            <w:gridSpan w:val="3"/>
            <w:shd w:val="clear" w:color="auto" w:fill="CCFFCC"/>
          </w:tcPr>
          <w:p>
            <w:pPr>
              <w:jc w:val="center"/>
              <w:ind w:left="316"/>
              <w:spacing w:after="0" w:line="180" w:lineRule="exact"/>
              <w:rPr>
                <w:sz w:val="20"/>
                <w:szCs w:val="20"/>
                <w:color w:val="auto"/>
              </w:rPr>
            </w:pPr>
            <w:r>
              <w:rPr>
                <w:rFonts w:ascii="Arial" w:cs="Arial" w:eastAsia="Arial" w:hAnsi="Arial"/>
                <w:sz w:val="17"/>
                <w:szCs w:val="17"/>
                <w:color w:val="0000EE"/>
                <w:w w:val="84"/>
              </w:rPr>
              <w:t>51</w:t>
            </w:r>
          </w:p>
        </w:tc>
        <w:tc>
          <w:tcPr>
            <w:tcW w:w="80" w:type="dxa"/>
            <w:vAlign w:val="bottom"/>
            <w:tcBorders>
              <w:lef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714"/>
        </w:trPr>
        <w:tc>
          <w:tcPr>
            <w:tcW w:w="160" w:type="dxa"/>
            <w:vAlign w:val="bottom"/>
            <w:tcBorders>
              <w:top w:val="single" w:sz="8" w:color="CCFFCC"/>
            </w:tcBorders>
          </w:tcPr>
          <w:p>
            <w:pPr>
              <w:spacing w:after="0"/>
              <w:rPr>
                <w:sz w:val="24"/>
                <w:szCs w:val="24"/>
                <w:color w:val="auto"/>
              </w:rPr>
            </w:pPr>
          </w:p>
        </w:tc>
        <w:tc>
          <w:tcPr>
            <w:tcW w:w="980" w:type="dxa"/>
            <w:vAlign w:val="bottom"/>
            <w:tcBorders>
              <w:top w:val="single" w:sz="8" w:color="CCFFCC"/>
            </w:tcBorders>
          </w:tcPr>
          <w:p>
            <w:pPr>
              <w:spacing w:after="0"/>
              <w:rPr>
                <w:sz w:val="24"/>
                <w:szCs w:val="24"/>
                <w:color w:val="auto"/>
              </w:rPr>
            </w:pPr>
          </w:p>
        </w:tc>
        <w:tc>
          <w:tcPr>
            <w:tcW w:w="90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66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60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620" w:type="dxa"/>
            <w:vAlign w:val="bottom"/>
            <w:tcBorders>
              <w:top w:val="single" w:sz="8" w:color="CCFFCC"/>
            </w:tcBorders>
          </w:tcPr>
          <w:p>
            <w:pPr>
              <w:ind w:left="120"/>
              <w:spacing w:after="0"/>
              <w:rPr>
                <w:sz w:val="20"/>
                <w:szCs w:val="20"/>
                <w:color w:val="auto"/>
              </w:rPr>
            </w:pPr>
            <w:r>
              <w:rPr>
                <w:rFonts w:ascii="Arial" w:cs="Arial" w:eastAsia="Arial" w:hAnsi="Arial"/>
                <w:sz w:val="17"/>
                <w:szCs w:val="17"/>
                <w:color w:val="auto"/>
              </w:rPr>
              <w:t>F-1</w:t>
            </w:r>
          </w:p>
        </w:tc>
        <w:tc>
          <w:tcPr>
            <w:tcW w:w="160" w:type="dxa"/>
            <w:vAlign w:val="bottom"/>
            <w:tcBorders>
              <w:top w:val="single" w:sz="8" w:color="CCFFCC"/>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9" w:name="page220"/>
    <w:bookmarkEnd w:id="2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March 31,</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5760" w:type="dxa"/>
            <w:vAlign w:val="bottom"/>
          </w:tcPr>
          <w:p>
            <w:pPr>
              <w:spacing w:after="0"/>
              <w:rPr>
                <w:sz w:val="13"/>
                <w:szCs w:val="13"/>
                <w:color w:val="auto"/>
              </w:rPr>
            </w:pPr>
          </w:p>
        </w:tc>
        <w:tc>
          <w:tcPr>
            <w:tcW w:w="700" w:type="dxa"/>
            <w:vAlign w:val="bottom"/>
          </w:tcPr>
          <w:p>
            <w:pPr>
              <w:jc w:val="center"/>
              <w:ind w:left="21"/>
              <w:spacing w:after="0"/>
              <w:rPr>
                <w:sz w:val="20"/>
                <w:szCs w:val="20"/>
                <w:color w:val="auto"/>
              </w:rPr>
            </w:pPr>
            <w:r>
              <w:rPr>
                <w:rFonts w:ascii="Arial" w:cs="Arial" w:eastAsia="Arial" w:hAnsi="Arial"/>
                <w:sz w:val="13"/>
                <w:szCs w:val="13"/>
                <w:b w:val="1"/>
                <w:bCs w:val="1"/>
                <w:color w:val="auto"/>
                <w:w w:val="96"/>
              </w:rPr>
              <w:t>2012</w:t>
            </w:r>
          </w:p>
        </w:tc>
        <w:tc>
          <w:tcPr>
            <w:tcW w:w="100" w:type="dxa"/>
            <w:vAlign w:val="bottom"/>
          </w:tcPr>
          <w:p>
            <w:pPr>
              <w:spacing w:after="0"/>
              <w:rPr>
                <w:sz w:val="13"/>
                <w:szCs w:val="13"/>
                <w:color w:val="auto"/>
              </w:rPr>
            </w:pPr>
          </w:p>
        </w:tc>
        <w:tc>
          <w:tcPr>
            <w:tcW w:w="940" w:type="dxa"/>
            <w:vAlign w:val="bottom"/>
            <w:gridSpan w:val="2"/>
          </w:tcPr>
          <w:p>
            <w:pPr>
              <w:jc w:val="center"/>
              <w:ind w:left="201"/>
              <w:spacing w:after="0"/>
              <w:rPr>
                <w:sz w:val="20"/>
                <w:szCs w:val="20"/>
                <w:color w:val="auto"/>
              </w:rPr>
            </w:pPr>
            <w:r>
              <w:rPr>
                <w:rFonts w:ascii="Arial" w:cs="Arial" w:eastAsia="Arial" w:hAnsi="Arial"/>
                <w:sz w:val="13"/>
                <w:szCs w:val="13"/>
                <w:b w:val="1"/>
                <w:bCs w:val="1"/>
                <w:color w:val="auto"/>
                <w:w w:val="89"/>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Current assets</w:t>
            </w: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U.S.$</w:t>
            </w:r>
          </w:p>
        </w:tc>
        <w:tc>
          <w:tcPr>
            <w:tcW w:w="14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57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60" w:type="dxa"/>
            <w:vAlign w:val="bottom"/>
            <w:shd w:val="clear" w:color="auto" w:fill="CCFFCC"/>
          </w:tcPr>
          <w:p>
            <w:pPr>
              <w:spacing w:after="0"/>
              <w:rPr>
                <w:sz w:val="20"/>
                <w:szCs w:val="20"/>
                <w:color w:val="auto"/>
              </w:rPr>
            </w:pPr>
            <w:r>
              <w:rPr>
                <w:rFonts w:ascii="Arial" w:cs="Arial" w:eastAsia="Arial" w:hAnsi="Arial"/>
                <w:sz w:val="17"/>
                <w:szCs w:val="17"/>
                <w:color w:val="auto"/>
              </w:rPr>
              <w:t>Cash and cash equivalents</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3,630</w:t>
            </w:r>
          </w:p>
        </w:tc>
        <w:tc>
          <w:tcPr>
            <w:tcW w:w="100" w:type="dxa"/>
            <w:vAlign w:val="bottom"/>
            <w:shd w:val="clear" w:color="auto" w:fill="CCFFCC"/>
          </w:tcPr>
          <w:p>
            <w:pPr>
              <w:spacing w:after="0"/>
              <w:rPr>
                <w:sz w:val="17"/>
                <w:szCs w:val="17"/>
                <w:color w:val="auto"/>
              </w:rPr>
            </w:pP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1,190</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color w:val="auto"/>
              </w:rPr>
              <w:t>Accounts receivable</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152</w:t>
            </w:r>
          </w:p>
        </w:tc>
        <w:tc>
          <w:tcPr>
            <w:tcW w:w="10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00"/>
        </w:trPr>
        <w:tc>
          <w:tcPr>
            <w:tcW w:w="5760" w:type="dxa"/>
            <w:vAlign w:val="bottom"/>
            <w:shd w:val="clear" w:color="auto" w:fill="CCFFCC"/>
          </w:tcPr>
          <w:p>
            <w:pPr>
              <w:spacing w:after="0"/>
              <w:rPr>
                <w:sz w:val="20"/>
                <w:szCs w:val="20"/>
                <w:color w:val="auto"/>
              </w:rPr>
            </w:pPr>
            <w:r>
              <w:rPr>
                <w:rFonts w:ascii="Arial" w:cs="Arial" w:eastAsia="Arial" w:hAnsi="Arial"/>
                <w:sz w:val="17"/>
                <w:szCs w:val="17"/>
                <w:color w:val="auto"/>
              </w:rPr>
              <w:t>Prepaid expenses and other current assets</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144</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
        </w:trPr>
        <w:tc>
          <w:tcPr>
            <w:tcW w:w="57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60" w:type="dxa"/>
            <w:vAlign w:val="bottom"/>
          </w:tcPr>
          <w:p>
            <w:pPr>
              <w:spacing w:after="0" w:line="193" w:lineRule="exact"/>
              <w:rPr>
                <w:sz w:val="20"/>
                <w:szCs w:val="20"/>
                <w:color w:val="auto"/>
              </w:rPr>
            </w:pPr>
            <w:r>
              <w:rPr>
                <w:rFonts w:ascii="Arial" w:cs="Arial" w:eastAsia="Arial" w:hAnsi="Arial"/>
                <w:sz w:val="17"/>
                <w:szCs w:val="17"/>
                <w:b w:val="1"/>
                <w:bCs w:val="1"/>
                <w:color w:val="auto"/>
              </w:rPr>
              <w:t>Total current assets</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3,926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1,718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Long-term deposit</w:t>
            </w:r>
          </w:p>
        </w:tc>
        <w:tc>
          <w:tcPr>
            <w:tcW w:w="7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57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60" w:type="dxa"/>
            <w:vAlign w:val="bottom"/>
          </w:tcPr>
          <w:p>
            <w:pPr>
              <w:spacing w:after="0" w:line="180" w:lineRule="exact"/>
              <w:rPr>
                <w:sz w:val="20"/>
                <w:szCs w:val="20"/>
                <w:color w:val="auto"/>
              </w:rPr>
            </w:pPr>
            <w:r>
              <w:rPr>
                <w:rFonts w:ascii="Arial" w:cs="Arial" w:eastAsia="Arial" w:hAnsi="Arial"/>
                <w:sz w:val="17"/>
                <w:szCs w:val="17"/>
                <w:b w:val="1"/>
                <w:bCs w:val="1"/>
                <w:color w:val="auto"/>
                <w:w w:val="92"/>
              </w:rPr>
              <w:t xml:space="preserve">Property and equipment, </w:t>
            </w:r>
            <w:r>
              <w:rPr>
                <w:rFonts w:ascii="Arial" w:cs="Arial" w:eastAsia="Arial" w:hAnsi="Arial"/>
                <w:sz w:val="17"/>
                <w:szCs w:val="17"/>
                <w:color w:val="auto"/>
                <w:w w:val="92"/>
              </w:rPr>
              <w:t>at cost, net of $470 and $454 accumulated depreciation</w:t>
            </w:r>
          </w:p>
        </w:tc>
        <w:tc>
          <w:tcPr>
            <w:tcW w:w="700" w:type="dxa"/>
            <w:vAlign w:val="bottom"/>
          </w:tcPr>
          <w:p>
            <w:pPr>
              <w:jc w:val="right"/>
              <w:spacing w:after="0" w:line="180" w:lineRule="exact"/>
              <w:rPr>
                <w:sz w:val="20"/>
                <w:szCs w:val="20"/>
                <w:color w:val="auto"/>
              </w:rPr>
            </w:pPr>
            <w:r>
              <w:rPr>
                <w:rFonts w:ascii="Arial" w:cs="Arial" w:eastAsia="Arial" w:hAnsi="Arial"/>
                <w:sz w:val="17"/>
                <w:szCs w:val="17"/>
                <w:b w:val="1"/>
                <w:bCs w:val="1"/>
                <w:color w:val="auto"/>
              </w:rPr>
              <w:t>133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3"/>
        </w:trPr>
        <w:tc>
          <w:tcPr>
            <w:tcW w:w="5760" w:type="dxa"/>
            <w:vAlign w:val="bottom"/>
          </w:tcPr>
          <w:p>
            <w:pPr>
              <w:ind w:left="160"/>
              <w:spacing w:after="0"/>
              <w:rPr>
                <w:sz w:val="20"/>
                <w:szCs w:val="20"/>
                <w:color w:val="auto"/>
              </w:rPr>
            </w:pPr>
            <w:r>
              <w:rPr>
                <w:rFonts w:ascii="Arial" w:cs="Arial" w:eastAsia="Arial" w:hAnsi="Arial"/>
                <w:sz w:val="17"/>
                <w:szCs w:val="17"/>
                <w:color w:val="auto"/>
                <w:w w:val="96"/>
              </w:rPr>
              <w:t>and amortization, as of March 31, 2012 and December 31, 2011, respectively</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760" w:type="dxa"/>
            <w:vAlign w:val="bottom"/>
            <w:shd w:val="clear" w:color="auto" w:fill="CCFFCC"/>
          </w:tcPr>
          <w:p>
            <w:pPr>
              <w:spacing w:after="0" w:line="194" w:lineRule="exact"/>
              <w:rPr>
                <w:sz w:val="20"/>
                <w:szCs w:val="20"/>
                <w:color w:val="auto"/>
              </w:rPr>
            </w:pPr>
            <w:r>
              <w:rPr>
                <w:rFonts w:ascii="Arial" w:cs="Arial" w:eastAsia="Arial" w:hAnsi="Arial"/>
                <w:sz w:val="17"/>
                <w:szCs w:val="17"/>
                <w:b w:val="1"/>
                <w:bCs w:val="1"/>
                <w:color w:val="auto"/>
              </w:rPr>
              <w:t>Deferred tax assets – long-term</w:t>
            </w:r>
          </w:p>
        </w:tc>
        <w:tc>
          <w:tcPr>
            <w:tcW w:w="800" w:type="dxa"/>
            <w:vAlign w:val="bottom"/>
            <w:gridSpan w:val="2"/>
            <w:shd w:val="clear" w:color="auto" w:fill="CCFFCC"/>
          </w:tcPr>
          <w:p>
            <w:pPr>
              <w:jc w:val="right"/>
              <w:ind w:right="100"/>
              <w:spacing w:after="0" w:line="194" w:lineRule="exact"/>
              <w:rPr>
                <w:sz w:val="20"/>
                <w:szCs w:val="20"/>
                <w:color w:val="auto"/>
              </w:rPr>
            </w:pPr>
            <w:r>
              <w:rPr>
                <w:rFonts w:ascii="Arial" w:cs="Arial" w:eastAsia="Arial" w:hAnsi="Arial"/>
                <w:sz w:val="17"/>
                <w:szCs w:val="17"/>
                <w:b w:val="1"/>
                <w:bCs w:val="1"/>
                <w:color w:val="auto"/>
              </w:rPr>
              <w:t>—</w:t>
            </w:r>
          </w:p>
        </w:tc>
        <w:tc>
          <w:tcPr>
            <w:tcW w:w="106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57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60" w:type="dxa"/>
            <w:vAlign w:val="bottom"/>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4,067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-835025</wp:posOffset>
            </wp:positionV>
            <wp:extent cx="4837430" cy="1435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-564515</wp:posOffset>
            </wp:positionV>
            <wp:extent cx="4837430" cy="2705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837430" cy="270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837430" cy="1670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0" w:name="page221"/>
    <w:bookmarkEnd w:id="2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March 31,</w:t>
            </w:r>
          </w:p>
        </w:tc>
        <w:tc>
          <w:tcPr>
            <w:tcW w:w="20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2012</w:t>
            </w:r>
          </w:p>
        </w:tc>
        <w:tc>
          <w:tcPr>
            <w:tcW w:w="960" w:type="dxa"/>
            <w:vAlign w:val="bottom"/>
            <w:gridSpan w:val="2"/>
          </w:tcPr>
          <w:p>
            <w:pPr>
              <w:jc w:val="center"/>
              <w:ind w:left="29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Current liabilities</w:t>
            </w:r>
          </w:p>
        </w:tc>
        <w:tc>
          <w:tcPr>
            <w:tcW w:w="960" w:type="dxa"/>
            <w:vAlign w:val="bottom"/>
            <w:gridSpan w:val="2"/>
          </w:tcPr>
          <w:p>
            <w:pPr>
              <w:ind w:left="280"/>
              <w:spacing w:after="0"/>
              <w:rPr>
                <w:sz w:val="20"/>
                <w:szCs w:val="20"/>
                <w:color w:val="auto"/>
              </w:rPr>
            </w:pPr>
            <w:r>
              <w:rPr>
                <w:rFonts w:ascii="Arial" w:cs="Arial" w:eastAsia="Arial" w:hAnsi="Arial"/>
                <w:sz w:val="13"/>
                <w:szCs w:val="13"/>
                <w:b w:val="1"/>
                <w:bCs w:val="1"/>
                <w:color w:val="auto"/>
              </w:rPr>
              <w:t>Note</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U.S.$</w:t>
            </w:r>
          </w:p>
        </w:tc>
        <w:tc>
          <w:tcPr>
            <w:tcW w:w="20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4800" w:type="dxa"/>
            <w:vAlign w:val="bottom"/>
            <w:gridSpan w:val="2"/>
            <w:vMerge w:val="continue"/>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Deferred tax liabilities, net – short-term</w:t>
            </w: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w:t>
            </w:r>
          </w:p>
        </w:tc>
        <w:tc>
          <w:tcPr>
            <w:tcW w:w="112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Arial" w:cs="Arial" w:eastAsia="Arial" w:hAnsi="Arial"/>
                <w:sz w:val="17"/>
                <w:szCs w:val="17"/>
                <w:color w:val="auto"/>
              </w:rPr>
              <w:t>Accounts payable and accrued expenses*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617</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Accrued employee compensation</w:t>
            </w: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357</w:t>
            </w:r>
          </w:p>
        </w:tc>
        <w:tc>
          <w:tcPr>
            <w:tcW w:w="112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Arial" w:cs="Arial" w:eastAsia="Arial" w:hAnsi="Arial"/>
                <w:sz w:val="17"/>
                <w:szCs w:val="17"/>
                <w:color w:val="auto"/>
              </w:rPr>
              <w:t>Accrued short-term severance pay</w:t>
            </w:r>
          </w:p>
        </w:tc>
        <w:tc>
          <w:tcPr>
            <w:tcW w:w="800" w:type="dxa"/>
            <w:vAlign w:val="bottom"/>
          </w:tcPr>
          <w:p>
            <w:pPr>
              <w:jc w:val="right"/>
              <w:ind w:right="199"/>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233</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8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1,210</w:t>
            </w:r>
          </w:p>
        </w:tc>
        <w:tc>
          <w:tcPr>
            <w:tcW w:w="1120" w:type="dxa"/>
            <w:vAlign w:val="bottom"/>
            <w:tcBorders>
              <w:left w:val="single" w:sz="8" w:color="CCFFCC"/>
            </w:tcBorders>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723</w:t>
            </w:r>
          </w:p>
        </w:tc>
        <w:tc>
          <w:tcPr>
            <w:tcW w:w="0" w:type="dxa"/>
            <w:vAlign w:val="bottom"/>
          </w:tcPr>
          <w:p>
            <w:pPr>
              <w:spacing w:after="0"/>
              <w:rPr>
                <w:sz w:val="1"/>
                <w:szCs w:val="1"/>
                <w:color w:val="auto"/>
              </w:rPr>
            </w:pPr>
          </w:p>
        </w:tc>
      </w:tr>
      <w:tr>
        <w:trPr>
          <w:trHeight w:val="193"/>
        </w:trPr>
        <w:tc>
          <w:tcPr>
            <w:tcW w:w="480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Long-term liabilities</w:t>
            </w:r>
          </w:p>
        </w:tc>
        <w:tc>
          <w:tcPr>
            <w:tcW w:w="80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Accrued severance pay</w:t>
            </w:r>
          </w:p>
        </w:tc>
        <w:tc>
          <w:tcPr>
            <w:tcW w:w="800" w:type="dxa"/>
            <w:vAlign w:val="bottom"/>
            <w:shd w:val="clear" w:color="auto" w:fill="CCFFCC"/>
          </w:tcPr>
          <w:p>
            <w:pPr>
              <w:jc w:val="right"/>
              <w:ind w:right="199"/>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Arial" w:cs="Arial" w:eastAsia="Arial" w:hAnsi="Arial"/>
                <w:sz w:val="17"/>
                <w:szCs w:val="17"/>
                <w:color w:val="auto"/>
              </w:rPr>
              <w:t>Derivative liabilities on account of warrants</w:t>
            </w:r>
          </w:p>
        </w:tc>
        <w:tc>
          <w:tcPr>
            <w:tcW w:w="800" w:type="dxa"/>
            <w:vAlign w:val="bottom"/>
          </w:tcPr>
          <w:p>
            <w:pPr>
              <w:jc w:val="right"/>
              <w:ind w:right="199"/>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1,836</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2,172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long-term liabilities</w:t>
            </w:r>
          </w:p>
        </w:tc>
        <w:tc>
          <w:tcPr>
            <w:tcW w:w="8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1,836</w:t>
            </w:r>
          </w:p>
        </w:tc>
        <w:tc>
          <w:tcPr>
            <w:tcW w:w="1120" w:type="dxa"/>
            <w:vAlign w:val="bottom"/>
            <w:tcBorders>
              <w:left w:val="single" w:sz="8" w:color="CCFFCC"/>
            </w:tcBorders>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2,337</w:t>
            </w:r>
          </w:p>
        </w:tc>
        <w:tc>
          <w:tcPr>
            <w:tcW w:w="0" w:type="dxa"/>
            <w:vAlign w:val="bottom"/>
          </w:tcPr>
          <w:p>
            <w:pPr>
              <w:spacing w:after="0"/>
              <w:rPr>
                <w:sz w:val="1"/>
                <w:szCs w:val="1"/>
                <w:color w:val="auto"/>
              </w:rPr>
            </w:pPr>
          </w:p>
        </w:tc>
      </w:tr>
      <w:tr>
        <w:trPr>
          <w:trHeight w:val="193"/>
        </w:trPr>
        <w:tc>
          <w:tcPr>
            <w:tcW w:w="480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Commitments and contingencies</w:t>
            </w:r>
          </w:p>
        </w:tc>
        <w:tc>
          <w:tcPr>
            <w:tcW w:w="800" w:type="dxa"/>
            <w:vAlign w:val="bottom"/>
            <w:tcBorders>
              <w:top w:val="single" w:sz="8" w:color="CCFFCC"/>
            </w:tcBorders>
          </w:tcPr>
          <w:p>
            <w:pPr>
              <w:jc w:val="right"/>
              <w:ind w:right="199"/>
              <w:spacing w:after="0" w:line="193" w:lineRule="exact"/>
              <w:rPr>
                <w:sz w:val="20"/>
                <w:szCs w:val="20"/>
                <w:color w:val="auto"/>
              </w:rPr>
            </w:pPr>
            <w:r>
              <w:rPr>
                <w:rFonts w:ascii="Arial" w:cs="Arial" w:eastAsia="Arial" w:hAnsi="Arial"/>
                <w:sz w:val="17"/>
                <w:szCs w:val="17"/>
                <w:color w:val="auto"/>
              </w:rPr>
              <w:t>6</w:t>
            </w:r>
          </w:p>
        </w:tc>
        <w:tc>
          <w:tcPr>
            <w:tcW w:w="16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Stockholders’ equity (deficit)</w:t>
            </w:r>
          </w:p>
        </w:tc>
        <w:tc>
          <w:tcPr>
            <w:tcW w:w="800" w:type="dxa"/>
            <w:vAlign w:val="bottom"/>
            <w:shd w:val="clear" w:color="auto" w:fill="CCFFCC"/>
          </w:tcPr>
          <w:p>
            <w:pPr>
              <w:jc w:val="right"/>
              <w:ind w:right="199"/>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800" w:type="dxa"/>
            <w:vAlign w:val="bottom"/>
            <w:gridSpan w:val="2"/>
          </w:tcPr>
          <w:p>
            <w:pPr>
              <w:spacing w:after="0" w:line="188" w:lineRule="exact"/>
              <w:rPr>
                <w:sz w:val="20"/>
                <w:szCs w:val="20"/>
                <w:color w:val="auto"/>
              </w:rPr>
            </w:pPr>
            <w:r>
              <w:rPr>
                <w:rFonts w:ascii="Arial" w:cs="Arial" w:eastAsia="Arial" w:hAnsi="Arial"/>
                <w:sz w:val="17"/>
                <w:szCs w:val="17"/>
                <w:color w:val="auto"/>
                <w:w w:val="97"/>
              </w:rPr>
              <w:t>Preferred stock, $0.01 par value per share; 5,000,000 authorized;</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4800" w:type="dxa"/>
            <w:vAlign w:val="bottom"/>
            <w:gridSpan w:val="2"/>
          </w:tcPr>
          <w:p>
            <w:pPr>
              <w:ind w:left="160"/>
              <w:spacing w:after="0"/>
              <w:rPr>
                <w:sz w:val="20"/>
                <w:szCs w:val="20"/>
                <w:color w:val="auto"/>
              </w:rPr>
            </w:pPr>
            <w:r>
              <w:rPr>
                <w:rFonts w:ascii="Arial" w:cs="Arial" w:eastAsia="Arial" w:hAnsi="Arial"/>
                <w:sz w:val="17"/>
                <w:szCs w:val="17"/>
                <w:color w:val="auto"/>
                <w:w w:val="92"/>
              </w:rPr>
              <w:t>none issued and outstanding as of March 31, 2012 and December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gridSpan w:val="2"/>
          </w:tcPr>
          <w:p>
            <w:pPr>
              <w:ind w:left="160"/>
              <w:spacing w:after="0"/>
              <w:rPr>
                <w:sz w:val="20"/>
                <w:szCs w:val="20"/>
                <w:color w:val="auto"/>
              </w:rPr>
            </w:pPr>
            <w:r>
              <w:rPr>
                <w:rFonts w:ascii="Arial" w:cs="Arial" w:eastAsia="Arial" w:hAnsi="Arial"/>
                <w:sz w:val="17"/>
                <w:szCs w:val="17"/>
                <w:color w:val="auto"/>
              </w:rPr>
              <w:t>31, 2011, respectively</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6"/>
              </w:rPr>
              <w:t>Common stock, $0.01 par value per share 28,000,000 authorized;</w:t>
            </w:r>
          </w:p>
        </w:tc>
        <w:tc>
          <w:tcPr>
            <w:tcW w:w="8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139</w:t>
            </w:r>
          </w:p>
        </w:tc>
        <w:tc>
          <w:tcPr>
            <w:tcW w:w="1120" w:type="dxa"/>
            <w:vAlign w:val="bottom"/>
            <w:tcBorders>
              <w:left w:val="single" w:sz="8" w:color="CCFFCC"/>
            </w:tcBorders>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w w:val="92"/>
              </w:rPr>
              <w:t>13,866,423 and 9,954,516 issued and outstanding as of March 31,</w:t>
            </w: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2012 and December 31, 2011, respectively</w:t>
            </w: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44,072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36,281</w:t>
            </w: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Deficit accumulated during the development stage</w:t>
            </w: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(43,190)</w:t>
            </w:r>
          </w:p>
        </w:tc>
        <w:tc>
          <w:tcPr>
            <w:tcW w:w="11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(37,546)</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390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stockholders’ equity (deficit)</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1,021</w:t>
            </w:r>
          </w:p>
        </w:tc>
        <w:tc>
          <w:tcPr>
            <w:tcW w:w="112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(1,165)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8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liabilities and stockholders’ equity (deficit)</w:t>
            </w:r>
          </w:p>
        </w:tc>
        <w:tc>
          <w:tcPr>
            <w:tcW w:w="8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4,067</w:t>
            </w:r>
          </w:p>
        </w:tc>
        <w:tc>
          <w:tcPr>
            <w:tcW w:w="1120" w:type="dxa"/>
            <w:vAlign w:val="bottom"/>
            <w:tcBorders>
              <w:left w:val="single" w:sz="8" w:color="CCFFCC"/>
            </w:tcBorders>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241"/>
        </w:trPr>
        <w:tc>
          <w:tcPr>
            <w:tcW w:w="900" w:type="dxa"/>
            <w:vAlign w:val="bottom"/>
            <w:tcBorders>
              <w:top w:val="single" w:sz="8" w:color="CCFFCC"/>
              <w:bottom w:val="single" w:sz="8" w:color="auto"/>
            </w:tcBorders>
          </w:tcPr>
          <w:p>
            <w:pPr>
              <w:spacing w:after="0"/>
              <w:rPr>
                <w:sz w:val="20"/>
                <w:szCs w:val="20"/>
                <w:color w:val="auto"/>
              </w:rPr>
            </w:pPr>
          </w:p>
        </w:tc>
        <w:tc>
          <w:tcPr>
            <w:tcW w:w="3900" w:type="dxa"/>
            <w:vAlign w:val="bottom"/>
            <w:tcBorders>
              <w:top w:val="single" w:sz="8" w:color="CCFFCC"/>
            </w:tcBorders>
          </w:tcPr>
          <w:p>
            <w:pPr>
              <w:spacing w:after="0"/>
              <w:rPr>
                <w:sz w:val="20"/>
                <w:szCs w:val="20"/>
                <w:color w:val="auto"/>
              </w:rPr>
            </w:pPr>
          </w:p>
        </w:tc>
        <w:tc>
          <w:tcPr>
            <w:tcW w:w="800" w:type="dxa"/>
            <w:vAlign w:val="bottom"/>
            <w:tcBorders>
              <w:top w:val="single" w:sz="8" w:color="CCFFCC"/>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-2275205</wp:posOffset>
            </wp:positionV>
            <wp:extent cx="4837430" cy="135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-1750060</wp:posOffset>
            </wp:positionV>
            <wp:extent cx="4837430" cy="135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-468630</wp:posOffset>
            </wp:positionV>
            <wp:extent cx="4837430" cy="1435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4837430" cy="317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18" w:lineRule="exact"/>
        <w:rPr>
          <w:sz w:val="20"/>
          <w:szCs w:val="20"/>
          <w:color w:val="auto"/>
        </w:rPr>
      </w:pPr>
    </w:p>
    <w:p>
      <w:pPr>
        <w:ind w:left="1480" w:right="2019" w:hanging="1470"/>
        <w:spacing w:after="0" w:line="985" w:lineRule="auto"/>
        <w:tabs>
          <w:tab w:leader="none" w:pos="2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Amounts recorded as of March 31, 2012 and December 31, 2011 include $12 and $10 to a related party, respectively. The accompanying notes form an integral part of these consolidated financial statements.</w:t>
      </w:r>
    </w:p>
    <w:p>
      <w:pPr>
        <w:ind w:left="42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1" w:name="page222"/>
    <w:bookmarkEnd w:id="2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6"/>
              </w:rPr>
              <w:t>For three month period ended</w:t>
            </w: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4"/>
          </w:tcPr>
          <w:p>
            <w:pPr>
              <w:jc w:val="right"/>
              <w:ind w:right="640"/>
              <w:spacing w:after="0" w:line="138"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from inception to</w:t>
            </w: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12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85"/>
        </w:trPr>
        <w:tc>
          <w:tcPr>
            <w:tcW w:w="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2012</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9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restart"/>
          </w:tcPr>
          <w:p>
            <w:pPr>
              <w:jc w:val="center"/>
              <w:ind w:left="113"/>
              <w:spacing w:after="0" w:line="113"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Note</w:t>
            </w:r>
          </w:p>
        </w:tc>
        <w:tc>
          <w:tcPr>
            <w:tcW w:w="160" w:type="dxa"/>
            <w:vAlign w:val="bottom"/>
          </w:tcPr>
          <w:p>
            <w:pPr>
              <w:spacing w:after="0"/>
              <w:rPr>
                <w:sz w:val="15"/>
                <w:szCs w:val="15"/>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U.S.$</w:t>
            </w:r>
          </w:p>
        </w:tc>
        <w:tc>
          <w:tcPr>
            <w:tcW w:w="200" w:type="dxa"/>
            <w:vAlign w:val="bottom"/>
          </w:tcPr>
          <w:p>
            <w:pPr>
              <w:spacing w:after="0"/>
              <w:rPr>
                <w:sz w:val="15"/>
                <w:szCs w:val="15"/>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39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Revenue</w:t>
            </w:r>
          </w:p>
        </w:tc>
        <w:tc>
          <w:tcPr>
            <w:tcW w:w="4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106</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147</w:t>
            </w:r>
          </w:p>
        </w:tc>
        <w:tc>
          <w:tcPr>
            <w:tcW w:w="12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b w:val="1"/>
                <w:bCs w:val="1"/>
                <w:color w:val="auto"/>
              </w:rPr>
              <w:t>1,055</w:t>
            </w:r>
          </w:p>
        </w:tc>
        <w:tc>
          <w:tcPr>
            <w:tcW w:w="0" w:type="dxa"/>
            <w:vAlign w:val="bottom"/>
          </w:tcPr>
          <w:p>
            <w:pPr>
              <w:spacing w:after="0"/>
              <w:rPr>
                <w:sz w:val="1"/>
                <w:szCs w:val="1"/>
                <w:color w:val="auto"/>
              </w:rPr>
            </w:pPr>
          </w:p>
        </w:tc>
      </w:tr>
      <w:tr>
        <w:trPr>
          <w:trHeight w:val="193"/>
        </w:trPr>
        <w:tc>
          <w:tcPr>
            <w:tcW w:w="392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Costs and Expenses*</w:t>
            </w:r>
          </w:p>
        </w:tc>
        <w:tc>
          <w:tcPr>
            <w:tcW w:w="40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31</w:t>
            </w:r>
          </w:p>
        </w:tc>
        <w:tc>
          <w:tcPr>
            <w:tcW w:w="106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25</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b w:val="1"/>
                <w:bCs w:val="1"/>
                <w:color w:val="auto"/>
              </w:rPr>
              <w:t>397</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512</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519</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13,883</w:t>
            </w: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Marketing</w:t>
            </w:r>
          </w:p>
        </w:tc>
        <w:tc>
          <w:tcPr>
            <w:tcW w:w="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759</w:t>
            </w:r>
          </w:p>
        </w:tc>
        <w:tc>
          <w:tcPr>
            <w:tcW w:w="106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621</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b w:val="1"/>
                <w:bCs w:val="1"/>
                <w:color w:val="auto"/>
              </w:rPr>
              <w:t>11,970</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1,460</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665</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9,729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4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2,762</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1,830</w:t>
            </w:r>
          </w:p>
        </w:tc>
        <w:tc>
          <w:tcPr>
            <w:tcW w:w="12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b w:val="1"/>
                <w:bCs w:val="1"/>
                <w:color w:val="auto"/>
              </w:rPr>
              <w:t>35,979</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30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(2,656)</w:t>
            </w:r>
          </w:p>
        </w:tc>
        <w:tc>
          <w:tcPr>
            <w:tcW w:w="1060" w:type="dxa"/>
            <w:vAlign w:val="bottom"/>
            <w:gridSpan w:val="3"/>
          </w:tcPr>
          <w:p>
            <w:pPr>
              <w:jc w:val="right"/>
              <w:ind w:right="40"/>
              <w:spacing w:after="0" w:line="193" w:lineRule="exact"/>
              <w:rPr>
                <w:sz w:val="20"/>
                <w:szCs w:val="20"/>
                <w:color w:val="auto"/>
              </w:rPr>
            </w:pPr>
            <w:r>
              <w:rPr>
                <w:rFonts w:ascii="Arial" w:cs="Arial" w:eastAsia="Arial" w:hAnsi="Arial"/>
                <w:sz w:val="17"/>
                <w:szCs w:val="17"/>
                <w:color w:val="auto"/>
              </w:rPr>
              <w:t>(1,683)</w:t>
            </w:r>
          </w:p>
        </w:tc>
        <w:tc>
          <w:tcPr>
            <w:tcW w:w="1260" w:type="dxa"/>
            <w:vAlign w:val="bottom"/>
            <w:gridSpan w:val="3"/>
          </w:tcPr>
          <w:p>
            <w:pPr>
              <w:jc w:val="right"/>
              <w:ind w:right="160"/>
              <w:spacing w:after="0" w:line="193" w:lineRule="exact"/>
              <w:rPr>
                <w:sz w:val="20"/>
                <w:szCs w:val="20"/>
                <w:color w:val="auto"/>
              </w:rPr>
            </w:pPr>
            <w:r>
              <w:rPr>
                <w:rFonts w:ascii="Arial" w:cs="Arial" w:eastAsia="Arial" w:hAnsi="Arial"/>
                <w:sz w:val="17"/>
                <w:szCs w:val="17"/>
                <w:b w:val="1"/>
                <w:bCs w:val="1"/>
                <w:color w:val="auto"/>
              </w:rPr>
              <w:t>(34,924)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Non-operating income</w:t>
            </w:r>
          </w:p>
        </w:tc>
        <w:tc>
          <w:tcPr>
            <w:tcW w:w="4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13</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4</w:t>
            </w:r>
          </w:p>
        </w:tc>
        <w:tc>
          <w:tcPr>
            <w:tcW w:w="12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Non-operating expenses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c>
          <w:tcPr>
            <w:tcW w:w="1260" w:type="dxa"/>
            <w:vAlign w:val="bottom"/>
            <w:gridSpan w:val="3"/>
          </w:tcPr>
          <w:p>
            <w:pPr>
              <w:jc w:val="right"/>
              <w:ind w:right="100"/>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Interest and amortization of debt discount expense</w:t>
            </w:r>
          </w:p>
        </w:tc>
        <w:tc>
          <w:tcPr>
            <w:tcW w:w="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(110)</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(6,657)</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Gain (loss) on revaluation of warrants</w:t>
            </w:r>
          </w:p>
        </w:tc>
        <w:tc>
          <w:tcPr>
            <w:tcW w:w="400" w:type="dxa"/>
            <w:vAlign w:val="bottom"/>
          </w:tcPr>
          <w:p>
            <w:pPr>
              <w:jc w:val="right"/>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(411)</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708</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preferential reload warrants</w:t>
            </w:r>
          </w:p>
        </w:tc>
        <w:tc>
          <w:tcPr>
            <w:tcW w:w="4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(1,476)</w:t>
            </w:r>
          </w:p>
        </w:tc>
        <w:tc>
          <w:tcPr>
            <w:tcW w:w="200" w:type="dxa"/>
            <w:vAlign w:val="bottom"/>
            <w:tcBorders>
              <w:left w:val="single" w:sz="8" w:color="CCFFCC"/>
            </w:tcBorders>
            <w:shd w:val="clear" w:color="auto" w:fill="CCFFCC"/>
          </w:tcPr>
          <w:p>
            <w:pPr>
              <w:spacing w:after="0"/>
              <w:rPr>
                <w:sz w:val="17"/>
                <w:szCs w:val="17"/>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(1,476)</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Issuance of non-preferential reload warrants</w:t>
            </w:r>
          </w:p>
        </w:tc>
        <w:tc>
          <w:tcPr>
            <w:tcW w:w="40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(1,091)</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Gain on restructuring of venture loan</w:t>
            </w:r>
          </w:p>
        </w:tc>
        <w:tc>
          <w:tcPr>
            <w:tcW w:w="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left w:val="single" w:sz="8" w:color="CCFFCC"/>
            </w:tcBorders>
            <w:shd w:val="clear" w:color="auto" w:fill="CCFFCC"/>
          </w:tcPr>
          <w:p>
            <w:pPr>
              <w:spacing w:after="0"/>
              <w:rPr>
                <w:sz w:val="17"/>
                <w:szCs w:val="17"/>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Loss on extinguishment of debt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Loss before taxes on income</w:t>
            </w:r>
          </w:p>
        </w:tc>
        <w:tc>
          <w:tcPr>
            <w:tcW w:w="4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(5,624)</w:t>
            </w:r>
          </w:p>
        </w:tc>
        <w:tc>
          <w:tcPr>
            <w:tcW w:w="1060" w:type="dxa"/>
            <w:vAlign w:val="bottom"/>
            <w:tcBorders>
              <w:left w:val="single" w:sz="8" w:color="CCFFCC"/>
            </w:tcBorders>
            <w:gridSpan w:val="3"/>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(1,091)</w:t>
            </w:r>
          </w:p>
        </w:tc>
        <w:tc>
          <w:tcPr>
            <w:tcW w:w="1260" w:type="dxa"/>
            <w:vAlign w:val="bottom"/>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(43,051)</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30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gridSpan w:val="2"/>
          </w:tcPr>
          <w:p>
            <w:pPr>
              <w:spacing w:after="0" w:line="193" w:lineRule="exact"/>
              <w:rPr>
                <w:sz w:val="20"/>
                <w:szCs w:val="20"/>
                <w:color w:val="auto"/>
              </w:rPr>
            </w:pPr>
            <w:r>
              <w:rPr>
                <w:rFonts w:ascii="Arial" w:cs="Arial" w:eastAsia="Arial" w:hAnsi="Arial"/>
                <w:sz w:val="17"/>
                <w:szCs w:val="17"/>
                <w:color w:val="auto"/>
              </w:rPr>
              <w:t>Income tax expense</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1060" w:type="dxa"/>
            <w:vAlign w:val="bottom"/>
            <w:gridSpan w:val="3"/>
          </w:tcPr>
          <w:p>
            <w:pPr>
              <w:jc w:val="right"/>
              <w:ind w:right="40"/>
              <w:spacing w:after="0" w:line="193" w:lineRule="exact"/>
              <w:rPr>
                <w:sz w:val="20"/>
                <w:szCs w:val="20"/>
                <w:color w:val="auto"/>
              </w:rPr>
            </w:pPr>
            <w:r>
              <w:rPr>
                <w:rFonts w:ascii="Arial" w:cs="Arial" w:eastAsia="Arial" w:hAnsi="Arial"/>
                <w:sz w:val="17"/>
                <w:szCs w:val="17"/>
                <w:color w:val="auto"/>
              </w:rPr>
              <w:t>(18)</w:t>
            </w:r>
          </w:p>
        </w:tc>
        <w:tc>
          <w:tcPr>
            <w:tcW w:w="126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4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(5,644)</w:t>
            </w:r>
          </w:p>
        </w:tc>
        <w:tc>
          <w:tcPr>
            <w:tcW w:w="1060" w:type="dxa"/>
            <w:vAlign w:val="bottom"/>
            <w:tcBorders>
              <w:left w:val="single" w:sz="8" w:color="CCFFCC"/>
            </w:tcBorders>
            <w:gridSpan w:val="3"/>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(1,109)</w:t>
            </w:r>
          </w:p>
        </w:tc>
        <w:tc>
          <w:tcPr>
            <w:tcW w:w="1260" w:type="dxa"/>
            <w:vAlign w:val="bottom"/>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(43,190)</w:t>
            </w:r>
          </w:p>
        </w:tc>
        <w:tc>
          <w:tcPr>
            <w:tcW w:w="0" w:type="dxa"/>
            <w:vAlign w:val="bottom"/>
          </w:tcPr>
          <w:p>
            <w:pPr>
              <w:spacing w:after="0"/>
              <w:rPr>
                <w:sz w:val="1"/>
                <w:szCs w:val="1"/>
                <w:color w:val="auto"/>
              </w:rPr>
            </w:pPr>
          </w:p>
        </w:tc>
      </w:tr>
      <w:tr>
        <w:trPr>
          <w:trHeight w:val="20"/>
        </w:trPr>
        <w:tc>
          <w:tcPr>
            <w:tcW w:w="900" w:type="dxa"/>
            <w:vAlign w:val="bottom"/>
            <w:tcBorders>
              <w:top w:val="single" w:sz="8" w:color="CCFFCC"/>
            </w:tcBorders>
            <w:shd w:val="clear" w:color="auto" w:fill="CCFFCC"/>
          </w:tcPr>
          <w:p>
            <w:pPr>
              <w:spacing w:after="0" w:line="20" w:lineRule="exact"/>
              <w:rPr>
                <w:sz w:val="1"/>
                <w:szCs w:val="1"/>
                <w:color w:val="auto"/>
              </w:rPr>
            </w:pPr>
          </w:p>
        </w:tc>
        <w:tc>
          <w:tcPr>
            <w:tcW w:w="30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20" w:type="dxa"/>
            <w:vAlign w:val="bottom"/>
            <w:gridSpan w:val="2"/>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(0.46)</w:t>
            </w:r>
          </w:p>
        </w:tc>
        <w:tc>
          <w:tcPr>
            <w:tcW w:w="1060" w:type="dxa"/>
            <w:vAlign w:val="bottom"/>
            <w:gridSpan w:val="3"/>
          </w:tcPr>
          <w:p>
            <w:pPr>
              <w:jc w:val="right"/>
              <w:ind w:right="40"/>
              <w:spacing w:after="0" w:line="191" w:lineRule="exact"/>
              <w:rPr>
                <w:sz w:val="20"/>
                <w:szCs w:val="20"/>
                <w:color w:val="auto"/>
              </w:rPr>
            </w:pPr>
            <w:r>
              <w:rPr>
                <w:rFonts w:ascii="Arial" w:cs="Arial" w:eastAsia="Arial" w:hAnsi="Arial"/>
                <w:sz w:val="17"/>
                <w:szCs w:val="17"/>
                <w:color w:val="auto"/>
              </w:rPr>
              <w:t>(0.19)</w:t>
            </w:r>
          </w:p>
        </w:tc>
        <w:tc>
          <w:tcPr>
            <w:tcW w:w="1260" w:type="dxa"/>
            <w:vAlign w:val="bottom"/>
            <w:gridSpan w:val="3"/>
          </w:tcPr>
          <w:p>
            <w:pPr>
              <w:jc w:val="right"/>
              <w:ind w:right="100"/>
              <w:spacing w:after="0" w:line="191" w:lineRule="exact"/>
              <w:rPr>
                <w:sz w:val="20"/>
                <w:szCs w:val="20"/>
                <w:color w:val="auto"/>
              </w:rPr>
            </w:pPr>
            <w:r>
              <w:rPr>
                <w:rFonts w:ascii="Arial" w:cs="Arial" w:eastAsia="Arial" w:hAnsi="Arial"/>
                <w:sz w:val="17"/>
                <w:szCs w:val="17"/>
                <w:color w:val="auto"/>
              </w:rPr>
              <w:t>(19.00)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20" w:type="dxa"/>
            <w:vAlign w:val="bottom"/>
            <w:gridSpan w:val="2"/>
            <w:shd w:val="clear" w:color="auto" w:fill="CCFFCC"/>
          </w:tcPr>
          <w:p>
            <w:pPr>
              <w:spacing w:after="0" w:line="178" w:lineRule="exact"/>
              <w:rPr>
                <w:sz w:val="20"/>
                <w:szCs w:val="20"/>
                <w:color w:val="auto"/>
              </w:rPr>
            </w:pPr>
            <w:r>
              <w:rPr>
                <w:rFonts w:ascii="Arial" w:cs="Arial" w:eastAsia="Arial" w:hAnsi="Arial"/>
                <w:sz w:val="17"/>
                <w:szCs w:val="17"/>
                <w:color w:val="auto"/>
                <w:w w:val="93"/>
              </w:rPr>
              <w:t>Weighted average number of shares used in computing</w:t>
            </w:r>
          </w:p>
        </w:tc>
        <w:tc>
          <w:tcPr>
            <w:tcW w:w="4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w w:val="96"/>
              </w:rPr>
              <w:t>12,371,472</w:t>
            </w:r>
          </w:p>
        </w:tc>
        <w:tc>
          <w:tcPr>
            <w:tcW w:w="1060" w:type="dxa"/>
            <w:vAlign w:val="bottom"/>
            <w:tcBorders>
              <w:left w:val="single" w:sz="8" w:color="CCFFCC"/>
            </w:tcBorders>
            <w:gridSpan w:val="3"/>
            <w:shd w:val="clear" w:color="auto" w:fill="CCFFCC"/>
          </w:tcPr>
          <w:p>
            <w:pPr>
              <w:jc w:val="right"/>
              <w:ind w:right="100"/>
              <w:spacing w:after="0" w:line="178" w:lineRule="exact"/>
              <w:rPr>
                <w:sz w:val="20"/>
                <w:szCs w:val="20"/>
                <w:color w:val="auto"/>
              </w:rPr>
            </w:pPr>
            <w:r>
              <w:rPr>
                <w:rFonts w:ascii="Arial" w:cs="Arial" w:eastAsia="Arial" w:hAnsi="Arial"/>
                <w:sz w:val="17"/>
                <w:szCs w:val="17"/>
                <w:color w:val="auto"/>
              </w:rPr>
              <w:t>5,724,253</w:t>
            </w:r>
          </w:p>
        </w:tc>
        <w:tc>
          <w:tcPr>
            <w:tcW w:w="1260" w:type="dxa"/>
            <w:vAlign w:val="bottom"/>
            <w:gridSpan w:val="3"/>
            <w:shd w:val="clear" w:color="auto" w:fill="CCFFCC"/>
          </w:tcPr>
          <w:p>
            <w:pPr>
              <w:jc w:val="right"/>
              <w:ind w:right="160"/>
              <w:spacing w:after="0" w:line="178" w:lineRule="exact"/>
              <w:rPr>
                <w:sz w:val="20"/>
                <w:szCs w:val="20"/>
                <w:color w:val="auto"/>
              </w:rPr>
            </w:pPr>
            <w:r>
              <w:rPr>
                <w:rFonts w:ascii="Arial" w:cs="Arial" w:eastAsia="Arial" w:hAnsi="Arial"/>
                <w:sz w:val="17"/>
                <w:szCs w:val="17"/>
                <w:color w:val="auto"/>
              </w:rPr>
              <w:t>2,272,707</w:t>
            </w:r>
          </w:p>
        </w:tc>
        <w:tc>
          <w:tcPr>
            <w:tcW w:w="0" w:type="dxa"/>
            <w:vAlign w:val="bottom"/>
          </w:tcPr>
          <w:p>
            <w:pPr>
              <w:spacing w:after="0"/>
              <w:rPr>
                <w:sz w:val="1"/>
                <w:szCs w:val="1"/>
                <w:color w:val="auto"/>
              </w:rPr>
            </w:pPr>
          </w:p>
        </w:tc>
      </w:tr>
      <w:tr>
        <w:trPr>
          <w:trHeight w:val="253"/>
        </w:trPr>
        <w:tc>
          <w:tcPr>
            <w:tcW w:w="392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basic and dilutive net loss per common share</w:t>
            </w:r>
          </w:p>
        </w:tc>
        <w:tc>
          <w:tcPr>
            <w:tcW w:w="4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spacing w:after="0"/>
              <w:rPr>
                <w:sz w:val="21"/>
                <w:szCs w:val="21"/>
                <w:color w:val="auto"/>
              </w:rPr>
            </w:pPr>
          </w:p>
        </w:tc>
        <w:tc>
          <w:tcPr>
            <w:tcW w:w="200" w:type="dxa"/>
            <w:vAlign w:val="bottom"/>
            <w:tcBorders>
              <w:left w:val="single" w:sz="8" w:color="CCFFCC"/>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900" w:type="dxa"/>
            <w:vAlign w:val="bottom"/>
            <w:tcBorders>
              <w:bottom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-3253740</wp:posOffset>
            </wp:positionV>
            <wp:extent cx="7004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-2990850</wp:posOffset>
            </wp:positionV>
            <wp:extent cx="4837430" cy="135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-2211070</wp:posOffset>
            </wp:positionV>
            <wp:extent cx="4837430" cy="1435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-914400</wp:posOffset>
            </wp:positionV>
            <wp:extent cx="4837430" cy="1435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-643890</wp:posOffset>
            </wp:positionV>
            <wp:extent cx="4837430" cy="1911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837430" cy="1911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4837430" cy="317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18" w:lineRule="exact"/>
        <w:rPr>
          <w:sz w:val="20"/>
          <w:szCs w:val="20"/>
          <w:color w:val="auto"/>
        </w:rPr>
      </w:pPr>
    </w:p>
    <w:p>
      <w:pPr>
        <w:ind w:left="260" w:right="1239" w:hanging="250"/>
        <w:spacing w:after="0" w:line="267" w:lineRule="auto"/>
        <w:tabs>
          <w:tab w:leader="none" w:pos="2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amount recorded for the three month period ended March 31, 2012 and 2011 and the cumulative period from inception include $20, $131 and $1,123, respectively, to related parties.</w:t>
      </w:r>
    </w:p>
    <w:p>
      <w:pPr>
        <w:spacing w:after="0" w:line="200" w:lineRule="exact"/>
        <w:rPr>
          <w:sz w:val="20"/>
          <w:szCs w:val="20"/>
          <w:color w:val="auto"/>
        </w:rPr>
      </w:pP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accompanying notes form an integral part of these consolidated financial statements.</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2" w:name="page223"/>
    <w:bookmarkEnd w:id="2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STATEMENT OF CHANGES IN STOCKHOLDERS’ EQUITY (DEFICIT)</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Series A</w:t>
            </w: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convertible</w:t>
            </w:r>
          </w:p>
        </w:tc>
        <w:tc>
          <w:tcPr>
            <w:tcW w:w="14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paid-in</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4"/>
              </w:rPr>
              <w:t>preferred</w:t>
            </w:r>
          </w:p>
        </w:tc>
        <w:tc>
          <w:tcPr>
            <w:tcW w:w="14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during the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88"/>
              </w:rPr>
              <w:t>stock</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development</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2"/>
              </w:rPr>
              <w:t>stage</w:t>
            </w:r>
          </w:p>
        </w:tc>
        <w:tc>
          <w:tcPr>
            <w:tcW w:w="1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Balance as of January 9, 2006</w:t>
            </w: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U.S.$</w:t>
            </w:r>
          </w:p>
        </w:tc>
        <w:tc>
          <w:tcPr>
            <w:tcW w:w="140" w:type="dxa"/>
            <w:vAlign w:val="bottom"/>
          </w:tcPr>
          <w:p>
            <w:pPr>
              <w:spacing w:after="0"/>
              <w:rPr>
                <w:sz w:val="15"/>
                <w:szCs w:val="15"/>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77"/>
        </w:trPr>
        <w:tc>
          <w:tcPr>
            <w:tcW w:w="2900" w:type="dxa"/>
            <w:vAlign w:val="bottom"/>
            <w:gridSpan w:val="2"/>
            <w:vMerge w:val="continue"/>
          </w:tcPr>
          <w:p>
            <w:pPr>
              <w:spacing w:after="0"/>
              <w:rPr>
                <w:sz w:val="15"/>
                <w:szCs w:val="15"/>
                <w:color w:val="auto"/>
              </w:rPr>
            </w:pP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900" w:type="dxa"/>
            <w:vAlign w:val="bottom"/>
            <w:gridSpan w:val="2"/>
          </w:tcPr>
          <w:p>
            <w:pPr>
              <w:ind w:left="160"/>
              <w:spacing w:after="0"/>
              <w:rPr>
                <w:sz w:val="20"/>
                <w:szCs w:val="20"/>
                <w:color w:val="auto"/>
              </w:rPr>
            </w:pPr>
            <w:r>
              <w:rPr>
                <w:rFonts w:ascii="Arial" w:cs="Arial" w:eastAsia="Arial" w:hAnsi="Arial"/>
                <w:sz w:val="17"/>
                <w:szCs w:val="17"/>
                <w:b w:val="1"/>
                <w:bCs w:val="1"/>
                <w:color w:val="auto"/>
              </w:rPr>
              <w:t>(inception)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common stock</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Issuance of series A convertible</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2,321</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00"/>
        </w:trPr>
        <w:tc>
          <w:tcPr>
            <w:tcW w:w="2900" w:type="dxa"/>
            <w:vAlign w:val="bottom"/>
            <w:gridSpan w:val="2"/>
          </w:tcPr>
          <w:p>
            <w:pPr>
              <w:ind w:left="160"/>
              <w:spacing w:after="0"/>
              <w:rPr>
                <w:sz w:val="20"/>
                <w:szCs w:val="20"/>
                <w:color w:val="auto"/>
              </w:rPr>
            </w:pPr>
            <w:r>
              <w:rPr>
                <w:rFonts w:ascii="Arial" w:cs="Arial" w:eastAsia="Arial" w:hAnsi="Arial"/>
                <w:sz w:val="17"/>
                <w:szCs w:val="17"/>
                <w:color w:val="auto"/>
                <w:w w:val="96"/>
              </w:rPr>
              <w:t>preferred stock, net of issuance costs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of $33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Stock dividend</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20</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24</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00" w:type="dxa"/>
            <w:vAlign w:val="bottom"/>
            <w:gridSpan w:val="2"/>
          </w:tcPr>
          <w:p>
            <w:pPr>
              <w:spacing w:after="0"/>
              <w:rPr>
                <w:sz w:val="20"/>
                <w:szCs w:val="20"/>
                <w:color w:val="auto"/>
              </w:rPr>
            </w:pPr>
            <w:r>
              <w:rPr>
                <w:rFonts w:ascii="Arial" w:cs="Arial" w:eastAsia="Arial" w:hAnsi="Arial"/>
                <w:sz w:val="17"/>
                <w:szCs w:val="17"/>
                <w:color w:val="auto"/>
              </w:rPr>
              <w:t>Net loss for the period</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(1,481)</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00" w:type="dxa"/>
            <w:vAlign w:val="bottom"/>
            <w:gridSpan w:val="2"/>
            <w:shd w:val="clear" w:color="auto" w:fill="CCFFCC"/>
          </w:tcPr>
          <w:p>
            <w:pPr>
              <w:spacing w:after="0" w:line="176" w:lineRule="exact"/>
              <w:rPr>
                <w:sz w:val="20"/>
                <w:szCs w:val="20"/>
                <w:color w:val="auto"/>
              </w:rPr>
            </w:pPr>
            <w:r>
              <w:rPr>
                <w:rFonts w:ascii="Arial" w:cs="Arial" w:eastAsia="Arial" w:hAnsi="Arial"/>
                <w:sz w:val="17"/>
                <w:szCs w:val="17"/>
                <w:b w:val="1"/>
                <w:bCs w:val="1"/>
                <w:color w:val="auto"/>
              </w:rPr>
              <w:t>Balance as of December 31, 2006</w:t>
            </w:r>
          </w:p>
        </w:tc>
        <w:tc>
          <w:tcPr>
            <w:tcW w:w="800" w:type="dxa"/>
            <w:vAlign w:val="bottom"/>
            <w:gridSpan w:val="2"/>
            <w:shd w:val="clear" w:color="auto" w:fill="CCFFCC"/>
          </w:tcPr>
          <w:p>
            <w:pPr>
              <w:jc w:val="right"/>
              <w:ind w:right="120"/>
              <w:spacing w:after="0" w:line="176" w:lineRule="exact"/>
              <w:rPr>
                <w:sz w:val="20"/>
                <w:szCs w:val="20"/>
                <w:color w:val="auto"/>
              </w:rPr>
            </w:pPr>
            <w:r>
              <w:rPr>
                <w:rFonts w:ascii="Arial" w:cs="Arial" w:eastAsia="Arial" w:hAnsi="Arial"/>
                <w:sz w:val="17"/>
                <w:szCs w:val="17"/>
                <w:color w:val="auto"/>
              </w:rPr>
              <w:t>20</w:t>
            </w:r>
          </w:p>
        </w:tc>
        <w:tc>
          <w:tcPr>
            <w:tcW w:w="960" w:type="dxa"/>
            <w:vAlign w:val="bottom"/>
            <w:gridSpan w:val="3"/>
            <w:shd w:val="clear" w:color="auto" w:fill="CCFFCC"/>
          </w:tcPr>
          <w:p>
            <w:pPr>
              <w:jc w:val="right"/>
              <w:ind w:right="120"/>
              <w:spacing w:after="0" w:line="176" w:lineRule="exact"/>
              <w:rPr>
                <w:sz w:val="20"/>
                <w:szCs w:val="20"/>
                <w:color w:val="auto"/>
              </w:rPr>
            </w:pPr>
            <w:r>
              <w:rPr>
                <w:rFonts w:ascii="Arial" w:cs="Arial" w:eastAsia="Arial" w:hAnsi="Arial"/>
                <w:sz w:val="17"/>
                <w:szCs w:val="17"/>
                <w:color w:val="auto"/>
              </w:rPr>
              <w:t>24</w:t>
            </w:r>
          </w:p>
        </w:tc>
        <w:tc>
          <w:tcPr>
            <w:tcW w:w="940" w:type="dxa"/>
            <w:vAlign w:val="bottom"/>
            <w:gridSpan w:val="3"/>
            <w:shd w:val="clear" w:color="auto" w:fill="CCFFCC"/>
          </w:tcPr>
          <w:p>
            <w:pPr>
              <w:jc w:val="right"/>
              <w:ind w:right="160"/>
              <w:spacing w:after="0" w:line="176" w:lineRule="exact"/>
              <w:rPr>
                <w:sz w:val="20"/>
                <w:szCs w:val="20"/>
                <w:color w:val="auto"/>
              </w:rPr>
            </w:pPr>
            <w:r>
              <w:rPr>
                <w:rFonts w:ascii="Arial" w:cs="Arial" w:eastAsia="Arial" w:hAnsi="Arial"/>
                <w:sz w:val="17"/>
                <w:szCs w:val="17"/>
                <w:color w:val="auto"/>
              </w:rPr>
              <w:t>2,288</w:t>
            </w:r>
          </w:p>
        </w:tc>
        <w:tc>
          <w:tcPr>
            <w:tcW w:w="96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7"/>
                <w:szCs w:val="17"/>
                <w:color w:val="auto"/>
              </w:rPr>
              <w:t>(1,481)</w:t>
            </w:r>
          </w:p>
        </w:tc>
        <w:tc>
          <w:tcPr>
            <w:tcW w:w="1060" w:type="dxa"/>
            <w:vAlign w:val="bottom"/>
            <w:gridSpan w:val="3"/>
            <w:shd w:val="clear" w:color="auto" w:fill="CCFFCC"/>
          </w:tcPr>
          <w:p>
            <w:pPr>
              <w:jc w:val="right"/>
              <w:ind w:right="160"/>
              <w:spacing w:after="0" w:line="176" w:lineRule="exact"/>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b w:val="1"/>
                <w:bCs w:val="1"/>
                <w:color w:val="auto"/>
              </w:rPr>
              <w:t>(Audited)</w:t>
            </w:r>
          </w:p>
        </w:tc>
        <w:tc>
          <w:tcPr>
            <w:tcW w:w="6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00" w:type="dxa"/>
            <w:vAlign w:val="bottom"/>
            <w:gridSpan w:val="2"/>
          </w:tcPr>
          <w:p>
            <w:pPr>
              <w:spacing w:after="0" w:line="180" w:lineRule="exact"/>
              <w:rPr>
                <w:sz w:val="20"/>
                <w:szCs w:val="20"/>
                <w:color w:val="auto"/>
              </w:rPr>
            </w:pPr>
            <w:r>
              <w:rPr>
                <w:rFonts w:ascii="Arial" w:cs="Arial" w:eastAsia="Arial" w:hAnsi="Arial"/>
                <w:sz w:val="17"/>
                <w:szCs w:val="17"/>
                <w:color w:val="auto"/>
              </w:rPr>
              <w:t>Issuance of common stock as part of</w:t>
            </w:r>
          </w:p>
        </w:tc>
        <w:tc>
          <w:tcPr>
            <w:tcW w:w="80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2</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0" w:lineRule="exact"/>
              <w:rPr>
                <w:sz w:val="20"/>
                <w:szCs w:val="20"/>
                <w:color w:val="auto"/>
              </w:rPr>
            </w:pPr>
            <w:r>
              <w:rPr>
                <w:rFonts w:ascii="Arial" w:cs="Arial" w:eastAsia="Arial" w:hAnsi="Arial"/>
                <w:sz w:val="17"/>
                <w:szCs w:val="17"/>
                <w:color w:val="auto"/>
              </w:rPr>
              <w:t>138</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line="180"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0" w:lineRule="exact"/>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conversion of convertible loan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Discounts to temporary equity</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w w:val="99"/>
              </w:rPr>
              <w:t>Amortization of discounts to temporary</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(4)</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98</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15</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for the year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(5,163)</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(5,163)</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0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Balance as of December 31, 2007</w:t>
            </w: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22</w:t>
            </w:r>
          </w:p>
        </w:tc>
        <w:tc>
          <w:tcPr>
            <w:tcW w:w="960" w:type="dxa"/>
            <w:vAlign w:val="bottom"/>
            <w:gridSpan w:val="3"/>
          </w:tcPr>
          <w:p>
            <w:pPr>
              <w:jc w:val="right"/>
              <w:ind w:right="120"/>
              <w:spacing w:after="0" w:line="176" w:lineRule="exact"/>
              <w:rPr>
                <w:sz w:val="20"/>
                <w:szCs w:val="20"/>
                <w:color w:val="auto"/>
              </w:rPr>
            </w:pPr>
            <w:r>
              <w:rPr>
                <w:rFonts w:ascii="Arial" w:cs="Arial" w:eastAsia="Arial" w:hAnsi="Arial"/>
                <w:sz w:val="17"/>
                <w:szCs w:val="17"/>
                <w:color w:val="auto"/>
              </w:rPr>
              <w:t>24</w:t>
            </w:r>
          </w:p>
        </w:tc>
        <w:tc>
          <w:tcPr>
            <w:tcW w:w="940" w:type="dxa"/>
            <w:vAlign w:val="bottom"/>
            <w:gridSpan w:val="3"/>
          </w:tcPr>
          <w:p>
            <w:pPr>
              <w:jc w:val="right"/>
              <w:ind w:right="160"/>
              <w:spacing w:after="0" w:line="176" w:lineRule="exact"/>
              <w:rPr>
                <w:sz w:val="20"/>
                <w:szCs w:val="20"/>
                <w:color w:val="auto"/>
              </w:rPr>
            </w:pPr>
            <w:r>
              <w:rPr>
                <w:rFonts w:ascii="Arial" w:cs="Arial" w:eastAsia="Arial" w:hAnsi="Arial"/>
                <w:sz w:val="17"/>
                <w:szCs w:val="17"/>
                <w:color w:val="auto"/>
              </w:rPr>
              <w:t>2,578</w:t>
            </w:r>
          </w:p>
        </w:tc>
        <w:tc>
          <w:tcPr>
            <w:tcW w:w="96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(6,644)</w:t>
            </w:r>
          </w:p>
        </w:tc>
        <w:tc>
          <w:tcPr>
            <w:tcW w:w="1060" w:type="dxa"/>
            <w:vAlign w:val="bottom"/>
            <w:gridSpan w:val="3"/>
          </w:tcPr>
          <w:p>
            <w:pPr>
              <w:jc w:val="right"/>
              <w:ind w:right="120"/>
              <w:spacing w:after="0" w:line="176" w:lineRule="exact"/>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7"/>
        </w:trPr>
        <w:tc>
          <w:tcPr>
            <w:tcW w:w="2900" w:type="dxa"/>
            <w:vAlign w:val="bottom"/>
            <w:gridSpan w:val="2"/>
          </w:tcPr>
          <w:p>
            <w:pPr>
              <w:ind w:left="160"/>
              <w:spacing w:after="0"/>
              <w:rPr>
                <w:sz w:val="20"/>
                <w:szCs w:val="20"/>
                <w:color w:val="auto"/>
              </w:rPr>
            </w:pPr>
            <w:r>
              <w:rPr>
                <w:rFonts w:ascii="Arial" w:cs="Arial" w:eastAsia="Arial" w:hAnsi="Arial"/>
                <w:sz w:val="17"/>
                <w:szCs w:val="17"/>
                <w:b w:val="1"/>
                <w:bCs w:val="1"/>
                <w:color w:val="auto"/>
              </w:rPr>
              <w:t>(Audited)</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0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color w:val="auto"/>
              </w:rPr>
              <w:t>Issuance of warrants</w:t>
            </w:r>
          </w:p>
        </w:tc>
        <w:tc>
          <w:tcPr>
            <w:tcW w:w="80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94" w:lineRule="exact"/>
              <w:rPr>
                <w:sz w:val="20"/>
                <w:szCs w:val="20"/>
                <w:color w:val="auto"/>
              </w:rPr>
            </w:pPr>
            <w:r>
              <w:rPr>
                <w:rFonts w:ascii="Arial" w:cs="Arial" w:eastAsia="Arial" w:hAnsi="Arial"/>
                <w:sz w:val="17"/>
                <w:szCs w:val="17"/>
                <w:color w:val="auto"/>
              </w:rPr>
              <w:t>360</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94"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w w:val="99"/>
              </w:rPr>
              <w:t>Amortization of discounts to temporary</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18</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for the year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(7,332)</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(7,332)</w:t>
            </w:r>
          </w:p>
        </w:tc>
        <w:tc>
          <w:tcPr>
            <w:tcW w:w="0" w:type="dxa"/>
            <w:vAlign w:val="bottom"/>
          </w:tcPr>
          <w:p>
            <w:pPr>
              <w:spacing w:after="0"/>
              <w:rPr>
                <w:sz w:val="1"/>
                <w:szCs w:val="1"/>
                <w:color w:val="auto"/>
              </w:rPr>
            </w:pPr>
          </w:p>
        </w:tc>
      </w:tr>
      <w:tr>
        <w:trPr>
          <w:trHeight w:val="243"/>
        </w:trPr>
        <w:tc>
          <w:tcPr>
            <w:tcW w:w="900" w:type="dxa"/>
            <w:vAlign w:val="bottom"/>
            <w:tcBorders>
              <w:top w:val="single" w:sz="8" w:color="CCFFCC"/>
              <w:bottom w:val="single" w:sz="8" w:color="auto"/>
            </w:tcBorders>
          </w:tcPr>
          <w:p>
            <w:pPr>
              <w:spacing w:after="0"/>
              <w:rPr>
                <w:sz w:val="21"/>
                <w:szCs w:val="21"/>
                <w:color w:val="auto"/>
              </w:rPr>
            </w:pPr>
          </w:p>
        </w:tc>
        <w:tc>
          <w:tcPr>
            <w:tcW w:w="2000" w:type="dxa"/>
            <w:vAlign w:val="bottom"/>
            <w:tcBorders>
              <w:top w:val="single" w:sz="8" w:color="CCFFCC"/>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-2744470</wp:posOffset>
            </wp:positionV>
            <wp:extent cx="4837430" cy="262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837430" cy="262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-1463675</wp:posOffset>
            </wp:positionV>
            <wp:extent cx="4837430" cy="2705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837430" cy="270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-174625</wp:posOffset>
            </wp:positionV>
            <wp:extent cx="483743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Consideration for less than $1.</w:t>
      </w:r>
    </w:p>
    <w:p>
      <w:pPr>
        <w:spacing w:after="0" w:line="200" w:lineRule="exact"/>
        <w:rPr>
          <w:sz w:val="20"/>
          <w:szCs w:val="20"/>
          <w:color w:val="auto"/>
        </w:rPr>
      </w:pP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3" w:name="page224"/>
    <w:bookmarkEnd w:id="2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9"/>
          </w:tcPr>
          <w:p>
            <w:pPr>
              <w:jc w:val="center"/>
              <w:ind w:right="260"/>
              <w:spacing w:after="0"/>
              <w:rPr>
                <w:sz w:val="20"/>
                <w:szCs w:val="20"/>
                <w:color w:val="auto"/>
              </w:rPr>
            </w:pPr>
            <w:r>
              <w:rPr>
                <w:rFonts w:ascii="Arial" w:cs="Arial" w:eastAsia="Arial" w:hAnsi="Arial"/>
                <w:sz w:val="17"/>
                <w:szCs w:val="17"/>
                <w:b w:val="1"/>
                <w:bCs w:val="1"/>
                <w:color w:val="auto"/>
                <w:w w:val="90"/>
              </w:rPr>
              <w:t>Vringo, Inc. and Subsidiary</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10"/>
          </w:tcPr>
          <w:p>
            <w:pPr>
              <w:jc w:val="center"/>
              <w:ind w:right="120"/>
              <w:spacing w:after="0"/>
              <w:rPr>
                <w:sz w:val="20"/>
                <w:szCs w:val="20"/>
                <w:color w:val="auto"/>
              </w:rPr>
            </w:pPr>
            <w:r>
              <w:rPr>
                <w:rFonts w:ascii="Arial" w:cs="Arial" w:eastAsia="Arial" w:hAnsi="Arial"/>
                <w:sz w:val="17"/>
                <w:szCs w:val="17"/>
                <w:b w:val="1"/>
                <w:bCs w:val="1"/>
                <w:color w:val="auto"/>
                <w:w w:val="88"/>
              </w:rPr>
              <w:t>(a Development Stage Company)</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5760" w:type="dxa"/>
            <w:vAlign w:val="bottom"/>
            <w:gridSpan w:val="14"/>
          </w:tcPr>
          <w:p>
            <w:pPr>
              <w:jc w:val="center"/>
              <w:ind w:left="1216"/>
              <w:spacing w:after="0"/>
              <w:rPr>
                <w:sz w:val="20"/>
                <w:szCs w:val="20"/>
                <w:color w:val="auto"/>
              </w:rPr>
            </w:pPr>
            <w:r>
              <w:rPr>
                <w:rFonts w:ascii="Arial" w:cs="Arial" w:eastAsia="Arial" w:hAnsi="Arial"/>
                <w:sz w:val="17"/>
                <w:szCs w:val="17"/>
                <w:b w:val="1"/>
                <w:bCs w:val="1"/>
                <w:color w:val="auto"/>
                <w:w w:val="99"/>
              </w:rPr>
              <w:t>STATEMENT OF STOCKHOLDERS’ EQUITY (DEFICIT)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91"/>
              </w:rPr>
              <w:t>(Unaudited)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6"/>
          </w:tcPr>
          <w:p>
            <w:pPr>
              <w:jc w:val="center"/>
              <w:ind w:right="60"/>
              <w:spacing w:after="0" w:line="167" w:lineRule="exact"/>
              <w:rPr>
                <w:sz w:val="20"/>
                <w:szCs w:val="20"/>
                <w:color w:val="auto"/>
              </w:rPr>
            </w:pPr>
            <w:r>
              <w:rPr>
                <w:rFonts w:ascii="Arial" w:cs="Arial" w:eastAsia="Arial" w:hAnsi="Arial"/>
                <w:sz w:val="17"/>
                <w:szCs w:val="17"/>
                <w:b w:val="1"/>
                <w:bCs w:val="1"/>
                <w:color w:val="auto"/>
                <w:w w:val="87"/>
              </w:rPr>
              <w:t>(in thousands)</w:t>
            </w: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ind w:left="100"/>
              <w:spacing w:after="0" w:line="105" w:lineRule="exact"/>
              <w:rPr>
                <w:sz w:val="20"/>
                <w:szCs w:val="20"/>
                <w:color w:val="auto"/>
              </w:rPr>
            </w:pPr>
            <w:r>
              <w:rPr>
                <w:rFonts w:ascii="Arial" w:cs="Arial" w:eastAsia="Arial" w:hAnsi="Arial"/>
                <w:sz w:val="12"/>
                <w:szCs w:val="12"/>
                <w:b w:val="1"/>
                <w:bCs w:val="1"/>
                <w:color w:val="auto"/>
                <w:w w:val="99"/>
              </w:rPr>
              <w:t>Common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3"/>
          </w:tcPr>
          <w:p>
            <w:pPr>
              <w:jc w:val="center"/>
              <w:ind w:right="140"/>
              <w:spacing w:after="0" w:line="105" w:lineRule="exact"/>
              <w:rPr>
                <w:sz w:val="20"/>
                <w:szCs w:val="20"/>
                <w:color w:val="auto"/>
              </w:rPr>
            </w:pPr>
            <w:r>
              <w:rPr>
                <w:rFonts w:ascii="Arial" w:cs="Arial" w:eastAsia="Arial" w:hAnsi="Arial"/>
                <w:sz w:val="12"/>
                <w:szCs w:val="12"/>
                <w:b w:val="1"/>
                <w:bCs w:val="1"/>
                <w:color w:val="auto"/>
                <w:w w:val="95"/>
              </w:rPr>
              <w:t>Series A</w:t>
            </w:r>
          </w:p>
        </w:tc>
        <w:tc>
          <w:tcPr>
            <w:tcW w:w="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ind w:left="220"/>
              <w:spacing w:after="0" w:line="138" w:lineRule="exact"/>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9"/>
              </w:rPr>
              <w:t>convertible</w:t>
            </w: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paid-in</w:t>
            </w: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94"/>
              </w:rPr>
              <w:t>preferred</w:t>
            </w: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during the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stock</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development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stage</w:t>
            </w:r>
          </w:p>
        </w:tc>
        <w:tc>
          <w:tcPr>
            <w:tcW w:w="1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as of December 31, 2008 (Audited)</w:t>
            </w:r>
          </w:p>
        </w:tc>
        <w:tc>
          <w:tcPr>
            <w:tcW w:w="140" w:type="dxa"/>
            <w:vAlign w:val="bottom"/>
          </w:tcPr>
          <w:p>
            <w:pPr>
              <w:spacing w:after="0"/>
              <w:rPr>
                <w:sz w:val="11"/>
                <w:szCs w:val="11"/>
                <w:color w:val="auto"/>
              </w:rPr>
            </w:pPr>
          </w:p>
        </w:tc>
        <w:tc>
          <w:tcPr>
            <w:tcW w:w="640" w:type="dxa"/>
            <w:vAlign w:val="bottom"/>
            <w:tcBorders>
              <w:bottom w:val="single" w:sz="8" w:color="auto"/>
            </w:tcBorders>
            <w:gridSpan w:val="2"/>
          </w:tcPr>
          <w:p>
            <w:pPr>
              <w:ind w:left="200"/>
              <w:spacing w:after="0" w:line="131" w:lineRule="exact"/>
              <w:rPr>
                <w:sz w:val="20"/>
                <w:szCs w:val="20"/>
                <w:color w:val="auto"/>
              </w:rPr>
            </w:pPr>
            <w:r>
              <w:rPr>
                <w:rFonts w:ascii="Arial" w:cs="Arial" w:eastAsia="Arial" w:hAnsi="Arial"/>
                <w:sz w:val="13"/>
                <w:szCs w:val="13"/>
                <w:b w:val="1"/>
                <w:bCs w:val="1"/>
                <w:color w:val="auto"/>
              </w:rPr>
              <w:t>U.S.$</w:t>
            </w: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92"/>
              </w:rPr>
              <w:t>U.S.$</w:t>
            </w:r>
          </w:p>
        </w:tc>
        <w:tc>
          <w:tcPr>
            <w:tcW w:w="160" w:type="dxa"/>
            <w:vAlign w:val="bottom"/>
          </w:tcPr>
          <w:p>
            <w:pPr>
              <w:spacing w:after="0"/>
              <w:rPr>
                <w:sz w:val="11"/>
                <w:szCs w:val="11"/>
                <w:color w:val="auto"/>
              </w:rPr>
            </w:pPr>
          </w:p>
        </w:tc>
        <w:tc>
          <w:tcPr>
            <w:tcW w:w="740" w:type="dxa"/>
            <w:vAlign w:val="bottom"/>
            <w:tcBorders>
              <w:bottom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1"/>
                <w:szCs w:val="11"/>
                <w:color w:val="auto"/>
              </w:rPr>
            </w:pPr>
          </w:p>
        </w:tc>
        <w:tc>
          <w:tcPr>
            <w:tcW w:w="820" w:type="dxa"/>
            <w:vAlign w:val="bottom"/>
            <w:tcBorders>
              <w:bottom w:val="single" w:sz="8" w:color="auto"/>
            </w:tcBorders>
            <w:gridSpan w:val="2"/>
          </w:tcPr>
          <w:p>
            <w:pPr>
              <w:jc w:val="right"/>
              <w:ind w:right="260"/>
              <w:spacing w:after="0" w:line="131" w:lineRule="exact"/>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30"/>
        </w:trPr>
        <w:tc>
          <w:tcPr>
            <w:tcW w:w="3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380"/>
              <w:spacing w:after="0" w:line="130" w:lineRule="exact"/>
              <w:rPr>
                <w:sz w:val="20"/>
                <w:szCs w:val="20"/>
                <w:color w:val="auto"/>
              </w:rPr>
            </w:pPr>
            <w:r>
              <w:rPr>
                <w:rFonts w:ascii="Arial" w:cs="Arial" w:eastAsia="Arial" w:hAnsi="Arial"/>
                <w:sz w:val="12"/>
                <w:szCs w:val="12"/>
                <w:color w:val="auto"/>
                <w:w w:val="74"/>
              </w:rPr>
              <w:t>22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Arial" w:cs="Arial" w:eastAsia="Arial" w:hAnsi="Arial"/>
                <w:sz w:val="13"/>
                <w:szCs w:val="13"/>
                <w:color w:val="auto"/>
              </w:rPr>
              <w:t>24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Arial" w:cs="Arial" w:eastAsia="Arial" w:hAnsi="Arial"/>
                <w:sz w:val="13"/>
                <w:szCs w:val="13"/>
                <w:color w:val="auto"/>
              </w:rPr>
              <w:t>2,960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(13,976)</w:t>
            </w:r>
          </w:p>
        </w:tc>
        <w:tc>
          <w:tcPr>
            <w:tcW w:w="140" w:type="dxa"/>
            <w:vAlign w:val="bottom"/>
          </w:tcPr>
          <w:p>
            <w:pPr>
              <w:spacing w:after="0"/>
              <w:rPr>
                <w:sz w:val="11"/>
                <w:szCs w:val="11"/>
                <w:color w:val="auto"/>
              </w:rPr>
            </w:pPr>
          </w:p>
        </w:tc>
        <w:tc>
          <w:tcPr>
            <w:tcW w:w="8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(10,970)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shd w:val="clear" w:color="auto" w:fill="CCFFCC"/>
          </w:tcPr>
          <w:p>
            <w:pPr>
              <w:spacing w:after="0" w:line="131" w:lineRule="exact"/>
              <w:rPr>
                <w:sz w:val="20"/>
                <w:szCs w:val="20"/>
                <w:color w:val="auto"/>
              </w:rPr>
            </w:pPr>
            <w:r>
              <w:rPr>
                <w:rFonts w:ascii="Arial" w:cs="Arial" w:eastAsia="Arial" w:hAnsi="Arial"/>
                <w:sz w:val="13"/>
                <w:szCs w:val="13"/>
                <w:color w:val="auto"/>
              </w:rPr>
              <w:t>Issuance of warrants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1"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1" w:lineRule="exact"/>
              <w:rPr>
                <w:sz w:val="20"/>
                <w:szCs w:val="20"/>
                <w:color w:val="auto"/>
              </w:rPr>
            </w:pPr>
            <w:r>
              <w:rPr>
                <w:rFonts w:ascii="Arial" w:cs="Arial" w:eastAsia="Arial" w:hAnsi="Arial"/>
                <w:sz w:val="13"/>
                <w:szCs w:val="13"/>
                <w:color w:val="auto"/>
              </w:rPr>
              <w:t>60</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1"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Loan modification</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500</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Amortization of discounts to temporary equity</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80"/>
              <w:spacing w:after="0" w:line="138" w:lineRule="exact"/>
              <w:rPr>
                <w:sz w:val="20"/>
                <w:szCs w:val="20"/>
                <w:color w:val="auto"/>
              </w:rPr>
            </w:pPr>
            <w:r>
              <w:rPr>
                <w:rFonts w:ascii="Arial" w:cs="Arial" w:eastAsia="Arial" w:hAnsi="Arial"/>
                <w:sz w:val="13"/>
                <w:szCs w:val="13"/>
                <w:color w:val="auto"/>
              </w:rPr>
              <w:t>(7)</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Grants of stock options, net of forfeitures – employees</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178</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w w:val="96"/>
              </w:rPr>
              <w:t>Grants of stock options, net of forfeiture – non employees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10</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Net loss for the year</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(6,149)</w:t>
            </w:r>
          </w:p>
        </w:tc>
        <w:tc>
          <w:tcPr>
            <w:tcW w:w="96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(6,149)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shd w:val="clear" w:color="auto" w:fill="CCFFCC"/>
          </w:tcPr>
          <w:p>
            <w:pPr>
              <w:spacing w:after="0" w:line="131" w:lineRule="exact"/>
              <w:rPr>
                <w:sz w:val="20"/>
                <w:szCs w:val="20"/>
                <w:color w:val="auto"/>
              </w:rPr>
            </w:pPr>
            <w:r>
              <w:rPr>
                <w:rFonts w:ascii="Arial" w:cs="Arial" w:eastAsia="Arial" w:hAnsi="Arial"/>
                <w:sz w:val="13"/>
                <w:szCs w:val="13"/>
                <w:b w:val="1"/>
                <w:bCs w:val="1"/>
                <w:color w:val="auto"/>
              </w:rPr>
              <w:t>Balance as of December 31, 2009 (Audited)</w:t>
            </w: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ind w:left="380"/>
              <w:spacing w:after="0" w:line="130" w:lineRule="exact"/>
              <w:rPr>
                <w:sz w:val="20"/>
                <w:szCs w:val="20"/>
                <w:color w:val="auto"/>
              </w:rPr>
            </w:pPr>
            <w:r>
              <w:rPr>
                <w:rFonts w:ascii="Arial" w:cs="Arial" w:eastAsia="Arial" w:hAnsi="Arial"/>
                <w:sz w:val="12"/>
                <w:szCs w:val="12"/>
                <w:color w:val="auto"/>
                <w:w w:val="74"/>
              </w:rPr>
              <w:t>22</w:t>
            </w:r>
          </w:p>
        </w:tc>
        <w:tc>
          <w:tcPr>
            <w:tcW w:w="140" w:type="dxa"/>
            <w:vAlign w:val="bottom"/>
            <w:shd w:val="clear" w:color="auto" w:fill="CCFFCC"/>
          </w:tcPr>
          <w:p>
            <w:pPr>
              <w:spacing w:after="0"/>
              <w:rPr>
                <w:sz w:val="11"/>
                <w:szCs w:val="11"/>
                <w:color w:val="auto"/>
              </w:rPr>
            </w:pPr>
          </w:p>
        </w:tc>
        <w:tc>
          <w:tcPr>
            <w:tcW w:w="220" w:type="dxa"/>
            <w:vAlign w:val="bottom"/>
            <w:gridSpan w:val="2"/>
            <w:shd w:val="clear" w:color="auto" w:fill="CCFFCC"/>
          </w:tcPr>
          <w:p>
            <w:pPr>
              <w:spacing w:after="0"/>
              <w:rPr>
                <w:sz w:val="11"/>
                <w:szCs w:val="11"/>
                <w:color w:val="auto"/>
              </w:rPr>
            </w:pPr>
          </w:p>
        </w:tc>
        <w:tc>
          <w:tcPr>
            <w:tcW w:w="4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color w:val="auto"/>
              </w:rPr>
              <w:t>24</w:t>
            </w:r>
          </w:p>
        </w:tc>
        <w:tc>
          <w:tcPr>
            <w:tcW w:w="2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color w:val="auto"/>
              </w:rPr>
              <w:t>3,701</w:t>
            </w: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60"/>
              <w:spacing w:after="0" w:line="131" w:lineRule="exact"/>
              <w:rPr>
                <w:sz w:val="20"/>
                <w:szCs w:val="20"/>
                <w:color w:val="auto"/>
              </w:rPr>
            </w:pPr>
            <w:r>
              <w:rPr>
                <w:rFonts w:ascii="Arial" w:cs="Arial" w:eastAsia="Arial" w:hAnsi="Arial"/>
                <w:sz w:val="13"/>
                <w:szCs w:val="13"/>
                <w:color w:val="auto"/>
              </w:rPr>
              <w:t>(20,125)</w:t>
            </w:r>
          </w:p>
        </w:tc>
        <w:tc>
          <w:tcPr>
            <w:tcW w:w="960" w:type="dxa"/>
            <w:vAlign w:val="bottom"/>
            <w:gridSpan w:val="3"/>
            <w:shd w:val="clear" w:color="auto" w:fill="CCFFCC"/>
          </w:tcPr>
          <w:p>
            <w:pPr>
              <w:jc w:val="right"/>
              <w:ind w:right="100"/>
              <w:spacing w:after="0" w:line="131" w:lineRule="exact"/>
              <w:rPr>
                <w:sz w:val="20"/>
                <w:szCs w:val="20"/>
                <w:color w:val="auto"/>
              </w:rPr>
            </w:pPr>
            <w:r>
              <w:rPr>
                <w:rFonts w:ascii="Arial" w:cs="Arial" w:eastAsia="Arial" w:hAnsi="Arial"/>
                <w:sz w:val="13"/>
                <w:szCs w:val="13"/>
                <w:color w:val="auto"/>
              </w:rPr>
              <w:t>(16,378)</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tcPr>
          <w:p>
            <w:pPr>
              <w:spacing w:after="0" w:line="131" w:lineRule="exact"/>
              <w:rPr>
                <w:sz w:val="20"/>
                <w:szCs w:val="20"/>
                <w:color w:val="auto"/>
              </w:rPr>
            </w:pPr>
            <w:r>
              <w:rPr>
                <w:rFonts w:ascii="Arial" w:cs="Arial" w:eastAsia="Arial" w:hAnsi="Arial"/>
                <w:sz w:val="13"/>
                <w:szCs w:val="13"/>
                <w:color w:val="auto"/>
                <w:w w:val="94"/>
              </w:rPr>
              <w:t>Issuance of common stock, net of issuance costs of $1,768</w:t>
            </w:r>
          </w:p>
        </w:tc>
        <w:tc>
          <w:tcPr>
            <w:tcW w:w="140" w:type="dxa"/>
            <w:vAlign w:val="bottom"/>
          </w:tcPr>
          <w:p>
            <w:pPr>
              <w:spacing w:after="0"/>
              <w:rPr>
                <w:sz w:val="11"/>
                <w:szCs w:val="11"/>
                <w:color w:val="auto"/>
              </w:rPr>
            </w:pPr>
          </w:p>
        </w:tc>
        <w:tc>
          <w:tcPr>
            <w:tcW w:w="500" w:type="dxa"/>
            <w:vAlign w:val="bottom"/>
          </w:tcPr>
          <w:p>
            <w:pPr>
              <w:ind w:left="380"/>
              <w:spacing w:after="0" w:line="130" w:lineRule="exact"/>
              <w:rPr>
                <w:sz w:val="20"/>
                <w:szCs w:val="20"/>
                <w:color w:val="auto"/>
              </w:rPr>
            </w:pPr>
            <w:r>
              <w:rPr>
                <w:rFonts w:ascii="Arial" w:cs="Arial" w:eastAsia="Arial" w:hAnsi="Arial"/>
                <w:sz w:val="12"/>
                <w:szCs w:val="12"/>
                <w:color w:val="auto"/>
                <w:w w:val="74"/>
              </w:rPr>
              <w:t>24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360" w:type="dxa"/>
            <w:vAlign w:val="bottom"/>
            <w:gridSpan w:val="2"/>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Arial" w:cs="Arial" w:eastAsia="Arial" w:hAnsi="Arial"/>
                <w:sz w:val="13"/>
                <w:szCs w:val="13"/>
                <w:color w:val="auto"/>
              </w:rPr>
              <w:t>9,239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9,263</w:t>
            </w:r>
          </w:p>
        </w:tc>
        <w:tc>
          <w:tcPr>
            <w:tcW w:w="0" w:type="dxa"/>
            <w:vAlign w:val="bottom"/>
          </w:tcPr>
          <w:p>
            <w:pPr>
              <w:spacing w:after="0"/>
              <w:rPr>
                <w:sz w:val="1"/>
                <w:szCs w:val="1"/>
                <w:color w:val="auto"/>
              </w:rPr>
            </w:pPr>
          </w:p>
        </w:tc>
      </w:tr>
      <w:tr>
        <w:trPr>
          <w:trHeight w:val="120"/>
        </w:trPr>
        <w:tc>
          <w:tcPr>
            <w:tcW w:w="3220" w:type="dxa"/>
            <w:vAlign w:val="bottom"/>
            <w:gridSpan w:val="2"/>
            <w:shd w:val="clear" w:color="auto" w:fill="CCFFCC"/>
          </w:tcPr>
          <w:p>
            <w:pPr>
              <w:spacing w:after="0" w:line="119" w:lineRule="exact"/>
              <w:rPr>
                <w:sz w:val="20"/>
                <w:szCs w:val="20"/>
                <w:color w:val="auto"/>
              </w:rPr>
            </w:pPr>
            <w:r>
              <w:rPr>
                <w:rFonts w:ascii="Arial" w:cs="Arial" w:eastAsia="Arial" w:hAnsi="Arial"/>
                <w:sz w:val="13"/>
                <w:szCs w:val="13"/>
                <w:color w:val="auto"/>
              </w:rPr>
              <w:t>Exchange of series A convertible preferred stock for</w:t>
            </w:r>
          </w:p>
        </w:tc>
        <w:tc>
          <w:tcPr>
            <w:tcW w:w="640" w:type="dxa"/>
            <w:vAlign w:val="bottom"/>
            <w:gridSpan w:val="2"/>
            <w:shd w:val="clear" w:color="auto" w:fill="CCFFCC"/>
          </w:tcPr>
          <w:p>
            <w:pPr>
              <w:ind w:left="520"/>
              <w:spacing w:after="0" w:line="120" w:lineRule="exact"/>
              <w:rPr>
                <w:sz w:val="20"/>
                <w:szCs w:val="20"/>
                <w:color w:val="auto"/>
              </w:rPr>
            </w:pPr>
            <w:r>
              <w:rPr>
                <w:rFonts w:ascii="Arial" w:cs="Arial" w:eastAsia="Arial" w:hAnsi="Arial"/>
                <w:sz w:val="12"/>
                <w:szCs w:val="12"/>
                <w:color w:val="auto"/>
                <w:w w:val="74"/>
              </w:rPr>
              <w:t>24</w:t>
            </w:r>
          </w:p>
        </w:tc>
        <w:tc>
          <w:tcPr>
            <w:tcW w:w="140" w:type="dxa"/>
            <w:vAlign w:val="bottom"/>
            <w:shd w:val="clear" w:color="auto" w:fill="CCFFCC"/>
          </w:tcPr>
          <w:p>
            <w:pPr>
              <w:spacing w:after="0"/>
              <w:rPr>
                <w:sz w:val="10"/>
                <w:szCs w:val="10"/>
                <w:color w:val="auto"/>
              </w:rPr>
            </w:pPr>
          </w:p>
        </w:tc>
        <w:tc>
          <w:tcPr>
            <w:tcW w:w="920" w:type="dxa"/>
            <w:vAlign w:val="bottom"/>
            <w:gridSpan w:val="4"/>
            <w:shd w:val="clear" w:color="auto" w:fill="CCFFCC"/>
          </w:tcPr>
          <w:p>
            <w:pPr>
              <w:jc w:val="right"/>
              <w:ind w:right="180"/>
              <w:spacing w:after="0" w:line="119" w:lineRule="exact"/>
              <w:rPr>
                <w:sz w:val="20"/>
                <w:szCs w:val="20"/>
                <w:color w:val="auto"/>
              </w:rPr>
            </w:pPr>
            <w:r>
              <w:rPr>
                <w:rFonts w:ascii="Arial" w:cs="Arial" w:eastAsia="Arial" w:hAnsi="Arial"/>
                <w:sz w:val="13"/>
                <w:szCs w:val="13"/>
                <w:color w:val="auto"/>
              </w:rPr>
              <w:t>(24)</w:t>
            </w:r>
          </w:p>
        </w:tc>
        <w:tc>
          <w:tcPr>
            <w:tcW w:w="14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00"/>
              <w:spacing w:after="0" w:line="119" w:lineRule="exact"/>
              <w:rPr>
                <w:sz w:val="20"/>
                <w:szCs w:val="20"/>
                <w:color w:val="auto"/>
              </w:rPr>
            </w:pPr>
            <w:r>
              <w:rPr>
                <w:rFonts w:ascii="Arial" w:cs="Arial" w:eastAsia="Arial" w:hAnsi="Arial"/>
                <w:sz w:val="13"/>
                <w:szCs w:val="13"/>
                <w:color w:val="auto"/>
              </w:rPr>
              <w:t>—</w:t>
            </w:r>
          </w:p>
        </w:tc>
        <w:tc>
          <w:tcPr>
            <w:tcW w:w="1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40"/>
              <w:spacing w:after="0" w:line="11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220" w:type="dxa"/>
            <w:vAlign w:val="bottom"/>
            <w:gridSpan w:val="2"/>
            <w:shd w:val="clear" w:color="auto" w:fill="CCFFCC"/>
          </w:tcPr>
          <w:p>
            <w:pPr>
              <w:ind w:left="160"/>
              <w:spacing w:after="0"/>
              <w:rPr>
                <w:sz w:val="20"/>
                <w:szCs w:val="20"/>
                <w:color w:val="auto"/>
              </w:rPr>
            </w:pPr>
            <w:r>
              <w:rPr>
                <w:rFonts w:ascii="Arial" w:cs="Arial" w:eastAsia="Arial" w:hAnsi="Arial"/>
                <w:sz w:val="13"/>
                <w:szCs w:val="13"/>
                <w:color w:val="auto"/>
              </w:rPr>
              <w:t>common stock</w:t>
            </w:r>
          </w:p>
        </w:tc>
        <w:tc>
          <w:tcPr>
            <w:tcW w:w="140" w:type="dxa"/>
            <w:vAlign w:val="bottom"/>
            <w:shd w:val="clear" w:color="auto" w:fill="CCFFCC"/>
          </w:tcPr>
          <w:p>
            <w:pPr>
              <w:spacing w:after="0"/>
              <w:rPr>
                <w:sz w:val="13"/>
                <w:szCs w:val="13"/>
                <w:color w:val="auto"/>
              </w:rPr>
            </w:pPr>
          </w:p>
        </w:tc>
        <w:tc>
          <w:tcPr>
            <w:tcW w:w="5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Conversion of bridge notes</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2,536</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2,545</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Amortization of discounts to temporary equity</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80"/>
              <w:spacing w:after="0" w:line="138" w:lineRule="exact"/>
              <w:rPr>
                <w:sz w:val="20"/>
                <w:szCs w:val="20"/>
                <w:color w:val="auto"/>
              </w:rPr>
            </w:pPr>
            <w:r>
              <w:rPr>
                <w:rFonts w:ascii="Arial" w:cs="Arial" w:eastAsia="Arial" w:hAnsi="Arial"/>
                <w:sz w:val="13"/>
                <w:szCs w:val="13"/>
                <w:color w:val="auto"/>
              </w:rPr>
              <w:t>(3)</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Grants of stock options, net of forfeitures – employees</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883</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883</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w w:val="95"/>
              </w:rPr>
              <w:t>Grants of stock options, net of forfeitures – non employees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29</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warrants to charity</w:t>
            </w:r>
          </w:p>
        </w:tc>
        <w:tc>
          <w:tcPr>
            <w:tcW w:w="140" w:type="dxa"/>
            <w:vAlign w:val="bottom"/>
          </w:tcPr>
          <w:p>
            <w:pPr>
              <w:spacing w:after="0"/>
              <w:rPr>
                <w:sz w:val="11"/>
                <w:szCs w:val="11"/>
                <w:color w:val="auto"/>
              </w:rPr>
            </w:pPr>
          </w:p>
        </w:tc>
        <w:tc>
          <w:tcPr>
            <w:tcW w:w="640" w:type="dxa"/>
            <w:vAlign w:val="bottom"/>
            <w:gridSpan w:val="2"/>
          </w:tcPr>
          <w:p>
            <w:pPr>
              <w:jc w:val="right"/>
              <w:ind w:right="56"/>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11</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Grants of warrants to lead investors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1,342</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1,342</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Grants of warrants to charity</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37</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Exercise of stock options</w:t>
            </w:r>
          </w:p>
        </w:tc>
        <w:tc>
          <w:tcPr>
            <w:tcW w:w="640" w:type="dxa"/>
            <w:vAlign w:val="bottom"/>
            <w:gridSpan w:val="2"/>
            <w:shd w:val="clear" w:color="auto" w:fill="CCFFCC"/>
          </w:tcPr>
          <w:p>
            <w:pPr>
              <w:jc w:val="right"/>
              <w:spacing w:after="0" w:line="138" w:lineRule="exact"/>
              <w:rPr>
                <w:sz w:val="20"/>
                <w:szCs w:val="20"/>
                <w:color w:val="auto"/>
              </w:rPr>
            </w:pPr>
            <w:r>
              <w:rPr>
                <w:rFonts w:ascii="Arial" w:cs="Arial" w:eastAsia="Arial" w:hAnsi="Arial"/>
                <w:sz w:val="13"/>
                <w:szCs w:val="13"/>
                <w:color w:val="auto"/>
              </w:rPr>
              <w:t>1</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warrants</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Stock dividend</w:t>
            </w:r>
          </w:p>
        </w:tc>
        <w:tc>
          <w:tcPr>
            <w:tcW w:w="640" w:type="dxa"/>
            <w:vAlign w:val="bottom"/>
            <w:gridSpan w:val="2"/>
            <w:shd w:val="clear" w:color="auto" w:fill="CCFFCC"/>
          </w:tcPr>
          <w:p>
            <w:pPr>
              <w:ind w:left="520"/>
              <w:spacing w:after="0"/>
              <w:rPr>
                <w:sz w:val="20"/>
                <w:szCs w:val="20"/>
                <w:color w:val="auto"/>
              </w:rPr>
            </w:pPr>
            <w:r>
              <w:rPr>
                <w:rFonts w:ascii="Arial" w:cs="Arial" w:eastAsia="Arial" w:hAnsi="Arial"/>
                <w:sz w:val="12"/>
                <w:szCs w:val="12"/>
                <w:color w:val="auto"/>
                <w:w w:val="74"/>
              </w:rPr>
              <w:t>19</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80"/>
              <w:spacing w:after="0" w:line="138" w:lineRule="exact"/>
              <w:rPr>
                <w:sz w:val="20"/>
                <w:szCs w:val="20"/>
                <w:color w:val="auto"/>
              </w:rPr>
            </w:pPr>
            <w:r>
              <w:rPr>
                <w:rFonts w:ascii="Arial" w:cs="Arial" w:eastAsia="Arial" w:hAnsi="Arial"/>
                <w:sz w:val="13"/>
                <w:szCs w:val="13"/>
                <w:color w:val="auto"/>
              </w:rPr>
              <w:t>(19)</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Reverse stock split</w:t>
            </w: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(93)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93</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3220" w:type="dxa"/>
            <w:vAlign w:val="bottom"/>
            <w:gridSpan w:val="2"/>
            <w:shd w:val="clear" w:color="auto" w:fill="CCFFCC"/>
          </w:tcPr>
          <w:p>
            <w:pPr>
              <w:spacing w:after="0" w:line="119" w:lineRule="exact"/>
              <w:rPr>
                <w:sz w:val="20"/>
                <w:szCs w:val="20"/>
                <w:color w:val="auto"/>
              </w:rPr>
            </w:pPr>
            <w:r>
              <w:rPr>
                <w:rFonts w:ascii="Arial" w:cs="Arial" w:eastAsia="Arial" w:hAnsi="Arial"/>
                <w:sz w:val="13"/>
                <w:szCs w:val="13"/>
                <w:color w:val="auto"/>
              </w:rPr>
              <w:t>Exchange of series B convertible preferred stock for</w:t>
            </w:r>
          </w:p>
        </w:tc>
        <w:tc>
          <w:tcPr>
            <w:tcW w:w="640" w:type="dxa"/>
            <w:vAlign w:val="bottom"/>
            <w:gridSpan w:val="2"/>
            <w:shd w:val="clear" w:color="auto" w:fill="CCFFCC"/>
          </w:tcPr>
          <w:p>
            <w:pPr>
              <w:ind w:left="520"/>
              <w:spacing w:after="0" w:line="120" w:lineRule="exact"/>
              <w:rPr>
                <w:sz w:val="20"/>
                <w:szCs w:val="20"/>
                <w:color w:val="auto"/>
              </w:rPr>
            </w:pPr>
            <w:r>
              <w:rPr>
                <w:rFonts w:ascii="Arial" w:cs="Arial" w:eastAsia="Arial" w:hAnsi="Arial"/>
                <w:sz w:val="12"/>
                <w:szCs w:val="12"/>
                <w:color w:val="auto"/>
                <w:w w:val="74"/>
              </w:rPr>
              <w:t>46</w:t>
            </w:r>
          </w:p>
        </w:tc>
        <w:tc>
          <w:tcPr>
            <w:tcW w:w="1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40" w:type="dxa"/>
            <w:vAlign w:val="bottom"/>
            <w:gridSpan w:val="3"/>
            <w:shd w:val="clear" w:color="auto" w:fill="CCFFCC"/>
          </w:tcPr>
          <w:p>
            <w:pPr>
              <w:jc w:val="right"/>
              <w:ind w:right="360"/>
              <w:spacing w:after="0" w:line="11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color w:val="auto"/>
              </w:rPr>
              <w:t>11,925</w:t>
            </w: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00"/>
              <w:spacing w:after="0" w:line="119"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19" w:lineRule="exact"/>
              <w:rPr>
                <w:sz w:val="20"/>
                <w:szCs w:val="20"/>
                <w:color w:val="auto"/>
              </w:rPr>
            </w:pPr>
            <w:r>
              <w:rPr>
                <w:rFonts w:ascii="Arial" w:cs="Arial" w:eastAsia="Arial" w:hAnsi="Arial"/>
                <w:sz w:val="13"/>
                <w:szCs w:val="13"/>
                <w:color w:val="auto"/>
              </w:rPr>
              <w:t>11,971</w:t>
            </w:r>
          </w:p>
        </w:tc>
        <w:tc>
          <w:tcPr>
            <w:tcW w:w="0" w:type="dxa"/>
            <w:vAlign w:val="bottom"/>
          </w:tcPr>
          <w:p>
            <w:pPr>
              <w:spacing w:after="0"/>
              <w:rPr>
                <w:sz w:val="1"/>
                <w:szCs w:val="1"/>
                <w:color w:val="auto"/>
              </w:rPr>
            </w:pPr>
          </w:p>
        </w:tc>
      </w:tr>
      <w:tr>
        <w:trPr>
          <w:trHeight w:val="156"/>
        </w:trPr>
        <w:tc>
          <w:tcPr>
            <w:tcW w:w="3220" w:type="dxa"/>
            <w:vAlign w:val="bottom"/>
            <w:gridSpan w:val="2"/>
            <w:shd w:val="clear" w:color="auto" w:fill="CCFFCC"/>
          </w:tcPr>
          <w:p>
            <w:pPr>
              <w:ind w:left="160"/>
              <w:spacing w:after="0"/>
              <w:rPr>
                <w:sz w:val="20"/>
                <w:szCs w:val="20"/>
                <w:color w:val="auto"/>
              </w:rPr>
            </w:pPr>
            <w:r>
              <w:rPr>
                <w:rFonts w:ascii="Arial" w:cs="Arial" w:eastAsia="Arial" w:hAnsi="Arial"/>
                <w:sz w:val="13"/>
                <w:szCs w:val="13"/>
                <w:color w:val="auto"/>
              </w:rPr>
              <w:t>common stock</w:t>
            </w:r>
          </w:p>
        </w:tc>
        <w:tc>
          <w:tcPr>
            <w:tcW w:w="140" w:type="dxa"/>
            <w:vAlign w:val="bottom"/>
            <w:shd w:val="clear" w:color="auto" w:fill="CCFFCC"/>
          </w:tcPr>
          <w:p>
            <w:pPr>
              <w:spacing w:after="0"/>
              <w:rPr>
                <w:sz w:val="13"/>
                <w:szCs w:val="13"/>
                <w:color w:val="auto"/>
              </w:rPr>
            </w:pPr>
          </w:p>
        </w:tc>
        <w:tc>
          <w:tcPr>
            <w:tcW w:w="5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Net loss for the year</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(9,942)</w:t>
            </w:r>
          </w:p>
        </w:tc>
        <w:tc>
          <w:tcPr>
            <w:tcW w:w="96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(9,942)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shd w:val="clear" w:color="auto" w:fill="CCFFCC"/>
          </w:tcPr>
          <w:p>
            <w:pPr>
              <w:spacing w:after="0" w:line="131" w:lineRule="exact"/>
              <w:rPr>
                <w:sz w:val="20"/>
                <w:szCs w:val="20"/>
                <w:color w:val="auto"/>
              </w:rPr>
            </w:pPr>
            <w:r>
              <w:rPr>
                <w:rFonts w:ascii="Arial" w:cs="Arial" w:eastAsia="Arial" w:hAnsi="Arial"/>
                <w:sz w:val="13"/>
                <w:szCs w:val="13"/>
                <w:b w:val="1"/>
                <w:bCs w:val="1"/>
                <w:color w:val="auto"/>
              </w:rPr>
              <w:t>Balance as of December 31, 2010 (Audited)</w:t>
            </w: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ind w:left="380"/>
              <w:spacing w:after="0" w:line="130" w:lineRule="exact"/>
              <w:rPr>
                <w:sz w:val="20"/>
                <w:szCs w:val="20"/>
                <w:color w:val="auto"/>
              </w:rPr>
            </w:pPr>
            <w:r>
              <w:rPr>
                <w:rFonts w:ascii="Arial" w:cs="Arial" w:eastAsia="Arial" w:hAnsi="Arial"/>
                <w:sz w:val="12"/>
                <w:szCs w:val="12"/>
                <w:color w:val="auto"/>
                <w:w w:val="74"/>
              </w:rPr>
              <w:t>54</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FFCC"/>
          </w:tcPr>
          <w:p>
            <w:pPr>
              <w:spacing w:after="0"/>
              <w:rPr>
                <w:sz w:val="11"/>
                <w:szCs w:val="11"/>
                <w:color w:val="auto"/>
              </w:rPr>
            </w:pPr>
          </w:p>
        </w:tc>
        <w:tc>
          <w:tcPr>
            <w:tcW w:w="5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color w:val="auto"/>
              </w:rPr>
              <w:t>29,774</w:t>
            </w: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60"/>
              <w:spacing w:after="0" w:line="131" w:lineRule="exact"/>
              <w:rPr>
                <w:sz w:val="20"/>
                <w:szCs w:val="20"/>
                <w:color w:val="auto"/>
              </w:rPr>
            </w:pPr>
            <w:r>
              <w:rPr>
                <w:rFonts w:ascii="Arial" w:cs="Arial" w:eastAsia="Arial" w:hAnsi="Arial"/>
                <w:sz w:val="13"/>
                <w:szCs w:val="13"/>
                <w:color w:val="auto"/>
              </w:rPr>
              <w:t>(30,067)</w:t>
            </w:r>
          </w:p>
        </w:tc>
        <w:tc>
          <w:tcPr>
            <w:tcW w:w="960" w:type="dxa"/>
            <w:vAlign w:val="bottom"/>
            <w:gridSpan w:val="3"/>
            <w:shd w:val="clear" w:color="auto" w:fill="CCFFCC"/>
          </w:tcPr>
          <w:p>
            <w:pPr>
              <w:jc w:val="right"/>
              <w:ind w:right="100"/>
              <w:spacing w:after="0" w:line="131" w:lineRule="exact"/>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tcPr>
          <w:p>
            <w:pPr>
              <w:spacing w:after="0" w:line="131" w:lineRule="exact"/>
              <w:rPr>
                <w:sz w:val="20"/>
                <w:szCs w:val="20"/>
                <w:color w:val="auto"/>
              </w:rPr>
            </w:pPr>
            <w:r>
              <w:rPr>
                <w:rFonts w:ascii="Arial" w:cs="Arial" w:eastAsia="Arial" w:hAnsi="Arial"/>
                <w:sz w:val="13"/>
                <w:szCs w:val="13"/>
                <w:color w:val="auto"/>
              </w:rPr>
              <w:t>Grants of stock options, net of forfeitures – employees</w:t>
            </w:r>
          </w:p>
        </w:tc>
        <w:tc>
          <w:tcPr>
            <w:tcW w:w="140" w:type="dxa"/>
            <w:vAlign w:val="bottom"/>
          </w:tcPr>
          <w:p>
            <w:pPr>
              <w:spacing w:after="0"/>
              <w:rPr>
                <w:sz w:val="11"/>
                <w:szCs w:val="11"/>
                <w:color w:val="auto"/>
              </w:rPr>
            </w:pPr>
          </w:p>
        </w:tc>
        <w:tc>
          <w:tcPr>
            <w:tcW w:w="640" w:type="dxa"/>
            <w:vAlign w:val="bottom"/>
            <w:gridSpan w:val="2"/>
          </w:tcPr>
          <w:p>
            <w:pPr>
              <w:ind w:left="380"/>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1,300</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1,300</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w w:val="95"/>
              </w:rPr>
              <w:t>Grants of stock options, net of forfeitures – non employees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131</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warrants</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Conversion of convertible notes and accrued interest</w:t>
            </w:r>
          </w:p>
        </w:tc>
        <w:tc>
          <w:tcPr>
            <w:tcW w:w="640" w:type="dxa"/>
            <w:vAlign w:val="bottom"/>
            <w:gridSpan w:val="2"/>
            <w:shd w:val="clear" w:color="auto" w:fill="CCFFCC"/>
          </w:tcPr>
          <w:p>
            <w:pPr>
              <w:ind w:left="520"/>
              <w:spacing w:after="0"/>
              <w:rPr>
                <w:sz w:val="20"/>
                <w:szCs w:val="20"/>
                <w:color w:val="auto"/>
              </w:rPr>
            </w:pPr>
            <w:r>
              <w:rPr>
                <w:rFonts w:ascii="Arial" w:cs="Arial" w:eastAsia="Arial" w:hAnsi="Arial"/>
                <w:sz w:val="12"/>
                <w:szCs w:val="12"/>
                <w:color w:val="auto"/>
                <w:w w:val="74"/>
              </w:rPr>
              <w:t>27</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2,484</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2,511</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Issuance of shares, net of issuance costs of $65</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777</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785</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Issuance of shares to a consultant</w:t>
            </w:r>
          </w:p>
        </w:tc>
        <w:tc>
          <w:tcPr>
            <w:tcW w:w="640" w:type="dxa"/>
            <w:vAlign w:val="bottom"/>
            <w:gridSpan w:val="2"/>
            <w:shd w:val="clear" w:color="auto" w:fill="CCFFCC"/>
          </w:tcPr>
          <w:p>
            <w:pPr>
              <w:jc w:val="right"/>
              <w:spacing w:after="0" w:line="138" w:lineRule="exact"/>
              <w:rPr>
                <w:sz w:val="20"/>
                <w:szCs w:val="20"/>
                <w:color w:val="auto"/>
              </w:rPr>
            </w:pPr>
            <w:r>
              <w:rPr>
                <w:rFonts w:ascii="Arial" w:cs="Arial" w:eastAsia="Arial" w:hAnsi="Arial"/>
                <w:sz w:val="13"/>
                <w:szCs w:val="13"/>
                <w:color w:val="auto"/>
              </w:rPr>
              <w:t>2</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293</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20"/>
        </w:trPr>
        <w:tc>
          <w:tcPr>
            <w:tcW w:w="3220" w:type="dxa"/>
            <w:vAlign w:val="bottom"/>
            <w:gridSpan w:val="2"/>
          </w:tcPr>
          <w:p>
            <w:pPr>
              <w:spacing w:after="0" w:line="119" w:lineRule="exact"/>
              <w:rPr>
                <w:sz w:val="20"/>
                <w:szCs w:val="20"/>
                <w:color w:val="auto"/>
              </w:rPr>
            </w:pPr>
            <w:r>
              <w:rPr>
                <w:rFonts w:ascii="Arial" w:cs="Arial" w:eastAsia="Arial" w:hAnsi="Arial"/>
                <w:sz w:val="13"/>
                <w:szCs w:val="13"/>
                <w:color w:val="auto"/>
              </w:rPr>
              <w:t>Issuance of shares in connection with restructuring of</w:t>
            </w: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jc w:val="right"/>
              <w:ind w:right="360"/>
              <w:spacing w:after="0" w:line="119"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19" w:lineRule="exact"/>
              <w:rPr>
                <w:sz w:val="20"/>
                <w:szCs w:val="20"/>
                <w:color w:val="auto"/>
              </w:rPr>
            </w:pPr>
            <w:r>
              <w:rPr>
                <w:rFonts w:ascii="Arial" w:cs="Arial" w:eastAsia="Arial" w:hAnsi="Arial"/>
                <w:sz w:val="13"/>
                <w:szCs w:val="13"/>
                <w:color w:val="auto"/>
              </w:rPr>
              <w:t>210</w:t>
            </w:r>
          </w:p>
        </w:tc>
        <w:tc>
          <w:tcPr>
            <w:tcW w:w="160" w:type="dxa"/>
            <w:vAlign w:val="bottom"/>
          </w:tcPr>
          <w:p>
            <w:pPr>
              <w:spacing w:after="0"/>
              <w:rPr>
                <w:sz w:val="10"/>
                <w:szCs w:val="10"/>
                <w:color w:val="auto"/>
              </w:rPr>
            </w:pPr>
          </w:p>
        </w:tc>
        <w:tc>
          <w:tcPr>
            <w:tcW w:w="740" w:type="dxa"/>
            <w:vAlign w:val="bottom"/>
            <w:gridSpan w:val="2"/>
          </w:tcPr>
          <w:p>
            <w:pPr>
              <w:jc w:val="right"/>
              <w:ind w:right="100"/>
              <w:spacing w:after="0" w:line="119"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19"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6"/>
        </w:trPr>
        <w:tc>
          <w:tcPr>
            <w:tcW w:w="3220" w:type="dxa"/>
            <w:vAlign w:val="bottom"/>
            <w:gridSpan w:val="2"/>
          </w:tcPr>
          <w:p>
            <w:pPr>
              <w:ind w:left="160"/>
              <w:spacing w:after="0"/>
              <w:rPr>
                <w:sz w:val="20"/>
                <w:szCs w:val="20"/>
                <w:color w:val="auto"/>
              </w:rPr>
            </w:pPr>
            <w:r>
              <w:rPr>
                <w:rFonts w:ascii="Arial" w:cs="Arial" w:eastAsia="Arial" w:hAnsi="Arial"/>
                <w:sz w:val="13"/>
                <w:szCs w:val="13"/>
                <w:color w:val="auto"/>
              </w:rPr>
              <w:t>venture loan</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Grants of warrants to charity</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56"/>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43</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stock options</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0"/>
        </w:trPr>
        <w:tc>
          <w:tcPr>
            <w:tcW w:w="3220" w:type="dxa"/>
            <w:vAlign w:val="bottom"/>
            <w:gridSpan w:val="2"/>
            <w:shd w:val="clear" w:color="auto" w:fill="CCFFCC"/>
          </w:tcPr>
          <w:p>
            <w:pPr>
              <w:spacing w:after="0" w:line="119" w:lineRule="exact"/>
              <w:rPr>
                <w:sz w:val="20"/>
                <w:szCs w:val="20"/>
                <w:color w:val="auto"/>
              </w:rPr>
            </w:pPr>
            <w:r>
              <w:rPr>
                <w:rFonts w:ascii="Arial" w:cs="Arial" w:eastAsia="Arial" w:hAnsi="Arial"/>
                <w:sz w:val="13"/>
                <w:szCs w:val="13"/>
                <w:color w:val="auto"/>
                <w:w w:val="97"/>
              </w:rPr>
              <w:t>Beneficial conversion feature recorded in connection with</w:t>
            </w:r>
          </w:p>
        </w:tc>
        <w:tc>
          <w:tcPr>
            <w:tcW w:w="140" w:type="dxa"/>
            <w:vAlign w:val="bottom"/>
            <w:shd w:val="clear" w:color="auto" w:fill="CCFFCC"/>
          </w:tcPr>
          <w:p>
            <w:pPr>
              <w:spacing w:after="0"/>
              <w:rPr>
                <w:sz w:val="10"/>
                <w:szCs w:val="10"/>
                <w:color w:val="auto"/>
              </w:rPr>
            </w:pPr>
          </w:p>
        </w:tc>
        <w:tc>
          <w:tcPr>
            <w:tcW w:w="640" w:type="dxa"/>
            <w:vAlign w:val="bottom"/>
            <w:gridSpan w:val="2"/>
            <w:shd w:val="clear" w:color="auto" w:fill="CCFFCC"/>
          </w:tcPr>
          <w:p>
            <w:pPr>
              <w:ind w:left="380"/>
              <w:spacing w:after="0" w:line="119"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40" w:type="dxa"/>
            <w:vAlign w:val="bottom"/>
            <w:gridSpan w:val="3"/>
            <w:shd w:val="clear" w:color="auto" w:fill="CCFFCC"/>
          </w:tcPr>
          <w:p>
            <w:pPr>
              <w:jc w:val="right"/>
              <w:ind w:right="360"/>
              <w:spacing w:after="0" w:line="11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color w:val="auto"/>
              </w:rPr>
              <w:t>1,269</w:t>
            </w: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00"/>
              <w:spacing w:after="0" w:line="119"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19" w:lineRule="exact"/>
              <w:rPr>
                <w:sz w:val="20"/>
                <w:szCs w:val="20"/>
                <w:color w:val="auto"/>
              </w:rPr>
            </w:pPr>
            <w:r>
              <w:rPr>
                <w:rFonts w:ascii="Arial" w:cs="Arial" w:eastAsia="Arial" w:hAnsi="Arial"/>
                <w:sz w:val="13"/>
                <w:szCs w:val="13"/>
                <w:color w:val="auto"/>
              </w:rPr>
              <w:t>1,269</w:t>
            </w:r>
          </w:p>
        </w:tc>
        <w:tc>
          <w:tcPr>
            <w:tcW w:w="0" w:type="dxa"/>
            <w:vAlign w:val="bottom"/>
          </w:tcPr>
          <w:p>
            <w:pPr>
              <w:spacing w:after="0"/>
              <w:rPr>
                <w:sz w:val="1"/>
                <w:szCs w:val="1"/>
                <w:color w:val="auto"/>
              </w:rPr>
            </w:pPr>
          </w:p>
        </w:tc>
      </w:tr>
      <w:tr>
        <w:trPr>
          <w:trHeight w:val="156"/>
        </w:trPr>
        <w:tc>
          <w:tcPr>
            <w:tcW w:w="3220" w:type="dxa"/>
            <w:vAlign w:val="bottom"/>
            <w:gridSpan w:val="2"/>
            <w:shd w:val="clear" w:color="auto" w:fill="CCFFCC"/>
          </w:tcPr>
          <w:p>
            <w:pPr>
              <w:ind w:left="160"/>
              <w:spacing w:after="0"/>
              <w:rPr>
                <w:sz w:val="20"/>
                <w:szCs w:val="20"/>
                <w:color w:val="auto"/>
              </w:rPr>
            </w:pPr>
            <w:r>
              <w:rPr>
                <w:rFonts w:ascii="Arial" w:cs="Arial" w:eastAsia="Arial" w:hAnsi="Arial"/>
                <w:sz w:val="13"/>
                <w:szCs w:val="13"/>
                <w:color w:val="auto"/>
              </w:rPr>
              <w:t>convertible notes</w:t>
            </w:r>
          </w:p>
        </w:tc>
        <w:tc>
          <w:tcPr>
            <w:tcW w:w="140" w:type="dxa"/>
            <w:vAlign w:val="bottom"/>
            <w:shd w:val="clear" w:color="auto" w:fill="CCFFCC"/>
          </w:tcPr>
          <w:p>
            <w:pPr>
              <w:spacing w:after="0"/>
              <w:rPr>
                <w:sz w:val="13"/>
                <w:szCs w:val="13"/>
                <w:color w:val="auto"/>
              </w:rPr>
            </w:pPr>
          </w:p>
        </w:tc>
        <w:tc>
          <w:tcPr>
            <w:tcW w:w="5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Net loss for the year</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(7,479)</w:t>
            </w:r>
          </w:p>
        </w:tc>
        <w:tc>
          <w:tcPr>
            <w:tcW w:w="96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(7,479)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shd w:val="clear" w:color="auto" w:fill="CCFFCC"/>
          </w:tcPr>
          <w:p>
            <w:pPr>
              <w:spacing w:after="0" w:line="131" w:lineRule="exact"/>
              <w:rPr>
                <w:sz w:val="20"/>
                <w:szCs w:val="20"/>
                <w:color w:val="auto"/>
              </w:rPr>
            </w:pPr>
            <w:r>
              <w:rPr>
                <w:rFonts w:ascii="Arial" w:cs="Arial" w:eastAsia="Arial" w:hAnsi="Arial"/>
                <w:sz w:val="13"/>
                <w:szCs w:val="13"/>
                <w:b w:val="1"/>
                <w:bCs w:val="1"/>
                <w:color w:val="auto"/>
              </w:rPr>
              <w:t>Balance as of December 31, 2011 (Audited)</w:t>
            </w: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b w:val="1"/>
                <w:bCs w:val="1"/>
                <w:color w:val="auto"/>
              </w:rPr>
              <w:t>100</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360" w:type="dxa"/>
            <w:vAlign w:val="bottom"/>
            <w:gridSpan w:val="2"/>
            <w:shd w:val="clear" w:color="auto" w:fill="CCFFCC"/>
          </w:tcPr>
          <w:p>
            <w:pPr>
              <w:spacing w:after="0"/>
              <w:rPr>
                <w:sz w:val="11"/>
                <w:szCs w:val="11"/>
                <w:color w:val="auto"/>
              </w:rPr>
            </w:pPr>
          </w:p>
        </w:tc>
        <w:tc>
          <w:tcPr>
            <w:tcW w:w="5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b w:val="1"/>
                <w:bCs w:val="1"/>
                <w:color w:val="auto"/>
              </w:rPr>
              <w:t>36,281</w:t>
            </w: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1" w:lineRule="exact"/>
              <w:rPr>
                <w:sz w:val="20"/>
                <w:szCs w:val="20"/>
                <w:color w:val="auto"/>
              </w:rPr>
            </w:pPr>
            <w:r>
              <w:rPr>
                <w:rFonts w:ascii="Arial" w:cs="Arial" w:eastAsia="Arial" w:hAnsi="Arial"/>
                <w:sz w:val="13"/>
                <w:szCs w:val="13"/>
                <w:b w:val="1"/>
                <w:bCs w:val="1"/>
                <w:color w:val="auto"/>
              </w:rPr>
              <w:t>(37,546)</w:t>
            </w:r>
          </w:p>
        </w:tc>
        <w:tc>
          <w:tcPr>
            <w:tcW w:w="960" w:type="dxa"/>
            <w:vAlign w:val="bottom"/>
            <w:gridSpan w:val="3"/>
            <w:shd w:val="clear" w:color="auto" w:fill="CCFFCC"/>
          </w:tcPr>
          <w:p>
            <w:pPr>
              <w:jc w:val="right"/>
              <w:ind w:right="140"/>
              <w:spacing w:after="0" w:line="131" w:lineRule="exact"/>
              <w:rPr>
                <w:sz w:val="20"/>
                <w:szCs w:val="20"/>
                <w:color w:val="auto"/>
              </w:rPr>
            </w:pPr>
            <w:r>
              <w:rPr>
                <w:rFonts w:ascii="Arial" w:cs="Arial" w:eastAsia="Arial" w:hAnsi="Arial"/>
                <w:sz w:val="13"/>
                <w:szCs w:val="13"/>
                <w:b w:val="1"/>
                <w:bCs w:val="1"/>
                <w:color w:val="auto"/>
              </w:rPr>
              <w:t>(1,165)</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tcPr>
          <w:p>
            <w:pPr>
              <w:spacing w:after="0" w:line="131" w:lineRule="exact"/>
              <w:rPr>
                <w:sz w:val="20"/>
                <w:szCs w:val="20"/>
                <w:color w:val="auto"/>
              </w:rPr>
            </w:pPr>
            <w:r>
              <w:rPr>
                <w:rFonts w:ascii="Arial" w:cs="Arial" w:eastAsia="Arial" w:hAnsi="Arial"/>
                <w:sz w:val="13"/>
                <w:szCs w:val="13"/>
                <w:color w:val="auto"/>
              </w:rPr>
              <w:t>Grants of stock options, net of forfeitures – employees</w:t>
            </w:r>
          </w:p>
        </w:tc>
        <w:tc>
          <w:tcPr>
            <w:tcW w:w="140" w:type="dxa"/>
            <w:vAlign w:val="bottom"/>
          </w:tcPr>
          <w:p>
            <w:pPr>
              <w:spacing w:after="0"/>
              <w:rPr>
                <w:sz w:val="11"/>
                <w:szCs w:val="11"/>
                <w:color w:val="auto"/>
              </w:rPr>
            </w:pPr>
          </w:p>
        </w:tc>
        <w:tc>
          <w:tcPr>
            <w:tcW w:w="640" w:type="dxa"/>
            <w:vAlign w:val="bottom"/>
            <w:gridSpan w:val="2"/>
          </w:tcPr>
          <w:p>
            <w:pPr>
              <w:ind w:left="380"/>
              <w:spacing w:after="0" w:line="131"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1"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rPr>
              <w:t>714</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w:t>
            </w:r>
          </w:p>
        </w:tc>
        <w:tc>
          <w:tcPr>
            <w:tcW w:w="960" w:type="dxa"/>
            <w:vAlign w:val="bottom"/>
            <w:gridSpan w:val="3"/>
          </w:tcPr>
          <w:p>
            <w:pPr>
              <w:jc w:val="right"/>
              <w:ind w:right="140"/>
              <w:spacing w:after="0" w:line="131" w:lineRule="exact"/>
              <w:rPr>
                <w:sz w:val="20"/>
                <w:szCs w:val="20"/>
                <w:color w:val="auto"/>
              </w:rPr>
            </w:pPr>
            <w:r>
              <w:rPr>
                <w:rFonts w:ascii="Arial" w:cs="Arial" w:eastAsia="Arial" w:hAnsi="Arial"/>
                <w:sz w:val="13"/>
                <w:szCs w:val="13"/>
                <w:b w:val="1"/>
                <w:bCs w:val="1"/>
                <w:color w:val="auto"/>
              </w:rPr>
              <w:t>714</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w w:val="95"/>
              </w:rPr>
              <w:t>Grants of stock options, net of forfeitures – non employees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b w:val="1"/>
                <w:bCs w:val="1"/>
                <w:color w:val="auto"/>
              </w:rPr>
              <w:t>150</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b w:val="1"/>
                <w:bCs w:val="1"/>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b w:val="1"/>
                <w:bCs w:val="1"/>
                <w:color w:val="auto"/>
              </w:rPr>
              <w:t>150</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warrants</w:t>
            </w:r>
          </w:p>
        </w:tc>
        <w:tc>
          <w:tcPr>
            <w:tcW w:w="640" w:type="dxa"/>
            <w:vAlign w:val="bottom"/>
            <w:gridSpan w:val="2"/>
          </w:tcPr>
          <w:p>
            <w:pPr>
              <w:ind w:left="520"/>
              <w:spacing w:after="0"/>
              <w:rPr>
                <w:sz w:val="20"/>
                <w:szCs w:val="20"/>
                <w:color w:val="auto"/>
              </w:rPr>
            </w:pPr>
            <w:r>
              <w:rPr>
                <w:rFonts w:ascii="Arial" w:cs="Arial" w:eastAsia="Arial" w:hAnsi="Arial"/>
                <w:sz w:val="12"/>
                <w:szCs w:val="12"/>
                <w:b w:val="1"/>
                <w:bCs w:val="1"/>
                <w:color w:val="auto"/>
                <w:w w:val="74"/>
              </w:rPr>
              <w:t>39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5,836</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b w:val="1"/>
                <w:bCs w:val="1"/>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b w:val="1"/>
                <w:bCs w:val="1"/>
                <w:color w:val="auto"/>
              </w:rPr>
              <w:t>5,875</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Issuance of non-preferential reload warrants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b w:val="1"/>
                <w:bCs w:val="1"/>
                <w:color w:val="auto"/>
              </w:rPr>
              <w:t>1,091</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b w:val="1"/>
                <w:bCs w:val="1"/>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b w:val="1"/>
                <w:bCs w:val="1"/>
                <w:color w:val="auto"/>
              </w:rPr>
              <w:t>1,091</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stock options</w:t>
            </w:r>
          </w:p>
        </w:tc>
        <w:tc>
          <w:tcPr>
            <w:tcW w:w="140" w:type="dxa"/>
            <w:vAlign w:val="bottom"/>
          </w:tcPr>
          <w:p>
            <w:pPr>
              <w:spacing w:after="0"/>
              <w:rPr>
                <w:sz w:val="11"/>
                <w:szCs w:val="11"/>
                <w:color w:val="auto"/>
              </w:rPr>
            </w:pPr>
          </w:p>
        </w:tc>
        <w:tc>
          <w:tcPr>
            <w:tcW w:w="640" w:type="dxa"/>
            <w:vAlign w:val="bottom"/>
            <w:gridSpan w:val="2"/>
          </w:tcPr>
          <w:p>
            <w:pPr>
              <w:jc w:val="right"/>
              <w:ind w:right="56"/>
              <w:spacing w:after="0" w:line="138"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Net loss for the period</w:t>
            </w: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360" w:type="dxa"/>
            <w:vAlign w:val="bottom"/>
            <w:gridSpan w:val="2"/>
            <w:shd w:val="clear" w:color="auto" w:fill="CCFFCC"/>
          </w:tcPr>
          <w:p>
            <w:pPr>
              <w:spacing w:after="0"/>
              <w:rPr>
                <w:sz w:val="11"/>
                <w:szCs w:val="11"/>
                <w:color w:val="auto"/>
              </w:rPr>
            </w:pPr>
          </w:p>
        </w:tc>
        <w:tc>
          <w:tcPr>
            <w:tcW w:w="58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b w:val="1"/>
                <w:bCs w:val="1"/>
                <w:color w:val="auto"/>
              </w:rPr>
              <w:t>(5,644)</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b w:val="1"/>
                <w:bCs w:val="1"/>
                <w:color w:val="auto"/>
              </w:rPr>
              <w:t>(5,644)</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Balance as of March 31, 2012 (Unaudited)</w:t>
            </w:r>
          </w:p>
        </w:tc>
        <w:tc>
          <w:tcPr>
            <w:tcW w:w="14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139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360" w:type="dxa"/>
            <w:vAlign w:val="bottom"/>
            <w:gridSpan w:val="2"/>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44,072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(43,190)</w:t>
            </w:r>
          </w:p>
        </w:tc>
        <w:tc>
          <w:tcPr>
            <w:tcW w:w="960" w:type="dxa"/>
            <w:vAlign w:val="bottom"/>
            <w:gridSpan w:val="3"/>
          </w:tcPr>
          <w:p>
            <w:pPr>
              <w:jc w:val="right"/>
              <w:ind w:right="140"/>
              <w:spacing w:after="0" w:line="131" w:lineRule="exact"/>
              <w:rPr>
                <w:sz w:val="20"/>
                <w:szCs w:val="20"/>
                <w:color w:val="auto"/>
              </w:rPr>
            </w:pPr>
            <w:r>
              <w:rPr>
                <w:rFonts w:ascii="Arial" w:cs="Arial" w:eastAsia="Arial" w:hAnsi="Arial"/>
                <w:sz w:val="13"/>
                <w:szCs w:val="13"/>
                <w:b w:val="1"/>
                <w:bCs w:val="1"/>
                <w:color w:val="auto"/>
              </w:rPr>
              <w:t>1,021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900" w:type="dxa"/>
            <w:vAlign w:val="bottom"/>
            <w:tcBorders>
              <w:bottom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-3659505</wp:posOffset>
            </wp:positionV>
            <wp:extent cx="4837430" cy="952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837430" cy="952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-2068195</wp:posOffset>
            </wp:positionV>
            <wp:extent cx="4837430" cy="952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837430" cy="952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-826770</wp:posOffset>
            </wp:positionV>
            <wp:extent cx="4837430" cy="952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837430" cy="952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-294005</wp:posOffset>
            </wp:positionV>
            <wp:extent cx="4837430" cy="1270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837430" cy="1270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-4964430</wp:posOffset>
            </wp:positionV>
            <wp:extent cx="483743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Consideration for less than $1.</w:t>
      </w:r>
    </w:p>
    <w:p>
      <w:pPr>
        <w:spacing w:after="0" w:line="200" w:lineRule="exact"/>
        <w:rPr>
          <w:sz w:val="20"/>
          <w:szCs w:val="20"/>
          <w:color w:val="auto"/>
        </w:rPr>
      </w:pP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4" w:name="page225"/>
    <w:bookmarkEnd w:id="2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7421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74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w w:val="98"/>
              </w:rPr>
              <w:t>For the three month period</w:t>
            </w:r>
          </w:p>
        </w:tc>
        <w:tc>
          <w:tcPr>
            <w:tcW w:w="16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1"/>
                <w:szCs w:val="11"/>
                <w:color w:val="auto"/>
              </w:rPr>
            </w:pPr>
          </w:p>
        </w:tc>
        <w:tc>
          <w:tcPr>
            <w:tcW w:w="1740" w:type="dxa"/>
            <w:vAlign w:val="bottom"/>
            <w:gridSpan w:val="5"/>
          </w:tcPr>
          <w:p>
            <w:pPr>
              <w:jc w:val="right"/>
              <w:ind w:right="380"/>
              <w:spacing w:after="0" w:line="138" w:lineRule="exact"/>
              <w:rPr>
                <w:sz w:val="20"/>
                <w:szCs w:val="20"/>
                <w:color w:val="auto"/>
              </w:rPr>
            </w:pPr>
            <w:r>
              <w:rPr>
                <w:rFonts w:ascii="Arial" w:cs="Arial" w:eastAsia="Arial" w:hAnsi="Arial"/>
                <w:sz w:val="13"/>
                <w:szCs w:val="13"/>
                <w:b w:val="1"/>
                <w:bCs w:val="1"/>
                <w:color w:val="auto"/>
              </w:rPr>
              <w:t>ended March 31,</w:t>
            </w:r>
          </w:p>
        </w:tc>
        <w:tc>
          <w:tcPr>
            <w:tcW w:w="16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March 31, 2012</w:t>
            </w: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7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1"/>
                <w:szCs w:val="11"/>
                <w:color w:val="auto"/>
              </w:rPr>
            </w:pPr>
          </w:p>
        </w:tc>
        <w:tc>
          <w:tcPr>
            <w:tcW w:w="820" w:type="dxa"/>
            <w:vAlign w:val="bottom"/>
            <w:gridSpan w:val="2"/>
            <w:vMerge w:val="restart"/>
          </w:tcPr>
          <w:p>
            <w:pPr>
              <w:jc w:val="right"/>
              <w:ind w:right="59"/>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6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66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10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operating activities</w:t>
            </w:r>
          </w:p>
        </w:tc>
        <w:tc>
          <w:tcPr>
            <w:tcW w:w="7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Net loss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(5,644)</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(1,109)</w:t>
            </w: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(43,190)</w:t>
            </w:r>
          </w:p>
        </w:tc>
        <w:tc>
          <w:tcPr>
            <w:tcW w:w="0" w:type="dxa"/>
            <w:vAlign w:val="bottom"/>
          </w:tcPr>
          <w:p>
            <w:pPr>
              <w:spacing w:after="0"/>
              <w:rPr>
                <w:sz w:val="1"/>
                <w:szCs w:val="1"/>
                <w:color w:val="auto"/>
              </w:rPr>
            </w:pPr>
          </w:p>
        </w:tc>
      </w:tr>
      <w:tr>
        <w:trPr>
          <w:trHeight w:val="188"/>
        </w:trPr>
        <w:tc>
          <w:tcPr>
            <w:tcW w:w="46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Adjustments to reconcile net cash flows used in operating</w:t>
            </w:r>
          </w:p>
        </w:tc>
        <w:tc>
          <w:tcPr>
            <w:tcW w:w="7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activities:</w:t>
            </w: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b w:val="1"/>
                <w:bCs w:val="1"/>
                <w:color w:val="auto"/>
              </w:rPr>
              <w:t>Items not affecting cash flows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Depreciation and amortization</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16</w:t>
            </w: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Change in deferred tax assets and liabilities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(41)</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w:t>
            </w: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Increase (decrease) in accrued severance pay</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63</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(176)</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Share-based payment expenses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864</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431</w:t>
            </w: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5,326</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Accrued interest expense</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52</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2,855</w:t>
            </w:r>
          </w:p>
        </w:tc>
        <w:tc>
          <w:tcPr>
            <w:tcW w:w="0" w:type="dxa"/>
            <w:vAlign w:val="bottom"/>
          </w:tcPr>
          <w:p>
            <w:pPr>
              <w:spacing w:after="0"/>
              <w:rPr>
                <w:sz w:val="1"/>
                <w:szCs w:val="1"/>
                <w:color w:val="auto"/>
              </w:rPr>
            </w:pPr>
          </w:p>
        </w:tc>
      </w:tr>
      <w:tr>
        <w:trPr>
          <w:trHeight w:val="188"/>
        </w:trPr>
        <w:tc>
          <w:tcPr>
            <w:tcW w:w="4660" w:type="dxa"/>
            <w:vAlign w:val="bottom"/>
          </w:tcPr>
          <w:p>
            <w:pPr>
              <w:spacing w:after="0" w:line="188" w:lineRule="exact"/>
              <w:rPr>
                <w:sz w:val="20"/>
                <w:szCs w:val="20"/>
                <w:color w:val="auto"/>
              </w:rPr>
            </w:pPr>
            <w:r>
              <w:rPr>
                <w:rFonts w:ascii="Arial" w:cs="Arial" w:eastAsia="Arial" w:hAnsi="Arial"/>
                <w:sz w:val="17"/>
                <w:szCs w:val="17"/>
                <w:color w:val="auto"/>
              </w:rPr>
              <w:t>Interest and amortization of discount in connection with</w:t>
            </w:r>
          </w:p>
        </w:tc>
        <w:tc>
          <w:tcPr>
            <w:tcW w:w="80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1,280</w:t>
            </w:r>
          </w:p>
        </w:tc>
        <w:tc>
          <w:tcPr>
            <w:tcW w:w="0" w:type="dxa"/>
            <w:vAlign w:val="bottom"/>
          </w:tcPr>
          <w:p>
            <w:pPr>
              <w:spacing w:after="0"/>
              <w:rPr>
                <w:sz w:val="1"/>
                <w:szCs w:val="1"/>
                <w:color w:val="auto"/>
              </w:rPr>
            </w:pPr>
          </w:p>
        </w:tc>
      </w:tr>
      <w:tr>
        <w:trPr>
          <w:trHeight w:val="213"/>
        </w:trPr>
        <w:tc>
          <w:tcPr>
            <w:tcW w:w="4660" w:type="dxa"/>
            <w:vAlign w:val="bottom"/>
          </w:tcPr>
          <w:p>
            <w:pPr>
              <w:ind w:left="160"/>
              <w:spacing w:after="0"/>
              <w:rPr>
                <w:sz w:val="20"/>
                <w:szCs w:val="20"/>
                <w:color w:val="auto"/>
              </w:rPr>
            </w:pPr>
            <w:r>
              <w:rPr>
                <w:rFonts w:ascii="Arial" w:cs="Arial" w:eastAsia="Arial" w:hAnsi="Arial"/>
                <w:sz w:val="17"/>
                <w:szCs w:val="17"/>
                <w:color w:val="auto"/>
              </w:rPr>
              <w:t>convertible notes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Gain on restructuring of venture loan</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Increase (decrease) in fair value of warrants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411</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(708)</w:t>
            </w: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Issuance of non-preferential reload warrants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1,091</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Issuance of preferential reload warrants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1,476</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1,476</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Loss on extinguishment of debt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Exchange rate (gains) losses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(15)</w:t>
            </w: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Changes in current assets and liabilities</w:t>
            </w: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line="188" w:lineRule="exact"/>
              <w:rPr>
                <w:sz w:val="20"/>
                <w:szCs w:val="20"/>
                <w:color w:val="auto"/>
              </w:rPr>
            </w:pPr>
            <w:r>
              <w:rPr>
                <w:rFonts w:ascii="Arial" w:cs="Arial" w:eastAsia="Arial" w:hAnsi="Arial"/>
                <w:sz w:val="17"/>
                <w:szCs w:val="17"/>
                <w:color w:val="auto"/>
                <w:w w:val="96"/>
              </w:rPr>
              <w:t>Decrease (increase) in receivables, prepaid expenses and other</w:t>
            </w:r>
          </w:p>
        </w:tc>
        <w:tc>
          <w:tcPr>
            <w:tcW w:w="80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233</w:t>
            </w:r>
          </w:p>
        </w:tc>
        <w:tc>
          <w:tcPr>
            <w:tcW w:w="94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7</w:t>
            </w:r>
          </w:p>
        </w:tc>
        <w:tc>
          <w:tcPr>
            <w:tcW w:w="122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13"/>
        </w:trPr>
        <w:tc>
          <w:tcPr>
            <w:tcW w:w="4660" w:type="dxa"/>
            <w:vAlign w:val="bottom"/>
          </w:tcPr>
          <w:p>
            <w:pPr>
              <w:ind w:left="160"/>
              <w:spacing w:after="0"/>
              <w:rPr>
                <w:sz w:val="20"/>
                <w:szCs w:val="20"/>
                <w:color w:val="auto"/>
              </w:rPr>
            </w:pPr>
            <w:r>
              <w:rPr>
                <w:rFonts w:ascii="Arial" w:cs="Arial" w:eastAsia="Arial" w:hAnsi="Arial"/>
                <w:sz w:val="17"/>
                <w:szCs w:val="17"/>
                <w:color w:val="auto"/>
              </w:rPr>
              <w:t>current assets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Increase (decrease) in payables and accruals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326</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(7)</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959</w:t>
            </w:r>
          </w:p>
        </w:tc>
        <w:tc>
          <w:tcPr>
            <w:tcW w:w="0" w:type="dxa"/>
            <w:vAlign w:val="bottom"/>
          </w:tcPr>
          <w:p>
            <w:pPr>
              <w:spacing w:after="0"/>
              <w:rPr>
                <w:sz w:val="1"/>
                <w:szCs w:val="1"/>
                <w:color w:val="auto"/>
              </w:rPr>
            </w:pPr>
          </w:p>
        </w:tc>
      </w:tr>
      <w:tr>
        <w:trPr>
          <w:trHeight w:val="20"/>
        </w:trPr>
        <w:tc>
          <w:tcPr>
            <w:tcW w:w="46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tcPr>
          <w:p>
            <w:pPr>
              <w:spacing w:after="0" w:line="193" w:lineRule="exact"/>
              <w:rPr>
                <w:sz w:val="20"/>
                <w:szCs w:val="20"/>
                <w:color w:val="auto"/>
              </w:rPr>
            </w:pPr>
            <w:r>
              <w:rPr>
                <w:rFonts w:ascii="Arial" w:cs="Arial" w:eastAsia="Arial" w:hAnsi="Arial"/>
                <w:sz w:val="17"/>
                <w:szCs w:val="17"/>
                <w:b w:val="1"/>
                <w:bCs w:val="1"/>
                <w:color w:val="auto"/>
              </w:rPr>
              <w:t>Net cash used in operating activities</w:t>
            </w: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(1,215)</w:t>
            </w:r>
          </w:p>
        </w:tc>
        <w:tc>
          <w:tcPr>
            <w:tcW w:w="940" w:type="dxa"/>
            <w:vAlign w:val="bottom"/>
            <w:gridSpan w:val="3"/>
          </w:tcPr>
          <w:p>
            <w:pPr>
              <w:jc w:val="right"/>
              <w:ind w:right="60"/>
              <w:spacing w:after="0" w:line="193" w:lineRule="exact"/>
              <w:rPr>
                <w:sz w:val="20"/>
                <w:szCs w:val="20"/>
                <w:color w:val="auto"/>
              </w:rPr>
            </w:pPr>
            <w:r>
              <w:rPr>
                <w:rFonts w:ascii="Arial" w:cs="Arial" w:eastAsia="Arial" w:hAnsi="Arial"/>
                <w:sz w:val="17"/>
                <w:szCs w:val="17"/>
                <w:color w:val="auto"/>
              </w:rPr>
              <w:t>(1,517)</w:t>
            </w:r>
          </w:p>
        </w:tc>
        <w:tc>
          <w:tcPr>
            <w:tcW w:w="122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(30,518)</w:t>
            </w:r>
          </w:p>
        </w:tc>
        <w:tc>
          <w:tcPr>
            <w:tcW w:w="0" w:type="dxa"/>
            <w:vAlign w:val="bottom"/>
          </w:tcPr>
          <w:p>
            <w:pPr>
              <w:spacing w:after="0"/>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investing activities</w:t>
            </w:r>
          </w:p>
        </w:tc>
        <w:tc>
          <w:tcPr>
            <w:tcW w:w="72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8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Acquisition of property and equipment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(6)</w:t>
            </w: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Increase in lease deposits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Investment in short-term deposits (restricted)</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cash provided by (used in) investing activities</w:t>
            </w: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(5)</w:t>
            </w:r>
          </w:p>
        </w:tc>
        <w:tc>
          <w:tcPr>
            <w:tcW w:w="94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14</w:t>
            </w:r>
          </w:p>
        </w:tc>
        <w:tc>
          <w:tcPr>
            <w:tcW w:w="122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0"/>
        </w:trPr>
        <w:tc>
          <w:tcPr>
            <w:tcW w:w="46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-795020</wp:posOffset>
            </wp:positionV>
            <wp:extent cx="4837430" cy="1435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48374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5" w:name="page226"/>
    <w:bookmarkEnd w:id="2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7421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74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w w:val="98"/>
              </w:rPr>
              <w:t>For the three month period</w:t>
            </w:r>
          </w:p>
        </w:tc>
        <w:tc>
          <w:tcPr>
            <w:tcW w:w="16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1"/>
                <w:szCs w:val="11"/>
                <w:color w:val="auto"/>
              </w:rPr>
            </w:pPr>
          </w:p>
        </w:tc>
        <w:tc>
          <w:tcPr>
            <w:tcW w:w="1740" w:type="dxa"/>
            <w:vAlign w:val="bottom"/>
            <w:gridSpan w:val="5"/>
          </w:tcPr>
          <w:p>
            <w:pPr>
              <w:jc w:val="right"/>
              <w:ind w:right="380"/>
              <w:spacing w:after="0" w:line="138" w:lineRule="exact"/>
              <w:rPr>
                <w:sz w:val="20"/>
                <w:szCs w:val="20"/>
                <w:color w:val="auto"/>
              </w:rPr>
            </w:pPr>
            <w:r>
              <w:rPr>
                <w:rFonts w:ascii="Arial" w:cs="Arial" w:eastAsia="Arial" w:hAnsi="Arial"/>
                <w:sz w:val="13"/>
                <w:szCs w:val="13"/>
                <w:b w:val="1"/>
                <w:bCs w:val="1"/>
                <w:color w:val="auto"/>
              </w:rPr>
              <w:t>ended March 31,</w:t>
            </w:r>
          </w:p>
        </w:tc>
        <w:tc>
          <w:tcPr>
            <w:tcW w:w="16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March 31, 2012</w:t>
            </w: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82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6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66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10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financing activities</w:t>
            </w:r>
          </w:p>
        </w:tc>
        <w:tc>
          <w:tcPr>
            <w:tcW w:w="7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Receipt of venture loan</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Repayment on account of venture loan</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(348)</w:t>
            </w:r>
          </w:p>
        </w:tc>
        <w:tc>
          <w:tcPr>
            <w:tcW w:w="12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(3,651)</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Receipt of convertible notes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Issuance of common stock and warrants, net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10,048</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Issuance of warrants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Receipt of convertible loans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3,976</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Issuance of convertible preferred stock</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12,195</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Exercise of common stock options and warrants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3,652</w:t>
            </w: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3,674</w:t>
            </w:r>
          </w:p>
        </w:tc>
        <w:tc>
          <w:tcPr>
            <w:tcW w:w="0" w:type="dxa"/>
            <w:vAlign w:val="bottom"/>
          </w:tcPr>
          <w:p>
            <w:pPr>
              <w:spacing w:after="0"/>
              <w:rPr>
                <w:sz w:val="1"/>
                <w:szCs w:val="1"/>
                <w:color w:val="auto"/>
              </w:rPr>
            </w:pPr>
          </w:p>
        </w:tc>
      </w:tr>
      <w:tr>
        <w:trPr>
          <w:trHeight w:val="20"/>
        </w:trPr>
        <w:tc>
          <w:tcPr>
            <w:tcW w:w="46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tcPr>
          <w:p>
            <w:pPr>
              <w:spacing w:after="0" w:line="193" w:lineRule="exact"/>
              <w:rPr>
                <w:sz w:val="20"/>
                <w:szCs w:val="20"/>
                <w:color w:val="auto"/>
              </w:rPr>
            </w:pPr>
            <w:r>
              <w:rPr>
                <w:rFonts w:ascii="Arial" w:cs="Arial" w:eastAsia="Arial" w:hAnsi="Arial"/>
                <w:sz w:val="17"/>
                <w:szCs w:val="17"/>
                <w:b w:val="1"/>
                <w:bCs w:val="1"/>
                <w:color w:val="auto"/>
              </w:rPr>
              <w:t>Net cash provided by (used in) financing activities</w:t>
            </w: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3,652</w:t>
            </w:r>
          </w:p>
        </w:tc>
        <w:tc>
          <w:tcPr>
            <w:tcW w:w="940" w:type="dxa"/>
            <w:vAlign w:val="bottom"/>
            <w:gridSpan w:val="3"/>
          </w:tcPr>
          <w:p>
            <w:pPr>
              <w:jc w:val="right"/>
              <w:ind w:right="60"/>
              <w:spacing w:after="0" w:line="193" w:lineRule="exact"/>
              <w:rPr>
                <w:sz w:val="20"/>
                <w:szCs w:val="20"/>
                <w:color w:val="auto"/>
              </w:rPr>
            </w:pPr>
            <w:r>
              <w:rPr>
                <w:rFonts w:ascii="Arial" w:cs="Arial" w:eastAsia="Arial" w:hAnsi="Arial"/>
                <w:sz w:val="17"/>
                <w:szCs w:val="17"/>
                <w:color w:val="auto"/>
              </w:rPr>
              <w:t>(345)</w:t>
            </w:r>
          </w:p>
        </w:tc>
        <w:tc>
          <w:tcPr>
            <w:tcW w:w="1220" w:type="dxa"/>
            <w:vAlign w:val="bottom"/>
            <w:gridSpan w:val="3"/>
          </w:tcPr>
          <w:p>
            <w:pPr>
              <w:jc w:val="right"/>
              <w:ind w:right="180"/>
              <w:spacing w:after="0" w:line="193" w:lineRule="exact"/>
              <w:rPr>
                <w:sz w:val="20"/>
                <w:szCs w:val="20"/>
                <w:color w:val="auto"/>
              </w:rPr>
            </w:pPr>
            <w:r>
              <w:rPr>
                <w:rFonts w:ascii="Arial" w:cs="Arial" w:eastAsia="Arial" w:hAnsi="Arial"/>
                <w:sz w:val="17"/>
                <w:szCs w:val="17"/>
                <w:color w:val="auto"/>
              </w:rPr>
              <w:t>34,812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w w:val="98"/>
              </w:rPr>
              <w:t>Effect of exchange rate changes on cash and cash equivalents</w:t>
            </w: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8</w:t>
            </w:r>
          </w:p>
        </w:tc>
        <w:tc>
          <w:tcPr>
            <w:tcW w:w="94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8</w:t>
            </w:r>
          </w:p>
        </w:tc>
        <w:tc>
          <w:tcPr>
            <w:tcW w:w="122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Increase (decrease) in cash and cash equivalents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2,440</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(1,840)</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3,630</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Cash and cash equivalents at beginning of period</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1,190</w:t>
            </w: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5,407</w:t>
            </w:r>
          </w:p>
        </w:tc>
        <w:tc>
          <w:tcPr>
            <w:tcW w:w="16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tcPr>
          <w:p>
            <w:pPr>
              <w:spacing w:after="0" w:line="193" w:lineRule="exact"/>
              <w:rPr>
                <w:sz w:val="20"/>
                <w:szCs w:val="20"/>
                <w:color w:val="auto"/>
              </w:rPr>
            </w:pPr>
            <w:r>
              <w:rPr>
                <w:rFonts w:ascii="Arial" w:cs="Arial" w:eastAsia="Arial" w:hAnsi="Arial"/>
                <w:sz w:val="17"/>
                <w:szCs w:val="17"/>
                <w:color w:val="auto"/>
              </w:rPr>
              <w:t>Cash and cash equivalents at end of period</w:t>
            </w: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3,630</w:t>
            </w:r>
          </w:p>
        </w:tc>
        <w:tc>
          <w:tcPr>
            <w:tcW w:w="94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3,567</w:t>
            </w:r>
          </w:p>
        </w:tc>
        <w:tc>
          <w:tcPr>
            <w:tcW w:w="1220" w:type="dxa"/>
            <w:vAlign w:val="bottom"/>
            <w:gridSpan w:val="3"/>
          </w:tcPr>
          <w:p>
            <w:pPr>
              <w:jc w:val="right"/>
              <w:ind w:right="180"/>
              <w:spacing w:after="0" w:line="193" w:lineRule="exact"/>
              <w:rPr>
                <w:sz w:val="20"/>
                <w:szCs w:val="20"/>
                <w:color w:val="auto"/>
              </w:rPr>
            </w:pPr>
            <w:r>
              <w:rPr>
                <w:rFonts w:ascii="Arial" w:cs="Arial" w:eastAsia="Arial" w:hAnsi="Arial"/>
                <w:sz w:val="17"/>
                <w:szCs w:val="17"/>
                <w:color w:val="auto"/>
              </w:rPr>
              <w:t>3,630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Supplemental disclosure of cash flows information</w:t>
            </w:r>
          </w:p>
        </w:tc>
        <w:tc>
          <w:tcPr>
            <w:tcW w:w="7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Interest paid</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79</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1,137</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Income taxes paid</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7</w:t>
            </w: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12</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b w:val="1"/>
                <w:bCs w:val="1"/>
                <w:color w:val="auto"/>
              </w:rPr>
              <w:t>Non-cash investing and financing transactions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w w:val="99"/>
              </w:rPr>
              <w:t>Conversion of convertible loan into convertible preferred stock</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1,964</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Extinguishment of debt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Discount to the series B convertible preferred stock</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Allocation of fair value of loan warrants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Allocation of fair value of conversion warrants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1,564</w:t>
            </w:r>
          </w:p>
        </w:tc>
        <w:tc>
          <w:tcPr>
            <w:tcW w:w="0" w:type="dxa"/>
            <w:vAlign w:val="bottom"/>
          </w:tcPr>
          <w:p>
            <w:pPr>
              <w:spacing w:after="0"/>
              <w:rPr>
                <w:sz w:val="1"/>
                <w:szCs w:val="1"/>
                <w:color w:val="auto"/>
              </w:rPr>
            </w:pPr>
          </w:p>
        </w:tc>
      </w:tr>
      <w:tr>
        <w:trPr>
          <w:trHeight w:val="188"/>
        </w:trPr>
        <w:tc>
          <w:tcPr>
            <w:tcW w:w="4660" w:type="dxa"/>
            <w:vAlign w:val="bottom"/>
          </w:tcPr>
          <w:p>
            <w:pPr>
              <w:spacing w:after="0" w:line="188" w:lineRule="exact"/>
              <w:rPr>
                <w:sz w:val="20"/>
                <w:szCs w:val="20"/>
                <w:color w:val="auto"/>
              </w:rPr>
            </w:pPr>
            <w:r>
              <w:rPr>
                <w:rFonts w:ascii="Arial" w:cs="Arial" w:eastAsia="Arial" w:hAnsi="Arial"/>
                <w:sz w:val="17"/>
                <w:szCs w:val="17"/>
                <w:color w:val="auto"/>
              </w:rPr>
              <w:t>Exchange of series B convertible preferred stock for common</w:t>
            </w:r>
          </w:p>
        </w:tc>
        <w:tc>
          <w:tcPr>
            <w:tcW w:w="80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line="188" w:lineRule="exact"/>
              <w:rPr>
                <w:sz w:val="20"/>
                <w:szCs w:val="20"/>
                <w:color w:val="auto"/>
              </w:rPr>
            </w:pPr>
            <w:r>
              <w:rPr>
                <w:rFonts w:ascii="Arial" w:cs="Arial" w:eastAsia="Arial" w:hAnsi="Arial"/>
                <w:sz w:val="17"/>
                <w:szCs w:val="17"/>
                <w:color w:val="auto"/>
              </w:rPr>
              <w:t>11,971</w:t>
            </w:r>
          </w:p>
        </w:tc>
        <w:tc>
          <w:tcPr>
            <w:tcW w:w="0" w:type="dxa"/>
            <w:vAlign w:val="bottom"/>
          </w:tcPr>
          <w:p>
            <w:pPr>
              <w:spacing w:after="0"/>
              <w:rPr>
                <w:sz w:val="1"/>
                <w:szCs w:val="1"/>
                <w:color w:val="auto"/>
              </w:rPr>
            </w:pPr>
          </w:p>
        </w:tc>
      </w:tr>
      <w:tr>
        <w:trPr>
          <w:trHeight w:val="213"/>
        </w:trPr>
        <w:tc>
          <w:tcPr>
            <w:tcW w:w="4660" w:type="dxa"/>
            <w:vAlign w:val="bottom"/>
          </w:tcPr>
          <w:p>
            <w:pPr>
              <w:ind w:left="160"/>
              <w:spacing w:after="0"/>
              <w:rPr>
                <w:sz w:val="20"/>
                <w:szCs w:val="20"/>
                <w:color w:val="auto"/>
              </w:rPr>
            </w:pPr>
            <w:r>
              <w:rPr>
                <w:rFonts w:ascii="Arial" w:cs="Arial" w:eastAsia="Arial" w:hAnsi="Arial"/>
                <w:sz w:val="17"/>
                <w:szCs w:val="17"/>
                <w:color w:val="auto"/>
              </w:rPr>
              <w:t>stock</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6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Exchange of series A convertible preferred stock for common</w:t>
            </w:r>
          </w:p>
        </w:tc>
        <w:tc>
          <w:tcPr>
            <w:tcW w:w="80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line="188"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3"/>
        </w:trPr>
        <w:tc>
          <w:tcPr>
            <w:tcW w:w="46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stock</w:t>
            </w: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Conversion of bridge notes into common stock</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2,545</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Amortization of discounts to temporary equity</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w w:val="92"/>
              </w:rPr>
              <w:t>Issuance of shares in consideration of restructuring of venture loan</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188"/>
        </w:trPr>
        <w:tc>
          <w:tcPr>
            <w:tcW w:w="46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Beneficial conversion feature recorded in connection with</w:t>
            </w:r>
          </w:p>
        </w:tc>
        <w:tc>
          <w:tcPr>
            <w:tcW w:w="80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line="188" w:lineRule="exact"/>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213"/>
        </w:trPr>
        <w:tc>
          <w:tcPr>
            <w:tcW w:w="46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convertible notes</w:t>
            </w: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Conversion of convertible notes into common stock</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2,511</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Conversion of derivative liabilities into common stock</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2,223</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-3237865</wp:posOffset>
            </wp:positionV>
            <wp:extent cx="4837430" cy="1435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-2712720</wp:posOffset>
            </wp:positionV>
            <wp:extent cx="4837430" cy="1670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6" w:name="page227"/>
    <w:bookmarkEnd w:id="2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 — General</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2"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7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Pursuant to the IPO,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7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February 2012, the Company entered into agreements with holders (the “Holders”) of certain of its outstanding Special Bridge and Conversion Warrants, pursuant to which the Holders exercised warrants to purchase 3,828,993 shares of our common stock for aggregate proceeds of $3.65 million (“February 2012 warrant exercise”). In addition, certain Holders were granted additional warrants to purchase 2,660,922 shares of common stock of the Company, at an exercise price of $1.76 per share. See also Note 3 and 5.</w:t>
      </w:r>
    </w:p>
    <w:p>
      <w:pPr>
        <w:spacing w:after="0" w:line="80"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On March 12, 2012, the Company entered into an agreement and Plan of Merger Agreement (“Merger Agreement”), pursuant to which, once the Merger commences, Innovate/Protect, Inc. (“I/P”) will merge with and into VIP Merger Sub, Inc., which will be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This Merger will be accounted for as a reverse acquisition.</w:t>
      </w:r>
    </w:p>
    <w:p>
      <w:pPr>
        <w:spacing w:after="0" w:line="200" w:lineRule="exact"/>
        <w:rPr>
          <w:sz w:val="20"/>
          <w:szCs w:val="20"/>
          <w:color w:val="auto"/>
        </w:rPr>
      </w:pPr>
    </w:p>
    <w:p>
      <w:pPr>
        <w:spacing w:after="0" w:line="30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7" w:name="page228"/>
    <w:bookmarkEnd w:id="2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 — General – (continued)</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three month period ended March 31, 2012 and for the cumulative period from inception until March 31, 2012, the Company incurred net losses of $5.6 million and $43.2 million, respectively. The Company believes that its current cash levels will be sufficient to support its activity into the first quarter of 2013.</w:t>
      </w:r>
    </w:p>
    <w:p>
      <w:pPr>
        <w:spacing w:after="0" w:line="6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March 31, 2012, approximately $521 thousand of the Company’s net assets were located outside of the United States.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 Significant Accounting and Reporting Policies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 Basis of presentation</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accompanying consolidated financial statements include the accounts of the Parent and the Subsidiary and are presented in accordance with generally accepted accounting principles in the United States of America (“U.S. GAAP”). All significant intercompany balances and transactions have been eliminated in consolidation.</w:t>
      </w:r>
    </w:p>
    <w:p>
      <w:pPr>
        <w:spacing w:after="0" w:line="76"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accompanying unaudited consolidated financial statements were prepared in accordance with U.S. GAAP and instructions to Form 10-Q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2011. The results of operations for the three month period ended March 31, 2012, are not necessarily indicative of the results that may be expected for the entire fiscal year or for any other interim period.</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 Development stage enterprise</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 Translation into U.S. dollars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currency of the primary economic environment in which the operations of the Company are conducted is the U.S. dollar (“dollar”). Therefore, the dollar has been determined to be the Company’s functional currency.</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At March 31, 2012, the exchange rate was U.S. $1 = NIS 3.715 (March 31, 2011 — U.S. $1 = NIS 3.481). The average exchange rate for the three month period ended March 31, 2012 and 2011, was U.S. $1 = NIS 3.741 and U.S. $1 = NIS 3.601, respectively.</w:t>
      </w: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8" w:name="page229"/>
    <w:bookmarkEnd w:id="2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 Significant Accounting and Reporting Policies – (continued)</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 Use of estimates</w:t>
      </w:r>
    </w:p>
    <w:p>
      <w:pPr>
        <w:spacing w:after="0" w:line="10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deferred tax assets and liabilities, valuation of warrants, valuation of common stock share-based compensation, income tax uncertainties and other contingencies. The current economic environment has increased the degree of uncertainty inherent in those estimates and assumptions.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 Accounts receivables and allowance for doubtful accounts</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March 31, 2012, neither write-offs, nor provision for doubtful accounts was created. The Company does not have any significant off-balance-sheet credit exposure related to its customers.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 Impact of recently implemented accounting standards</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the first quarter of 2012 did not have an impact on the Company’s financial position, results of operations, or cash flows.</w:t>
      </w:r>
    </w:p>
    <w:p>
      <w:pPr>
        <w:spacing w:after="0" w:line="66"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 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the first quarter of 2012 did not have an impact on the Company’s financial position, results of operations, or cash flows.</w:t>
      </w:r>
    </w:p>
    <w:p>
      <w:pPr>
        <w:spacing w:after="0" w:line="200" w:lineRule="exact"/>
        <w:rPr>
          <w:sz w:val="20"/>
          <w:szCs w:val="20"/>
          <w:color w:val="auto"/>
        </w:rPr>
      </w:pPr>
    </w:p>
    <w:p>
      <w:pPr>
        <w:spacing w:after="0" w:line="30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9" w:name="page230"/>
    <w:bookmarkEnd w:id="22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 Significant Accounting and Reporting Policies – (continued)</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 Impact of recently issued accounting standards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The Company does not expect the adoption of ASU 2011-11 in the first quarter of 2013 to have an impact on its financial position, results of operations, or cash flows.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(h) Net loss per share data</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such shares are anti-dilutive.</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presents the computation of basic and diluted net losses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8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880" w:type="dxa"/>
            <w:vAlign w:val="bottom"/>
            <w:gridSpan w:val="5"/>
          </w:tcPr>
          <w:p>
            <w:pPr>
              <w:jc w:val="right"/>
              <w:ind w:right="640"/>
              <w:spacing w:after="0" w:line="138"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1"/>
                <w:szCs w:val="11"/>
                <w:color w:val="auto"/>
              </w:rPr>
            </w:pPr>
          </w:p>
        </w:tc>
        <w:tc>
          <w:tcPr>
            <w:tcW w:w="9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2"/>
              </w:rPr>
              <w:t>from inception</w:t>
            </w: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90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b w:val="1"/>
                <w:bCs w:val="1"/>
                <w:color w:val="auto"/>
                <w:w w:val="97"/>
              </w:rPr>
              <w:t>to March 31,</w:t>
            </w:r>
          </w:p>
        </w:tc>
        <w:tc>
          <w:tcPr>
            <w:tcW w:w="3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140" w:type="dxa"/>
            <w:vAlign w:val="bottom"/>
          </w:tcPr>
          <w:p>
            <w:pPr>
              <w:spacing w:after="0"/>
              <w:rPr>
                <w:sz w:val="7"/>
                <w:szCs w:val="7"/>
                <w:color w:val="auto"/>
              </w:rPr>
            </w:pPr>
          </w:p>
        </w:tc>
        <w:tc>
          <w:tcPr>
            <w:tcW w:w="2860" w:type="dxa"/>
            <w:vAlign w:val="bottom"/>
          </w:tcPr>
          <w:p>
            <w:pPr>
              <w:spacing w:after="0"/>
              <w:rPr>
                <w:sz w:val="7"/>
                <w:szCs w:val="7"/>
                <w:color w:val="auto"/>
              </w:rPr>
            </w:pPr>
          </w:p>
        </w:tc>
        <w:tc>
          <w:tcPr>
            <w:tcW w:w="82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rPr>
              <w:t>2012</w:t>
            </w:r>
          </w:p>
        </w:tc>
        <w:tc>
          <w:tcPr>
            <w:tcW w:w="60" w:type="dxa"/>
            <w:vAlign w:val="bottom"/>
          </w:tcPr>
          <w:p>
            <w:pPr>
              <w:spacing w:after="0"/>
              <w:rPr>
                <w:sz w:val="7"/>
                <w:szCs w:val="7"/>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1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restart"/>
          </w:tcPr>
          <w:p>
            <w:pPr>
              <w:jc w:val="center"/>
              <w:ind w:left="53"/>
              <w:spacing w:after="0" w:line="113" w:lineRule="exact"/>
              <w:rPr>
                <w:sz w:val="20"/>
                <w:szCs w:val="20"/>
                <w:color w:val="auto"/>
              </w:rPr>
            </w:pPr>
            <w:r>
              <w:rPr>
                <w:rFonts w:ascii="Arial" w:cs="Arial" w:eastAsia="Arial" w:hAnsi="Arial"/>
                <w:sz w:val="13"/>
                <w:szCs w:val="13"/>
                <w:b w:val="1"/>
                <w:bCs w:val="1"/>
                <w:color w:val="auto"/>
                <w:w w:val="89"/>
              </w:rPr>
              <w:t>2012</w:t>
            </w:r>
          </w:p>
        </w:tc>
        <w:tc>
          <w:tcPr>
            <w:tcW w:w="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940" w:type="dxa"/>
            <w:vAlign w:val="bottom"/>
            <w:gridSpan w:val="8"/>
          </w:tcPr>
          <w:p>
            <w:pPr>
              <w:jc w:val="right"/>
              <w:ind w:right="220"/>
              <w:spacing w:after="0"/>
              <w:rPr>
                <w:sz w:val="20"/>
                <w:szCs w:val="20"/>
                <w:color w:val="auto"/>
              </w:rPr>
            </w:pPr>
            <w:r>
              <w:rPr>
                <w:rFonts w:ascii="Arial" w:cs="Arial" w:eastAsia="Arial" w:hAnsi="Arial"/>
                <w:sz w:val="13"/>
                <w:szCs w:val="13"/>
                <w:color w:val="auto"/>
                <w:w w:val="97"/>
              </w:rPr>
              <w:t>(in thousands, except share and per share data)</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Numerator:</w:t>
            </w: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00" w:type="dxa"/>
            <w:vAlign w:val="bottom"/>
            <w:gridSpan w:val="2"/>
          </w:tcPr>
          <w:p>
            <w:pPr>
              <w:spacing w:after="0" w:line="188" w:lineRule="exact"/>
              <w:rPr>
                <w:sz w:val="20"/>
                <w:szCs w:val="20"/>
                <w:color w:val="auto"/>
              </w:rPr>
            </w:pPr>
            <w:r>
              <w:rPr>
                <w:rFonts w:ascii="Arial" w:cs="Arial" w:eastAsia="Arial" w:hAnsi="Arial"/>
                <w:sz w:val="17"/>
                <w:szCs w:val="17"/>
                <w:color w:val="auto"/>
              </w:rPr>
              <w:t>Net loss attributable to common stock shares</w:t>
            </w:r>
          </w:p>
        </w:tc>
        <w:tc>
          <w:tcPr>
            <w:tcW w:w="880" w:type="dxa"/>
            <w:vAlign w:val="bottom"/>
            <w:gridSpan w:val="2"/>
          </w:tcPr>
          <w:p>
            <w:pPr>
              <w:jc w:val="right"/>
              <w:ind w:right="40"/>
              <w:spacing w:after="0" w:line="188" w:lineRule="exact"/>
              <w:rPr>
                <w:sz w:val="20"/>
                <w:szCs w:val="20"/>
                <w:color w:val="auto"/>
              </w:rPr>
            </w:pPr>
            <w:r>
              <w:rPr>
                <w:rFonts w:ascii="Arial" w:cs="Arial" w:eastAsia="Arial" w:hAnsi="Arial"/>
                <w:sz w:val="17"/>
                <w:szCs w:val="17"/>
                <w:b w:val="1"/>
                <w:bCs w:val="1"/>
                <w:color w:val="auto"/>
              </w:rPr>
              <w:t>(5,644)</w:t>
            </w:r>
          </w:p>
        </w:tc>
        <w:tc>
          <w:tcPr>
            <w:tcW w:w="1000" w:type="dxa"/>
            <w:vAlign w:val="bottom"/>
            <w:gridSpan w:val="3"/>
          </w:tcPr>
          <w:p>
            <w:pPr>
              <w:jc w:val="right"/>
              <w:ind w:right="40"/>
              <w:spacing w:after="0" w:line="188" w:lineRule="exact"/>
              <w:rPr>
                <w:sz w:val="20"/>
                <w:szCs w:val="20"/>
                <w:color w:val="auto"/>
              </w:rPr>
            </w:pPr>
            <w:r>
              <w:rPr>
                <w:rFonts w:ascii="Arial" w:cs="Arial" w:eastAsia="Arial" w:hAnsi="Arial"/>
                <w:sz w:val="17"/>
                <w:szCs w:val="17"/>
                <w:color w:val="auto"/>
              </w:rPr>
              <w:t>(1,109)</w:t>
            </w:r>
          </w:p>
        </w:tc>
        <w:tc>
          <w:tcPr>
            <w:tcW w:w="1060" w:type="dxa"/>
            <w:vAlign w:val="bottom"/>
            <w:gridSpan w:val="3"/>
          </w:tcPr>
          <w:p>
            <w:pPr>
              <w:jc w:val="right"/>
              <w:ind w:right="60"/>
              <w:spacing w:after="0" w:line="188" w:lineRule="exact"/>
              <w:rPr>
                <w:sz w:val="20"/>
                <w:szCs w:val="20"/>
                <w:color w:val="auto"/>
              </w:rPr>
            </w:pPr>
            <w:r>
              <w:rPr>
                <w:rFonts w:ascii="Arial" w:cs="Arial" w:eastAsia="Arial" w:hAnsi="Arial"/>
                <w:sz w:val="17"/>
                <w:szCs w:val="17"/>
                <w:color w:val="auto"/>
              </w:rPr>
              <w:t>(43,190)</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00" w:type="dxa"/>
            <w:vAlign w:val="bottom"/>
            <w:gridSpan w:val="2"/>
          </w:tcPr>
          <w:p>
            <w:pPr>
              <w:ind w:left="160"/>
              <w:spacing w:after="0"/>
              <w:rPr>
                <w:sz w:val="20"/>
                <w:szCs w:val="20"/>
                <w:color w:val="auto"/>
              </w:rPr>
            </w:pPr>
            <w:r>
              <w:rPr>
                <w:rFonts w:ascii="Arial" w:cs="Arial" w:eastAsia="Arial" w:hAnsi="Arial"/>
                <w:sz w:val="17"/>
                <w:szCs w:val="17"/>
                <w:color w:val="auto"/>
              </w:rPr>
              <w:t>(basic and diluted)</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Denominator:</w:t>
            </w: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00" w:type="dxa"/>
            <w:vAlign w:val="bottom"/>
            <w:gridSpan w:val="2"/>
          </w:tcPr>
          <w:p>
            <w:pPr>
              <w:spacing w:after="0" w:line="188" w:lineRule="exact"/>
              <w:rPr>
                <w:sz w:val="20"/>
                <w:szCs w:val="20"/>
                <w:color w:val="auto"/>
              </w:rPr>
            </w:pPr>
            <w:r>
              <w:rPr>
                <w:rFonts w:ascii="Arial" w:cs="Arial" w:eastAsia="Arial" w:hAnsi="Arial"/>
                <w:sz w:val="17"/>
                <w:szCs w:val="17"/>
                <w:color w:val="auto"/>
              </w:rPr>
              <w:t>Weighted average number of common stock shares</w:t>
            </w:r>
          </w:p>
        </w:tc>
        <w:tc>
          <w:tcPr>
            <w:tcW w:w="880" w:type="dxa"/>
            <w:vAlign w:val="bottom"/>
            <w:gridSpan w:val="2"/>
          </w:tcPr>
          <w:p>
            <w:pPr>
              <w:jc w:val="right"/>
              <w:ind w:right="40"/>
              <w:spacing w:after="0" w:line="188" w:lineRule="exact"/>
              <w:rPr>
                <w:sz w:val="20"/>
                <w:szCs w:val="20"/>
                <w:color w:val="auto"/>
              </w:rPr>
            </w:pPr>
            <w:r>
              <w:rPr>
                <w:rFonts w:ascii="Arial" w:cs="Arial" w:eastAsia="Arial" w:hAnsi="Arial"/>
                <w:sz w:val="17"/>
                <w:szCs w:val="17"/>
                <w:b w:val="1"/>
                <w:bCs w:val="1"/>
                <w:color w:val="auto"/>
                <w:w w:val="96"/>
              </w:rPr>
              <w:t>12,173,409</w:t>
            </w:r>
          </w:p>
        </w:tc>
        <w:tc>
          <w:tcPr>
            <w:tcW w:w="100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5,554,385</w:t>
            </w:r>
          </w:p>
        </w:tc>
        <w:tc>
          <w:tcPr>
            <w:tcW w:w="10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2,216,110</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00" w:type="dxa"/>
            <w:vAlign w:val="bottom"/>
            <w:gridSpan w:val="2"/>
          </w:tcPr>
          <w:p>
            <w:pPr>
              <w:ind w:left="160"/>
              <w:spacing w:after="0"/>
              <w:rPr>
                <w:sz w:val="20"/>
                <w:szCs w:val="20"/>
                <w:color w:val="auto"/>
              </w:rPr>
            </w:pPr>
            <w:r>
              <w:rPr>
                <w:rFonts w:ascii="Arial" w:cs="Arial" w:eastAsia="Arial" w:hAnsi="Arial"/>
                <w:sz w:val="17"/>
                <w:szCs w:val="17"/>
                <w:color w:val="auto"/>
              </w:rPr>
              <w:t>outstanding during the period (basic and diluted)</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7"/>
              </w:rPr>
              <w:t>Weighted average number of penny stock options and</w:t>
            </w:r>
          </w:p>
        </w:tc>
        <w:tc>
          <w:tcPr>
            <w:tcW w:w="880" w:type="dxa"/>
            <w:vAlign w:val="bottom"/>
            <w:gridSpan w:val="2"/>
            <w:shd w:val="clear" w:color="auto" w:fill="CCFFCC"/>
          </w:tcPr>
          <w:p>
            <w:pPr>
              <w:jc w:val="right"/>
              <w:ind w:right="40"/>
              <w:spacing w:after="0" w:line="188" w:lineRule="exact"/>
              <w:rPr>
                <w:sz w:val="20"/>
                <w:szCs w:val="20"/>
                <w:color w:val="auto"/>
              </w:rPr>
            </w:pPr>
            <w:r>
              <w:rPr>
                <w:rFonts w:ascii="Arial" w:cs="Arial" w:eastAsia="Arial" w:hAnsi="Arial"/>
                <w:sz w:val="17"/>
                <w:szCs w:val="17"/>
                <w:b w:val="1"/>
                <w:bCs w:val="1"/>
                <w:color w:val="auto"/>
              </w:rPr>
              <w:t>198,063</w:t>
            </w:r>
          </w:p>
        </w:tc>
        <w:tc>
          <w:tcPr>
            <w:tcW w:w="100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169,868</w:t>
            </w:r>
          </w:p>
        </w:tc>
        <w:tc>
          <w:tcPr>
            <w:tcW w:w="106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56,597</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0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warrants (basic and diluted)</w:t>
            </w: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0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Basic and diluted shares of common stock</w:t>
            </w:r>
          </w:p>
        </w:tc>
        <w:tc>
          <w:tcPr>
            <w:tcW w:w="880" w:type="dxa"/>
            <w:vAlign w:val="bottom"/>
            <w:gridSpan w:val="2"/>
          </w:tcPr>
          <w:p>
            <w:pPr>
              <w:jc w:val="right"/>
              <w:ind w:right="40"/>
              <w:spacing w:after="0" w:line="176" w:lineRule="exact"/>
              <w:rPr>
                <w:sz w:val="20"/>
                <w:szCs w:val="20"/>
                <w:color w:val="auto"/>
              </w:rPr>
            </w:pPr>
            <w:r>
              <w:rPr>
                <w:rFonts w:ascii="Arial" w:cs="Arial" w:eastAsia="Arial" w:hAnsi="Arial"/>
                <w:sz w:val="17"/>
                <w:szCs w:val="17"/>
                <w:b w:val="1"/>
                <w:bCs w:val="1"/>
                <w:color w:val="auto"/>
                <w:w w:val="96"/>
              </w:rPr>
              <w:t>12,371,472</w:t>
            </w:r>
          </w:p>
        </w:tc>
        <w:tc>
          <w:tcPr>
            <w:tcW w:w="100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5,724,253</w:t>
            </w:r>
          </w:p>
        </w:tc>
        <w:tc>
          <w:tcPr>
            <w:tcW w:w="1060" w:type="dxa"/>
            <w:vAlign w:val="bottom"/>
            <w:gridSpan w:val="3"/>
          </w:tcPr>
          <w:p>
            <w:pPr>
              <w:jc w:val="right"/>
              <w:ind w:right="120"/>
              <w:spacing w:after="0" w:line="176" w:lineRule="exact"/>
              <w:rPr>
                <w:sz w:val="20"/>
                <w:szCs w:val="20"/>
                <w:color w:val="auto"/>
              </w:rPr>
            </w:pPr>
            <w:r>
              <w:rPr>
                <w:rFonts w:ascii="Arial" w:cs="Arial" w:eastAsia="Arial" w:hAnsi="Arial"/>
                <w:sz w:val="17"/>
                <w:szCs w:val="17"/>
                <w:color w:val="auto"/>
              </w:rPr>
              <w:t>2,272,707</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gridSpan w:val="2"/>
          </w:tcPr>
          <w:p>
            <w:pPr>
              <w:ind w:left="160"/>
              <w:spacing w:after="0"/>
              <w:rPr>
                <w:sz w:val="20"/>
                <w:szCs w:val="20"/>
                <w:color w:val="auto"/>
              </w:rPr>
            </w:pPr>
            <w:r>
              <w:rPr>
                <w:rFonts w:ascii="Arial" w:cs="Arial" w:eastAsia="Arial" w:hAnsi="Arial"/>
                <w:sz w:val="17"/>
                <w:szCs w:val="17"/>
                <w:b w:val="1"/>
                <w:bCs w:val="1"/>
                <w:color w:val="auto"/>
              </w:rPr>
              <w:t>outstanding</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00" w:type="dxa"/>
            <w:vAlign w:val="bottom"/>
            <w:gridSpan w:val="2"/>
            <w:shd w:val="clear" w:color="auto" w:fill="CCFFCC"/>
          </w:tcPr>
          <w:p>
            <w:pPr>
              <w:spacing w:after="0" w:line="176" w:lineRule="exact"/>
              <w:rPr>
                <w:sz w:val="20"/>
                <w:szCs w:val="20"/>
                <w:color w:val="auto"/>
              </w:rPr>
            </w:pPr>
            <w:r>
              <w:rPr>
                <w:rFonts w:ascii="Arial" w:cs="Arial" w:eastAsia="Arial" w:hAnsi="Arial"/>
                <w:sz w:val="17"/>
                <w:szCs w:val="17"/>
                <w:b w:val="1"/>
                <w:bCs w:val="1"/>
                <w:color w:val="auto"/>
                <w:w w:val="97"/>
              </w:rPr>
              <w:t>Basic and diluted net losses per share of common</w:t>
            </w:r>
          </w:p>
        </w:tc>
        <w:tc>
          <w:tcPr>
            <w:tcW w:w="880" w:type="dxa"/>
            <w:vAlign w:val="bottom"/>
            <w:gridSpan w:val="2"/>
            <w:shd w:val="clear" w:color="auto" w:fill="CCFFCC"/>
          </w:tcPr>
          <w:p>
            <w:pPr>
              <w:jc w:val="right"/>
              <w:ind w:right="40"/>
              <w:spacing w:after="0" w:line="176" w:lineRule="exact"/>
              <w:rPr>
                <w:sz w:val="20"/>
                <w:szCs w:val="20"/>
                <w:color w:val="auto"/>
              </w:rPr>
            </w:pPr>
            <w:r>
              <w:rPr>
                <w:rFonts w:ascii="Arial" w:cs="Arial" w:eastAsia="Arial" w:hAnsi="Arial"/>
                <w:sz w:val="17"/>
                <w:szCs w:val="17"/>
                <w:b w:val="1"/>
                <w:bCs w:val="1"/>
                <w:color w:val="auto"/>
              </w:rPr>
              <w:t>(0.46)</w:t>
            </w:r>
          </w:p>
        </w:tc>
        <w:tc>
          <w:tcPr>
            <w:tcW w:w="1000" w:type="dxa"/>
            <w:vAlign w:val="bottom"/>
            <w:gridSpan w:val="3"/>
            <w:shd w:val="clear" w:color="auto" w:fill="CCFFCC"/>
          </w:tcPr>
          <w:p>
            <w:pPr>
              <w:jc w:val="right"/>
              <w:ind w:right="40"/>
              <w:spacing w:after="0" w:line="176" w:lineRule="exact"/>
              <w:rPr>
                <w:sz w:val="20"/>
                <w:szCs w:val="20"/>
                <w:color w:val="auto"/>
              </w:rPr>
            </w:pPr>
            <w:r>
              <w:rPr>
                <w:rFonts w:ascii="Arial" w:cs="Arial" w:eastAsia="Arial" w:hAnsi="Arial"/>
                <w:sz w:val="17"/>
                <w:szCs w:val="17"/>
                <w:color w:val="auto"/>
              </w:rPr>
              <w:t>(0.19)</w:t>
            </w:r>
          </w:p>
        </w:tc>
        <w:tc>
          <w:tcPr>
            <w:tcW w:w="1060" w:type="dxa"/>
            <w:vAlign w:val="bottom"/>
            <w:gridSpan w:val="3"/>
            <w:shd w:val="clear" w:color="auto" w:fill="CCFFCC"/>
          </w:tcPr>
          <w:p>
            <w:pPr>
              <w:jc w:val="right"/>
              <w:ind w:right="60"/>
              <w:spacing w:after="0" w:line="176" w:lineRule="exact"/>
              <w:rPr>
                <w:sz w:val="20"/>
                <w:szCs w:val="20"/>
                <w:color w:val="auto"/>
              </w:rPr>
            </w:pPr>
            <w:r>
              <w:rPr>
                <w:rFonts w:ascii="Arial" w:cs="Arial" w:eastAsia="Arial" w:hAnsi="Arial"/>
                <w:sz w:val="17"/>
                <w:szCs w:val="17"/>
                <w:color w:val="auto"/>
              </w:rPr>
              <w:t>(19.00)</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b w:val="1"/>
                <w:bCs w:val="1"/>
                <w:color w:val="auto"/>
              </w:rPr>
              <w:t>stock</w:t>
            </w:r>
          </w:p>
        </w:tc>
        <w:tc>
          <w:tcPr>
            <w:tcW w:w="820" w:type="dxa"/>
            <w:vAlign w:val="bottom"/>
            <w:tcBorders>
              <w:bottom w:val="single" w:sz="8" w:color="auto"/>
            </w:tcBorders>
            <w:shd w:val="clear" w:color="auto" w:fill="CCFFCC"/>
          </w:tcPr>
          <w:p>
            <w:pPr>
              <w:spacing w:after="0"/>
              <w:rPr>
                <w:sz w:val="22"/>
                <w:szCs w:val="22"/>
                <w:color w:val="auto"/>
              </w:rPr>
            </w:pPr>
          </w:p>
        </w:tc>
        <w:tc>
          <w:tcPr>
            <w:tcW w:w="6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4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4"/>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F-12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2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-2291080</wp:posOffset>
            </wp:positionV>
            <wp:extent cx="5727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727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-1137285</wp:posOffset>
            </wp:positionV>
            <wp:extent cx="4408170" cy="2705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408170" cy="270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408170" cy="317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0" w:name="page231"/>
    <w:bookmarkEnd w:id="23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3 — Fair Value Measurements</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Company measures fair value in accordance with ASC 820-10,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(formerly SFAS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49"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Level 1 Inputs</w:t>
      </w:r>
      <w:r>
        <w:rPr>
          <w:rFonts w:ascii="Arial" w:cs="Arial" w:eastAsia="Arial" w:hAnsi="Arial"/>
          <w:sz w:val="17"/>
          <w:szCs w:val="17"/>
          <w:color w:val="auto"/>
        </w:rPr>
        <w:t>: Unadjusted quoted prices in active markets for identical assets or liabilities accessible to the reporting entity at</w:t>
      </w:r>
      <w:r>
        <w:rPr>
          <w:rFonts w:ascii="Arial" w:cs="Arial" w:eastAsia="Arial" w:hAnsi="Arial"/>
          <w:sz w:val="17"/>
          <w:szCs w:val="17"/>
          <w:b w:val="1"/>
          <w:bCs w:val="1"/>
          <w:color w:val="auto"/>
        </w:rPr>
        <w:t xml:space="preserve"> </w:t>
      </w:r>
      <w:r>
        <w:rPr>
          <w:rFonts w:ascii="Arial" w:cs="Arial" w:eastAsia="Arial" w:hAnsi="Arial"/>
          <w:sz w:val="17"/>
          <w:szCs w:val="17"/>
          <w:color w:val="auto"/>
        </w:rPr>
        <w:t>the measurement date.</w:t>
      </w:r>
    </w:p>
    <w:p>
      <w:pPr>
        <w:spacing w:after="0" w:line="58"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Level 2 Inputs</w:t>
      </w:r>
      <w:r>
        <w:rPr>
          <w:rFonts w:ascii="Arial" w:cs="Arial" w:eastAsia="Arial" w:hAnsi="Arial"/>
          <w:sz w:val="17"/>
          <w:szCs w:val="17"/>
          <w:color w:val="auto"/>
        </w:rPr>
        <w:t>: Other than quoted prices included in Level 1 inputs that are observable for the asset or liability, either 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or indirectly, for substantially the full term of the asset or liability.</w:t>
      </w:r>
    </w:p>
    <w:p>
      <w:pPr>
        <w:spacing w:after="0" w:line="58" w:lineRule="exact"/>
        <w:rPr>
          <w:sz w:val="20"/>
          <w:szCs w:val="20"/>
          <w:color w:val="auto"/>
        </w:rPr>
      </w:pPr>
    </w:p>
    <w:p>
      <w:pPr>
        <w:jc w:val="both"/>
        <w:ind w:left="40" w:right="1239" w:firstLine="251"/>
        <w:spacing w:after="0" w:line="254" w:lineRule="auto"/>
        <w:rPr>
          <w:sz w:val="20"/>
          <w:szCs w:val="20"/>
          <w:color w:val="auto"/>
        </w:rPr>
      </w:pPr>
      <w:r>
        <w:rPr>
          <w:rFonts w:ascii="Arial" w:cs="Arial" w:eastAsia="Arial" w:hAnsi="Arial"/>
          <w:sz w:val="17"/>
          <w:szCs w:val="17"/>
          <w:b w:val="1"/>
          <w:bCs w:val="1"/>
          <w:color w:val="auto"/>
        </w:rPr>
        <w:t>Level 3 Inputs</w:t>
      </w:r>
      <w:r>
        <w:rPr>
          <w:rFonts w:ascii="Arial" w:cs="Arial" w:eastAsia="Arial" w:hAnsi="Arial"/>
          <w:sz w:val="17"/>
          <w:szCs w:val="17"/>
          <w:color w:val="auto"/>
        </w:rPr>
        <w:t>: Unobservable inputs for the asset or liability used to measure fair value to the extent that observable inputs are</w:t>
      </w:r>
      <w:r>
        <w:rPr>
          <w:rFonts w:ascii="Arial" w:cs="Arial" w:eastAsia="Arial" w:hAnsi="Arial"/>
          <w:sz w:val="17"/>
          <w:szCs w:val="17"/>
          <w:b w:val="1"/>
          <w:bCs w:val="1"/>
          <w:color w:val="auto"/>
        </w:rPr>
        <w:t xml:space="preserve"> </w:t>
      </w:r>
      <w:r>
        <w:rPr>
          <w:rFonts w:ascii="Arial" w:cs="Arial" w:eastAsia="Arial" w:hAnsi="Arial"/>
          <w:sz w:val="17"/>
          <w:szCs w:val="17"/>
          <w:color w:val="auto"/>
        </w:rPr>
        <w:t>not available, thereby 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7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Company measures its cash equivalents and derivative liabilities at fair value. Cash equivalents are classified within Level 1 because they are valued using quoted active market prices. The Special Bridge Warrants, Conversion Warrants and Preferential Reload Warrants (refer to Note 5) are classified within Level 3 because they are valued using the Black-Scholes-Merton and the Monte-Carlo models (as these warrants include a down-round protection clause), which utilize significant inputs that are unobservable in the market such as the expected stock price volatility and the dividend yield, and the remaining period of time the warrants will be outstanding before they expire.</w:t>
      </w:r>
    </w:p>
    <w:p>
      <w:pPr>
        <w:spacing w:after="0" w:line="81" w:lineRule="exact"/>
        <w:rPr>
          <w:sz w:val="20"/>
          <w:szCs w:val="20"/>
          <w:color w:val="auto"/>
        </w:rPr>
      </w:pPr>
    </w:p>
    <w:p>
      <w:pPr>
        <w:ind w:left="40" w:right="1239" w:firstLine="251"/>
        <w:spacing w:after="0" w:line="280" w:lineRule="auto"/>
        <w:rPr>
          <w:sz w:val="20"/>
          <w:szCs w:val="20"/>
          <w:color w:val="auto"/>
        </w:rPr>
      </w:pPr>
      <w:r>
        <w:rPr>
          <w:rFonts w:ascii="Arial" w:cs="Arial" w:eastAsia="Arial" w:hAnsi="Arial"/>
          <w:sz w:val="16"/>
          <w:szCs w:val="16"/>
          <w:color w:val="auto"/>
        </w:rPr>
        <w:t>The following table presents the Company’s assets and liabilities measured at fair value on a recurring basis as of March 31, 2012 and December 31, 2011, aggregated by the level in the fair-value hierarchy within which those measurements 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3"/>
                <w:szCs w:val="13"/>
                <w:b w:val="1"/>
                <w:bCs w:val="1"/>
                <w:color w:val="auto"/>
                <w:w w:val="98"/>
              </w:rPr>
              <w:t>Fair value measurement at reporting date using</w:t>
            </w:r>
          </w:p>
        </w:tc>
        <w:tc>
          <w:tcPr>
            <w:tcW w:w="3100" w:type="dxa"/>
            <w:vAlign w:val="bottom"/>
          </w:tcPr>
          <w:p>
            <w:pPr>
              <w:spacing w:after="0"/>
              <w:rPr>
                <w:sz w:val="14"/>
                <w:szCs w:val="14"/>
                <w:color w:val="auto"/>
              </w:rPr>
            </w:pPr>
          </w:p>
        </w:tc>
      </w:tr>
      <w:tr>
        <w:trPr>
          <w:trHeight w:val="148"/>
        </w:trPr>
        <w:tc>
          <w:tcPr>
            <w:tcW w:w="272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94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99"/>
              </w:rPr>
              <w:t>March 31,</w:t>
            </w:r>
          </w:p>
        </w:tc>
        <w:tc>
          <w:tcPr>
            <w:tcW w:w="9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Quoted prices</w:t>
            </w:r>
          </w:p>
        </w:tc>
        <w:tc>
          <w:tcPr>
            <w:tcW w:w="160" w:type="dxa"/>
            <w:vAlign w:val="bottom"/>
          </w:tcPr>
          <w:p>
            <w:pPr>
              <w:spacing w:after="0"/>
              <w:rPr>
                <w:sz w:val="12"/>
                <w:szCs w:val="12"/>
                <w:color w:val="auto"/>
              </w:rPr>
            </w:pPr>
          </w:p>
        </w:tc>
        <w:tc>
          <w:tcPr>
            <w:tcW w:w="9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Significant</w:t>
            </w:r>
          </w:p>
        </w:tc>
        <w:tc>
          <w:tcPr>
            <w:tcW w:w="160" w:type="dxa"/>
            <w:vAlign w:val="bottom"/>
          </w:tcPr>
          <w:p>
            <w:pPr>
              <w:spacing w:after="0"/>
              <w:rPr>
                <w:sz w:val="12"/>
                <w:szCs w:val="12"/>
                <w:color w:val="auto"/>
              </w:rPr>
            </w:pPr>
          </w:p>
        </w:tc>
        <w:tc>
          <w:tcPr>
            <w:tcW w:w="100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93"/>
              </w:rPr>
              <w:t>Significant</w:t>
            </w:r>
          </w:p>
        </w:tc>
        <w:tc>
          <w:tcPr>
            <w:tcW w:w="3100" w:type="dxa"/>
            <w:vAlign w:val="bottom"/>
          </w:tcPr>
          <w:p>
            <w:pPr>
              <w:spacing w:after="0"/>
              <w:rPr>
                <w:sz w:val="12"/>
                <w:szCs w:val="12"/>
                <w:color w:val="auto"/>
              </w:rPr>
            </w:pPr>
          </w:p>
        </w:tc>
      </w:tr>
      <w:tr>
        <w:trPr>
          <w:trHeight w:val="138"/>
        </w:trPr>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gridSpan w:val="2"/>
          </w:tcPr>
          <w:p>
            <w:pPr>
              <w:jc w:val="right"/>
              <w:ind w:right="85"/>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 active</w:t>
            </w:r>
          </w:p>
        </w:tc>
        <w:tc>
          <w:tcPr>
            <w:tcW w:w="16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unobservable</w:t>
            </w:r>
          </w:p>
        </w:tc>
        <w:tc>
          <w:tcPr>
            <w:tcW w:w="310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5"/>
              </w:rPr>
              <w:t>markets for</w:t>
            </w:r>
          </w:p>
        </w:tc>
        <w:tc>
          <w:tcPr>
            <w:tcW w:w="16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observable</w:t>
            </w:r>
          </w:p>
        </w:tc>
        <w:tc>
          <w:tcPr>
            <w:tcW w:w="16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c>
          <w:tcPr>
            <w:tcW w:w="310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6"/>
              </w:rPr>
              <w:t>identical assets</w:t>
            </w:r>
          </w:p>
        </w:tc>
        <w:tc>
          <w:tcPr>
            <w:tcW w:w="16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1"/>
                <w:szCs w:val="11"/>
                <w:color w:val="auto"/>
              </w:rPr>
            </w:pPr>
          </w:p>
        </w:tc>
        <w:tc>
          <w:tcPr>
            <w:tcW w:w="10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4"/>
              </w:rPr>
              <w:t>(Level 3)</w:t>
            </w:r>
          </w:p>
        </w:tc>
        <w:tc>
          <w:tcPr>
            <w:tcW w:w="3100" w:type="dxa"/>
            <w:vAlign w:val="bottom"/>
          </w:tcPr>
          <w:p>
            <w:pPr>
              <w:spacing w:after="0"/>
              <w:rPr>
                <w:sz w:val="11"/>
                <w:szCs w:val="1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2)</w:t>
            </w: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00" w:type="dxa"/>
            <w:vAlign w:val="bottom"/>
          </w:tcPr>
          <w:p>
            <w:pPr>
              <w:spacing w:after="0"/>
              <w:rPr>
                <w:sz w:val="13"/>
                <w:szCs w:val="13"/>
                <w:color w:val="auto"/>
              </w:rPr>
            </w:pPr>
          </w:p>
        </w:tc>
      </w:tr>
      <w:tr>
        <w:trPr>
          <w:trHeight w:val="188"/>
        </w:trPr>
        <w:tc>
          <w:tcPr>
            <w:tcW w:w="1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ind w:left="660"/>
              <w:spacing w:after="0"/>
              <w:rPr>
                <w:sz w:val="20"/>
                <w:szCs w:val="20"/>
                <w:color w:val="auto"/>
              </w:rPr>
            </w:pPr>
            <w:r>
              <w:rPr>
                <w:rFonts w:ascii="Arial" w:cs="Arial" w:eastAsia="Arial" w:hAnsi="Arial"/>
                <w:sz w:val="13"/>
                <w:szCs w:val="13"/>
                <w:color w:val="auto"/>
              </w:rPr>
              <w:t>U.S.$ thousands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06"/>
        </w:trPr>
        <w:tc>
          <w:tcPr>
            <w:tcW w:w="272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r>
      <w:tr>
        <w:trPr>
          <w:trHeight w:val="200"/>
        </w:trPr>
        <w:tc>
          <w:tcPr>
            <w:tcW w:w="2720" w:type="dxa"/>
            <w:vAlign w:val="bottom"/>
            <w:gridSpan w:val="2"/>
          </w:tcPr>
          <w:p>
            <w:pPr>
              <w:spacing w:after="0"/>
              <w:rPr>
                <w:sz w:val="20"/>
                <w:szCs w:val="20"/>
                <w:color w:val="auto"/>
              </w:rPr>
            </w:pPr>
            <w:r>
              <w:rPr>
                <w:rFonts w:ascii="Arial" w:cs="Arial" w:eastAsia="Arial" w:hAnsi="Arial"/>
                <w:sz w:val="17"/>
                <w:szCs w:val="17"/>
                <w:color w:val="auto"/>
              </w:rPr>
              <w:t>Cash equivalents</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351</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351</w:t>
            </w:r>
          </w:p>
        </w:tc>
        <w:tc>
          <w:tcPr>
            <w:tcW w:w="160" w:type="dxa"/>
            <w:vAlign w:val="bottom"/>
          </w:tcPr>
          <w:p>
            <w:pPr>
              <w:spacing w:after="0"/>
              <w:rPr>
                <w:sz w:val="17"/>
                <w:szCs w:val="17"/>
                <w:color w:val="auto"/>
              </w:rPr>
            </w:pP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272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Total assets</w:t>
            </w:r>
          </w:p>
        </w:tc>
        <w:tc>
          <w:tcPr>
            <w:tcW w:w="960" w:type="dxa"/>
            <w:vAlign w:val="bottom"/>
            <w:gridSpan w:val="3"/>
            <w:shd w:val="clear" w:color="auto" w:fill="CCFFCC"/>
          </w:tcPr>
          <w:p>
            <w:pPr>
              <w:jc w:val="right"/>
              <w:ind w:right="100"/>
              <w:spacing w:after="0" w:line="191" w:lineRule="exact"/>
              <w:rPr>
                <w:sz w:val="20"/>
                <w:szCs w:val="20"/>
                <w:color w:val="auto"/>
              </w:rPr>
            </w:pPr>
            <w:r>
              <w:rPr>
                <w:rFonts w:ascii="Arial" w:cs="Arial" w:eastAsia="Arial" w:hAnsi="Arial"/>
                <w:sz w:val="17"/>
                <w:szCs w:val="17"/>
                <w:b w:val="1"/>
                <w:bCs w:val="1"/>
                <w:color w:val="auto"/>
              </w:rPr>
              <w:t>351</w:t>
            </w:r>
          </w:p>
        </w:tc>
        <w:tc>
          <w:tcPr>
            <w:tcW w:w="140" w:type="dxa"/>
            <w:vAlign w:val="bottom"/>
            <w:shd w:val="clear" w:color="auto" w:fill="CCFFCC"/>
          </w:tcPr>
          <w:p>
            <w:pPr>
              <w:spacing w:after="0"/>
              <w:rPr>
                <w:sz w:val="16"/>
                <w:szCs w:val="16"/>
                <w:color w:val="auto"/>
              </w:rPr>
            </w:pPr>
          </w:p>
        </w:tc>
        <w:tc>
          <w:tcPr>
            <w:tcW w:w="900" w:type="dxa"/>
            <w:vAlign w:val="bottom"/>
            <w:gridSpan w:val="2"/>
            <w:shd w:val="clear" w:color="auto" w:fill="CCFFCC"/>
          </w:tcPr>
          <w:p>
            <w:pPr>
              <w:jc w:val="right"/>
              <w:ind w:right="140"/>
              <w:spacing w:after="0" w:line="191" w:lineRule="exact"/>
              <w:rPr>
                <w:sz w:val="20"/>
                <w:szCs w:val="20"/>
                <w:color w:val="auto"/>
              </w:rPr>
            </w:pPr>
            <w:r>
              <w:rPr>
                <w:rFonts w:ascii="Arial" w:cs="Arial" w:eastAsia="Arial" w:hAnsi="Arial"/>
                <w:sz w:val="17"/>
                <w:szCs w:val="17"/>
                <w:color w:val="auto"/>
              </w:rPr>
              <w:t>351</w:t>
            </w:r>
          </w:p>
        </w:tc>
        <w:tc>
          <w:tcPr>
            <w:tcW w:w="160" w:type="dxa"/>
            <w:vAlign w:val="bottom"/>
            <w:shd w:val="clear" w:color="auto" w:fill="CCFFCC"/>
          </w:tcPr>
          <w:p>
            <w:pPr>
              <w:spacing w:after="0"/>
              <w:rPr>
                <w:sz w:val="16"/>
                <w:szCs w:val="16"/>
                <w:color w:val="auto"/>
              </w:rPr>
            </w:pPr>
          </w:p>
        </w:tc>
        <w:tc>
          <w:tcPr>
            <w:tcW w:w="900" w:type="dxa"/>
            <w:vAlign w:val="bottom"/>
            <w:gridSpan w:val="2"/>
            <w:shd w:val="clear" w:color="auto" w:fill="CCFFCC"/>
          </w:tcPr>
          <w:p>
            <w:pPr>
              <w:ind w:left="560"/>
              <w:spacing w:after="0" w:line="191"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7"/>
                <w:szCs w:val="17"/>
                <w:color w:val="auto"/>
              </w:rPr>
              <w:t>—</w:t>
            </w:r>
          </w:p>
        </w:tc>
        <w:tc>
          <w:tcPr>
            <w:tcW w:w="3100" w:type="dxa"/>
            <w:vAlign w:val="bottom"/>
          </w:tcPr>
          <w:p>
            <w:pPr>
              <w:spacing w:after="0"/>
              <w:rPr>
                <w:sz w:val="16"/>
                <w:szCs w:val="16"/>
                <w:color w:val="auto"/>
              </w:rPr>
            </w:pPr>
          </w:p>
        </w:tc>
      </w:tr>
      <w:tr>
        <w:trPr>
          <w:trHeight w:val="200"/>
        </w:trPr>
        <w:tc>
          <w:tcPr>
            <w:tcW w:w="272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88"/>
        </w:trPr>
        <w:tc>
          <w:tcPr>
            <w:tcW w:w="272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Derivative liabilities on account of</w:t>
            </w:r>
          </w:p>
        </w:tc>
        <w:tc>
          <w:tcPr>
            <w:tcW w:w="96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1,836</w:t>
            </w:r>
          </w:p>
        </w:tc>
        <w:tc>
          <w:tcPr>
            <w:tcW w:w="140" w:type="dxa"/>
            <w:vAlign w:val="bottom"/>
            <w:shd w:val="clear" w:color="auto" w:fill="CCFFCC"/>
          </w:tcPr>
          <w:p>
            <w:pPr>
              <w:spacing w:after="0"/>
              <w:rPr>
                <w:sz w:val="16"/>
                <w:szCs w:val="16"/>
                <w:color w:val="auto"/>
              </w:rPr>
            </w:pPr>
          </w:p>
        </w:tc>
        <w:tc>
          <w:tcPr>
            <w:tcW w:w="9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900" w:type="dxa"/>
            <w:vAlign w:val="bottom"/>
            <w:gridSpan w:val="2"/>
            <w:shd w:val="clear" w:color="auto" w:fill="CCFFCC"/>
          </w:tcPr>
          <w:p>
            <w:pPr>
              <w:ind w:left="560"/>
              <w:spacing w:after="0" w:line="188" w:lineRule="exact"/>
              <w:rPr>
                <w:sz w:val="20"/>
                <w:szCs w:val="20"/>
                <w:color w:val="auto"/>
              </w:rPr>
            </w:pPr>
            <w:r>
              <w:rPr>
                <w:rFonts w:ascii="Arial" w:cs="Arial" w:eastAsia="Arial" w:hAnsi="Arial"/>
                <w:sz w:val="17"/>
                <w:szCs w:val="17"/>
                <w:color w:val="auto"/>
              </w:rPr>
              <w:t>—</w:t>
            </w:r>
          </w:p>
        </w:tc>
        <w:tc>
          <w:tcPr>
            <w:tcW w:w="116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1,836</w:t>
            </w:r>
          </w:p>
        </w:tc>
        <w:tc>
          <w:tcPr>
            <w:tcW w:w="3100" w:type="dxa"/>
            <w:vAlign w:val="bottom"/>
          </w:tcPr>
          <w:p>
            <w:pPr>
              <w:spacing w:after="0"/>
              <w:rPr>
                <w:sz w:val="16"/>
                <w:szCs w:val="16"/>
                <w:color w:val="auto"/>
              </w:rPr>
            </w:pPr>
          </w:p>
        </w:tc>
      </w:tr>
      <w:tr>
        <w:trPr>
          <w:trHeight w:val="253"/>
        </w:trPr>
        <w:tc>
          <w:tcPr>
            <w:tcW w:w="272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warrants</w:t>
            </w:r>
          </w:p>
        </w:tc>
        <w:tc>
          <w:tcPr>
            <w:tcW w:w="16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3100" w:type="dxa"/>
            <w:vAlign w:val="bottom"/>
          </w:tcPr>
          <w:p>
            <w:pPr>
              <w:spacing w:after="0"/>
              <w:rPr>
                <w:sz w:val="21"/>
                <w:szCs w:val="21"/>
                <w:color w:val="auto"/>
              </w:rPr>
            </w:pPr>
          </w:p>
        </w:tc>
      </w:tr>
      <w:tr>
        <w:trPr>
          <w:trHeight w:val="191"/>
        </w:trPr>
        <w:tc>
          <w:tcPr>
            <w:tcW w:w="2720" w:type="dxa"/>
            <w:vAlign w:val="bottom"/>
            <w:gridSpan w:val="2"/>
          </w:tcPr>
          <w:p>
            <w:pPr>
              <w:spacing w:after="0" w:line="191" w:lineRule="exact"/>
              <w:rPr>
                <w:sz w:val="20"/>
                <w:szCs w:val="20"/>
                <w:color w:val="auto"/>
              </w:rPr>
            </w:pPr>
            <w:r>
              <w:rPr>
                <w:rFonts w:ascii="Arial" w:cs="Arial" w:eastAsia="Arial" w:hAnsi="Arial"/>
                <w:sz w:val="17"/>
                <w:szCs w:val="17"/>
                <w:b w:val="1"/>
                <w:bCs w:val="1"/>
                <w:color w:val="auto"/>
              </w:rPr>
              <w:t>Total liabilities</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91" w:lineRule="exact"/>
              <w:rPr>
                <w:sz w:val="20"/>
                <w:szCs w:val="20"/>
                <w:color w:val="auto"/>
              </w:rPr>
            </w:pPr>
            <w:r>
              <w:rPr>
                <w:rFonts w:ascii="Arial" w:cs="Arial" w:eastAsia="Arial" w:hAnsi="Arial"/>
                <w:sz w:val="17"/>
                <w:szCs w:val="17"/>
                <w:b w:val="1"/>
                <w:bCs w:val="1"/>
                <w:color w:val="auto"/>
              </w:rPr>
              <w:t>1,836</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line="191"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00" w:type="dxa"/>
            <w:vAlign w:val="bottom"/>
            <w:gridSpan w:val="2"/>
          </w:tcPr>
          <w:p>
            <w:pPr>
              <w:ind w:left="560"/>
              <w:spacing w:after="0" w:line="191" w:lineRule="exact"/>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120"/>
              <w:spacing w:after="0" w:line="191" w:lineRule="exact"/>
              <w:rPr>
                <w:sz w:val="20"/>
                <w:szCs w:val="20"/>
                <w:color w:val="auto"/>
              </w:rPr>
            </w:pPr>
            <w:r>
              <w:rPr>
                <w:rFonts w:ascii="Arial" w:cs="Arial" w:eastAsia="Arial" w:hAnsi="Arial"/>
                <w:sz w:val="17"/>
                <w:szCs w:val="17"/>
                <w:color w:val="auto"/>
              </w:rPr>
              <w:t>1,836</w:t>
            </w:r>
          </w:p>
        </w:tc>
        <w:tc>
          <w:tcPr>
            <w:tcW w:w="310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717"/>
        </w:trPr>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F-13</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-779145</wp:posOffset>
            </wp:positionV>
            <wp:extent cx="4408170" cy="1911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408170" cy="19113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1" w:name="page232"/>
    <w:bookmarkEnd w:id="2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8"/>
          </w:tcPr>
          <w:p>
            <w:pPr>
              <w:jc w:val="center"/>
              <w:ind w:left="121"/>
              <w:spacing w:after="0"/>
              <w:rPr>
                <w:sz w:val="20"/>
                <w:szCs w:val="20"/>
                <w:color w:val="auto"/>
              </w:rPr>
            </w:pPr>
            <w:r>
              <w:rPr>
                <w:rFonts w:ascii="Arial" w:cs="Arial" w:eastAsia="Arial" w:hAnsi="Arial"/>
                <w:sz w:val="17"/>
                <w:szCs w:val="17"/>
                <w:b w:val="1"/>
                <w:bCs w:val="1"/>
                <w:color w:val="auto"/>
                <w:w w:val="90"/>
              </w:rPr>
              <w:t>Vringo, Inc. and Subsidiary</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8"/>
          </w:tcPr>
          <w:p>
            <w:pPr>
              <w:jc w:val="center"/>
              <w:ind w:left="121"/>
              <w:spacing w:after="0"/>
              <w:rPr>
                <w:sz w:val="20"/>
                <w:szCs w:val="20"/>
                <w:color w:val="auto"/>
              </w:rPr>
            </w:pPr>
            <w:r>
              <w:rPr>
                <w:rFonts w:ascii="Arial" w:cs="Arial" w:eastAsia="Arial" w:hAnsi="Arial"/>
                <w:sz w:val="17"/>
                <w:szCs w:val="17"/>
                <w:b w:val="1"/>
                <w:bCs w:val="1"/>
                <w:color w:val="auto"/>
                <w:w w:val="88"/>
              </w:rPr>
              <w:t>(a Development Stage 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5"/>
        </w:trPr>
        <w:tc>
          <w:tcPr>
            <w:tcW w:w="6940" w:type="dxa"/>
            <w:vAlign w:val="bottom"/>
            <w:gridSpan w:val="13"/>
          </w:tcPr>
          <w:p>
            <w:pPr>
              <w:jc w:val="center"/>
              <w:ind w:left="1839"/>
              <w:spacing w:after="0"/>
              <w:rPr>
                <w:sz w:val="20"/>
                <w:szCs w:val="20"/>
                <w:color w:val="auto"/>
              </w:rPr>
            </w:pPr>
            <w:r>
              <w:rPr>
                <w:rFonts w:ascii="Arial" w:cs="Arial" w:eastAsia="Arial" w:hAnsi="Arial"/>
                <w:sz w:val="17"/>
                <w:szCs w:val="17"/>
                <w:b w:val="1"/>
                <w:bCs w:val="1"/>
                <w:color w:val="auto"/>
                <w:w w:val="98"/>
              </w:rPr>
              <w:t>NOTES TO CONSOLIDATED FINANCIAL STATEMENTS</w:t>
            </w:r>
          </w:p>
        </w:tc>
      </w:tr>
      <w:tr>
        <w:trPr>
          <w:trHeight w:val="217"/>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left="88"/>
              <w:spacing w:after="0"/>
              <w:rPr>
                <w:sz w:val="20"/>
                <w:szCs w:val="20"/>
                <w:color w:val="auto"/>
              </w:rPr>
            </w:pPr>
            <w:r>
              <w:rPr>
                <w:rFonts w:ascii="Arial" w:cs="Arial" w:eastAsia="Arial" w:hAnsi="Arial"/>
                <w:sz w:val="17"/>
                <w:szCs w:val="17"/>
                <w:b w:val="1"/>
                <w:bCs w:val="1"/>
                <w:color w:val="auto"/>
                <w:w w:val="91"/>
              </w:rPr>
              <w:t>(Unaudited)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26"/>
        </w:trPr>
        <w:tc>
          <w:tcPr>
            <w:tcW w:w="3820" w:type="dxa"/>
            <w:vAlign w:val="bottom"/>
            <w:gridSpan w:val="5"/>
          </w:tcPr>
          <w:p>
            <w:pPr>
              <w:ind w:left="40"/>
              <w:spacing w:after="0"/>
              <w:rPr>
                <w:sz w:val="20"/>
                <w:szCs w:val="20"/>
                <w:color w:val="auto"/>
              </w:rPr>
            </w:pPr>
            <w:r>
              <w:rPr>
                <w:rFonts w:ascii="Arial" w:cs="Arial" w:eastAsia="Arial" w:hAnsi="Arial"/>
                <w:sz w:val="17"/>
                <w:szCs w:val="17"/>
                <w:b w:val="1"/>
                <w:bCs w:val="1"/>
                <w:color w:val="auto"/>
                <w:w w:val="95"/>
              </w:rPr>
              <w:t>Note 3 — Fair Value Measurements – (continued)</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w w:val="98"/>
              </w:rPr>
              <w:t>Fair value measurement at reporting date using</w:t>
            </w:r>
          </w:p>
        </w:tc>
      </w:tr>
      <w:tr>
        <w:trPr>
          <w:trHeight w:val="148"/>
        </w:trPr>
        <w:tc>
          <w:tcPr>
            <w:tcW w:w="2720" w:type="dxa"/>
            <w:vAlign w:val="bottom"/>
          </w:tcPr>
          <w:p>
            <w:pPr>
              <w:spacing w:after="0" w:line="148" w:lineRule="exact"/>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94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89"/>
              </w:rPr>
              <w:t>December 31,</w:t>
            </w:r>
          </w:p>
        </w:tc>
        <w:tc>
          <w:tcPr>
            <w:tcW w:w="106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91"/>
              </w:rPr>
              <w:t>Quoted prices</w:t>
            </w:r>
          </w:p>
        </w:tc>
        <w:tc>
          <w:tcPr>
            <w:tcW w:w="9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Significant</w:t>
            </w:r>
          </w:p>
        </w:tc>
        <w:tc>
          <w:tcPr>
            <w:tcW w:w="160" w:type="dxa"/>
            <w:vAlign w:val="bottom"/>
          </w:tcPr>
          <w:p>
            <w:pPr>
              <w:spacing w:after="0"/>
              <w:rPr>
                <w:sz w:val="12"/>
                <w:szCs w:val="12"/>
                <w:color w:val="auto"/>
              </w:rPr>
            </w:pPr>
          </w:p>
        </w:tc>
        <w:tc>
          <w:tcPr>
            <w:tcW w:w="100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93"/>
              </w:rPr>
              <w:t>Significant</w:t>
            </w:r>
          </w:p>
        </w:tc>
      </w:tr>
      <w:tr>
        <w:trPr>
          <w:trHeight w:val="138"/>
        </w:trPr>
        <w:tc>
          <w:tcPr>
            <w:tcW w:w="2720" w:type="dxa"/>
            <w:vAlign w:val="bottom"/>
          </w:tcPr>
          <w:p>
            <w:pPr>
              <w:spacing w:after="0"/>
              <w:rPr>
                <w:sz w:val="11"/>
                <w:szCs w:val="11"/>
                <w:color w:val="auto"/>
              </w:rPr>
            </w:pPr>
          </w:p>
        </w:tc>
        <w:tc>
          <w:tcPr>
            <w:tcW w:w="860" w:type="dxa"/>
            <w:vAlign w:val="bottom"/>
            <w:gridSpan w:val="2"/>
          </w:tcPr>
          <w:p>
            <w:pPr>
              <w:jc w:val="right"/>
              <w:ind w:right="81"/>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92"/>
              </w:rPr>
              <w:t>in active</w:t>
            </w: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unobservable</w:t>
            </w:r>
          </w:p>
        </w:tc>
      </w:tr>
      <w:tr>
        <w:trPr>
          <w:trHeight w:val="138"/>
        </w:trPr>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95"/>
              </w:rPr>
              <w:t>markets for</w:t>
            </w: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observable</w:t>
            </w:r>
          </w:p>
        </w:tc>
        <w:tc>
          <w:tcPr>
            <w:tcW w:w="16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r>
      <w:tr>
        <w:trPr>
          <w:trHeight w:val="138"/>
        </w:trPr>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6"/>
              </w:rPr>
              <w:t>identical assets</w:t>
            </w: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1"/>
                <w:szCs w:val="11"/>
                <w:color w:val="auto"/>
              </w:rPr>
            </w:pPr>
          </w:p>
        </w:tc>
        <w:tc>
          <w:tcPr>
            <w:tcW w:w="10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4"/>
              </w:rPr>
              <w:t>(Level 3)</w:t>
            </w:r>
          </w:p>
        </w:tc>
      </w:tr>
      <w:tr>
        <w:trPr>
          <w:trHeight w:val="158"/>
        </w:trPr>
        <w:tc>
          <w:tcPr>
            <w:tcW w:w="2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2)</w:t>
            </w: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r>
        <w:trPr>
          <w:trHeight w:val="188"/>
        </w:trPr>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ind w:left="660"/>
              <w:spacing w:after="0"/>
              <w:rPr>
                <w:sz w:val="20"/>
                <w:szCs w:val="20"/>
                <w:color w:val="auto"/>
              </w:rPr>
            </w:pPr>
            <w:r>
              <w:rPr>
                <w:rFonts w:ascii="Arial" w:cs="Arial" w:eastAsia="Arial" w:hAnsi="Arial"/>
                <w:sz w:val="13"/>
                <w:szCs w:val="13"/>
                <w:color w:val="auto"/>
              </w:rPr>
              <w:t>U.S.$ thousands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27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Liabilities</w:t>
            </w: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188"/>
        </w:trPr>
        <w:tc>
          <w:tcPr>
            <w:tcW w:w="2720" w:type="dxa"/>
            <w:vAlign w:val="bottom"/>
          </w:tcPr>
          <w:p>
            <w:pPr>
              <w:spacing w:after="0" w:line="188" w:lineRule="exact"/>
              <w:rPr>
                <w:sz w:val="20"/>
                <w:szCs w:val="20"/>
                <w:color w:val="auto"/>
              </w:rPr>
            </w:pPr>
            <w:r>
              <w:rPr>
                <w:rFonts w:ascii="Arial" w:cs="Arial" w:eastAsia="Arial" w:hAnsi="Arial"/>
                <w:sz w:val="17"/>
                <w:szCs w:val="17"/>
                <w:color w:val="auto"/>
              </w:rPr>
              <w:t>Derivative liabilities on account of</w:t>
            </w:r>
          </w:p>
        </w:tc>
        <w:tc>
          <w:tcPr>
            <w:tcW w:w="960" w:type="dxa"/>
            <w:vAlign w:val="bottom"/>
            <w:gridSpan w:val="3"/>
          </w:tcPr>
          <w:p>
            <w:pPr>
              <w:jc w:val="right"/>
              <w:ind w:right="100"/>
              <w:spacing w:after="0" w:line="188" w:lineRule="exact"/>
              <w:rPr>
                <w:sz w:val="20"/>
                <w:szCs w:val="20"/>
                <w:color w:val="auto"/>
              </w:rPr>
            </w:pPr>
            <w:r>
              <w:rPr>
                <w:rFonts w:ascii="Arial" w:cs="Arial" w:eastAsia="Arial" w:hAnsi="Arial"/>
                <w:sz w:val="17"/>
                <w:szCs w:val="17"/>
                <w:b w:val="1"/>
                <w:bCs w:val="1"/>
                <w:color w:val="auto"/>
              </w:rPr>
              <w:t>2,172</w:t>
            </w:r>
          </w:p>
        </w:tc>
        <w:tc>
          <w:tcPr>
            <w:tcW w:w="140" w:type="dxa"/>
            <w:vAlign w:val="bottom"/>
          </w:tcPr>
          <w:p>
            <w:pPr>
              <w:spacing w:after="0"/>
              <w:rPr>
                <w:sz w:val="16"/>
                <w:szCs w:val="16"/>
                <w:color w:val="auto"/>
              </w:rPr>
            </w:pPr>
          </w:p>
        </w:tc>
        <w:tc>
          <w:tcPr>
            <w:tcW w:w="1060" w:type="dxa"/>
            <w:vAlign w:val="bottom"/>
            <w:gridSpan w:val="3"/>
          </w:tcPr>
          <w:p>
            <w:pPr>
              <w:ind w:left="580"/>
              <w:spacing w:after="0" w:line="188" w:lineRule="exact"/>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line="188" w:lineRule="exact"/>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2,172</w:t>
            </w:r>
          </w:p>
        </w:tc>
      </w:tr>
      <w:tr>
        <w:trPr>
          <w:trHeight w:val="213"/>
        </w:trPr>
        <w:tc>
          <w:tcPr>
            <w:tcW w:w="2720" w:type="dxa"/>
            <w:vAlign w:val="bottom"/>
          </w:tcPr>
          <w:p>
            <w:pPr>
              <w:ind w:left="160"/>
              <w:spacing w:after="0"/>
              <w:rPr>
                <w:sz w:val="20"/>
                <w:szCs w:val="20"/>
                <w:color w:val="auto"/>
              </w:rPr>
            </w:pPr>
            <w:r>
              <w:rPr>
                <w:rFonts w:ascii="Arial" w:cs="Arial" w:eastAsia="Arial" w:hAnsi="Arial"/>
                <w:sz w:val="17"/>
                <w:szCs w:val="17"/>
                <w:color w:val="auto"/>
              </w:rPr>
              <w:t>warrants</w:t>
            </w: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2720" w:type="dxa"/>
            <w:vAlign w:val="bottom"/>
            <w:shd w:val="clear" w:color="auto" w:fill="CCFFCC"/>
          </w:tcPr>
          <w:p>
            <w:pPr>
              <w:spacing w:after="0" w:line="194" w:lineRule="exact"/>
              <w:rPr>
                <w:sz w:val="20"/>
                <w:szCs w:val="20"/>
                <w:color w:val="auto"/>
              </w:rPr>
            </w:pPr>
            <w:r>
              <w:rPr>
                <w:rFonts w:ascii="Arial" w:cs="Arial" w:eastAsia="Arial" w:hAnsi="Arial"/>
                <w:sz w:val="17"/>
                <w:szCs w:val="17"/>
                <w:b w:val="1"/>
                <w:bCs w:val="1"/>
                <w:color w:val="auto"/>
              </w:rPr>
              <w:t>Total liabilities</w:t>
            </w:r>
          </w:p>
        </w:tc>
        <w:tc>
          <w:tcPr>
            <w:tcW w:w="1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line="194" w:lineRule="exact"/>
              <w:rPr>
                <w:sz w:val="20"/>
                <w:szCs w:val="20"/>
                <w:color w:val="auto"/>
              </w:rPr>
            </w:pPr>
            <w:r>
              <w:rPr>
                <w:rFonts w:ascii="Arial" w:cs="Arial" w:eastAsia="Arial" w:hAnsi="Arial"/>
                <w:sz w:val="17"/>
                <w:szCs w:val="17"/>
                <w:b w:val="1"/>
                <w:bCs w:val="1"/>
                <w:color w:val="auto"/>
              </w:rPr>
              <w:t>2,172</w:t>
            </w:r>
          </w:p>
        </w:tc>
        <w:tc>
          <w:tcPr>
            <w:tcW w:w="140" w:type="dxa"/>
            <w:vAlign w:val="bottom"/>
            <w:shd w:val="clear" w:color="auto" w:fill="CCFFCC"/>
          </w:tcPr>
          <w:p>
            <w:pPr>
              <w:spacing w:after="0"/>
              <w:rPr>
                <w:sz w:val="18"/>
                <w:szCs w:val="18"/>
                <w:color w:val="auto"/>
              </w:rPr>
            </w:pPr>
          </w:p>
        </w:tc>
        <w:tc>
          <w:tcPr>
            <w:tcW w:w="1060" w:type="dxa"/>
            <w:vAlign w:val="bottom"/>
            <w:gridSpan w:val="3"/>
            <w:shd w:val="clear" w:color="auto" w:fill="CCFFCC"/>
          </w:tcPr>
          <w:p>
            <w:pPr>
              <w:ind w:left="58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FFCC"/>
          </w:tcPr>
          <w:p>
            <w:pPr>
              <w:ind w:left="560"/>
              <w:spacing w:after="0" w:line="194" w:lineRule="exact"/>
              <w:rPr>
                <w:sz w:val="20"/>
                <w:szCs w:val="20"/>
                <w:color w:val="auto"/>
              </w:rPr>
            </w:pPr>
            <w:r>
              <w:rPr>
                <w:rFonts w:ascii="Arial" w:cs="Arial" w:eastAsia="Arial" w:hAnsi="Arial"/>
                <w:sz w:val="17"/>
                <w:szCs w:val="17"/>
                <w:color w:val="auto"/>
              </w:rPr>
              <w:t>—</w:t>
            </w:r>
          </w:p>
        </w:tc>
        <w:tc>
          <w:tcPr>
            <w:tcW w:w="116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2,172</w:t>
            </w:r>
          </w:p>
        </w:tc>
      </w:tr>
      <w:tr>
        <w:trPr>
          <w:trHeight w:val="20"/>
        </w:trPr>
        <w:tc>
          <w:tcPr>
            <w:tcW w:w="27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-1344295</wp:posOffset>
            </wp:positionV>
            <wp:extent cx="44081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addition to the above, the Company’s financial instruments at March 31, 2012 and December 31, 2011 consisted of cash, accounts receivable, long-term deposits and accounts payable. The carrying amounts of all the aforementioned financial instruments, approximate fair value.</w:t>
      </w:r>
    </w:p>
    <w:p>
      <w:pPr>
        <w:spacing w:after="0" w:line="76"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summarizes the changes in the Company’s liabilities measured at fair value using significant unobservable inputs (Level 3) during the three months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00" w:type="dxa"/>
            <w:vAlign w:val="bottom"/>
          </w:tcPr>
          <w:p>
            <w:pPr>
              <w:spacing w:after="0"/>
              <w:rPr>
                <w:sz w:val="14"/>
                <w:szCs w:val="14"/>
                <w:color w:val="auto"/>
              </w:rPr>
            </w:pPr>
          </w:p>
        </w:tc>
      </w:tr>
      <w:tr>
        <w:trPr>
          <w:trHeight w:val="148"/>
        </w:trPr>
        <w:tc>
          <w:tcPr>
            <w:tcW w:w="1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87"/>
              </w:rPr>
              <w:t>Special</w:t>
            </w:r>
          </w:p>
        </w:tc>
        <w:tc>
          <w:tcPr>
            <w:tcW w:w="14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rPr>
              <w:t>Conversion</w:t>
            </w:r>
          </w:p>
        </w:tc>
        <w:tc>
          <w:tcPr>
            <w:tcW w:w="16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Preferential</w:t>
            </w:r>
          </w:p>
        </w:tc>
        <w:tc>
          <w:tcPr>
            <w:tcW w:w="160" w:type="dxa"/>
            <w:vAlign w:val="bottom"/>
          </w:tcPr>
          <w:p>
            <w:pPr>
              <w:spacing w:after="0"/>
              <w:rPr>
                <w:sz w:val="12"/>
                <w:szCs w:val="12"/>
                <w:color w:val="auto"/>
              </w:rPr>
            </w:pPr>
          </w:p>
        </w:tc>
        <w:tc>
          <w:tcPr>
            <w:tcW w:w="90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Total</w:t>
            </w:r>
          </w:p>
        </w:tc>
        <w:tc>
          <w:tcPr>
            <w:tcW w:w="3100" w:type="dxa"/>
            <w:vAlign w:val="bottom"/>
          </w:tcPr>
          <w:p>
            <w:pPr>
              <w:spacing w:after="0"/>
              <w:rPr>
                <w:sz w:val="12"/>
                <w:szCs w:val="12"/>
                <w:color w:val="auto"/>
              </w:rPr>
            </w:pPr>
          </w:p>
        </w:tc>
      </w:tr>
      <w:tr>
        <w:trPr>
          <w:trHeight w:val="138"/>
        </w:trPr>
        <w:tc>
          <w:tcPr>
            <w:tcW w:w="11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7"/>
              </w:rPr>
              <w:t>Bridge</w:t>
            </w:r>
          </w:p>
        </w:tc>
        <w:tc>
          <w:tcPr>
            <w:tcW w:w="140" w:type="dxa"/>
            <w:vAlign w:val="bottom"/>
          </w:tcPr>
          <w:p>
            <w:pPr>
              <w:spacing w:after="0"/>
              <w:rPr>
                <w:sz w:val="11"/>
                <w:szCs w:val="11"/>
                <w:color w:val="auto"/>
              </w:rPr>
            </w:pPr>
          </w:p>
        </w:tc>
        <w:tc>
          <w:tcPr>
            <w:tcW w:w="800" w:type="dxa"/>
            <w:vAlign w:val="bottom"/>
            <w:gridSpan w:val="2"/>
          </w:tcPr>
          <w:p>
            <w:pPr>
              <w:jc w:val="right"/>
              <w:ind w:right="53"/>
              <w:spacing w:after="0" w:line="138" w:lineRule="exact"/>
              <w:rPr>
                <w:sz w:val="20"/>
                <w:szCs w:val="20"/>
                <w:color w:val="auto"/>
              </w:rPr>
            </w:pPr>
            <w:r>
              <w:rPr>
                <w:rFonts w:ascii="Arial" w:cs="Arial" w:eastAsia="Arial" w:hAnsi="Arial"/>
                <w:sz w:val="13"/>
                <w:szCs w:val="13"/>
                <w:b w:val="1"/>
                <w:bCs w:val="1"/>
                <w:color w:val="auto"/>
              </w:rPr>
              <w:t>Warrants</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Reload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tcPr>
          <w:p>
            <w:pPr>
              <w:spacing w:after="0"/>
              <w:rPr>
                <w:sz w:val="11"/>
                <w:szCs w:val="11"/>
                <w:color w:val="auto"/>
              </w:rPr>
            </w:pPr>
          </w:p>
        </w:tc>
      </w:tr>
      <w:tr>
        <w:trPr>
          <w:trHeight w:val="158"/>
        </w:trPr>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Warrants</w:t>
            </w: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Warrants</w:t>
            </w:r>
          </w:p>
        </w:tc>
        <w:tc>
          <w:tcPr>
            <w:tcW w:w="1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100" w:type="dxa"/>
            <w:vAlign w:val="bottom"/>
          </w:tcPr>
          <w:p>
            <w:pPr>
              <w:spacing w:after="0"/>
              <w:rPr>
                <w:sz w:val="13"/>
                <w:szCs w:val="13"/>
                <w:color w:val="auto"/>
              </w:rPr>
            </w:pPr>
          </w:p>
        </w:tc>
      </w:tr>
      <w:tr>
        <w:trPr>
          <w:trHeight w:val="188"/>
        </w:trPr>
        <w:tc>
          <w:tcPr>
            <w:tcW w:w="1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3"/>
                <w:szCs w:val="13"/>
                <w:color w:val="auto"/>
              </w:rPr>
              <w:t>U.S.$ thousands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06"/>
        </w:trPr>
        <w:tc>
          <w:tcPr>
            <w:tcW w:w="31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Original allocated amount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1,070</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7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1,070</w:t>
            </w:r>
          </w:p>
        </w:tc>
        <w:tc>
          <w:tcPr>
            <w:tcW w:w="3100" w:type="dxa"/>
            <w:vAlign w:val="bottom"/>
          </w:tcPr>
          <w:p>
            <w:pPr>
              <w:spacing w:after="0"/>
              <w:rPr>
                <w:sz w:val="17"/>
                <w:szCs w:val="17"/>
                <w:color w:val="auto"/>
              </w:rPr>
            </w:pPr>
          </w:p>
        </w:tc>
      </w:tr>
      <w:tr>
        <w:trPr>
          <w:trHeight w:val="200"/>
        </w:trPr>
        <w:tc>
          <w:tcPr>
            <w:tcW w:w="3180" w:type="dxa"/>
            <w:vAlign w:val="bottom"/>
            <w:gridSpan w:val="2"/>
          </w:tcPr>
          <w:p>
            <w:pPr>
              <w:spacing w:after="0"/>
              <w:rPr>
                <w:sz w:val="20"/>
                <w:szCs w:val="20"/>
                <w:color w:val="auto"/>
              </w:rPr>
            </w:pPr>
            <w:r>
              <w:rPr>
                <w:rFonts w:ascii="Arial" w:cs="Arial" w:eastAsia="Arial" w:hAnsi="Arial"/>
                <w:sz w:val="17"/>
                <w:szCs w:val="17"/>
                <w:color w:val="auto"/>
              </w:rPr>
              <w:t>Additional allocated amount (upon IPO)</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88</w:t>
            </w:r>
          </w:p>
        </w:tc>
        <w:tc>
          <w:tcPr>
            <w:tcW w:w="940" w:type="dxa"/>
            <w:vAlign w:val="bottom"/>
            <w:gridSpan w:val="3"/>
          </w:tcPr>
          <w:p>
            <w:pPr>
              <w:jc w:val="right"/>
              <w:ind w:right="73"/>
              <w:spacing w:after="0"/>
              <w:rPr>
                <w:sz w:val="20"/>
                <w:szCs w:val="20"/>
                <w:color w:val="auto"/>
              </w:rPr>
            </w:pPr>
            <w:r>
              <w:rPr>
                <w:rFonts w:ascii="Arial" w:cs="Arial" w:eastAsia="Arial" w:hAnsi="Arial"/>
                <w:sz w:val="17"/>
                <w:szCs w:val="17"/>
                <w:color w:val="auto"/>
              </w:rPr>
              <w:t>1,564</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1,652</w:t>
            </w:r>
          </w:p>
        </w:tc>
        <w:tc>
          <w:tcPr>
            <w:tcW w:w="3100" w:type="dxa"/>
            <w:vAlign w:val="bottom"/>
          </w:tcPr>
          <w:p>
            <w:pPr>
              <w:spacing w:after="0"/>
              <w:rPr>
                <w:sz w:val="17"/>
                <w:szCs w:val="17"/>
                <w:color w:val="auto"/>
              </w:rPr>
            </w:pPr>
          </w:p>
        </w:tc>
      </w:tr>
      <w:tr>
        <w:trPr>
          <w:trHeight w:val="188"/>
        </w:trPr>
        <w:tc>
          <w:tcPr>
            <w:tcW w:w="318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6"/>
              </w:rPr>
              <w:t>Fair value adjustment included in statement</w:t>
            </w:r>
          </w:p>
        </w:tc>
        <w:tc>
          <w:tcPr>
            <w:tcW w:w="800" w:type="dxa"/>
            <w:vAlign w:val="bottom"/>
            <w:gridSpan w:val="2"/>
            <w:shd w:val="clear" w:color="auto" w:fill="CCFFCC"/>
          </w:tcPr>
          <w:p>
            <w:pPr>
              <w:jc w:val="right"/>
              <w:ind w:right="60"/>
              <w:spacing w:after="0" w:line="188" w:lineRule="exact"/>
              <w:rPr>
                <w:sz w:val="20"/>
                <w:szCs w:val="20"/>
                <w:color w:val="auto"/>
              </w:rPr>
            </w:pPr>
            <w:r>
              <w:rPr>
                <w:rFonts w:ascii="Arial" w:cs="Arial" w:eastAsia="Arial" w:hAnsi="Arial"/>
                <w:sz w:val="17"/>
                <w:szCs w:val="17"/>
                <w:color w:val="auto"/>
              </w:rPr>
              <w:t>(382)</w:t>
            </w:r>
          </w:p>
        </w:tc>
        <w:tc>
          <w:tcPr>
            <w:tcW w:w="940" w:type="dxa"/>
            <w:vAlign w:val="bottom"/>
            <w:gridSpan w:val="3"/>
            <w:shd w:val="clear" w:color="auto" w:fill="CCFFCC"/>
          </w:tcPr>
          <w:p>
            <w:pPr>
              <w:jc w:val="right"/>
              <w:ind w:right="33"/>
              <w:spacing w:after="0" w:line="188" w:lineRule="exact"/>
              <w:rPr>
                <w:sz w:val="20"/>
                <w:szCs w:val="20"/>
                <w:color w:val="auto"/>
              </w:rPr>
            </w:pPr>
            <w:r>
              <w:rPr>
                <w:rFonts w:ascii="Arial" w:cs="Arial" w:eastAsia="Arial" w:hAnsi="Arial"/>
                <w:sz w:val="17"/>
                <w:szCs w:val="17"/>
                <w:color w:val="auto"/>
              </w:rPr>
              <w:t>(570)</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(952)</w:t>
            </w:r>
          </w:p>
        </w:tc>
        <w:tc>
          <w:tcPr>
            <w:tcW w:w="3100" w:type="dxa"/>
            <w:vAlign w:val="bottom"/>
          </w:tcPr>
          <w:p>
            <w:pPr>
              <w:spacing w:after="0"/>
              <w:rPr>
                <w:sz w:val="16"/>
                <w:szCs w:val="16"/>
                <w:color w:val="auto"/>
              </w:rPr>
            </w:pPr>
          </w:p>
        </w:tc>
      </w:tr>
      <w:tr>
        <w:trPr>
          <w:trHeight w:val="213"/>
        </w:trPr>
        <w:tc>
          <w:tcPr>
            <w:tcW w:w="31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of operations</w:t>
            </w:r>
          </w:p>
        </w:tc>
        <w:tc>
          <w:tcPr>
            <w:tcW w:w="6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193"/>
        </w:trPr>
        <w:tc>
          <w:tcPr>
            <w:tcW w:w="318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Balance at December 31, 2010</w:t>
            </w: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b w:val="1"/>
                <w:bCs w:val="1"/>
                <w:color w:val="auto"/>
              </w:rPr>
              <w:t>776</w:t>
            </w:r>
          </w:p>
        </w:tc>
        <w:tc>
          <w:tcPr>
            <w:tcW w:w="940" w:type="dxa"/>
            <w:vAlign w:val="bottom"/>
            <w:gridSpan w:val="3"/>
          </w:tcPr>
          <w:p>
            <w:pPr>
              <w:jc w:val="right"/>
              <w:ind w:right="73"/>
              <w:spacing w:after="0" w:line="194" w:lineRule="exact"/>
              <w:rPr>
                <w:sz w:val="20"/>
                <w:szCs w:val="20"/>
                <w:color w:val="auto"/>
              </w:rPr>
            </w:pPr>
            <w:r>
              <w:rPr>
                <w:rFonts w:ascii="Arial" w:cs="Arial" w:eastAsia="Arial" w:hAnsi="Arial"/>
                <w:sz w:val="17"/>
                <w:szCs w:val="17"/>
                <w:b w:val="1"/>
                <w:bCs w:val="1"/>
                <w:color w:val="auto"/>
              </w:rPr>
              <w:t>994</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94" w:lineRule="exact"/>
              <w:rPr>
                <w:sz w:val="20"/>
                <w:szCs w:val="20"/>
                <w:color w:val="auto"/>
              </w:rPr>
            </w:pPr>
            <w:r>
              <w:rPr>
                <w:rFonts w:ascii="Arial" w:cs="Arial" w:eastAsia="Arial" w:hAnsi="Arial"/>
                <w:sz w:val="17"/>
                <w:szCs w:val="17"/>
                <w:b w:val="1"/>
                <w:bCs w:val="1"/>
                <w:color w:val="auto"/>
              </w:rPr>
              <w:t>1,770</w:t>
            </w:r>
          </w:p>
        </w:tc>
        <w:tc>
          <w:tcPr>
            <w:tcW w:w="3100" w:type="dxa"/>
            <w:vAlign w:val="bottom"/>
          </w:tcPr>
          <w:p>
            <w:pPr>
              <w:spacing w:after="0"/>
              <w:rPr>
                <w:sz w:val="16"/>
                <w:szCs w:val="16"/>
                <w:color w:val="auto"/>
              </w:rPr>
            </w:pPr>
          </w:p>
        </w:tc>
      </w:tr>
      <w:tr>
        <w:trPr>
          <w:trHeight w:val="188"/>
        </w:trPr>
        <w:tc>
          <w:tcPr>
            <w:tcW w:w="318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6"/>
              </w:rPr>
              <w:t>Fair value adjustment included in statement</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511</w:t>
            </w:r>
          </w:p>
        </w:tc>
        <w:tc>
          <w:tcPr>
            <w:tcW w:w="940" w:type="dxa"/>
            <w:vAlign w:val="bottom"/>
            <w:gridSpan w:val="3"/>
            <w:shd w:val="clear" w:color="auto" w:fill="CCFFCC"/>
          </w:tcPr>
          <w:p>
            <w:pPr>
              <w:jc w:val="right"/>
              <w:ind w:right="33"/>
              <w:spacing w:after="0" w:line="188" w:lineRule="exact"/>
              <w:rPr>
                <w:sz w:val="20"/>
                <w:szCs w:val="20"/>
                <w:color w:val="auto"/>
              </w:rPr>
            </w:pPr>
            <w:r>
              <w:rPr>
                <w:rFonts w:ascii="Arial" w:cs="Arial" w:eastAsia="Arial" w:hAnsi="Arial"/>
                <w:sz w:val="17"/>
                <w:szCs w:val="17"/>
                <w:color w:val="auto"/>
              </w:rPr>
              <w:t>(109)</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402</w:t>
            </w:r>
          </w:p>
        </w:tc>
        <w:tc>
          <w:tcPr>
            <w:tcW w:w="3100" w:type="dxa"/>
            <w:vAlign w:val="bottom"/>
          </w:tcPr>
          <w:p>
            <w:pPr>
              <w:spacing w:after="0"/>
              <w:rPr>
                <w:sz w:val="16"/>
                <w:szCs w:val="16"/>
                <w:color w:val="auto"/>
              </w:rPr>
            </w:pPr>
          </w:p>
        </w:tc>
      </w:tr>
      <w:tr>
        <w:trPr>
          <w:trHeight w:val="213"/>
        </w:trPr>
        <w:tc>
          <w:tcPr>
            <w:tcW w:w="31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of operations</w:t>
            </w:r>
          </w:p>
        </w:tc>
        <w:tc>
          <w:tcPr>
            <w:tcW w:w="6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193"/>
        </w:trPr>
        <w:tc>
          <w:tcPr>
            <w:tcW w:w="318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Balance at December 31, 2011</w:t>
            </w: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b w:val="1"/>
                <w:bCs w:val="1"/>
                <w:color w:val="auto"/>
              </w:rPr>
              <w:t>1,287</w:t>
            </w:r>
          </w:p>
        </w:tc>
        <w:tc>
          <w:tcPr>
            <w:tcW w:w="940" w:type="dxa"/>
            <w:vAlign w:val="bottom"/>
            <w:gridSpan w:val="3"/>
          </w:tcPr>
          <w:p>
            <w:pPr>
              <w:jc w:val="right"/>
              <w:ind w:right="73"/>
              <w:spacing w:after="0" w:line="194" w:lineRule="exact"/>
              <w:rPr>
                <w:sz w:val="20"/>
                <w:szCs w:val="20"/>
                <w:color w:val="auto"/>
              </w:rPr>
            </w:pPr>
            <w:r>
              <w:rPr>
                <w:rFonts w:ascii="Arial" w:cs="Arial" w:eastAsia="Arial" w:hAnsi="Arial"/>
                <w:sz w:val="17"/>
                <w:szCs w:val="17"/>
                <w:b w:val="1"/>
                <w:bCs w:val="1"/>
                <w:color w:val="auto"/>
              </w:rPr>
              <w:t>885</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b w:val="1"/>
                <w:bCs w:val="1"/>
                <w:color w:val="auto"/>
              </w:rPr>
              <w:t>—</w:t>
            </w:r>
          </w:p>
        </w:tc>
        <w:tc>
          <w:tcPr>
            <w:tcW w:w="1060" w:type="dxa"/>
            <w:vAlign w:val="bottom"/>
            <w:gridSpan w:val="3"/>
          </w:tcPr>
          <w:p>
            <w:pPr>
              <w:jc w:val="right"/>
              <w:ind w:right="160"/>
              <w:spacing w:after="0" w:line="194" w:lineRule="exact"/>
              <w:rPr>
                <w:sz w:val="20"/>
                <w:szCs w:val="20"/>
                <w:color w:val="auto"/>
              </w:rPr>
            </w:pPr>
            <w:r>
              <w:rPr>
                <w:rFonts w:ascii="Arial" w:cs="Arial" w:eastAsia="Arial" w:hAnsi="Arial"/>
                <w:sz w:val="17"/>
                <w:szCs w:val="17"/>
                <w:b w:val="1"/>
                <w:bCs w:val="1"/>
                <w:color w:val="auto"/>
              </w:rPr>
              <w:t>2,172</w:t>
            </w:r>
          </w:p>
        </w:tc>
        <w:tc>
          <w:tcPr>
            <w:tcW w:w="3100" w:type="dxa"/>
            <w:vAlign w:val="bottom"/>
          </w:tcPr>
          <w:p>
            <w:pPr>
              <w:spacing w:after="0"/>
              <w:rPr>
                <w:sz w:val="16"/>
                <w:szCs w:val="16"/>
                <w:color w:val="auto"/>
              </w:rPr>
            </w:pPr>
          </w:p>
        </w:tc>
      </w:tr>
      <w:tr>
        <w:trPr>
          <w:trHeight w:val="200"/>
        </w:trPr>
        <w:tc>
          <w:tcPr>
            <w:tcW w:w="31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Preferential Reload Warrants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73"/>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1,476</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b w:val="1"/>
                <w:bCs w:val="1"/>
                <w:color w:val="auto"/>
              </w:rPr>
              <w:t>1,476</w:t>
            </w:r>
          </w:p>
        </w:tc>
        <w:tc>
          <w:tcPr>
            <w:tcW w:w="3100" w:type="dxa"/>
            <w:vAlign w:val="bottom"/>
          </w:tcPr>
          <w:p>
            <w:pPr>
              <w:spacing w:after="0"/>
              <w:rPr>
                <w:sz w:val="17"/>
                <w:szCs w:val="17"/>
                <w:color w:val="auto"/>
              </w:rPr>
            </w:pPr>
          </w:p>
        </w:tc>
      </w:tr>
      <w:tr>
        <w:trPr>
          <w:trHeight w:val="188"/>
        </w:trPr>
        <w:tc>
          <w:tcPr>
            <w:tcW w:w="3180" w:type="dxa"/>
            <w:vAlign w:val="bottom"/>
            <w:gridSpan w:val="2"/>
          </w:tcPr>
          <w:p>
            <w:pPr>
              <w:spacing w:after="0" w:line="188" w:lineRule="exact"/>
              <w:rPr>
                <w:sz w:val="20"/>
                <w:szCs w:val="20"/>
                <w:color w:val="auto"/>
              </w:rPr>
            </w:pPr>
            <w:r>
              <w:rPr>
                <w:rFonts w:ascii="Arial" w:cs="Arial" w:eastAsia="Arial" w:hAnsi="Arial"/>
                <w:sz w:val="17"/>
                <w:szCs w:val="17"/>
                <w:color w:val="auto"/>
              </w:rPr>
              <w:t>Fair value adjustment prior to exercise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b w:val="1"/>
                <w:bCs w:val="1"/>
                <w:color w:val="auto"/>
              </w:rPr>
              <w:t>163</w:t>
            </w:r>
          </w:p>
        </w:tc>
        <w:tc>
          <w:tcPr>
            <w:tcW w:w="940" w:type="dxa"/>
            <w:vAlign w:val="bottom"/>
            <w:gridSpan w:val="3"/>
          </w:tcPr>
          <w:p>
            <w:pPr>
              <w:jc w:val="right"/>
              <w:ind w:right="73"/>
              <w:spacing w:after="0" w:line="188" w:lineRule="exact"/>
              <w:rPr>
                <w:sz w:val="20"/>
                <w:szCs w:val="20"/>
                <w:color w:val="auto"/>
              </w:rPr>
            </w:pPr>
            <w:r>
              <w:rPr>
                <w:rFonts w:ascii="Arial" w:cs="Arial" w:eastAsia="Arial" w:hAnsi="Arial"/>
                <w:sz w:val="17"/>
                <w:szCs w:val="17"/>
                <w:b w:val="1"/>
                <w:bCs w:val="1"/>
                <w:color w:val="auto"/>
              </w:rPr>
              <w:t>107</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b w:val="1"/>
                <w:bCs w:val="1"/>
                <w:color w:val="auto"/>
              </w:rPr>
              <w:t>270</w:t>
            </w:r>
          </w:p>
        </w:tc>
        <w:tc>
          <w:tcPr>
            <w:tcW w:w="3100" w:type="dxa"/>
            <w:vAlign w:val="bottom"/>
          </w:tcPr>
          <w:p>
            <w:pPr>
              <w:spacing w:after="0"/>
              <w:rPr>
                <w:sz w:val="16"/>
                <w:szCs w:val="16"/>
                <w:color w:val="auto"/>
              </w:rPr>
            </w:pPr>
          </w:p>
        </w:tc>
      </w:tr>
      <w:tr>
        <w:trPr>
          <w:trHeight w:val="200"/>
        </w:trPr>
        <w:tc>
          <w:tcPr>
            <w:tcW w:w="3180" w:type="dxa"/>
            <w:vAlign w:val="bottom"/>
            <w:gridSpan w:val="2"/>
          </w:tcPr>
          <w:p>
            <w:pPr>
              <w:ind w:left="160"/>
              <w:spacing w:after="0"/>
              <w:rPr>
                <w:sz w:val="20"/>
                <w:szCs w:val="20"/>
                <w:color w:val="auto"/>
              </w:rPr>
            </w:pPr>
            <w:r>
              <w:rPr>
                <w:rFonts w:ascii="Arial" w:cs="Arial" w:eastAsia="Arial" w:hAnsi="Arial"/>
                <w:sz w:val="17"/>
                <w:szCs w:val="17"/>
                <w:color w:val="auto"/>
              </w:rPr>
              <w:t>warrants, included in statement of</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3"/>
        </w:trPr>
        <w:tc>
          <w:tcPr>
            <w:tcW w:w="3180" w:type="dxa"/>
            <w:vAlign w:val="bottom"/>
            <w:gridSpan w:val="2"/>
          </w:tcPr>
          <w:p>
            <w:pPr>
              <w:ind w:left="160"/>
              <w:spacing w:after="0"/>
              <w:rPr>
                <w:sz w:val="20"/>
                <w:szCs w:val="20"/>
                <w:color w:val="auto"/>
              </w:rPr>
            </w:pPr>
            <w:r>
              <w:rPr>
                <w:rFonts w:ascii="Arial" w:cs="Arial" w:eastAsia="Arial" w:hAnsi="Arial"/>
                <w:sz w:val="17"/>
                <w:szCs w:val="17"/>
                <w:color w:val="auto"/>
              </w:rPr>
              <w:t>operations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188"/>
        </w:trPr>
        <w:tc>
          <w:tcPr>
            <w:tcW w:w="318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8"/>
              </w:rPr>
              <w:t>Exercise of Conversion and Special Bridge</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b w:val="1"/>
                <w:bCs w:val="1"/>
                <w:color w:val="auto"/>
              </w:rPr>
              <w:t>(1,320)</w:t>
            </w:r>
          </w:p>
        </w:tc>
        <w:tc>
          <w:tcPr>
            <w:tcW w:w="940" w:type="dxa"/>
            <w:vAlign w:val="bottom"/>
            <w:gridSpan w:val="3"/>
            <w:shd w:val="clear" w:color="auto" w:fill="CCFFCC"/>
          </w:tcPr>
          <w:p>
            <w:pPr>
              <w:jc w:val="right"/>
              <w:ind w:right="73"/>
              <w:spacing w:after="0" w:line="188" w:lineRule="exact"/>
              <w:rPr>
                <w:sz w:val="20"/>
                <w:szCs w:val="20"/>
                <w:color w:val="auto"/>
              </w:rPr>
            </w:pPr>
            <w:r>
              <w:rPr>
                <w:rFonts w:ascii="Arial" w:cs="Arial" w:eastAsia="Arial" w:hAnsi="Arial"/>
                <w:sz w:val="17"/>
                <w:szCs w:val="17"/>
                <w:b w:val="1"/>
                <w:bCs w:val="1"/>
                <w:color w:val="auto"/>
              </w:rPr>
              <w:t>(903)</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b w:val="1"/>
                <w:bCs w:val="1"/>
                <w:color w:val="auto"/>
              </w:rPr>
              <w:t>(2,223)</w:t>
            </w:r>
          </w:p>
        </w:tc>
        <w:tc>
          <w:tcPr>
            <w:tcW w:w="3100" w:type="dxa"/>
            <w:vAlign w:val="bottom"/>
          </w:tcPr>
          <w:p>
            <w:pPr>
              <w:spacing w:after="0"/>
              <w:rPr>
                <w:sz w:val="16"/>
                <w:szCs w:val="16"/>
                <w:color w:val="auto"/>
              </w:rPr>
            </w:pPr>
          </w:p>
        </w:tc>
      </w:tr>
      <w:tr>
        <w:trPr>
          <w:trHeight w:val="213"/>
        </w:trPr>
        <w:tc>
          <w:tcPr>
            <w:tcW w:w="31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Warrants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188"/>
        </w:trPr>
        <w:tc>
          <w:tcPr>
            <w:tcW w:w="3180" w:type="dxa"/>
            <w:vAlign w:val="bottom"/>
            <w:gridSpan w:val="2"/>
          </w:tcPr>
          <w:p>
            <w:pPr>
              <w:spacing w:after="0" w:line="188" w:lineRule="exact"/>
              <w:rPr>
                <w:sz w:val="20"/>
                <w:szCs w:val="20"/>
                <w:color w:val="auto"/>
              </w:rPr>
            </w:pPr>
            <w:r>
              <w:rPr>
                <w:rFonts w:ascii="Arial" w:cs="Arial" w:eastAsia="Arial" w:hAnsi="Arial"/>
                <w:sz w:val="17"/>
                <w:szCs w:val="17"/>
                <w:color w:val="auto"/>
                <w:w w:val="96"/>
              </w:rPr>
              <w:t>Fair value adjustment included in statement</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b w:val="1"/>
                <w:bCs w:val="1"/>
                <w:color w:val="auto"/>
              </w:rPr>
              <w:t>144</w:t>
            </w:r>
          </w:p>
        </w:tc>
        <w:tc>
          <w:tcPr>
            <w:tcW w:w="940" w:type="dxa"/>
            <w:vAlign w:val="bottom"/>
            <w:gridSpan w:val="3"/>
          </w:tcPr>
          <w:p>
            <w:pPr>
              <w:jc w:val="right"/>
              <w:ind w:right="73"/>
              <w:spacing w:after="0" w:line="188" w:lineRule="exact"/>
              <w:rPr>
                <w:sz w:val="20"/>
                <w:szCs w:val="20"/>
                <w:color w:val="auto"/>
              </w:rPr>
            </w:pPr>
            <w:r>
              <w:rPr>
                <w:rFonts w:ascii="Arial" w:cs="Arial" w:eastAsia="Arial" w:hAnsi="Arial"/>
                <w:sz w:val="17"/>
                <w:szCs w:val="17"/>
                <w:b w:val="1"/>
                <w:bCs w:val="1"/>
                <w:color w:val="auto"/>
              </w:rPr>
              <w:t>101</w:t>
            </w:r>
          </w:p>
        </w:tc>
        <w:tc>
          <w:tcPr>
            <w:tcW w:w="960" w:type="dxa"/>
            <w:vAlign w:val="bottom"/>
            <w:gridSpan w:val="3"/>
          </w:tcPr>
          <w:p>
            <w:pPr>
              <w:jc w:val="right"/>
              <w:ind w:right="100"/>
              <w:spacing w:after="0" w:line="188" w:lineRule="exact"/>
              <w:rPr>
                <w:sz w:val="20"/>
                <w:szCs w:val="20"/>
                <w:color w:val="auto"/>
              </w:rPr>
            </w:pPr>
            <w:r>
              <w:rPr>
                <w:rFonts w:ascii="Arial" w:cs="Arial" w:eastAsia="Arial" w:hAnsi="Arial"/>
                <w:sz w:val="17"/>
                <w:szCs w:val="17"/>
                <w:b w:val="1"/>
                <w:bCs w:val="1"/>
                <w:color w:val="auto"/>
              </w:rPr>
              <w:t>(104)</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b w:val="1"/>
                <w:bCs w:val="1"/>
                <w:color w:val="auto"/>
              </w:rPr>
              <w:t>141</w:t>
            </w:r>
          </w:p>
        </w:tc>
        <w:tc>
          <w:tcPr>
            <w:tcW w:w="3100" w:type="dxa"/>
            <w:vAlign w:val="bottom"/>
          </w:tcPr>
          <w:p>
            <w:pPr>
              <w:spacing w:after="0"/>
              <w:rPr>
                <w:sz w:val="16"/>
                <w:szCs w:val="16"/>
                <w:color w:val="auto"/>
              </w:rPr>
            </w:pPr>
          </w:p>
        </w:tc>
      </w:tr>
      <w:tr>
        <w:trPr>
          <w:trHeight w:val="213"/>
        </w:trPr>
        <w:tc>
          <w:tcPr>
            <w:tcW w:w="3180" w:type="dxa"/>
            <w:vAlign w:val="bottom"/>
            <w:gridSpan w:val="2"/>
          </w:tcPr>
          <w:p>
            <w:pPr>
              <w:ind w:left="160"/>
              <w:spacing w:after="0"/>
              <w:rPr>
                <w:sz w:val="20"/>
                <w:szCs w:val="20"/>
                <w:color w:val="auto"/>
              </w:rPr>
            </w:pPr>
            <w:r>
              <w:rPr>
                <w:rFonts w:ascii="Arial" w:cs="Arial" w:eastAsia="Arial" w:hAnsi="Arial"/>
                <w:sz w:val="17"/>
                <w:szCs w:val="17"/>
                <w:color w:val="auto"/>
              </w:rPr>
              <w:t>of operations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33"/>
        </w:trPr>
        <w:tc>
          <w:tcPr>
            <w:tcW w:w="318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b w:val="1"/>
                <w:bCs w:val="1"/>
                <w:color w:val="auto"/>
              </w:rPr>
              <w:t>Balance at March 31, 2012</w:t>
            </w:r>
          </w:p>
        </w:tc>
        <w:tc>
          <w:tcPr>
            <w:tcW w:w="680" w:type="dxa"/>
            <w:vAlign w:val="bottom"/>
            <w:shd w:val="clear" w:color="auto" w:fill="CCFFCC"/>
          </w:tcPr>
          <w:p>
            <w:pPr>
              <w:jc w:val="right"/>
              <w:spacing w:after="0" w:line="194" w:lineRule="exact"/>
              <w:rPr>
                <w:sz w:val="20"/>
                <w:szCs w:val="20"/>
                <w:color w:val="auto"/>
              </w:rPr>
            </w:pPr>
            <w:r>
              <w:rPr>
                <w:rFonts w:ascii="Arial" w:cs="Arial" w:eastAsia="Arial" w:hAnsi="Arial"/>
                <w:sz w:val="17"/>
                <w:szCs w:val="17"/>
                <w:b w:val="1"/>
                <w:bCs w:val="1"/>
                <w:color w:val="auto"/>
              </w:rPr>
              <w:t>274</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73"/>
              <w:spacing w:after="0" w:line="194" w:lineRule="exact"/>
              <w:rPr>
                <w:sz w:val="20"/>
                <w:szCs w:val="20"/>
                <w:color w:val="auto"/>
              </w:rPr>
            </w:pPr>
            <w:r>
              <w:rPr>
                <w:rFonts w:ascii="Arial" w:cs="Arial" w:eastAsia="Arial" w:hAnsi="Arial"/>
                <w:sz w:val="17"/>
                <w:szCs w:val="17"/>
                <w:b w:val="1"/>
                <w:bCs w:val="1"/>
                <w:color w:val="auto"/>
              </w:rPr>
              <w:t>190</w:t>
            </w:r>
          </w:p>
        </w:tc>
        <w:tc>
          <w:tcPr>
            <w:tcW w:w="960" w:type="dxa"/>
            <w:vAlign w:val="bottom"/>
            <w:gridSpan w:val="3"/>
            <w:shd w:val="clear" w:color="auto" w:fill="CCFFCC"/>
          </w:tcPr>
          <w:p>
            <w:pPr>
              <w:jc w:val="right"/>
              <w:ind w:right="100"/>
              <w:spacing w:after="0" w:line="194" w:lineRule="exact"/>
              <w:rPr>
                <w:sz w:val="20"/>
                <w:szCs w:val="20"/>
                <w:color w:val="auto"/>
              </w:rPr>
            </w:pPr>
            <w:r>
              <w:rPr>
                <w:rFonts w:ascii="Arial" w:cs="Arial" w:eastAsia="Arial" w:hAnsi="Arial"/>
                <w:sz w:val="17"/>
                <w:szCs w:val="17"/>
                <w:b w:val="1"/>
                <w:bCs w:val="1"/>
                <w:color w:val="auto"/>
              </w:rPr>
              <w:t>1,372</w:t>
            </w:r>
          </w:p>
        </w:tc>
        <w:tc>
          <w:tcPr>
            <w:tcW w:w="1060" w:type="dxa"/>
            <w:vAlign w:val="bottom"/>
            <w:gridSpan w:val="3"/>
            <w:shd w:val="clear" w:color="auto" w:fill="CCFFCC"/>
          </w:tcPr>
          <w:p>
            <w:pPr>
              <w:jc w:val="right"/>
              <w:ind w:right="160"/>
              <w:spacing w:after="0" w:line="194" w:lineRule="exact"/>
              <w:rPr>
                <w:sz w:val="20"/>
                <w:szCs w:val="20"/>
                <w:color w:val="auto"/>
              </w:rPr>
            </w:pPr>
            <w:r>
              <w:rPr>
                <w:rFonts w:ascii="Arial" w:cs="Arial" w:eastAsia="Arial" w:hAnsi="Arial"/>
                <w:sz w:val="17"/>
                <w:szCs w:val="17"/>
                <w:b w:val="1"/>
                <w:bCs w:val="1"/>
                <w:color w:val="auto"/>
              </w:rPr>
              <w:t>1,836</w:t>
            </w:r>
          </w:p>
        </w:tc>
        <w:tc>
          <w:tcPr>
            <w:tcW w:w="3100" w:type="dxa"/>
            <w:vAlign w:val="bottom"/>
          </w:tcPr>
          <w:p>
            <w:pPr>
              <w:spacing w:after="0"/>
              <w:rPr>
                <w:sz w:val="20"/>
                <w:szCs w:val="20"/>
                <w:color w:val="auto"/>
              </w:rPr>
            </w:pPr>
          </w:p>
        </w:tc>
      </w:tr>
      <w:tr>
        <w:trPr>
          <w:trHeight w:val="717"/>
        </w:trPr>
        <w:tc>
          <w:tcPr>
            <w:tcW w:w="1140" w:type="dxa"/>
            <w:vAlign w:val="bottom"/>
            <w:tcBorders>
              <w:top w:val="single" w:sz="8" w:color="CCFFCC"/>
            </w:tcBorders>
          </w:tcPr>
          <w:p>
            <w:pPr>
              <w:spacing w:after="0"/>
              <w:rPr>
                <w:sz w:val="24"/>
                <w:szCs w:val="24"/>
                <w:color w:val="auto"/>
              </w:rPr>
            </w:pPr>
          </w:p>
        </w:tc>
        <w:tc>
          <w:tcPr>
            <w:tcW w:w="2040" w:type="dxa"/>
            <w:vAlign w:val="bottom"/>
            <w:tcBorders>
              <w:top w:val="single" w:sz="8" w:color="CCFFC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F-14</w:t>
            </w:r>
          </w:p>
        </w:tc>
        <w:tc>
          <w:tcPr>
            <w:tcW w:w="16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0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-2298700</wp:posOffset>
            </wp:positionV>
            <wp:extent cx="4408170" cy="135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-1908810</wp:posOffset>
            </wp:positionV>
            <wp:extent cx="4408170" cy="135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-619760</wp:posOffset>
            </wp:positionV>
            <wp:extent cx="4408170" cy="317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2" w:name="page233"/>
    <w:bookmarkEnd w:id="23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3 — Fair Value Measurements – (continued)</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Valuation processes for Level 3 Fair Value Measurements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Fair value measurement of the derivative liability on account of Special Bridge Warrants, Conversion Warrants and Preferential Reload Warrants, which fall within Level 3 of the fair value hierarchy are determined and then reviewed by the Company’s accounting department, who reports to the Chief Financial Officer. The fair value measurements are compared to those of the prior reporting periods to ensure that changes are consistent with expectations of management based upon the sensitivity and nature of the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48374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Description</w:t>
            </w:r>
          </w:p>
        </w:tc>
        <w:tc>
          <w:tcPr>
            <w:tcW w:w="140" w:type="dxa"/>
            <w:vAlign w:val="bottom"/>
          </w:tcPr>
          <w:p>
            <w:pPr>
              <w:spacing w:after="0"/>
              <w:rPr>
                <w:sz w:val="14"/>
                <w:szCs w:val="14"/>
                <w:color w:val="auto"/>
              </w:rPr>
            </w:pPr>
          </w:p>
        </w:tc>
        <w:tc>
          <w:tcPr>
            <w:tcW w:w="17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Valuation Technique</w:t>
            </w:r>
          </w:p>
        </w:tc>
      </w:tr>
      <w:tr>
        <w:trPr>
          <w:trHeight w:val="181"/>
        </w:trPr>
        <w:tc>
          <w:tcPr>
            <w:tcW w:w="1920" w:type="dxa"/>
            <w:vAlign w:val="bottom"/>
          </w:tcPr>
          <w:p>
            <w:pPr>
              <w:spacing w:after="0" w:line="180" w:lineRule="exact"/>
              <w:rPr>
                <w:sz w:val="20"/>
                <w:szCs w:val="20"/>
                <w:color w:val="auto"/>
              </w:rPr>
            </w:pPr>
            <w:r>
              <w:rPr>
                <w:rFonts w:ascii="Arial" w:cs="Arial" w:eastAsia="Arial" w:hAnsi="Arial"/>
                <w:sz w:val="17"/>
                <w:szCs w:val="17"/>
                <w:color w:val="auto"/>
              </w:rPr>
              <w:t>Special Bridge Warrants,</w:t>
            </w:r>
          </w:p>
        </w:tc>
        <w:tc>
          <w:tcPr>
            <w:tcW w:w="140" w:type="dxa"/>
            <w:vAlign w:val="bottom"/>
          </w:tcPr>
          <w:p>
            <w:pPr>
              <w:spacing w:after="0"/>
              <w:rPr>
                <w:sz w:val="15"/>
                <w:szCs w:val="15"/>
                <w:color w:val="auto"/>
              </w:rPr>
            </w:pPr>
          </w:p>
        </w:tc>
        <w:tc>
          <w:tcPr>
            <w:tcW w:w="1720" w:type="dxa"/>
            <w:vAlign w:val="bottom"/>
          </w:tcPr>
          <w:p>
            <w:pPr>
              <w:spacing w:after="0" w:line="180" w:lineRule="exact"/>
              <w:rPr>
                <w:sz w:val="20"/>
                <w:szCs w:val="20"/>
                <w:color w:val="auto"/>
              </w:rPr>
            </w:pPr>
            <w:r>
              <w:rPr>
                <w:rFonts w:ascii="Arial" w:cs="Arial" w:eastAsia="Arial" w:hAnsi="Arial"/>
                <w:sz w:val="17"/>
                <w:szCs w:val="17"/>
                <w:color w:val="auto"/>
              </w:rPr>
              <w:t>Black-Scholes-Merton</w:t>
            </w:r>
          </w:p>
        </w:tc>
      </w:tr>
      <w:tr>
        <w:trPr>
          <w:trHeight w:val="200"/>
        </w:trPr>
        <w:tc>
          <w:tcPr>
            <w:tcW w:w="1920" w:type="dxa"/>
            <w:vAlign w:val="bottom"/>
          </w:tcPr>
          <w:p>
            <w:pPr>
              <w:spacing w:after="0"/>
              <w:rPr>
                <w:sz w:val="20"/>
                <w:szCs w:val="20"/>
                <w:color w:val="auto"/>
              </w:rPr>
            </w:pPr>
            <w:r>
              <w:rPr>
                <w:rFonts w:ascii="Arial" w:cs="Arial" w:eastAsia="Arial" w:hAnsi="Arial"/>
                <w:sz w:val="17"/>
                <w:szCs w:val="17"/>
                <w:color w:val="auto"/>
                <w:w w:val="98"/>
              </w:rPr>
              <w:t>Conversion Warrants and</w:t>
            </w:r>
          </w:p>
        </w:tc>
        <w:tc>
          <w:tcPr>
            <w:tcW w:w="1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and the Monte-Carlo</w:t>
            </w:r>
          </w:p>
        </w:tc>
      </w:tr>
      <w:tr>
        <w:trPr>
          <w:trHeight w:val="200"/>
        </w:trPr>
        <w:tc>
          <w:tcPr>
            <w:tcW w:w="1920" w:type="dxa"/>
            <w:vAlign w:val="bottom"/>
          </w:tcPr>
          <w:p>
            <w:pPr>
              <w:spacing w:after="0"/>
              <w:rPr>
                <w:sz w:val="20"/>
                <w:szCs w:val="20"/>
                <w:color w:val="auto"/>
              </w:rPr>
            </w:pPr>
            <w:r>
              <w:rPr>
                <w:rFonts w:ascii="Arial" w:cs="Arial" w:eastAsia="Arial" w:hAnsi="Arial"/>
                <w:sz w:val="17"/>
                <w:szCs w:val="17"/>
                <w:color w:val="auto"/>
              </w:rPr>
              <w:t>Preferential Reload</w:t>
            </w:r>
          </w:p>
        </w:tc>
        <w:tc>
          <w:tcPr>
            <w:tcW w:w="1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models</w:t>
            </w:r>
          </w:p>
        </w:tc>
      </w:tr>
      <w:tr>
        <w:trPr>
          <w:trHeight w:val="213"/>
        </w:trPr>
        <w:tc>
          <w:tcPr>
            <w:tcW w:w="1920" w:type="dxa"/>
            <w:vAlign w:val="bottom"/>
          </w:tcPr>
          <w:p>
            <w:pPr>
              <w:spacing w:after="0"/>
              <w:rPr>
                <w:sz w:val="20"/>
                <w:szCs w:val="20"/>
                <w:color w:val="auto"/>
              </w:rPr>
            </w:pPr>
            <w:r>
              <w:rPr>
                <w:rFonts w:ascii="Arial" w:cs="Arial" w:eastAsia="Arial" w:hAnsi="Arial"/>
                <w:sz w:val="17"/>
                <w:szCs w:val="17"/>
                <w:color w:val="auto"/>
              </w:rPr>
              <w:t>Warrants</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ind w:left="280"/>
              <w:spacing w:after="0"/>
              <w:rPr>
                <w:sz w:val="20"/>
                <w:szCs w:val="20"/>
                <w:color w:val="auto"/>
              </w:rPr>
            </w:pPr>
            <w:r>
              <w:rPr>
                <w:rFonts w:ascii="Arial" w:cs="Arial" w:eastAsia="Arial" w:hAnsi="Arial"/>
                <w:sz w:val="13"/>
                <w:szCs w:val="13"/>
                <w:b w:val="1"/>
                <w:bCs w:val="1"/>
                <w:color w:val="auto"/>
              </w:rPr>
              <w:t>Unobservable Inputs</w:t>
            </w:r>
          </w:p>
        </w:tc>
        <w:tc>
          <w:tcPr>
            <w:tcW w:w="140" w:type="dxa"/>
            <w:vAlign w:val="bottom"/>
          </w:tcPr>
          <w:p>
            <w:pPr>
              <w:spacing w:after="0"/>
              <w:rPr>
                <w:sz w:val="14"/>
                <w:szCs w:val="14"/>
                <w:color w:val="auto"/>
              </w:rPr>
            </w:pPr>
          </w:p>
        </w:tc>
        <w:tc>
          <w:tcPr>
            <w:tcW w:w="1840" w:type="dxa"/>
            <w:vAlign w:val="bottom"/>
            <w:gridSpan w:val="2"/>
          </w:tcPr>
          <w:p>
            <w:pPr>
              <w:ind w:left="740"/>
              <w:spacing w:after="0"/>
              <w:rPr>
                <w:sz w:val="20"/>
                <w:szCs w:val="20"/>
                <w:color w:val="auto"/>
              </w:rPr>
            </w:pPr>
            <w:r>
              <w:rPr>
                <w:rFonts w:ascii="Arial" w:cs="Arial" w:eastAsia="Arial" w:hAnsi="Arial"/>
                <w:sz w:val="13"/>
                <w:szCs w:val="13"/>
                <w:b w:val="1"/>
                <w:bCs w:val="1"/>
                <w:color w:val="auto"/>
              </w:rPr>
              <w:t>Range</w:t>
            </w:r>
          </w:p>
        </w:tc>
      </w:tr>
      <w:tr>
        <w:trPr>
          <w:trHeight w:val="181"/>
        </w:trPr>
        <w:tc>
          <w:tcPr>
            <w:tcW w:w="174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7"/>
                <w:szCs w:val="17"/>
                <w:color w:val="auto"/>
              </w:rPr>
              <w:t>Volatility</w:t>
            </w:r>
          </w:p>
        </w:tc>
        <w:tc>
          <w:tcPr>
            <w:tcW w:w="140" w:type="dxa"/>
            <w:vAlign w:val="bottom"/>
          </w:tcPr>
          <w:p>
            <w:pPr>
              <w:spacing w:after="0"/>
              <w:rPr>
                <w:sz w:val="15"/>
                <w:szCs w:val="15"/>
                <w:color w:val="auto"/>
              </w:rPr>
            </w:pPr>
          </w:p>
        </w:tc>
        <w:tc>
          <w:tcPr>
            <w:tcW w:w="18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73.13% – 82.95%</w:t>
            </w:r>
          </w:p>
        </w:tc>
        <w:tc>
          <w:tcPr>
            <w:tcW w:w="20" w:type="dxa"/>
            <w:vAlign w:val="bottom"/>
          </w:tcPr>
          <w:p>
            <w:pPr>
              <w:spacing w:after="0"/>
              <w:rPr>
                <w:sz w:val="15"/>
                <w:szCs w:val="15"/>
                <w:color w:val="auto"/>
              </w:rPr>
            </w:pPr>
          </w:p>
        </w:tc>
      </w:tr>
      <w:tr>
        <w:trPr>
          <w:trHeight w:val="200"/>
        </w:trPr>
        <w:tc>
          <w:tcPr>
            <w:tcW w:w="1740" w:type="dxa"/>
            <w:vAlign w:val="bottom"/>
          </w:tcPr>
          <w:p>
            <w:pPr>
              <w:ind w:left="20"/>
              <w:spacing w:after="0"/>
              <w:rPr>
                <w:sz w:val="20"/>
                <w:szCs w:val="20"/>
                <w:color w:val="auto"/>
              </w:rPr>
            </w:pPr>
            <w:r>
              <w:rPr>
                <w:rFonts w:ascii="Arial" w:cs="Arial" w:eastAsia="Arial" w:hAnsi="Arial"/>
                <w:sz w:val="17"/>
                <w:szCs w:val="17"/>
                <w:color w:val="auto"/>
              </w:rPr>
              <w:t>Risk free interest rate</w:t>
            </w:r>
          </w:p>
        </w:tc>
        <w:tc>
          <w:tcPr>
            <w:tcW w:w="14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7"/>
                <w:szCs w:val="17"/>
                <w:color w:val="auto"/>
              </w:rPr>
              <w:t>0.50% – 1.05%</w:t>
            </w:r>
          </w:p>
        </w:tc>
      </w:tr>
      <w:tr>
        <w:trPr>
          <w:trHeight w:val="200"/>
        </w:trPr>
        <w:tc>
          <w:tcPr>
            <w:tcW w:w="1740" w:type="dxa"/>
            <w:vAlign w:val="bottom"/>
          </w:tcPr>
          <w:p>
            <w:pPr>
              <w:ind w:left="20"/>
              <w:spacing w:after="0"/>
              <w:rPr>
                <w:sz w:val="20"/>
                <w:szCs w:val="20"/>
                <w:color w:val="auto"/>
              </w:rPr>
            </w:pPr>
            <w:r>
              <w:rPr>
                <w:rFonts w:ascii="Arial" w:cs="Arial" w:eastAsia="Arial" w:hAnsi="Arial"/>
                <w:sz w:val="17"/>
                <w:szCs w:val="17"/>
                <w:color w:val="auto"/>
                <w:w w:val="95"/>
              </w:rPr>
              <w:t>Expected term, in years</w:t>
            </w:r>
          </w:p>
        </w:tc>
        <w:tc>
          <w:tcPr>
            <w:tcW w:w="140" w:type="dxa"/>
            <w:vAlign w:val="bottom"/>
          </w:tcPr>
          <w:p>
            <w:pPr>
              <w:spacing w:after="0"/>
              <w:rPr>
                <w:sz w:val="17"/>
                <w:szCs w:val="17"/>
                <w:color w:val="auto"/>
              </w:rPr>
            </w:pPr>
          </w:p>
        </w:tc>
        <w:tc>
          <w:tcPr>
            <w:tcW w:w="1840" w:type="dxa"/>
            <w:vAlign w:val="bottom"/>
            <w:gridSpan w:val="2"/>
          </w:tcPr>
          <w:p>
            <w:pPr>
              <w:ind w:left="980"/>
              <w:spacing w:after="0"/>
              <w:rPr>
                <w:sz w:val="20"/>
                <w:szCs w:val="20"/>
                <w:color w:val="auto"/>
              </w:rPr>
            </w:pPr>
            <w:r>
              <w:rPr>
                <w:rFonts w:ascii="Arial" w:cs="Arial" w:eastAsia="Arial" w:hAnsi="Arial"/>
                <w:sz w:val="17"/>
                <w:szCs w:val="17"/>
                <w:color w:val="auto"/>
                <w:w w:val="98"/>
              </w:rPr>
              <w:t>2.75 – 4.86</w:t>
            </w:r>
          </w:p>
        </w:tc>
      </w:tr>
      <w:tr>
        <w:trPr>
          <w:trHeight w:val="200"/>
        </w:trPr>
        <w:tc>
          <w:tcPr>
            <w:tcW w:w="17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980" w:type="dxa"/>
            <w:vAlign w:val="bottom"/>
            <w:gridSpan w:val="3"/>
          </w:tcPr>
          <w:p>
            <w:pPr>
              <w:jc w:val="right"/>
              <w:ind w:right="20"/>
              <w:spacing w:after="0"/>
              <w:rPr>
                <w:sz w:val="20"/>
                <w:szCs w:val="20"/>
                <w:color w:val="auto"/>
              </w:rPr>
            </w:pPr>
            <w:r>
              <w:rPr>
                <w:rFonts w:ascii="Arial" w:cs="Arial" w:eastAsia="Arial" w:hAnsi="Arial"/>
                <w:sz w:val="17"/>
                <w:szCs w:val="17"/>
                <w:color w:val="auto"/>
              </w:rPr>
              <w:t>0.0%</w:t>
            </w:r>
          </w:p>
        </w:tc>
      </w:tr>
      <w:tr>
        <w:trPr>
          <w:trHeight w:val="200"/>
        </w:trPr>
        <w:tc>
          <w:tcPr>
            <w:tcW w:w="1740" w:type="dxa"/>
            <w:vAlign w:val="bottom"/>
          </w:tcPr>
          <w:p>
            <w:pPr>
              <w:ind w:left="20"/>
              <w:spacing w:after="0"/>
              <w:rPr>
                <w:sz w:val="20"/>
                <w:szCs w:val="20"/>
                <w:color w:val="auto"/>
              </w:rPr>
            </w:pPr>
            <w:r>
              <w:rPr>
                <w:rFonts w:ascii="Arial" w:cs="Arial" w:eastAsia="Arial" w:hAnsi="Arial"/>
                <w:sz w:val="17"/>
                <w:szCs w:val="17"/>
                <w:color w:val="auto"/>
                <w:w w:val="93"/>
              </w:rPr>
              <w:t>Probability and timing of</w:t>
            </w:r>
          </w:p>
        </w:tc>
        <w:tc>
          <w:tcPr>
            <w:tcW w:w="140" w:type="dxa"/>
            <w:vAlign w:val="bottom"/>
          </w:tcPr>
          <w:p>
            <w:pPr>
              <w:spacing w:after="0"/>
              <w:rPr>
                <w:sz w:val="17"/>
                <w:szCs w:val="17"/>
                <w:color w:val="auto"/>
              </w:rPr>
            </w:pPr>
          </w:p>
        </w:tc>
        <w:tc>
          <w:tcPr>
            <w:tcW w:w="1840" w:type="dxa"/>
            <w:vAlign w:val="bottom"/>
            <w:gridSpan w:val="2"/>
          </w:tcPr>
          <w:p>
            <w:pPr>
              <w:ind w:left="20"/>
              <w:spacing w:after="0"/>
              <w:rPr>
                <w:sz w:val="20"/>
                <w:szCs w:val="20"/>
                <w:color w:val="auto"/>
              </w:rPr>
            </w:pPr>
            <w:r>
              <w:rPr>
                <w:rFonts w:ascii="Arial" w:cs="Arial" w:eastAsia="Arial" w:hAnsi="Arial"/>
                <w:sz w:val="17"/>
                <w:szCs w:val="17"/>
                <w:color w:val="auto"/>
                <w:w w:val="98"/>
              </w:rPr>
              <w:t>30% in September 2012</w:t>
            </w:r>
          </w:p>
        </w:tc>
      </w:tr>
      <w:tr>
        <w:trPr>
          <w:trHeight w:val="200"/>
        </w:trPr>
        <w:tc>
          <w:tcPr>
            <w:tcW w:w="1740" w:type="dxa"/>
            <w:vAlign w:val="bottom"/>
          </w:tcPr>
          <w:p>
            <w:pPr>
              <w:ind w:left="20"/>
              <w:spacing w:after="0"/>
              <w:rPr>
                <w:sz w:val="20"/>
                <w:szCs w:val="20"/>
                <w:color w:val="auto"/>
              </w:rPr>
            </w:pPr>
            <w:r>
              <w:rPr>
                <w:rFonts w:ascii="Arial" w:cs="Arial" w:eastAsia="Arial" w:hAnsi="Arial"/>
                <w:sz w:val="17"/>
                <w:szCs w:val="17"/>
                <w:color w:val="auto"/>
              </w:rPr>
              <w:t>down-round triggering</w:t>
            </w: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1740" w:type="dxa"/>
            <w:vAlign w:val="bottom"/>
          </w:tcPr>
          <w:p>
            <w:pPr>
              <w:ind w:left="20"/>
              <w:spacing w:after="0"/>
              <w:rPr>
                <w:sz w:val="20"/>
                <w:szCs w:val="20"/>
                <w:color w:val="auto"/>
              </w:rPr>
            </w:pPr>
            <w:r>
              <w:rPr>
                <w:rFonts w:ascii="Arial" w:cs="Arial" w:eastAsia="Arial" w:hAnsi="Arial"/>
                <w:sz w:val="17"/>
                <w:szCs w:val="17"/>
                <w:color w:val="auto"/>
              </w:rPr>
              <w:t>event</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25" w:lineRule="exact"/>
        <w:rPr>
          <w:sz w:val="20"/>
          <w:szCs w:val="20"/>
          <w:color w:val="auto"/>
        </w:rPr>
      </w:pPr>
    </w:p>
    <w:p>
      <w:pPr>
        <w:sectPr>
          <w:pgSz w:w="11900" w:h="16838" w:orient="portrait"/>
          <w:cols w:equalWidth="0" w:num="2">
            <w:col w:w="3780" w:space="140"/>
            <w:col w:w="6179"/>
          </w:cols>
          <w:pgMar w:left="360" w:top="746" w:right="1440" w:bottom="1440" w:gutter="0" w:footer="0" w:header="0"/>
          <w:type w:val="continuous"/>
        </w:sectPr>
      </w:pPr>
    </w:p>
    <w:p>
      <w:pPr>
        <w:ind w:left="40"/>
        <w:spacing w:after="0"/>
        <w:rPr>
          <w:sz w:val="20"/>
          <w:szCs w:val="20"/>
          <w:color w:val="auto"/>
        </w:rPr>
      </w:pPr>
      <w:r>
        <w:rPr>
          <w:rFonts w:ascii="Arial" w:cs="Arial" w:eastAsia="Arial" w:hAnsi="Arial"/>
          <w:sz w:val="17"/>
          <w:szCs w:val="17"/>
          <w:b w:val="1"/>
          <w:bCs w:val="1"/>
          <w:i w:val="1"/>
          <w:iCs w:val="1"/>
          <w:color w:val="auto"/>
        </w:rPr>
        <w:t>Sensitivity of Level 3 measurements to changes in significant unobservable inputs</w:t>
      </w:r>
    </w:p>
    <w:p>
      <w:pPr>
        <w:spacing w:after="0" w:line="105"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The inputs to estimate the fair value of the Company’s derivative warrant liability are the current market price of the Company’s common stock, the exercise price of the warrant, its remaining term, the volatility of the Company’s common stock market price, Company’s estimations regarding the probability and timing of a down-round protection triggering event and the risk-free interest rate. Significant changes in any of those inputs in the isolation can result in a significant change in the fair value measurement. Generally, a positive change in the market price of the Company’s common stock, and an increase in the volatility of the Company’s commons stock, or an increase in the remaining term of the warrant, or an increase of a probability of a down-round triggering event would result in a directionally similar change in the estimated fair value of the Company’s Special Bridge Warrants, Conversion Warrants and Preferential Reload Warrants and thus an increase in the associated liability. An increase in the risk-free interest rate or a decrease in the positive differential between the warrant’s exercise price and the market price of the Company’s common stock would result in a decrease in the estimated fair value measurement of the Special Bridge Warrants, Conversion Warrants and Preferential Reload Warrants and thus a decrease in the associated liability. The Company has not, nor plans to, declare dividends on its common stock, and thus, there is no directionally similar change in the estimated fair value of the warrants due to the dividend assumption.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4 — Accrued Severance Pay</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78"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until February 2013, and continue to vest stock options after his termination (refer also to Note 5). As a result, the accrued severance pay provision was recorded as a short-term liability. There are no statutory or agreed-upon severance arrangements with U.S. employees, other than with the current CEO, should there be a merger subsequent to the Merger with I/P.</w:t>
      </w:r>
    </w:p>
    <w:p>
      <w:pPr>
        <w:spacing w:after="0" w:line="200" w:lineRule="exact"/>
        <w:rPr>
          <w:sz w:val="20"/>
          <w:szCs w:val="20"/>
          <w:color w:val="auto"/>
        </w:rPr>
      </w:pP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 Stockholders’ Equity</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Stock Options</w:t>
      </w:r>
    </w:p>
    <w:p>
      <w:pPr>
        <w:spacing w:after="0" w:line="105"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In January 2012, the Company’s Board of Directors (the “Board”) approved a one year acceleration of option vesting for all option holders, except for the Company’s new Chief Executive Officer (CEO) who will obtain 50% acceleration on all his unvested options, should the Company be subject to a change of control in a merger and/or acquisition transaction. In addition, in March 2012, the Board approved participation of all outstanding options, as of the consummation of the Merger with I/P, except for grants pursuant to separation arrangements, in future dividends, if any, as well as the acceleration of vesting of certain outstanding options, according to the following market conditions: should the target of a $5.00 price or $250 million market cap be reached for twenty of thirty consecutive trading days, a 50% acceleration of all granted would occur; should the target of a $10.00 price or $500 million market cap be reached for twenty of thirty consecutive trading days, a 75% acceleration of all granted would occur would occur; should the target of a $20.00 price or $1,000 million market cap be reached for twenty of thirty consecutive trading days, a 100% acceleration of all granted would occur would occur. In addition, upon a subsequent change of control, defined as a more than 50% change in shareholder ownership excluding the transaction with I/P, 75% of the then unvested options held by each grantee shall automatically vest. Moreover, all outstanding options granted to members of the Board shall fully vest if a Board member ceases to be a director at any time during the six-month period immediately following a change of control. As of March 31, 2012, the Company expects to account for no dividend payouts, acceleration of vesting triggered by the Merger with I/P will be accounted for upon the consummation of the Merger; moreover, as of the date the abovementioned market conditions were introduced, the Company estimated that the effect of acceleration under the new terms to be immaterial, due to low probability of occurrence.</w:t>
      </w:r>
    </w:p>
    <w:p>
      <w:pPr>
        <w:spacing w:after="0" w:line="2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January and February 2012, the Board approved the granting of 81,300 fully vested options to management and consultants at an exercise price of $0.01 per share.</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January 2012, the Board also approved the granting of 604,500 options at an exercise price of $0.96 to the Company’s management, employees and consultants. These options will vest over four years (according to the applicable schedule of each optionee).</w:t>
      </w:r>
    </w:p>
    <w:p>
      <w:pPr>
        <w:spacing w:after="0" w:line="7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February 2012, Board also approved the granting of 130,000 options at an exercise price of $1.21 to the Company’s management. These options will vest over four years.</w:t>
      </w:r>
    </w:p>
    <w:p>
      <w:pPr>
        <w:spacing w:after="0" w:line="66"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In March 2012, the Board approved the granting of 1,700,000 options to Board members and management (including 100,000 options granted to its former CEO) at an exercise price of $1.65 per share. These options will vest quarterly over three years.</w:t>
      </w:r>
    </w:p>
    <w:p>
      <w:pPr>
        <w:spacing w:after="0" w:line="2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During the three month period ended March 31, 2012 and 2011, 124 thousand and 189 thousand stock options were forfeited and 27 thousand and 0 stock options were exercised, respectively.</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the three month period ended March 31, 2012 and 2011 the Company recorded compensation expense of $864 thousand and $431 thousand, respectively. Cumulative from inception the Company has recorded compensation expense of $3,887 thousand, in respect of stock options granted.</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As of March 31, 2012, there was approximately $2.8 million of total unrecognized share-based payment cost related to non-vested share-based compensation arrangements granted under the incentive plans. That cost is expected to be recognized over an estimated 3 years period. As of March 31, 2012, there were approximately 9.1 million shares of common stock available for grant under the Stock Option Plan.</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4" w:name="page235"/>
    <w:bookmarkEnd w:id="23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 Stockholders’ Equity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No. of options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Weighted average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61"/>
              <w:spacing w:after="0"/>
              <w:rPr>
                <w:sz w:val="20"/>
                <w:szCs w:val="20"/>
                <w:color w:val="auto"/>
              </w:rPr>
            </w:pPr>
            <w:r>
              <w:rPr>
                <w:rFonts w:ascii="Arial" w:cs="Arial" w:eastAsia="Arial" w:hAnsi="Arial"/>
                <w:sz w:val="13"/>
                <w:szCs w:val="13"/>
                <w:b w:val="1"/>
                <w:bCs w:val="1"/>
                <w:color w:val="auto"/>
                <w:w w:val="91"/>
              </w:rPr>
              <w:t>Exercise price range</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7"/>
              </w:rPr>
              <w:t>exercise price</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80" w:type="dxa"/>
            <w:vAlign w:val="bottom"/>
            <w:vMerge w:val="restart"/>
          </w:tcPr>
          <w:p>
            <w:pPr>
              <w:ind w:left="160"/>
              <w:spacing w:after="0"/>
              <w:rPr>
                <w:sz w:val="20"/>
                <w:szCs w:val="20"/>
                <w:color w:val="auto"/>
              </w:rPr>
            </w:pPr>
            <w:r>
              <w:rPr>
                <w:rFonts w:ascii="Arial" w:cs="Arial" w:eastAsia="Arial" w:hAnsi="Arial"/>
                <w:sz w:val="17"/>
                <w:szCs w:val="17"/>
                <w:color w:val="auto"/>
              </w:rPr>
              <w:t>Outstanding at January 1, 2012</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2,228,400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2"/>
              </w:rPr>
              <w:t>U.S.$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93"/>
        </w:trPr>
        <w:tc>
          <w:tcPr>
            <w:tcW w:w="30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line="193" w:lineRule="exact"/>
              <w:rPr>
                <w:sz w:val="20"/>
                <w:szCs w:val="20"/>
                <w:color w:val="auto"/>
              </w:rPr>
            </w:pPr>
            <w:r>
              <w:rPr>
                <w:rFonts w:ascii="Arial" w:cs="Arial" w:eastAsia="Arial" w:hAnsi="Arial"/>
                <w:sz w:val="17"/>
                <w:szCs w:val="17"/>
                <w:color w:val="auto"/>
              </w:rPr>
              <w:t>3.17</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1"/>
              <w:spacing w:after="0" w:line="193" w:lineRule="exact"/>
              <w:rPr>
                <w:sz w:val="20"/>
                <w:szCs w:val="20"/>
                <w:color w:val="auto"/>
              </w:rPr>
            </w:pPr>
            <w:r>
              <w:rPr>
                <w:rFonts w:ascii="Arial" w:cs="Arial" w:eastAsia="Arial" w:hAnsi="Arial"/>
                <w:sz w:val="17"/>
                <w:szCs w:val="17"/>
                <w:color w:val="auto"/>
              </w:rPr>
              <w:t>0.01 – 5.50</w:t>
            </w:r>
          </w:p>
        </w:tc>
        <w:tc>
          <w:tcPr>
            <w:tcW w:w="0" w:type="dxa"/>
            <w:vAlign w:val="bottom"/>
          </w:tcPr>
          <w:p>
            <w:pPr>
              <w:spacing w:after="0"/>
              <w:rPr>
                <w:sz w:val="1"/>
                <w:szCs w:val="1"/>
                <w:color w:val="auto"/>
              </w:rPr>
            </w:pPr>
          </w:p>
        </w:tc>
      </w:tr>
      <w:tr>
        <w:trPr>
          <w:trHeight w:val="200"/>
        </w:trPr>
        <w:tc>
          <w:tcPr>
            <w:tcW w:w="30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Granted</w:t>
            </w:r>
          </w:p>
        </w:tc>
        <w:tc>
          <w:tcPr>
            <w:tcW w:w="11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2,534,401</w:t>
            </w:r>
          </w:p>
        </w:tc>
        <w:tc>
          <w:tcPr>
            <w:tcW w:w="160" w:type="dxa"/>
            <w:vAlign w:val="bottom"/>
            <w:shd w:val="clear" w:color="auto" w:fill="CCFFCC"/>
          </w:tcPr>
          <w:p>
            <w:pPr>
              <w:spacing w:after="0"/>
              <w:rPr>
                <w:sz w:val="17"/>
                <w:szCs w:val="17"/>
                <w:color w:val="auto"/>
              </w:rPr>
            </w:pPr>
          </w:p>
        </w:tc>
        <w:tc>
          <w:tcPr>
            <w:tcW w:w="320" w:type="dxa"/>
            <w:vAlign w:val="bottom"/>
            <w:gridSpan w:val="2"/>
            <w:shd w:val="clear" w:color="auto" w:fill="CCFFCC"/>
          </w:tcPr>
          <w:p>
            <w:pPr>
              <w:jc w:val="right"/>
              <w:ind w:right="7"/>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1.42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FFCC"/>
          </w:tcPr>
          <w:p>
            <w:pPr>
              <w:jc w:val="right"/>
              <w:ind w:right="21"/>
              <w:spacing w:after="0"/>
              <w:rPr>
                <w:sz w:val="20"/>
                <w:szCs w:val="20"/>
                <w:color w:val="auto"/>
              </w:rPr>
            </w:pPr>
            <w:r>
              <w:rPr>
                <w:rFonts w:ascii="Arial" w:cs="Arial" w:eastAsia="Arial" w:hAnsi="Arial"/>
                <w:sz w:val="17"/>
                <w:szCs w:val="17"/>
                <w:color w:val="auto"/>
              </w:rPr>
              <w:t>0.01 – 1.65</w:t>
            </w:r>
          </w:p>
        </w:tc>
        <w:tc>
          <w:tcPr>
            <w:tcW w:w="0" w:type="dxa"/>
            <w:vAlign w:val="bottom"/>
          </w:tcPr>
          <w:p>
            <w:pPr>
              <w:spacing w:after="0"/>
              <w:rPr>
                <w:sz w:val="1"/>
                <w:szCs w:val="1"/>
                <w:color w:val="auto"/>
              </w:rPr>
            </w:pPr>
          </w:p>
        </w:tc>
      </w:tr>
      <w:tr>
        <w:trPr>
          <w:trHeight w:val="200"/>
        </w:trPr>
        <w:tc>
          <w:tcPr>
            <w:tcW w:w="3080" w:type="dxa"/>
            <w:vAlign w:val="bottom"/>
          </w:tcPr>
          <w:p>
            <w:pPr>
              <w:ind w:left="160"/>
              <w:spacing w:after="0"/>
              <w:rPr>
                <w:sz w:val="20"/>
                <w:szCs w:val="20"/>
                <w:color w:val="auto"/>
              </w:rPr>
            </w:pPr>
            <w:r>
              <w:rPr>
                <w:rFonts w:ascii="Arial" w:cs="Arial" w:eastAsia="Arial" w:hAnsi="Arial"/>
                <w:sz w:val="17"/>
                <w:szCs w:val="17"/>
                <w:color w:val="auto"/>
              </w:rPr>
              <w:t>Exercised</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(27,250)</w:t>
            </w:r>
          </w:p>
        </w:tc>
        <w:tc>
          <w:tcPr>
            <w:tcW w:w="32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0.01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1"/>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0"/>
        </w:trPr>
        <w:tc>
          <w:tcPr>
            <w:tcW w:w="30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Expired</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(1,312)</w:t>
            </w:r>
          </w:p>
        </w:tc>
        <w:tc>
          <w:tcPr>
            <w:tcW w:w="320" w:type="dxa"/>
            <w:vAlign w:val="bottom"/>
            <w:gridSpan w:val="2"/>
            <w:shd w:val="clear" w:color="auto" w:fill="CCFFCC"/>
          </w:tcPr>
          <w:p>
            <w:pPr>
              <w:jc w:val="right"/>
              <w:ind w:right="7"/>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4.55</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FFCC"/>
          </w:tcPr>
          <w:p>
            <w:pPr>
              <w:jc w:val="right"/>
              <w:ind w:right="21"/>
              <w:spacing w:after="0"/>
              <w:rPr>
                <w:sz w:val="20"/>
                <w:szCs w:val="20"/>
                <w:color w:val="auto"/>
              </w:rPr>
            </w:pPr>
            <w:r>
              <w:rPr>
                <w:rFonts w:ascii="Arial" w:cs="Arial" w:eastAsia="Arial" w:hAnsi="Arial"/>
                <w:sz w:val="17"/>
                <w:szCs w:val="17"/>
                <w:color w:val="auto"/>
              </w:rPr>
              <w:t>1.50 – 5.50</w:t>
            </w:r>
          </w:p>
        </w:tc>
        <w:tc>
          <w:tcPr>
            <w:tcW w:w="0" w:type="dxa"/>
            <w:vAlign w:val="bottom"/>
          </w:tcPr>
          <w:p>
            <w:pPr>
              <w:spacing w:after="0"/>
              <w:rPr>
                <w:sz w:val="1"/>
                <w:szCs w:val="1"/>
                <w:color w:val="auto"/>
              </w:rPr>
            </w:pPr>
          </w:p>
        </w:tc>
      </w:tr>
      <w:tr>
        <w:trPr>
          <w:trHeight w:val="200"/>
        </w:trPr>
        <w:tc>
          <w:tcPr>
            <w:tcW w:w="3080" w:type="dxa"/>
            <w:vAlign w:val="bottom"/>
          </w:tcPr>
          <w:p>
            <w:pPr>
              <w:ind w:left="160"/>
              <w:spacing w:after="0"/>
              <w:rPr>
                <w:sz w:val="20"/>
                <w:szCs w:val="20"/>
                <w:color w:val="auto"/>
              </w:rPr>
            </w:pPr>
            <w:r>
              <w:rPr>
                <w:rFonts w:ascii="Arial" w:cs="Arial" w:eastAsia="Arial" w:hAnsi="Arial"/>
                <w:sz w:val="17"/>
                <w:szCs w:val="17"/>
                <w:color w:val="auto"/>
              </w:rPr>
              <w:t>Forfeited</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(122,313)</w:t>
            </w:r>
          </w:p>
        </w:tc>
        <w:tc>
          <w:tcPr>
            <w:tcW w:w="32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1"/>
              <w:spacing w:after="0"/>
              <w:rPr>
                <w:sz w:val="20"/>
                <w:szCs w:val="20"/>
                <w:color w:val="auto"/>
              </w:rPr>
            </w:pPr>
            <w:r>
              <w:rPr>
                <w:rFonts w:ascii="Arial" w:cs="Arial" w:eastAsia="Arial" w:hAnsi="Arial"/>
                <w:sz w:val="17"/>
                <w:szCs w:val="17"/>
                <w:color w:val="auto"/>
              </w:rPr>
              <w:t>0.01 – 5.50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8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Outstanding at March 31, 2012</w:t>
            </w:r>
          </w:p>
        </w:tc>
        <w:tc>
          <w:tcPr>
            <w:tcW w:w="11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4,611,926</w:t>
            </w:r>
          </w:p>
        </w:tc>
        <w:tc>
          <w:tcPr>
            <w:tcW w:w="160" w:type="dxa"/>
            <w:vAlign w:val="bottom"/>
            <w:shd w:val="clear" w:color="auto" w:fill="CCFFCC"/>
          </w:tcPr>
          <w:p>
            <w:pPr>
              <w:spacing w:after="0"/>
              <w:rPr>
                <w:sz w:val="20"/>
                <w:szCs w:val="20"/>
                <w:color w:val="auto"/>
              </w:rPr>
            </w:pPr>
          </w:p>
        </w:tc>
        <w:tc>
          <w:tcPr>
            <w:tcW w:w="320" w:type="dxa"/>
            <w:vAlign w:val="bottom"/>
            <w:gridSpan w:val="2"/>
            <w:shd w:val="clear" w:color="auto" w:fill="CCFFCC"/>
          </w:tcPr>
          <w:p>
            <w:pPr>
              <w:jc w:val="right"/>
              <w:ind w:right="7"/>
              <w:spacing w:after="0" w:line="193"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FFCC"/>
          </w:tcPr>
          <w:p>
            <w:pPr>
              <w:jc w:val="right"/>
              <w:ind w:right="200"/>
              <w:spacing w:after="0" w:line="193" w:lineRule="exact"/>
              <w:rPr>
                <w:sz w:val="20"/>
                <w:szCs w:val="20"/>
                <w:color w:val="auto"/>
              </w:rPr>
            </w:pPr>
            <w:r>
              <w:rPr>
                <w:rFonts w:ascii="Arial" w:cs="Arial" w:eastAsia="Arial" w:hAnsi="Arial"/>
                <w:sz w:val="17"/>
                <w:szCs w:val="17"/>
                <w:color w:val="auto"/>
              </w:rPr>
              <w:t>2.18</w:t>
            </w:r>
          </w:p>
        </w:tc>
        <w:tc>
          <w:tcPr>
            <w:tcW w:w="26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1320" w:type="dxa"/>
            <w:vAlign w:val="bottom"/>
            <w:shd w:val="clear" w:color="auto" w:fill="CCFFCC"/>
          </w:tcPr>
          <w:p>
            <w:pPr>
              <w:jc w:val="right"/>
              <w:ind w:right="21"/>
              <w:spacing w:after="0" w:line="193" w:lineRule="exact"/>
              <w:rPr>
                <w:sz w:val="20"/>
                <w:szCs w:val="20"/>
                <w:color w:val="auto"/>
              </w:rPr>
            </w:pPr>
            <w:r>
              <w:rPr>
                <w:rFonts w:ascii="Arial" w:cs="Arial" w:eastAsia="Arial" w:hAnsi="Arial"/>
                <w:sz w:val="17"/>
                <w:szCs w:val="17"/>
                <w:color w:val="auto"/>
              </w:rPr>
              <w:t>0.01 – 5.50</w:t>
            </w:r>
          </w:p>
        </w:tc>
        <w:tc>
          <w:tcPr>
            <w:tcW w:w="0" w:type="dxa"/>
            <w:vAlign w:val="bottom"/>
          </w:tcPr>
          <w:p>
            <w:pPr>
              <w:spacing w:after="0"/>
              <w:rPr>
                <w:sz w:val="1"/>
                <w:szCs w:val="1"/>
                <w:color w:val="auto"/>
              </w:rPr>
            </w:pPr>
          </w:p>
        </w:tc>
      </w:tr>
      <w:tr>
        <w:trPr>
          <w:trHeight w:val="191"/>
        </w:trPr>
        <w:tc>
          <w:tcPr>
            <w:tcW w:w="3080" w:type="dxa"/>
            <w:vAlign w:val="bottom"/>
            <w:tcBorders>
              <w:top w:val="single" w:sz="8" w:color="CCFFCC"/>
            </w:tcBorders>
          </w:tcPr>
          <w:p>
            <w:pPr>
              <w:spacing w:after="0" w:line="191" w:lineRule="exact"/>
              <w:rPr>
                <w:sz w:val="20"/>
                <w:szCs w:val="20"/>
                <w:color w:val="auto"/>
              </w:rPr>
            </w:pPr>
            <w:r>
              <w:rPr>
                <w:rFonts w:ascii="Arial" w:cs="Arial" w:eastAsia="Arial" w:hAnsi="Arial"/>
                <w:sz w:val="17"/>
                <w:szCs w:val="17"/>
                <w:b w:val="1"/>
                <w:bCs w:val="1"/>
                <w:color w:val="auto"/>
              </w:rPr>
              <w:t>Exercisable at March 31, 2012</w:t>
            </w:r>
          </w:p>
        </w:tc>
        <w:tc>
          <w:tcPr>
            <w:tcW w:w="116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886,442</w:t>
            </w:r>
          </w:p>
        </w:tc>
        <w:tc>
          <w:tcPr>
            <w:tcW w:w="16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32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-190500</wp:posOffset>
            </wp:positionV>
            <wp:extent cx="4837430" cy="1911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837430" cy="191135"/>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option activity for the year 2012 by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040" w:type="dxa"/>
            <w:vAlign w:val="bottom"/>
          </w:tcPr>
          <w:p>
            <w:pPr>
              <w:ind w:left="120"/>
              <w:spacing w:after="0"/>
              <w:rPr>
                <w:sz w:val="20"/>
                <w:szCs w:val="20"/>
                <w:color w:val="auto"/>
              </w:rPr>
            </w:pPr>
            <w:r>
              <w:rPr>
                <w:rFonts w:ascii="Arial" w:cs="Arial" w:eastAsia="Arial" w:hAnsi="Arial"/>
                <w:sz w:val="13"/>
                <w:szCs w:val="13"/>
                <w:b w:val="1"/>
                <w:bCs w:val="1"/>
                <w:color w:val="auto"/>
              </w:rPr>
              <w:t>No. of options</w:t>
            </w:r>
          </w:p>
        </w:tc>
        <w:tc>
          <w:tcPr>
            <w:tcW w:w="140" w:type="dxa"/>
            <w:vAlign w:val="bottom"/>
          </w:tcPr>
          <w:p>
            <w:pPr>
              <w:spacing w:after="0"/>
              <w:rPr>
                <w:sz w:val="13"/>
                <w:szCs w:val="13"/>
                <w:color w:val="auto"/>
              </w:rPr>
            </w:pPr>
          </w:p>
        </w:tc>
        <w:tc>
          <w:tcPr>
            <w:tcW w:w="1040" w:type="dxa"/>
            <w:vAlign w:val="bottom"/>
          </w:tcPr>
          <w:p>
            <w:pPr>
              <w:jc w:val="right"/>
              <w:ind w:right="48"/>
              <w:spacing w:after="0"/>
              <w:rPr>
                <w:sz w:val="20"/>
                <w:szCs w:val="20"/>
                <w:color w:val="auto"/>
              </w:rPr>
            </w:pPr>
            <w:r>
              <w:rPr>
                <w:rFonts w:ascii="Arial" w:cs="Arial" w:eastAsia="Arial" w:hAnsi="Arial"/>
                <w:sz w:val="13"/>
                <w:szCs w:val="13"/>
                <w:b w:val="1"/>
                <w:bCs w:val="1"/>
                <w:color w:val="auto"/>
              </w:rPr>
              <w:t>No. of options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3"/>
                <w:szCs w:val="13"/>
                <w:b w:val="1"/>
                <w:bCs w:val="1"/>
                <w:color w:val="auto"/>
                <w:w w:val="88"/>
              </w:rPr>
              <w:t>Exercise price</w:t>
            </w:r>
          </w:p>
        </w:tc>
        <w:tc>
          <w:tcPr>
            <w:tcW w:w="1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Average fair value</w:t>
            </w:r>
          </w:p>
        </w:tc>
        <w:tc>
          <w:tcPr>
            <w:tcW w:w="0" w:type="dxa"/>
            <w:vAlign w:val="bottom"/>
          </w:tcPr>
          <w:p>
            <w:pPr>
              <w:spacing w:after="0"/>
              <w:rPr>
                <w:sz w:val="1"/>
                <w:szCs w:val="1"/>
                <w:color w:val="auto"/>
              </w:rPr>
            </w:pPr>
          </w:p>
        </w:tc>
      </w:tr>
      <w:tr>
        <w:trPr>
          <w:trHeight w:val="138"/>
        </w:trPr>
        <w:tc>
          <w:tcPr>
            <w:tcW w:w="230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3"/>
                <w:szCs w:val="13"/>
                <w:b w:val="1"/>
                <w:bCs w:val="1"/>
                <w:color w:val="auto"/>
              </w:rPr>
              <w:t>to Employees,</w:t>
            </w:r>
          </w:p>
        </w:tc>
        <w:tc>
          <w:tcPr>
            <w:tcW w:w="140" w:type="dxa"/>
            <w:vAlign w:val="bottom"/>
          </w:tcPr>
          <w:p>
            <w:pPr>
              <w:spacing w:after="0"/>
              <w:rPr>
                <w:sz w:val="11"/>
                <w:szCs w:val="11"/>
                <w:color w:val="auto"/>
              </w:rPr>
            </w:pPr>
          </w:p>
        </w:tc>
        <w:tc>
          <w:tcPr>
            <w:tcW w:w="1040" w:type="dxa"/>
            <w:vAlign w:val="bottom"/>
          </w:tcPr>
          <w:p>
            <w:pPr>
              <w:jc w:val="right"/>
              <w:ind w:right="28"/>
              <w:spacing w:after="0" w:line="138" w:lineRule="exact"/>
              <w:rPr>
                <w:sz w:val="20"/>
                <w:szCs w:val="20"/>
                <w:color w:val="auto"/>
              </w:rPr>
            </w:pPr>
            <w:r>
              <w:rPr>
                <w:rFonts w:ascii="Arial" w:cs="Arial" w:eastAsia="Arial" w:hAnsi="Arial"/>
                <w:sz w:val="13"/>
                <w:szCs w:val="13"/>
                <w:b w:val="1"/>
                <w:bCs w:val="1"/>
                <w:color w:val="auto"/>
              </w:rPr>
              <w:t>to Consultants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of granted option</w:t>
            </w:r>
          </w:p>
        </w:tc>
        <w:tc>
          <w:tcPr>
            <w:tcW w:w="0" w:type="dxa"/>
            <w:vAlign w:val="bottom"/>
          </w:tcPr>
          <w:p>
            <w:pPr>
              <w:spacing w:after="0"/>
              <w:rPr>
                <w:sz w:val="1"/>
                <w:szCs w:val="1"/>
                <w:color w:val="auto"/>
              </w:rPr>
            </w:pPr>
          </w:p>
        </w:tc>
      </w:tr>
      <w:tr>
        <w:trPr>
          <w:trHeight w:val="138"/>
        </w:trPr>
        <w:tc>
          <w:tcPr>
            <w:tcW w:w="2300" w:type="dxa"/>
            <w:vAlign w:val="bottom"/>
          </w:tcPr>
          <w:p>
            <w:pPr>
              <w:spacing w:after="0"/>
              <w:rPr>
                <w:sz w:val="11"/>
                <w:szCs w:val="11"/>
                <w:color w:val="auto"/>
              </w:rPr>
            </w:pPr>
          </w:p>
        </w:tc>
        <w:tc>
          <w:tcPr>
            <w:tcW w:w="1040" w:type="dxa"/>
            <w:vAlign w:val="bottom"/>
          </w:tcPr>
          <w:p>
            <w:pPr>
              <w:ind w:left="140"/>
              <w:spacing w:after="0" w:line="138" w:lineRule="exact"/>
              <w:rPr>
                <w:sz w:val="20"/>
                <w:szCs w:val="20"/>
                <w:color w:val="auto"/>
              </w:rPr>
            </w:pPr>
            <w:r>
              <w:rPr>
                <w:rFonts w:ascii="Arial" w:cs="Arial" w:eastAsia="Arial" w:hAnsi="Arial"/>
                <w:sz w:val="13"/>
                <w:szCs w:val="13"/>
                <w:b w:val="1"/>
                <w:bCs w:val="1"/>
                <w:color w:val="auto"/>
              </w:rPr>
              <w:t>Management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and Directors</w:t>
            </w:r>
          </w:p>
        </w:tc>
        <w:tc>
          <w:tcPr>
            <w:tcW w:w="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vMerge w:val="restart"/>
          </w:tcPr>
          <w:p>
            <w:pPr>
              <w:spacing w:after="0"/>
              <w:rPr>
                <w:sz w:val="20"/>
                <w:szCs w:val="20"/>
                <w:color w:val="auto"/>
              </w:rPr>
            </w:pPr>
            <w:r>
              <w:rPr>
                <w:rFonts w:ascii="Arial" w:cs="Arial" w:eastAsia="Arial" w:hAnsi="Arial"/>
                <w:sz w:val="17"/>
                <w:szCs w:val="17"/>
                <w:color w:val="auto"/>
              </w:rPr>
              <w:t>January 2012</w:t>
            </w:r>
          </w:p>
        </w:tc>
        <w:tc>
          <w:tcPr>
            <w:tcW w:w="1040" w:type="dxa"/>
            <w:vAlign w:val="bottom"/>
            <w:vMerge w:val="restart"/>
          </w:tcPr>
          <w:p>
            <w:pPr>
              <w:jc w:val="right"/>
              <w:ind w:right="5"/>
              <w:spacing w:after="0"/>
              <w:rPr>
                <w:sz w:val="20"/>
                <w:szCs w:val="20"/>
                <w:color w:val="auto"/>
              </w:rPr>
            </w:pPr>
            <w:r>
              <w:rPr>
                <w:rFonts w:ascii="Arial" w:cs="Arial" w:eastAsia="Arial" w:hAnsi="Arial"/>
                <w:sz w:val="17"/>
                <w:szCs w:val="17"/>
                <w:color w:val="auto"/>
              </w:rPr>
              <w:t>599,500</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7"/>
                <w:szCs w:val="17"/>
                <w:color w:val="auto"/>
              </w:rPr>
              <w:t>5,000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23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62"/>
              <w:spacing w:after="0" w:line="193" w:lineRule="exact"/>
              <w:rPr>
                <w:sz w:val="20"/>
                <w:szCs w:val="20"/>
                <w:color w:val="auto"/>
              </w:rPr>
            </w:pPr>
            <w:r>
              <w:rPr>
                <w:rFonts w:ascii="Arial" w:cs="Arial" w:eastAsia="Arial" w:hAnsi="Arial"/>
                <w:sz w:val="17"/>
                <w:szCs w:val="17"/>
                <w:color w:val="auto"/>
              </w:rPr>
              <w:t>0.96</w:t>
            </w:r>
          </w:p>
        </w:tc>
        <w:tc>
          <w:tcPr>
            <w:tcW w:w="16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0"/>
        </w:trPr>
        <w:tc>
          <w:tcPr>
            <w:tcW w:w="2300" w:type="dxa"/>
            <w:vAlign w:val="bottom"/>
            <w:shd w:val="clear" w:color="auto" w:fill="CCFFCC"/>
          </w:tcPr>
          <w:p>
            <w:pPr>
              <w:spacing w:after="0"/>
              <w:rPr>
                <w:sz w:val="20"/>
                <w:szCs w:val="20"/>
                <w:color w:val="auto"/>
              </w:rPr>
            </w:pPr>
            <w:r>
              <w:rPr>
                <w:rFonts w:ascii="Arial" w:cs="Arial" w:eastAsia="Arial" w:hAnsi="Arial"/>
                <w:sz w:val="17"/>
                <w:szCs w:val="17"/>
                <w:color w:val="auto"/>
              </w:rPr>
              <w:t>January – February 2012</w:t>
            </w:r>
          </w:p>
        </w:tc>
        <w:tc>
          <w:tcPr>
            <w:tcW w:w="1040" w:type="dxa"/>
            <w:vAlign w:val="bottom"/>
            <w:shd w:val="clear" w:color="auto" w:fill="CCFFCC"/>
          </w:tcPr>
          <w:p>
            <w:pPr>
              <w:jc w:val="right"/>
              <w:ind w:right="5"/>
              <w:spacing w:after="0"/>
              <w:rPr>
                <w:sz w:val="20"/>
                <w:szCs w:val="20"/>
                <w:color w:val="auto"/>
              </w:rPr>
            </w:pPr>
            <w:r>
              <w:rPr>
                <w:rFonts w:ascii="Arial" w:cs="Arial" w:eastAsia="Arial" w:hAnsi="Arial"/>
                <w:sz w:val="17"/>
                <w:szCs w:val="17"/>
                <w:color w:val="auto"/>
              </w:rPr>
              <w:t>20,000</w:t>
            </w:r>
          </w:p>
        </w:tc>
        <w:tc>
          <w:tcPr>
            <w:tcW w:w="1180" w:type="dxa"/>
            <w:vAlign w:val="bottom"/>
            <w:gridSpan w:val="2"/>
            <w:shd w:val="clear" w:color="auto" w:fill="CCFFCC"/>
          </w:tcPr>
          <w:p>
            <w:pPr>
              <w:jc w:val="right"/>
              <w:ind w:right="8"/>
              <w:spacing w:after="0"/>
              <w:rPr>
                <w:sz w:val="20"/>
                <w:szCs w:val="20"/>
                <w:color w:val="auto"/>
              </w:rPr>
            </w:pPr>
            <w:r>
              <w:rPr>
                <w:rFonts w:ascii="Arial" w:cs="Arial" w:eastAsia="Arial" w:hAnsi="Arial"/>
                <w:sz w:val="17"/>
                <w:szCs w:val="17"/>
                <w:color w:val="auto"/>
              </w:rPr>
              <w:t>61,300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FFCC"/>
          </w:tcPr>
          <w:p>
            <w:pPr>
              <w:jc w:val="right"/>
              <w:ind w:right="62"/>
              <w:spacing w:after="0"/>
              <w:rPr>
                <w:sz w:val="20"/>
                <w:szCs w:val="20"/>
                <w:color w:val="auto"/>
              </w:rPr>
            </w:pPr>
            <w:r>
              <w:rPr>
                <w:rFonts w:ascii="Arial" w:cs="Arial" w:eastAsia="Arial" w:hAnsi="Arial"/>
                <w:sz w:val="17"/>
                <w:szCs w:val="17"/>
                <w:color w:val="auto"/>
              </w:rPr>
              <w:t>0.01</w:t>
            </w:r>
          </w:p>
        </w:tc>
        <w:tc>
          <w:tcPr>
            <w:tcW w:w="340" w:type="dxa"/>
            <w:vAlign w:val="bottom"/>
            <w:gridSpan w:val="2"/>
            <w:shd w:val="clear" w:color="auto" w:fill="CCFFCC"/>
          </w:tcPr>
          <w:p>
            <w:pPr>
              <w:jc w:val="right"/>
              <w:ind w:right="31"/>
              <w:spacing w:after="0"/>
              <w:rPr>
                <w:sz w:val="20"/>
                <w:szCs w:val="20"/>
                <w:color w:val="auto"/>
              </w:rPr>
            </w:pPr>
            <w:r>
              <w:rPr>
                <w:rFonts w:ascii="Arial" w:cs="Arial" w:eastAsia="Arial" w:hAnsi="Arial"/>
                <w:sz w:val="17"/>
                <w:szCs w:val="17"/>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7"/>
                <w:szCs w:val="17"/>
                <w:color w:val="auto"/>
                <w:w w:val="96"/>
              </w:rPr>
              <w:t>0.95 – $1.2</w:t>
            </w:r>
          </w:p>
        </w:tc>
        <w:tc>
          <w:tcPr>
            <w:tcW w:w="0" w:type="dxa"/>
            <w:vAlign w:val="bottom"/>
          </w:tcPr>
          <w:p>
            <w:pPr>
              <w:spacing w:after="0"/>
              <w:rPr>
                <w:sz w:val="1"/>
                <w:szCs w:val="1"/>
                <w:color w:val="auto"/>
              </w:rPr>
            </w:pPr>
          </w:p>
        </w:tc>
      </w:t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February 2012</w:t>
            </w:r>
          </w:p>
        </w:tc>
        <w:tc>
          <w:tcPr>
            <w:tcW w:w="1040" w:type="dxa"/>
            <w:vAlign w:val="bottom"/>
          </w:tcPr>
          <w:p>
            <w:pPr>
              <w:jc w:val="right"/>
              <w:ind w:right="5"/>
              <w:spacing w:after="0"/>
              <w:rPr>
                <w:sz w:val="20"/>
                <w:szCs w:val="20"/>
                <w:color w:val="auto"/>
              </w:rPr>
            </w:pPr>
            <w:r>
              <w:rPr>
                <w:rFonts w:ascii="Arial" w:cs="Arial" w:eastAsia="Arial" w:hAnsi="Arial"/>
                <w:sz w:val="17"/>
                <w:szCs w:val="17"/>
                <w:color w:val="auto"/>
              </w:rPr>
              <w:t>130,000</w:t>
            </w:r>
          </w:p>
        </w:tc>
        <w:tc>
          <w:tcPr>
            <w:tcW w:w="14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62"/>
              <w:spacing w:after="0"/>
              <w:rPr>
                <w:sz w:val="20"/>
                <w:szCs w:val="20"/>
                <w:color w:val="auto"/>
              </w:rPr>
            </w:pPr>
            <w:r>
              <w:rPr>
                <w:rFonts w:ascii="Arial" w:cs="Arial" w:eastAsia="Arial" w:hAnsi="Arial"/>
                <w:sz w:val="17"/>
                <w:szCs w:val="17"/>
                <w:color w:val="auto"/>
              </w:rPr>
              <w:t>1.21</w:t>
            </w:r>
          </w:p>
        </w:tc>
        <w:tc>
          <w:tcPr>
            <w:tcW w:w="34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0.68</w:t>
            </w:r>
          </w:p>
        </w:tc>
        <w:tc>
          <w:tcPr>
            <w:tcW w:w="0" w:type="dxa"/>
            <w:vAlign w:val="bottom"/>
          </w:tcPr>
          <w:p>
            <w:pPr>
              <w:spacing w:after="0"/>
              <w:rPr>
                <w:sz w:val="1"/>
                <w:szCs w:val="1"/>
                <w:color w:val="auto"/>
              </w:rPr>
            </w:pPr>
          </w:p>
        </w:tc>
      </w:tr>
      <w:tr>
        <w:trPr>
          <w:trHeight w:val="200"/>
        </w:trPr>
        <w:tc>
          <w:tcPr>
            <w:tcW w:w="2300" w:type="dxa"/>
            <w:vAlign w:val="bottom"/>
            <w:shd w:val="clear" w:color="auto" w:fill="CCFFCC"/>
          </w:tcPr>
          <w:p>
            <w:pPr>
              <w:spacing w:after="0"/>
              <w:rPr>
                <w:sz w:val="20"/>
                <w:szCs w:val="20"/>
                <w:color w:val="auto"/>
              </w:rPr>
            </w:pPr>
            <w:r>
              <w:rPr>
                <w:rFonts w:ascii="Arial" w:cs="Arial" w:eastAsia="Arial" w:hAnsi="Arial"/>
                <w:sz w:val="17"/>
                <w:szCs w:val="17"/>
                <w:color w:val="auto"/>
              </w:rPr>
              <w:t>March 2012</w:t>
            </w:r>
          </w:p>
        </w:tc>
        <w:tc>
          <w:tcPr>
            <w:tcW w:w="1040" w:type="dxa"/>
            <w:vAlign w:val="bottom"/>
            <w:shd w:val="clear" w:color="auto" w:fill="CCFFCC"/>
          </w:tcPr>
          <w:p>
            <w:pPr>
              <w:jc w:val="right"/>
              <w:ind w:right="5"/>
              <w:spacing w:after="0"/>
              <w:rPr>
                <w:sz w:val="20"/>
                <w:szCs w:val="20"/>
                <w:color w:val="auto"/>
              </w:rPr>
            </w:pPr>
            <w:r>
              <w:rPr>
                <w:rFonts w:ascii="Arial" w:cs="Arial" w:eastAsia="Arial" w:hAnsi="Arial"/>
                <w:sz w:val="17"/>
                <w:szCs w:val="17"/>
                <w:color w:val="auto"/>
              </w:rPr>
              <w:t>1,600,000</w:t>
            </w:r>
          </w:p>
        </w:tc>
        <w:tc>
          <w:tcPr>
            <w:tcW w:w="1180" w:type="dxa"/>
            <w:vAlign w:val="bottom"/>
            <w:gridSpan w:val="2"/>
            <w:shd w:val="clear" w:color="auto" w:fill="CCFFCC"/>
          </w:tcPr>
          <w:p>
            <w:pPr>
              <w:jc w:val="right"/>
              <w:ind w:right="8"/>
              <w:spacing w:after="0"/>
              <w:rPr>
                <w:sz w:val="20"/>
                <w:szCs w:val="20"/>
                <w:color w:val="auto"/>
              </w:rPr>
            </w:pPr>
            <w:r>
              <w:rPr>
                <w:rFonts w:ascii="Arial" w:cs="Arial" w:eastAsia="Arial" w:hAnsi="Arial"/>
                <w:sz w:val="17"/>
                <w:szCs w:val="17"/>
                <w:color w:val="auto"/>
              </w:rPr>
              <w:t>100,000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FFCC"/>
          </w:tcPr>
          <w:p>
            <w:pPr>
              <w:jc w:val="right"/>
              <w:ind w:right="62"/>
              <w:spacing w:after="0"/>
              <w:rPr>
                <w:sz w:val="20"/>
                <w:szCs w:val="20"/>
                <w:color w:val="auto"/>
              </w:rPr>
            </w:pPr>
            <w:r>
              <w:rPr>
                <w:rFonts w:ascii="Arial" w:cs="Arial" w:eastAsia="Arial" w:hAnsi="Arial"/>
                <w:sz w:val="17"/>
                <w:szCs w:val="17"/>
                <w:color w:val="auto"/>
              </w:rPr>
              <w:t>1.65</w:t>
            </w:r>
          </w:p>
        </w:tc>
        <w:tc>
          <w:tcPr>
            <w:tcW w:w="340" w:type="dxa"/>
            <w:vAlign w:val="bottom"/>
            <w:gridSpan w:val="2"/>
            <w:shd w:val="clear" w:color="auto" w:fill="CCFFCC"/>
          </w:tcPr>
          <w:p>
            <w:pPr>
              <w:jc w:val="right"/>
              <w:ind w:right="31"/>
              <w:spacing w:after="0"/>
              <w:rPr>
                <w:sz w:val="20"/>
                <w:szCs w:val="20"/>
                <w:color w:val="auto"/>
              </w:rPr>
            </w:pPr>
            <w:r>
              <w:rPr>
                <w:rFonts w:ascii="Arial" w:cs="Arial" w:eastAsia="Arial" w:hAnsi="Arial"/>
                <w:sz w:val="17"/>
                <w:szCs w:val="17"/>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0.99</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Warrants Exercise and New Issuance</w:t>
      </w:r>
    </w:p>
    <w:p>
      <w:pPr>
        <w:spacing w:after="0" w:line="105"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Between February 6 and February 14, 2012, the Company entered into agreements with Holders, pursuant to which the Holders exercised 2,274,235 Special Bridge and 1,554,758 Conversion Warrants to purchase an aggregate of 3,828,993 shares of our common stock for aggregate proceeds of $3.65 million. In addition, the Company issued new warrants to purchase an aggregate of 2,660,922 shares of common stock at an exercise price of $1.76 per share, in consideration for the immediate exercise of the warrants (“Reload Warrants”). 1,392,972 of the Reload Warrants bear down-round protection clauses; as a result, they were classified as a long term derivative liability and recorded at fair value (“Preferential Reload Warrants”). Fair value of the Preferential Reload Warrants, in the total amount of $1,476 thousand was calculated using the Black-Scholes-Merton and the Monte-Carlo models, using the following assumptions: 72.89% expected volatility, a risk-free interest rate of 0.79%, estimated life of 5 years and no dividend yield. The fair value of the common stock was $1.76. The Company estimated there is a 30% probability that down-round protection will be activated in September 2012. The remaining 1,268,950 non-Preferential Reload Warrants were recorded as equity. The transaction was accounted for as an inducement to convert convertible debt, due to the fact that the exercised Special Bridge and Conversion Warrants were recorded as a derivative long-term liability. According to ASC 470-20-40-16, the Company recorded additional non-operating expense, in the total amount of $2,567 thousand, equal to the fair value of both the Preferential and the non-Preferential Reload Warrants on the date of the induced exercise of the above mentioned Special Bridge and Conversion Warrants.</w:t>
      </w:r>
    </w:p>
    <w:p>
      <w:pPr>
        <w:spacing w:after="0" w:line="200" w:lineRule="exact"/>
        <w:rPr>
          <w:sz w:val="20"/>
          <w:szCs w:val="20"/>
          <w:color w:val="auto"/>
        </w:rPr>
      </w:pPr>
    </w:p>
    <w:p>
      <w:pPr>
        <w:spacing w:after="0" w:line="285"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5" w:name="page236"/>
    <w:bookmarkEnd w:id="2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 Stockholders’ Equity – (continued)</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information about warrant activity for the three month period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44081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No. of warrants</w:t>
            </w:r>
          </w:p>
        </w:tc>
        <w:tc>
          <w:tcPr>
            <w:tcW w:w="16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Weighted average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44"/>
              <w:spacing w:after="0"/>
              <w:rPr>
                <w:sz w:val="20"/>
                <w:szCs w:val="20"/>
                <w:color w:val="auto"/>
              </w:rPr>
            </w:pPr>
            <w:r>
              <w:rPr>
                <w:rFonts w:ascii="Arial" w:cs="Arial" w:eastAsia="Arial" w:hAnsi="Arial"/>
                <w:sz w:val="13"/>
                <w:szCs w:val="13"/>
                <w:b w:val="1"/>
                <w:bCs w:val="1"/>
                <w:color w:val="auto"/>
                <w:w w:val="89"/>
              </w:rPr>
              <w:t>Exercise</w:t>
            </w: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w w:val="89"/>
              </w:rPr>
              <w:t>exercise price</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1"/>
              </w:rPr>
              <w:t>price range</w:t>
            </w:r>
          </w:p>
        </w:tc>
        <w:tc>
          <w:tcPr>
            <w:tcW w:w="0" w:type="dxa"/>
            <w:vAlign w:val="bottom"/>
          </w:tcPr>
          <w:p>
            <w:pPr>
              <w:spacing w:after="0"/>
              <w:rPr>
                <w:sz w:val="1"/>
                <w:szCs w:val="1"/>
                <w:color w:val="auto"/>
              </w:rPr>
            </w:pPr>
          </w:p>
        </w:tc>
      </w:tr>
      <w:tr>
        <w:trPr>
          <w:trHeight w:val="180"/>
        </w:trPr>
        <w:tc>
          <w:tcPr>
            <w:tcW w:w="3320" w:type="dxa"/>
            <w:vAlign w:val="bottom"/>
            <w:gridSpan w:val="2"/>
            <w:vMerge w:val="restart"/>
          </w:tcPr>
          <w:p>
            <w:pPr>
              <w:ind w:left="160"/>
              <w:spacing w:after="0"/>
              <w:rPr>
                <w:sz w:val="20"/>
                <w:szCs w:val="20"/>
                <w:color w:val="auto"/>
              </w:rPr>
            </w:pPr>
            <w:r>
              <w:rPr>
                <w:rFonts w:ascii="Arial" w:cs="Arial" w:eastAsia="Arial" w:hAnsi="Arial"/>
                <w:sz w:val="17"/>
                <w:szCs w:val="17"/>
                <w:color w:val="auto"/>
              </w:rPr>
              <w:t>Outstanding at January 1, 2012</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9,096,943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33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62"/>
              <w:spacing w:after="0" w:line="193" w:lineRule="exact"/>
              <w:rPr>
                <w:sz w:val="20"/>
                <w:szCs w:val="20"/>
                <w:color w:val="auto"/>
              </w:rPr>
            </w:pPr>
            <w:r>
              <w:rPr>
                <w:rFonts w:ascii="Arial" w:cs="Arial" w:eastAsia="Arial" w:hAnsi="Arial"/>
                <w:sz w:val="17"/>
                <w:szCs w:val="17"/>
                <w:color w:val="auto"/>
              </w:rPr>
              <w:t>3.10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4"/>
              <w:spacing w:after="0" w:line="193" w:lineRule="exact"/>
              <w:rPr>
                <w:sz w:val="20"/>
                <w:szCs w:val="20"/>
                <w:color w:val="auto"/>
              </w:rPr>
            </w:pPr>
            <w:r>
              <w:rPr>
                <w:rFonts w:ascii="Arial" w:cs="Arial" w:eastAsia="Arial" w:hAnsi="Arial"/>
                <w:sz w:val="17"/>
                <w:szCs w:val="17"/>
                <w:color w:val="auto"/>
                <w:w w:val="86"/>
              </w:rPr>
              <w:t>$0.94 – 5.06</w:t>
            </w:r>
          </w:p>
        </w:tc>
        <w:tc>
          <w:tcPr>
            <w:tcW w:w="0" w:type="dxa"/>
            <w:vAlign w:val="bottom"/>
          </w:tcPr>
          <w:p>
            <w:pPr>
              <w:spacing w:after="0"/>
              <w:rPr>
                <w:sz w:val="1"/>
                <w:szCs w:val="1"/>
                <w:color w:val="auto"/>
              </w:rPr>
            </w:pPr>
          </w:p>
        </w:tc>
      </w:tr>
      <w:tr>
        <w:trPr>
          <w:trHeight w:val="200"/>
        </w:trPr>
        <w:tc>
          <w:tcPr>
            <w:tcW w:w="3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Granted</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2,672,756</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FFCC"/>
          </w:tcPr>
          <w:p>
            <w:pPr>
              <w:jc w:val="right"/>
              <w:ind w:right="62"/>
              <w:spacing w:after="0"/>
              <w:rPr>
                <w:sz w:val="20"/>
                <w:szCs w:val="20"/>
                <w:color w:val="auto"/>
              </w:rPr>
            </w:pPr>
            <w:r>
              <w:rPr>
                <w:rFonts w:ascii="Arial" w:cs="Arial" w:eastAsia="Arial" w:hAnsi="Arial"/>
                <w:sz w:val="17"/>
                <w:szCs w:val="17"/>
                <w:color w:val="auto"/>
              </w:rPr>
              <w:t>1.76</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0"/>
        </w:trPr>
        <w:tc>
          <w:tcPr>
            <w:tcW w:w="332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(3,884,657)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62"/>
              <w:spacing w:after="0"/>
              <w:rPr>
                <w:sz w:val="20"/>
                <w:szCs w:val="20"/>
                <w:color w:val="auto"/>
              </w:rPr>
            </w:pPr>
            <w:r>
              <w:rPr>
                <w:rFonts w:ascii="Arial" w:cs="Arial" w:eastAsia="Arial" w:hAnsi="Arial"/>
                <w:sz w:val="17"/>
                <w:szCs w:val="17"/>
                <w:color w:val="auto"/>
              </w:rPr>
              <w:t>0.94</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0.94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3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Outstanding at March 31, 2012</w:t>
            </w:r>
          </w:p>
        </w:tc>
        <w:tc>
          <w:tcPr>
            <w:tcW w:w="108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7,885,042</w:t>
            </w:r>
          </w:p>
        </w:tc>
        <w:tc>
          <w:tcPr>
            <w:tcW w:w="2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940" w:type="dxa"/>
            <w:vAlign w:val="bottom"/>
            <w:shd w:val="clear" w:color="auto" w:fill="CCFFCC"/>
          </w:tcPr>
          <w:p>
            <w:pPr>
              <w:jc w:val="right"/>
              <w:ind w:right="62"/>
              <w:spacing w:after="0" w:line="193" w:lineRule="exact"/>
              <w:rPr>
                <w:sz w:val="20"/>
                <w:szCs w:val="20"/>
                <w:color w:val="auto"/>
              </w:rPr>
            </w:pPr>
            <w:r>
              <w:rPr>
                <w:rFonts w:ascii="Arial" w:cs="Arial" w:eastAsia="Arial" w:hAnsi="Arial"/>
                <w:sz w:val="17"/>
                <w:szCs w:val="17"/>
                <w:color w:val="auto"/>
              </w:rPr>
              <w:t>3.72</w:t>
            </w:r>
          </w:p>
        </w:tc>
        <w:tc>
          <w:tcPr>
            <w:tcW w:w="1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shd w:val="clear" w:color="auto" w:fill="CCFFCC"/>
          </w:tcPr>
          <w:p>
            <w:pPr>
              <w:jc w:val="center"/>
              <w:ind w:right="24"/>
              <w:spacing w:after="0" w:line="193" w:lineRule="exact"/>
              <w:rPr>
                <w:sz w:val="20"/>
                <w:szCs w:val="20"/>
                <w:color w:val="auto"/>
              </w:rPr>
            </w:pPr>
            <w:r>
              <w:rPr>
                <w:rFonts w:ascii="Arial" w:cs="Arial" w:eastAsia="Arial" w:hAnsi="Arial"/>
                <w:sz w:val="17"/>
                <w:szCs w:val="17"/>
                <w:color w:val="auto"/>
                <w:w w:val="86"/>
              </w:rPr>
              <w:t>$0.94 – 5.06</w:t>
            </w:r>
          </w:p>
        </w:tc>
        <w:tc>
          <w:tcPr>
            <w:tcW w:w="0" w:type="dxa"/>
            <w:vAlign w:val="bottom"/>
          </w:tcPr>
          <w:p>
            <w:pPr>
              <w:spacing w:after="0"/>
              <w:rPr>
                <w:sz w:val="1"/>
                <w:szCs w:val="1"/>
                <w:color w:val="auto"/>
              </w:rPr>
            </w:pPr>
          </w:p>
        </w:tc>
      </w:tr>
      <w:tr>
        <w:trPr>
          <w:trHeight w:val="246"/>
        </w:trPr>
        <w:tc>
          <w:tcPr>
            <w:tcW w:w="900" w:type="dxa"/>
            <w:vAlign w:val="bottom"/>
            <w:tcBorders>
              <w:top w:val="single" w:sz="8" w:color="CCFFCC"/>
              <w:bottom w:val="single" w:sz="8" w:color="auto"/>
            </w:tcBorders>
          </w:tcPr>
          <w:p>
            <w:pPr>
              <w:spacing w:after="0"/>
              <w:rPr>
                <w:sz w:val="21"/>
                <w:szCs w:val="21"/>
                <w:color w:val="auto"/>
              </w:rPr>
            </w:pPr>
          </w:p>
        </w:tc>
        <w:tc>
          <w:tcPr>
            <w:tcW w:w="2420" w:type="dxa"/>
            <w:vAlign w:val="bottom"/>
            <w:tcBorders>
              <w:top w:val="single" w:sz="8" w:color="CCFFCC"/>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94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1040" w:type="dxa"/>
            <w:vAlign w:val="bottom"/>
            <w:tcBorders>
              <w:top w:val="single" w:sz="8" w:color="CCFFC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4408170" cy="317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218" w:lineRule="exact"/>
        <w:rPr>
          <w:sz w:val="20"/>
          <w:szCs w:val="20"/>
          <w:color w:val="auto"/>
        </w:rPr>
      </w:pPr>
    </w:p>
    <w:p>
      <w:pPr>
        <w:ind w:left="140" w:right="1239" w:hanging="130"/>
        <w:spacing w:after="0" w:line="267" w:lineRule="auto"/>
        <w:tabs>
          <w:tab w:leader="none" w:pos="1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opening balance includes 4,784,000 warrants issued in connection with our IPO (see also Note 1), as well as 2,528,615 Special Bridge and 1,784,328 Conversion Warrants.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6 — Commitments and Contingencies</w:t>
      </w:r>
    </w:p>
    <w:p>
      <w:pPr>
        <w:spacing w:after="0" w:line="109" w:lineRule="exact"/>
        <w:rPr>
          <w:sz w:val="20"/>
          <w:szCs w:val="20"/>
          <w:color w:val="auto"/>
        </w:rPr>
      </w:pPr>
    </w:p>
    <w:p>
      <w:pPr>
        <w:ind w:left="40" w:right="1239" w:firstLine="251"/>
        <w:spacing w:after="0" w:line="264" w:lineRule="auto"/>
        <w:rPr>
          <w:sz w:val="20"/>
          <w:szCs w:val="20"/>
          <w:color w:val="auto"/>
        </w:rPr>
      </w:pPr>
      <w:r>
        <w:rPr>
          <w:rFonts w:ascii="Arial" w:cs="Arial" w:eastAsia="Arial" w:hAnsi="Arial"/>
          <w:sz w:val="17"/>
          <w:szCs w:val="17"/>
          <w:color w:val="auto"/>
        </w:rPr>
        <w:t>Future minimum lease payments under non-cancelable operating leases for office space and cars, as of March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670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2"/>
              </w:rPr>
              <w:t>U.S.$</w:t>
            </w:r>
          </w:p>
        </w:tc>
      </w:tr>
      <w:tr>
        <w:trPr>
          <w:trHeight w:val="158"/>
        </w:trPr>
        <w:tc>
          <w:tcPr>
            <w:tcW w:w="670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thousands</w:t>
            </w:r>
          </w:p>
        </w:tc>
      </w:tr>
      <w:tr>
        <w:trPr>
          <w:trHeight w:val="193"/>
        </w:trPr>
        <w:tc>
          <w:tcPr>
            <w:tcW w:w="67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Year ending December 31,</w:t>
            </w:r>
          </w:p>
        </w:tc>
        <w:tc>
          <w:tcPr>
            <w:tcW w:w="7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r>
      <w:tr>
        <w:trPr>
          <w:trHeight w:val="200"/>
        </w:trPr>
        <w:tc>
          <w:tcPr>
            <w:tcW w:w="6700" w:type="dxa"/>
            <w:vAlign w:val="bottom"/>
          </w:tcPr>
          <w:p>
            <w:pPr>
              <w:ind w:left="160"/>
              <w:spacing w:after="0"/>
              <w:rPr>
                <w:sz w:val="20"/>
                <w:szCs w:val="20"/>
                <w:color w:val="auto"/>
              </w:rPr>
            </w:pPr>
            <w:r>
              <w:rPr>
                <w:rFonts w:ascii="Arial" w:cs="Arial" w:eastAsia="Arial" w:hAnsi="Arial"/>
                <w:sz w:val="17"/>
                <w:szCs w:val="17"/>
                <w:color w:val="auto"/>
              </w:rPr>
              <w:t>2012 (nine month period from April 1, 2012 through December 31, 2012)</w:t>
            </w:r>
          </w:p>
        </w:tc>
        <w:tc>
          <w:tcPr>
            <w:tcW w:w="740" w:type="dxa"/>
            <w:vAlign w:val="bottom"/>
          </w:tcPr>
          <w:p>
            <w:pPr>
              <w:jc w:val="right"/>
              <w:spacing w:after="0"/>
              <w:rPr>
                <w:sz w:val="20"/>
                <w:szCs w:val="20"/>
                <w:color w:val="auto"/>
              </w:rPr>
            </w:pPr>
            <w:r>
              <w:rPr>
                <w:rFonts w:ascii="Arial" w:cs="Arial" w:eastAsia="Arial" w:hAnsi="Arial"/>
                <w:sz w:val="17"/>
                <w:szCs w:val="17"/>
                <w:color w:val="auto"/>
              </w:rPr>
              <w:t>37</w:t>
            </w:r>
          </w:p>
        </w:tc>
        <w:tc>
          <w:tcPr>
            <w:tcW w:w="180" w:type="dxa"/>
            <w:vAlign w:val="bottom"/>
          </w:tcPr>
          <w:p>
            <w:pPr>
              <w:spacing w:after="0"/>
              <w:rPr>
                <w:sz w:val="17"/>
                <w:szCs w:val="17"/>
                <w:color w:val="auto"/>
              </w:rPr>
            </w:pPr>
          </w:p>
        </w:tc>
      </w:tr>
      <w:tr>
        <w:trPr>
          <w:trHeight w:val="200"/>
        </w:trPr>
        <w:tc>
          <w:tcPr>
            <w:tcW w:w="67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2013</w:t>
            </w: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27</w:t>
            </w:r>
          </w:p>
        </w:tc>
        <w:tc>
          <w:tcPr>
            <w:tcW w:w="180" w:type="dxa"/>
            <w:vAlign w:val="bottom"/>
            <w:tcBorders>
              <w:bottom w:val="single" w:sz="8" w:color="CCFFCC"/>
            </w:tcBorders>
            <w:shd w:val="clear" w:color="auto" w:fill="CCFFCC"/>
          </w:tcPr>
          <w:p>
            <w:pPr>
              <w:spacing w:after="0"/>
              <w:rPr>
                <w:sz w:val="17"/>
                <w:szCs w:val="17"/>
                <w:color w:val="auto"/>
              </w:rPr>
            </w:pPr>
          </w:p>
        </w:tc>
      </w:tr>
      <w:tr>
        <w:trPr>
          <w:trHeight w:val="193"/>
        </w:trPr>
        <w:tc>
          <w:tcPr>
            <w:tcW w:w="6700" w:type="dxa"/>
            <w:vAlign w:val="bottom"/>
          </w:tcPr>
          <w:p>
            <w:pPr>
              <w:spacing w:after="0"/>
              <w:rPr>
                <w:sz w:val="16"/>
                <w:szCs w:val="16"/>
                <w:color w:val="auto"/>
              </w:rPr>
            </w:pPr>
          </w:p>
        </w:tc>
        <w:tc>
          <w:tcPr>
            <w:tcW w:w="7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64</w:t>
            </w:r>
          </w:p>
        </w:tc>
        <w:tc>
          <w:tcPr>
            <w:tcW w:w="180" w:type="dxa"/>
            <w:vAlign w:val="bottom"/>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837430" cy="1670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68"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Rental expense for operating leases for both office space and cars for the three month period ended March 31, 2012 and 2011 was $34 thousand, and $33 thousand, respectively.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7 — Risks and Uncertainties</w:t>
      </w:r>
    </w:p>
    <w:p>
      <w:pPr>
        <w:spacing w:after="0" w:line="109" w:lineRule="exact"/>
        <w:rPr>
          <w:sz w:val="20"/>
          <w:szCs w:val="20"/>
          <w:color w:val="auto"/>
        </w:rPr>
      </w:pPr>
    </w:p>
    <w:p>
      <w:pPr>
        <w:jc w:val="both"/>
        <w:ind w:left="520" w:right="1239" w:hanging="260"/>
        <w:spacing w:after="0" w:line="250" w:lineRule="auto"/>
        <w:tabs>
          <w:tab w:leader="none" w:pos="5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81"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76"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Company’s subscription based video ringtone products are subject to regulation in the markets in which the service operates. Regulatory changes can adversely affect the Company’s ability to generate revenue from its products in that market.</w:t>
      </w:r>
    </w:p>
    <w:p>
      <w:pPr>
        <w:spacing w:after="0" w:line="102" w:lineRule="exact"/>
        <w:rPr>
          <w:rFonts w:ascii="Arial" w:cs="Arial" w:eastAsia="Arial" w:hAnsi="Arial"/>
          <w:sz w:val="17"/>
          <w:szCs w:val="17"/>
          <w:color w:val="auto"/>
        </w:rPr>
      </w:pPr>
    </w:p>
    <w:p>
      <w:pPr>
        <w:jc w:val="both"/>
        <w:ind w:left="520" w:right="1239" w:hanging="260"/>
        <w:spacing w:after="0" w:line="224" w:lineRule="auto"/>
        <w:tabs>
          <w:tab w:leader="none" w:pos="520" w:val="left"/>
        </w:tabs>
        <w:numPr>
          <w:ilvl w:val="0"/>
          <w:numId w:val="157"/>
        </w:numPr>
        <w:rPr>
          <w:rFonts w:ascii="Arial" w:cs="Arial" w:eastAsia="Arial" w:hAnsi="Arial"/>
          <w:sz w:val="31"/>
          <w:szCs w:val="31"/>
          <w:color w:val="auto"/>
          <w:vertAlign w:val="superscript"/>
        </w:rPr>
      </w:pPr>
      <w:r>
        <w:rPr>
          <w:rFonts w:ascii="Arial" w:cs="Arial" w:eastAsia="Arial" w:hAnsi="Arial"/>
          <w:sz w:val="16"/>
          <w:szCs w:val="16"/>
          <w:color w:val="auto"/>
        </w:rPr>
        <w:t>The Company’s Facetones</w:t>
      </w:r>
      <w:r>
        <w:rPr>
          <w:rFonts w:ascii="Arial" w:cs="Arial" w:eastAsia="Arial" w:hAnsi="Arial"/>
          <w:sz w:val="25"/>
          <w:szCs w:val="25"/>
          <w:color w:val="auto"/>
          <w:vertAlign w:val="superscript"/>
        </w:rPr>
        <w:t>TM</w:t>
      </w:r>
      <w:r>
        <w:rPr>
          <w:rFonts w:ascii="Arial" w:cs="Arial" w:eastAsia="Arial" w:hAnsi="Arial"/>
          <w:sz w:val="16"/>
          <w:szCs w:val="16"/>
          <w:color w:val="auto"/>
        </w:rPr>
        <w:t xml:space="preserve">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200" w:lineRule="exact"/>
        <w:rPr>
          <w:sz w:val="20"/>
          <w:szCs w:val="20"/>
          <w:color w:val="auto"/>
        </w:rPr>
      </w:pPr>
    </w:p>
    <w:p>
      <w:pPr>
        <w:spacing w:after="0" w:line="30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6" w:name="page237"/>
    <w:bookmarkEnd w:id="23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7 — Risks and Uncertainties – (continued)</w:t>
      </w:r>
    </w:p>
    <w:p>
      <w:pPr>
        <w:spacing w:after="0" w:line="109" w:lineRule="exact"/>
        <w:rPr>
          <w:sz w:val="20"/>
          <w:szCs w:val="20"/>
          <w:color w:val="auto"/>
        </w:rPr>
      </w:pPr>
    </w:p>
    <w:p>
      <w:pPr>
        <w:jc w:val="both"/>
        <w:ind w:left="520" w:right="1239" w:hanging="260"/>
        <w:spacing w:after="0" w:line="251" w:lineRule="auto"/>
        <w:tabs>
          <w:tab w:leader="none" w:pos="5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80" w:lineRule="exact"/>
        <w:rPr>
          <w:rFonts w:ascii="Arial" w:cs="Arial" w:eastAsia="Arial" w:hAnsi="Arial"/>
          <w:sz w:val="17"/>
          <w:szCs w:val="17"/>
          <w:color w:val="auto"/>
        </w:rPr>
      </w:pPr>
    </w:p>
    <w:p>
      <w:pPr>
        <w:ind w:left="520" w:right="1239" w:hanging="260"/>
        <w:spacing w:after="0" w:line="335" w:lineRule="auto"/>
        <w:tabs>
          <w:tab w:leader="none" w:pos="52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 Subsequent Events</w:t>
      </w:r>
    </w:p>
    <w:p>
      <w:pPr>
        <w:spacing w:after="0" w:line="109" w:lineRule="exact"/>
        <w:rPr>
          <w:sz w:val="20"/>
          <w:szCs w:val="20"/>
          <w:color w:val="auto"/>
        </w:rPr>
      </w:pPr>
    </w:p>
    <w:p>
      <w:pPr>
        <w:jc w:val="both"/>
        <w:ind w:left="520" w:right="1239" w:hanging="260"/>
        <w:spacing w:after="0" w:line="287" w:lineRule="auto"/>
        <w:tabs>
          <w:tab w:leader="none" w:pos="5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On April 26, 2012, the NYSE Amex notified the Company that it had resolved the continued listing deficiency referenced in the NYSE Amex’s letter dated May 24, 2011, which stated that the Company was not in compliance with Section 1003(a)</w:t>
      </w:r>
    </w:p>
    <w:p>
      <w:pPr>
        <w:jc w:val="both"/>
        <w:ind w:left="520" w:right="1239" w:hanging="9"/>
        <w:spacing w:after="0" w:line="249" w:lineRule="auto"/>
        <w:tabs>
          <w:tab w:leader="none" w:pos="8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of the NYSE Amex’s continued listing standards. The NYSE Amex’s conclusion was based on a review of available information with respect to the Company, including its filings with the Securities and Exchange Commission. The Company’s continued listing eligibility will be assessed on an ongoing basis.</w:t>
      </w:r>
    </w:p>
    <w:p>
      <w:pPr>
        <w:spacing w:after="0" w:line="80"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On April 6, 2012, the Company filed a Form S-4 Registration Statement with the Securities Exchange Commission regarding the proposed Merger with I/P, and is currently addressing comments received from the Securities Exchange Commission regarding this Registration Statement.</w:t>
      </w: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7" w:name="page238"/>
    <w:bookmarkEnd w:id="2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The Board of Directors and Stockholders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Vringo, Inc. (a Development Stage Company):</w:t>
      </w:r>
    </w:p>
    <w:p>
      <w:pPr>
        <w:spacing w:after="0" w:line="93"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We have audited the accompanying consolidated balance sheets of Vringo, Inc. (a Development Stage Company) and Subsidiary (collectively “the Company”) as of December 31, 2011 and 2010 and the related consolidated statements of operations, changes in stockholders’ equity (deficit) and cash flows for each of the years in the two-year period ended December 31, 2011, and for the cumulative period from January 9, 2006 (inception of operations) through December 31, 2011. These consolidated financial statements are the responsibility of the Company’s management. Our responsibility is to express an opinion on these consolidated financial statements based on our audits.</w:t>
      </w:r>
    </w:p>
    <w:p>
      <w:pPr>
        <w:spacing w:after="0" w:line="66"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8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Vringo, Inc. (a Development Stage Company) and Subsidiary as of December 31, 2011 and 2010 and the results of their operations and their cash flows for each of the years in the two-year period ended December 31, 2011, and for the cumulative period from January 9, 2006 (inception of operations) through December 31, 2011, in conformity with U.S. generally accepted accounting principles.</w:t>
      </w:r>
    </w:p>
    <w:p>
      <w:pPr>
        <w:spacing w:after="0" w:line="80" w:lineRule="exact"/>
        <w:rPr>
          <w:sz w:val="20"/>
          <w:szCs w:val="20"/>
          <w:color w:val="auto"/>
        </w:rPr>
      </w:pPr>
    </w:p>
    <w:p>
      <w:pPr>
        <w:ind w:right="1239" w:firstLine="301"/>
        <w:spacing w:after="0" w:line="250"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deficit in stockholders’ equity that raise substantial doubt about its ability to continue as a going concern. Management’s plans in regard to these matters are described in Note 1. The consolidated financial statements do not include any adjustments that might result from the outcome of this uncertainty. /s/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48215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8215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2625725" cy="158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25725" cy="158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Somekh Chaikin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Accountants (Isr.)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 member firm of KPMG International</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Jerusalem, Israel</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March 30, 2012</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8" w:name="page239"/>
    <w:bookmarkEnd w:id="2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ind w:left="41"/>
              <w:spacing w:after="0"/>
              <w:rPr>
                <w:sz w:val="20"/>
                <w:szCs w:val="20"/>
                <w:color w:val="auto"/>
              </w:rPr>
            </w:pPr>
            <w:r>
              <w:rPr>
                <w:rFonts w:ascii="Arial" w:cs="Arial" w:eastAsia="Arial" w:hAnsi="Arial"/>
                <w:sz w:val="13"/>
                <w:szCs w:val="13"/>
                <w:b w:val="1"/>
                <w:bCs w:val="1"/>
                <w:color w:val="auto"/>
                <w:w w:val="89"/>
              </w:rPr>
              <w:t>2011</w:t>
            </w:r>
          </w:p>
        </w:tc>
        <w:tc>
          <w:tcPr>
            <w:tcW w:w="100" w:type="dxa"/>
            <w:vAlign w:val="bottom"/>
          </w:tcPr>
          <w:p>
            <w:pPr>
              <w:spacing w:after="0"/>
              <w:rPr>
                <w:sz w:val="13"/>
                <w:szCs w:val="13"/>
                <w:color w:val="auto"/>
              </w:rPr>
            </w:pPr>
          </w:p>
        </w:tc>
        <w:tc>
          <w:tcPr>
            <w:tcW w:w="940" w:type="dxa"/>
            <w:vAlign w:val="bottom"/>
            <w:gridSpan w:val="2"/>
          </w:tcPr>
          <w:p>
            <w:pPr>
              <w:jc w:val="center"/>
              <w:ind w:left="198"/>
              <w:spacing w:after="0"/>
              <w:rPr>
                <w:sz w:val="20"/>
                <w:szCs w:val="20"/>
                <w:color w:val="auto"/>
              </w:rPr>
            </w:pPr>
            <w:r>
              <w:rPr>
                <w:rFonts w:ascii="Arial" w:cs="Arial" w:eastAsia="Arial" w:hAnsi="Arial"/>
                <w:sz w:val="13"/>
                <w:szCs w:val="13"/>
                <w:b w:val="1"/>
                <w:bCs w:val="1"/>
                <w:color w:val="auto"/>
                <w:w w:val="89"/>
              </w:rPr>
              <w:t>2010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00" w:type="dxa"/>
            <w:vAlign w:val="bottom"/>
            <w:vMerge w:val="restart"/>
          </w:tcPr>
          <w:p>
            <w:pPr>
              <w:spacing w:after="0"/>
              <w:rPr>
                <w:sz w:val="20"/>
                <w:szCs w:val="20"/>
                <w:color w:val="auto"/>
              </w:rPr>
            </w:pPr>
            <w:r>
              <w:rPr>
                <w:rFonts w:ascii="Arial" w:cs="Arial" w:eastAsia="Arial" w:hAnsi="Arial"/>
                <w:sz w:val="17"/>
                <w:szCs w:val="17"/>
                <w:b w:val="1"/>
                <w:bCs w:val="1"/>
                <w:color w:val="auto"/>
              </w:rPr>
              <w:t>Current assets</w:t>
            </w:r>
          </w:p>
        </w:tc>
        <w:tc>
          <w:tcPr>
            <w:tcW w:w="660" w:type="dxa"/>
            <w:vAlign w:val="bottom"/>
            <w:gridSpan w:val="2"/>
          </w:tcPr>
          <w:p>
            <w:pPr>
              <w:ind w:left="120"/>
              <w:spacing w:after="0"/>
              <w:rPr>
                <w:sz w:val="20"/>
                <w:szCs w:val="20"/>
                <w:color w:val="auto"/>
              </w:rPr>
            </w:pPr>
            <w:r>
              <w:rPr>
                <w:rFonts w:ascii="Arial" w:cs="Arial" w:eastAsia="Arial" w:hAnsi="Arial"/>
                <w:sz w:val="13"/>
                <w:szCs w:val="13"/>
                <w:b w:val="1"/>
                <w:bCs w:val="1"/>
                <w:color w:val="auto"/>
              </w:rPr>
              <w:t>Note</w:t>
            </w: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U.S.$</w:t>
            </w:r>
          </w:p>
        </w:tc>
        <w:tc>
          <w:tcPr>
            <w:tcW w:w="14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5100" w:type="dxa"/>
            <w:vAlign w:val="bottom"/>
            <w:vMerge w:val="continue"/>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00" w:type="dxa"/>
            <w:vAlign w:val="bottom"/>
            <w:shd w:val="clear" w:color="auto" w:fill="CCFFCC"/>
          </w:tcPr>
          <w:p>
            <w:pPr>
              <w:spacing w:after="0"/>
              <w:rPr>
                <w:sz w:val="20"/>
                <w:szCs w:val="20"/>
                <w:color w:val="auto"/>
              </w:rPr>
            </w:pPr>
            <w:r>
              <w:rPr>
                <w:rFonts w:ascii="Arial" w:cs="Arial" w:eastAsia="Arial" w:hAnsi="Arial"/>
                <w:sz w:val="17"/>
                <w:szCs w:val="17"/>
                <w:color w:val="auto"/>
              </w:rPr>
              <w:t>Cash and cash equivalents</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1,190</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5,407</w:t>
            </w:r>
          </w:p>
        </w:tc>
        <w:tc>
          <w:tcPr>
            <w:tcW w:w="0" w:type="dxa"/>
            <w:vAlign w:val="bottom"/>
          </w:tcPr>
          <w:p>
            <w:pPr>
              <w:spacing w:after="0"/>
              <w:rPr>
                <w:sz w:val="1"/>
                <w:szCs w:val="1"/>
                <w:color w:val="auto"/>
              </w:rPr>
            </w:pPr>
          </w:p>
        </w:tc>
      </w:tr>
      <w:tr>
        <w:trPr>
          <w:trHeight w:val="200"/>
        </w:trPr>
        <w:tc>
          <w:tcPr>
            <w:tcW w:w="5100" w:type="dxa"/>
            <w:vAlign w:val="bottom"/>
          </w:tcPr>
          <w:p>
            <w:pPr>
              <w:spacing w:after="0"/>
              <w:rPr>
                <w:sz w:val="20"/>
                <w:szCs w:val="20"/>
                <w:color w:val="auto"/>
              </w:rPr>
            </w:pPr>
            <w:r>
              <w:rPr>
                <w:rFonts w:ascii="Arial" w:cs="Arial" w:eastAsia="Arial" w:hAnsi="Arial"/>
                <w:sz w:val="17"/>
                <w:szCs w:val="17"/>
                <w:color w:val="auto"/>
              </w:rPr>
              <w:t>Short-term deposit (restricted)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0"/>
        </w:trPr>
        <w:tc>
          <w:tcPr>
            <w:tcW w:w="5100" w:type="dxa"/>
            <w:vAlign w:val="bottom"/>
            <w:shd w:val="clear" w:color="auto" w:fill="CCFFCC"/>
          </w:tcPr>
          <w:p>
            <w:pPr>
              <w:spacing w:after="0"/>
              <w:rPr>
                <w:sz w:val="20"/>
                <w:szCs w:val="20"/>
                <w:color w:val="auto"/>
              </w:rPr>
            </w:pPr>
            <w:r>
              <w:rPr>
                <w:rFonts w:ascii="Arial" w:cs="Arial" w:eastAsia="Arial" w:hAnsi="Arial"/>
                <w:sz w:val="17"/>
                <w:szCs w:val="17"/>
                <w:color w:val="auto"/>
              </w:rPr>
              <w:t>Accounts receivable</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341</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0"/>
        </w:trPr>
        <w:tc>
          <w:tcPr>
            <w:tcW w:w="510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50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187</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current assets</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1,718</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5,675</w:t>
            </w:r>
          </w:p>
        </w:tc>
        <w:tc>
          <w:tcPr>
            <w:tcW w:w="0" w:type="dxa"/>
            <w:vAlign w:val="bottom"/>
          </w:tcPr>
          <w:p>
            <w:pPr>
              <w:spacing w:after="0"/>
              <w:rPr>
                <w:sz w:val="1"/>
                <w:szCs w:val="1"/>
                <w:color w:val="auto"/>
              </w:rPr>
            </w:pPr>
          </w:p>
        </w:tc>
      </w:tr>
      <w:tr>
        <w:trPr>
          <w:trHeight w:val="20"/>
        </w:trPr>
        <w:tc>
          <w:tcPr>
            <w:tcW w:w="51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tcPr>
          <w:p>
            <w:pPr>
              <w:spacing w:after="0" w:line="193" w:lineRule="exact"/>
              <w:rPr>
                <w:sz w:val="20"/>
                <w:szCs w:val="20"/>
                <w:color w:val="auto"/>
              </w:rPr>
            </w:pPr>
            <w:r>
              <w:rPr>
                <w:rFonts w:ascii="Arial" w:cs="Arial" w:eastAsia="Arial" w:hAnsi="Arial"/>
                <w:sz w:val="17"/>
                <w:szCs w:val="17"/>
                <w:b w:val="1"/>
                <w:bCs w:val="1"/>
                <w:color w:val="auto"/>
              </w:rPr>
              <w:t>Long-term deposit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8</w:t>
            </w:r>
          </w:p>
        </w:tc>
        <w:tc>
          <w:tcPr>
            <w:tcW w:w="106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Property and equipment</w:t>
            </w:r>
          </w:p>
        </w:tc>
        <w:tc>
          <w:tcPr>
            <w:tcW w:w="5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5</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144</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
        </w:trPr>
        <w:tc>
          <w:tcPr>
            <w:tcW w:w="51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tcPr>
          <w:p>
            <w:pPr>
              <w:spacing w:after="0" w:line="193" w:lineRule="exact"/>
              <w:rPr>
                <w:sz w:val="20"/>
                <w:szCs w:val="20"/>
                <w:color w:val="auto"/>
              </w:rPr>
            </w:pPr>
            <w:r>
              <w:rPr>
                <w:rFonts w:ascii="Arial" w:cs="Arial" w:eastAsia="Arial" w:hAnsi="Arial"/>
                <w:sz w:val="17"/>
                <w:szCs w:val="17"/>
                <w:b w:val="1"/>
                <w:bCs w:val="1"/>
                <w:color w:val="auto"/>
              </w:rPr>
              <w:t>Deferred tax assets – long-term</w:t>
            </w:r>
          </w:p>
        </w:tc>
        <w:tc>
          <w:tcPr>
            <w:tcW w:w="500" w:type="dxa"/>
            <w:vAlign w:val="bottom"/>
          </w:tcPr>
          <w:p>
            <w:pPr>
              <w:jc w:val="right"/>
              <w:spacing w:after="0" w:line="193" w:lineRule="exact"/>
              <w:rPr>
                <w:sz w:val="20"/>
                <w:szCs w:val="20"/>
                <w:color w:val="auto"/>
              </w:rPr>
            </w:pPr>
            <w:r>
              <w:rPr>
                <w:rFonts w:ascii="Arial" w:cs="Arial" w:eastAsia="Arial" w:hAnsi="Arial"/>
                <w:sz w:val="17"/>
                <w:szCs w:val="17"/>
                <w:color w:val="auto"/>
              </w:rPr>
              <w:t>14</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25</w:t>
            </w:r>
          </w:p>
        </w:tc>
        <w:tc>
          <w:tcPr>
            <w:tcW w:w="106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1,895</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5,889</w:t>
            </w: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-572135</wp:posOffset>
            </wp:positionV>
            <wp:extent cx="4837430" cy="1435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-301625</wp:posOffset>
            </wp:positionV>
            <wp:extent cx="4837430" cy="1435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9" w:name="page240"/>
    <w:bookmarkEnd w:id="23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left="19"/>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900" w:type="dxa"/>
            <w:vAlign w:val="bottom"/>
            <w:gridSpan w:val="2"/>
          </w:tcPr>
          <w:p>
            <w:pPr>
              <w:jc w:val="center"/>
              <w:ind w:left="23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Current liabilities</w:t>
            </w:r>
          </w:p>
        </w:tc>
        <w:tc>
          <w:tcPr>
            <w:tcW w:w="660" w:type="dxa"/>
            <w:vAlign w:val="bottom"/>
            <w:gridSpan w:val="2"/>
          </w:tcPr>
          <w:p>
            <w:pPr>
              <w:ind w:left="120"/>
              <w:spacing w:after="0"/>
              <w:rPr>
                <w:sz w:val="20"/>
                <w:szCs w:val="20"/>
                <w:color w:val="auto"/>
              </w:rPr>
            </w:pPr>
            <w:r>
              <w:rPr>
                <w:rFonts w:ascii="Arial" w:cs="Arial" w:eastAsia="Arial" w:hAnsi="Arial"/>
                <w:sz w:val="13"/>
                <w:szCs w:val="13"/>
                <w:b w:val="1"/>
                <w:bCs w:val="1"/>
                <w:color w:val="auto"/>
              </w:rPr>
              <w:t>Note</w:t>
            </w: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U.S.$</w:t>
            </w:r>
          </w:p>
        </w:tc>
        <w:tc>
          <w:tcPr>
            <w:tcW w:w="14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5100" w:type="dxa"/>
            <w:vAlign w:val="bottom"/>
            <w:gridSpan w:val="2"/>
            <w:vMerge w:val="continue"/>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Deferred tax liabilities, net – short-term</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67</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7"/>
                <w:szCs w:val="17"/>
                <w:color w:val="auto"/>
              </w:rPr>
              <w:t>Accounts payable and accrued expenses*</w:t>
            </w:r>
          </w:p>
        </w:tc>
        <w:tc>
          <w:tcPr>
            <w:tcW w:w="500" w:type="dxa"/>
            <w:vAlign w:val="bottom"/>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428</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Accrued employee compensation</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228</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7"/>
                <w:szCs w:val="17"/>
                <w:color w:val="auto"/>
              </w:rPr>
              <w:t>Accrued short-term severance pay</w:t>
            </w:r>
          </w:p>
        </w:tc>
        <w:tc>
          <w:tcPr>
            <w:tcW w:w="500" w:type="dxa"/>
            <w:vAlign w:val="bottom"/>
          </w:tcPr>
          <w:p>
            <w:pPr>
              <w:jc w:val="right"/>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Current maturities of venture loan</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1,262</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42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723</w:t>
            </w:r>
          </w:p>
        </w:tc>
        <w:tc>
          <w:tcPr>
            <w:tcW w:w="1060" w:type="dxa"/>
            <w:vAlign w:val="bottom"/>
            <w:gridSpan w:val="3"/>
          </w:tcPr>
          <w:p>
            <w:pPr>
              <w:jc w:val="right"/>
              <w:ind w:right="160"/>
              <w:spacing w:after="0" w:line="193" w:lineRule="exact"/>
              <w:rPr>
                <w:sz w:val="20"/>
                <w:szCs w:val="20"/>
                <w:color w:val="auto"/>
              </w:rPr>
            </w:pPr>
            <w:r>
              <w:rPr>
                <w:rFonts w:ascii="Arial" w:cs="Arial" w:eastAsia="Arial" w:hAnsi="Arial"/>
                <w:sz w:val="17"/>
                <w:szCs w:val="17"/>
                <w:color w:val="auto"/>
              </w:rPr>
              <w:t>2,269</w:t>
            </w:r>
          </w:p>
        </w:tc>
        <w:tc>
          <w:tcPr>
            <w:tcW w:w="0" w:type="dxa"/>
            <w:vAlign w:val="bottom"/>
          </w:tcPr>
          <w:p>
            <w:pPr>
              <w:spacing w:after="0"/>
              <w:rPr>
                <w:sz w:val="1"/>
                <w:szCs w:val="1"/>
                <w:color w:val="auto"/>
              </w:rPr>
            </w:pPr>
          </w:p>
        </w:tc>
      </w:tr>
      <w:tr>
        <w:trPr>
          <w:trHeight w:val="193"/>
        </w:trPr>
        <w:tc>
          <w:tcPr>
            <w:tcW w:w="5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Long-term liabilities</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7"/>
                <w:szCs w:val="17"/>
                <w:color w:val="auto"/>
              </w:rPr>
              <w:t>Accrued severance pay</w:t>
            </w:r>
          </w:p>
        </w:tc>
        <w:tc>
          <w:tcPr>
            <w:tcW w:w="500" w:type="dxa"/>
            <w:vAlign w:val="bottom"/>
          </w:tcPr>
          <w:p>
            <w:pPr>
              <w:jc w:val="right"/>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165</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Venture loan</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1,911</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7"/>
                <w:szCs w:val="17"/>
                <w:color w:val="auto"/>
              </w:rPr>
              <w:t>Derivative liabilities on account of warrants</w:t>
            </w:r>
          </w:p>
        </w:tc>
        <w:tc>
          <w:tcPr>
            <w:tcW w:w="500" w:type="dxa"/>
            <w:vAlign w:val="bottom"/>
          </w:tcPr>
          <w:p>
            <w:pPr>
              <w:jc w:val="right"/>
              <w:spacing w:after="0"/>
              <w:rPr>
                <w:sz w:val="20"/>
                <w:szCs w:val="20"/>
                <w:color w:val="auto"/>
              </w:rPr>
            </w:pPr>
            <w:r>
              <w:rPr>
                <w:rFonts w:ascii="Arial" w:cs="Arial" w:eastAsia="Arial" w:hAnsi="Arial"/>
                <w:sz w:val="17"/>
                <w:szCs w:val="17"/>
                <w:color w:val="auto"/>
              </w:rPr>
              <w:t>10,11</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2,172</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1,770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long-term liabilities</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2,337</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3,859</w:t>
            </w:r>
          </w:p>
        </w:tc>
        <w:tc>
          <w:tcPr>
            <w:tcW w:w="0" w:type="dxa"/>
            <w:vAlign w:val="bottom"/>
          </w:tcPr>
          <w:p>
            <w:pPr>
              <w:spacing w:after="0"/>
              <w:rPr>
                <w:sz w:val="1"/>
                <w:szCs w:val="1"/>
                <w:color w:val="auto"/>
              </w:rPr>
            </w:pPr>
          </w:p>
        </w:tc>
      </w:tr>
      <w:tr>
        <w:trPr>
          <w:trHeight w:val="193"/>
        </w:trPr>
        <w:tc>
          <w:tcPr>
            <w:tcW w:w="510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Commitments and contingencies</w:t>
            </w:r>
          </w:p>
        </w:tc>
        <w:tc>
          <w:tcPr>
            <w:tcW w:w="500" w:type="dxa"/>
            <w:vAlign w:val="bottom"/>
            <w:tcBorders>
              <w:top w:val="single" w:sz="8" w:color="CCFFCC"/>
            </w:tcBorders>
          </w:tcPr>
          <w:p>
            <w:pPr>
              <w:jc w:val="right"/>
              <w:spacing w:after="0" w:line="193" w:lineRule="exact"/>
              <w:rPr>
                <w:sz w:val="20"/>
                <w:szCs w:val="20"/>
                <w:color w:val="auto"/>
              </w:rPr>
            </w:pPr>
            <w:r>
              <w:rPr>
                <w:rFonts w:ascii="Arial" w:cs="Arial" w:eastAsia="Arial" w:hAnsi="Arial"/>
                <w:sz w:val="17"/>
                <w:szCs w:val="17"/>
                <w:color w:val="auto"/>
              </w:rPr>
              <w:t>15</w:t>
            </w:r>
          </w:p>
        </w:tc>
        <w:tc>
          <w:tcPr>
            <w:tcW w:w="160" w:type="dxa"/>
            <w:vAlign w:val="bottom"/>
            <w:tcBorders>
              <w:top w:val="single" w:sz="8" w:color="CCFFC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Deficit in stockholders’ equity</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gridSpan w:val="2"/>
          </w:tcPr>
          <w:p>
            <w:pPr>
              <w:spacing w:after="0" w:line="188" w:lineRule="exact"/>
              <w:rPr>
                <w:sz w:val="20"/>
                <w:szCs w:val="20"/>
                <w:color w:val="auto"/>
              </w:rPr>
            </w:pPr>
            <w:r>
              <w:rPr>
                <w:rFonts w:ascii="Arial" w:cs="Arial" w:eastAsia="Arial" w:hAnsi="Arial"/>
                <w:sz w:val="17"/>
                <w:szCs w:val="17"/>
                <w:color w:val="auto"/>
                <w:w w:val="94"/>
              </w:rPr>
              <w:t>Preferred stock, $0.01 par value per share; 5,000,000 authorized; none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100" w:type="dxa"/>
            <w:vAlign w:val="bottom"/>
            <w:gridSpan w:val="2"/>
          </w:tcPr>
          <w:p>
            <w:pPr>
              <w:ind w:left="160"/>
              <w:spacing w:after="0"/>
              <w:rPr>
                <w:sz w:val="20"/>
                <w:szCs w:val="20"/>
                <w:color w:val="auto"/>
              </w:rPr>
            </w:pPr>
            <w:r>
              <w:rPr>
                <w:rFonts w:ascii="Arial" w:cs="Arial" w:eastAsia="Arial" w:hAnsi="Arial"/>
                <w:sz w:val="17"/>
                <w:szCs w:val="17"/>
                <w:color w:val="auto"/>
                <w:w w:val="90"/>
              </w:rPr>
              <w:t>issued and outstanding as of December 31, 2011 and 2010, respectively</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Common stock, $0.01 par value per share 28,000,000 authorized;</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100</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w w:val="94"/>
              </w:rPr>
              <w:t>9,954,516 and 5,405,080 issued and outstanding as of December 31,</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2011 and 2010, respectively</w:t>
            </w:r>
          </w:p>
        </w:tc>
        <w:tc>
          <w:tcPr>
            <w:tcW w:w="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36,281</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29,774</w:t>
            </w: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Deficit accumulated during the development stage</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(37,546)</w:t>
            </w:r>
          </w:p>
        </w:tc>
        <w:tc>
          <w:tcPr>
            <w:tcW w:w="10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(30,067)</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42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deficit in stockholders’ equity</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(1,165)</w:t>
            </w:r>
          </w:p>
        </w:tc>
        <w:tc>
          <w:tcPr>
            <w:tcW w:w="106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liabilities and deficit in stockholders’ equity</w:t>
            </w:r>
          </w:p>
        </w:tc>
        <w:tc>
          <w:tcPr>
            <w:tcW w:w="5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1,895</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5,889</w:t>
            </w:r>
          </w:p>
        </w:tc>
        <w:tc>
          <w:tcPr>
            <w:tcW w:w="0" w:type="dxa"/>
            <w:vAlign w:val="bottom"/>
          </w:tcPr>
          <w:p>
            <w:pPr>
              <w:spacing w:after="0"/>
              <w:rPr>
                <w:sz w:val="1"/>
                <w:szCs w:val="1"/>
                <w:color w:val="auto"/>
              </w:rPr>
            </w:pPr>
          </w:p>
        </w:tc>
      </w:tr>
      <w:tr>
        <w:trPr>
          <w:trHeight w:val="241"/>
        </w:trPr>
        <w:tc>
          <w:tcPr>
            <w:tcW w:w="900" w:type="dxa"/>
            <w:vAlign w:val="bottom"/>
            <w:tcBorders>
              <w:top w:val="single" w:sz="8" w:color="CCFFCC"/>
              <w:bottom w:val="single" w:sz="8" w:color="auto"/>
            </w:tcBorders>
          </w:tcPr>
          <w:p>
            <w:pPr>
              <w:spacing w:after="0"/>
              <w:rPr>
                <w:sz w:val="20"/>
                <w:szCs w:val="20"/>
                <w:color w:val="auto"/>
              </w:rPr>
            </w:pPr>
          </w:p>
        </w:tc>
        <w:tc>
          <w:tcPr>
            <w:tcW w:w="4200" w:type="dxa"/>
            <w:vAlign w:val="bottom"/>
            <w:tcBorders>
              <w:top w:val="single" w:sz="8" w:color="CCFFCC"/>
            </w:tcBorders>
          </w:tcPr>
          <w:p>
            <w:pPr>
              <w:spacing w:after="0"/>
              <w:rPr>
                <w:sz w:val="20"/>
                <w:szCs w:val="20"/>
                <w:color w:val="auto"/>
              </w:rPr>
            </w:pPr>
          </w:p>
        </w:tc>
        <w:tc>
          <w:tcPr>
            <w:tcW w:w="500" w:type="dxa"/>
            <w:vAlign w:val="bottom"/>
            <w:tcBorders>
              <w:top w:val="single" w:sz="8" w:color="CCFFCC"/>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-2410460</wp:posOffset>
            </wp:positionV>
            <wp:extent cx="4837430" cy="1435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-1622425</wp:posOffset>
            </wp:positionV>
            <wp:extent cx="4837430" cy="135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-468630</wp:posOffset>
            </wp:positionV>
            <wp:extent cx="4837430" cy="1435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4837430" cy="317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18" w:lineRule="exact"/>
        <w:rPr>
          <w:sz w:val="20"/>
          <w:szCs w:val="20"/>
          <w:color w:val="auto"/>
        </w:rPr>
      </w:pPr>
    </w:p>
    <w:p>
      <w:pPr>
        <w:ind w:left="1480" w:right="2659" w:hanging="1470"/>
        <w:spacing w:after="0" w:line="985" w:lineRule="auto"/>
        <w:tabs>
          <w:tab w:leader="none" w:pos="2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Amounts recorded as of December 31, 2011 and 2010 include $10 and $20 to a related party, respectively. The accompanying notes form an integral part of these consolidated financial statements.</w:t>
      </w:r>
    </w:p>
    <w:p>
      <w:pPr>
        <w:ind w:left="416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0" w:name="page241"/>
    <w:bookmarkEnd w:id="2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483743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vMerge w:val="restart"/>
          </w:tcPr>
          <w:p>
            <w:pPr>
              <w:jc w:val="right"/>
              <w:ind w:right="360"/>
              <w:spacing w:after="0"/>
              <w:rPr>
                <w:sz w:val="20"/>
                <w:szCs w:val="20"/>
                <w:color w:val="auto"/>
              </w:rPr>
            </w:pPr>
            <w:r>
              <w:rPr>
                <w:rFonts w:ascii="Arial" w:cs="Arial" w:eastAsia="Arial" w:hAnsi="Arial"/>
                <w:sz w:val="13"/>
                <w:szCs w:val="13"/>
                <w:b w:val="1"/>
                <w:bCs w:val="1"/>
                <w:color w:val="auto"/>
              </w:rPr>
              <w:t>For the year ended</w:t>
            </w: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tcPr>
          <w:p>
            <w:pPr>
              <w:jc w:val="right"/>
              <w:ind w:right="500"/>
              <w:spacing w:after="0" w:line="13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gridSpan w:val="2"/>
            <w:vMerge w:val="restart"/>
          </w:tcPr>
          <w:p>
            <w:pPr>
              <w:jc w:val="center"/>
              <w:ind w:left="197"/>
              <w:spacing w:after="0"/>
              <w:rPr>
                <w:sz w:val="20"/>
                <w:szCs w:val="20"/>
                <w:color w:val="auto"/>
              </w:rPr>
            </w:pPr>
            <w:r>
              <w:rPr>
                <w:rFonts w:ascii="Arial" w:cs="Arial" w:eastAsia="Arial" w:hAnsi="Arial"/>
                <w:sz w:val="13"/>
                <w:szCs w:val="13"/>
                <w:b w:val="1"/>
                <w:bCs w:val="1"/>
                <w:color w:val="auto"/>
                <w:w w:val="89"/>
              </w:rPr>
              <w:t>2011</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40"/>
              <w:spacing w:after="0"/>
              <w:rPr>
                <w:sz w:val="20"/>
                <w:szCs w:val="20"/>
                <w:color w:val="auto"/>
              </w:rPr>
            </w:pPr>
            <w:r>
              <w:rPr>
                <w:rFonts w:ascii="Arial" w:cs="Arial" w:eastAsia="Arial" w:hAnsi="Arial"/>
                <w:sz w:val="13"/>
                <w:szCs w:val="13"/>
                <w:b w:val="1"/>
                <w:bCs w:val="1"/>
                <w:color w:val="auto"/>
              </w:rPr>
              <w:t>2011</w:t>
            </w:r>
          </w:p>
        </w:tc>
        <w:tc>
          <w:tcPr>
            <w:tcW w:w="960" w:type="dxa"/>
            <w:vAlign w:val="bottom"/>
            <w:gridSpan w:val="2"/>
            <w:vMerge w:val="restart"/>
          </w:tcPr>
          <w:p>
            <w:pPr>
              <w:jc w:val="right"/>
              <w:ind w:right="102"/>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Note</w:t>
            </w: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U.S.$</w:t>
            </w:r>
          </w:p>
        </w:tc>
        <w:tc>
          <w:tcPr>
            <w:tcW w:w="200" w:type="dxa"/>
            <w:vAlign w:val="bottom"/>
          </w:tcPr>
          <w:p>
            <w:pPr>
              <w:spacing w:after="0"/>
              <w:rPr>
                <w:sz w:val="15"/>
                <w:szCs w:val="15"/>
                <w:color w:val="auto"/>
              </w:rPr>
            </w:pP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4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Revenue</w:t>
            </w:r>
          </w:p>
        </w:tc>
        <w:tc>
          <w:tcPr>
            <w:tcW w:w="500" w:type="dxa"/>
            <w:vAlign w:val="bottom"/>
            <w:shd w:val="clear" w:color="auto" w:fill="CCFFCC"/>
          </w:tcPr>
          <w:p>
            <w:pPr>
              <w:jc w:val="right"/>
              <w:ind w:right="19"/>
              <w:spacing w:after="0" w:line="193" w:lineRule="exact"/>
              <w:rPr>
                <w:sz w:val="20"/>
                <w:szCs w:val="20"/>
                <w:color w:val="auto"/>
              </w:rPr>
            </w:pPr>
            <w:r>
              <w:rPr>
                <w:rFonts w:ascii="Arial" w:cs="Arial" w:eastAsia="Arial" w:hAnsi="Arial"/>
                <w:sz w:val="17"/>
                <w:szCs w:val="17"/>
                <w:color w:val="auto"/>
              </w:rPr>
              <w:t>12</w:t>
            </w: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718</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211</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193"/>
        </w:trPr>
        <w:tc>
          <w:tcPr>
            <w:tcW w:w="410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Costs and Expenses*</w:t>
            </w:r>
          </w:p>
        </w:tc>
        <w:tc>
          <w:tcPr>
            <w:tcW w:w="50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155</w:t>
            </w:r>
          </w:p>
        </w:tc>
        <w:tc>
          <w:tcPr>
            <w:tcW w:w="106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180</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2,017</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2,503</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13,371</w:t>
            </w:r>
          </w:p>
        </w:tc>
        <w:tc>
          <w:tcPr>
            <w:tcW w:w="0" w:type="dxa"/>
            <w:vAlign w:val="bottom"/>
          </w:tcPr>
          <w:p>
            <w:pPr>
              <w:spacing w:after="0"/>
              <w:rPr>
                <w:sz w:val="1"/>
                <w:szCs w:val="1"/>
                <w:color w:val="auto"/>
              </w:rPr>
            </w:pPr>
          </w:p>
        </w:tc>
      </w:tr>
      <w:tr>
        <w:trPr>
          <w:trHeight w:val="200"/>
        </w:trPr>
        <w:tc>
          <w:tcPr>
            <w:tcW w:w="4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Marketing</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2,193</w:t>
            </w:r>
          </w:p>
        </w:tc>
        <w:tc>
          <w:tcPr>
            <w:tcW w:w="106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2,183</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11,211</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2,777</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1,840</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8,269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7,142</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6,706</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33,217</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32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1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(6,424)</w:t>
            </w:r>
          </w:p>
        </w:tc>
        <w:tc>
          <w:tcPr>
            <w:tcW w:w="1060" w:type="dxa"/>
            <w:vAlign w:val="bottom"/>
            <w:gridSpan w:val="3"/>
          </w:tcPr>
          <w:p>
            <w:pPr>
              <w:jc w:val="right"/>
              <w:ind w:right="40"/>
              <w:spacing w:after="0" w:line="193" w:lineRule="exact"/>
              <w:rPr>
                <w:sz w:val="20"/>
                <w:szCs w:val="20"/>
                <w:color w:val="auto"/>
              </w:rPr>
            </w:pPr>
            <w:r>
              <w:rPr>
                <w:rFonts w:ascii="Arial" w:cs="Arial" w:eastAsia="Arial" w:hAnsi="Arial"/>
                <w:sz w:val="17"/>
                <w:szCs w:val="17"/>
                <w:color w:val="auto"/>
              </w:rPr>
              <w:t>(6,495)</w:t>
            </w:r>
          </w:p>
        </w:tc>
        <w:tc>
          <w:tcPr>
            <w:tcW w:w="1060" w:type="dxa"/>
            <w:vAlign w:val="bottom"/>
            <w:gridSpan w:val="3"/>
          </w:tcPr>
          <w:p>
            <w:pPr>
              <w:jc w:val="right"/>
              <w:ind w:right="60"/>
              <w:spacing w:after="0" w:line="193" w:lineRule="exact"/>
              <w:rPr>
                <w:sz w:val="20"/>
                <w:szCs w:val="20"/>
                <w:color w:val="auto"/>
              </w:rPr>
            </w:pPr>
            <w:r>
              <w:rPr>
                <w:rFonts w:ascii="Arial" w:cs="Arial" w:eastAsia="Arial" w:hAnsi="Arial"/>
                <w:sz w:val="17"/>
                <w:szCs w:val="17"/>
                <w:color w:val="auto"/>
              </w:rPr>
              <w:t>(32,268)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Non-operating income</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13</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13</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7"/>
                <w:szCs w:val="17"/>
                <w:color w:val="auto"/>
              </w:rPr>
              <w:t>Non-operating expenses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(73)</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0"/>
        </w:trPr>
        <w:tc>
          <w:tcPr>
            <w:tcW w:w="4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Interest and amortization of debt discount expense</w:t>
            </w:r>
          </w:p>
        </w:tc>
        <w:tc>
          <w:tcPr>
            <w:tcW w:w="500" w:type="dxa"/>
            <w:vAlign w:val="bottom"/>
            <w:shd w:val="clear" w:color="auto" w:fill="CCFFCC"/>
          </w:tcPr>
          <w:p>
            <w:pPr>
              <w:jc w:val="right"/>
              <w:ind w:right="19"/>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(1,525)</w:t>
            </w:r>
          </w:p>
        </w:tc>
        <w:tc>
          <w:tcPr>
            <w:tcW w:w="106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(4,304)</w:t>
            </w:r>
          </w:p>
        </w:tc>
        <w:tc>
          <w:tcPr>
            <w:tcW w:w="106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(6,657)</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7"/>
                <w:szCs w:val="17"/>
                <w:color w:val="auto"/>
              </w:rPr>
              <w:t>Gain (loss) on revaluation of warrants</w:t>
            </w:r>
          </w:p>
        </w:tc>
        <w:tc>
          <w:tcPr>
            <w:tcW w:w="500" w:type="dxa"/>
            <w:vAlign w:val="bottom"/>
          </w:tcPr>
          <w:p>
            <w:pPr>
              <w:jc w:val="right"/>
              <w:ind w:right="19"/>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(402)</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952</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0"/>
        </w:trPr>
        <w:tc>
          <w:tcPr>
            <w:tcW w:w="4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Gain on restructuring of venture loan</w:t>
            </w:r>
          </w:p>
        </w:tc>
        <w:tc>
          <w:tcPr>
            <w:tcW w:w="500" w:type="dxa"/>
            <w:vAlign w:val="bottom"/>
            <w:shd w:val="clear" w:color="auto" w:fill="CCFFCC"/>
          </w:tcPr>
          <w:p>
            <w:pPr>
              <w:jc w:val="right"/>
              <w:ind w:right="19"/>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963</w:t>
            </w:r>
          </w:p>
        </w:tc>
        <w:tc>
          <w:tcPr>
            <w:tcW w:w="200" w:type="dxa"/>
            <w:vAlign w:val="bottom"/>
            <w:tcBorders>
              <w:left w:val="single" w:sz="8" w:color="CCFFCC"/>
            </w:tcBorders>
            <w:shd w:val="clear" w:color="auto" w:fill="CCFFCC"/>
          </w:tcPr>
          <w:p>
            <w:pPr>
              <w:spacing w:after="0"/>
              <w:rPr>
                <w:sz w:val="17"/>
                <w:szCs w:val="17"/>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7"/>
                <w:szCs w:val="17"/>
                <w:color w:val="auto"/>
              </w:rPr>
              <w:t>Loss on extinguishment of debt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Loss before taxes on income</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(7,389)</w:t>
            </w:r>
          </w:p>
        </w:tc>
        <w:tc>
          <w:tcPr>
            <w:tcW w:w="1060" w:type="dxa"/>
            <w:vAlign w:val="bottom"/>
            <w:tcBorders>
              <w:left w:val="single" w:sz="8" w:color="CCFFCC"/>
            </w:tcBorders>
            <w:gridSpan w:val="3"/>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(9,907)</w:t>
            </w:r>
          </w:p>
        </w:tc>
        <w:tc>
          <w:tcPr>
            <w:tcW w:w="1060" w:type="dxa"/>
            <w:vAlign w:val="bottom"/>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(37,427)</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32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100" w:type="dxa"/>
            <w:vAlign w:val="bottom"/>
            <w:gridSpan w:val="2"/>
          </w:tcPr>
          <w:p>
            <w:pPr>
              <w:spacing w:after="0" w:line="193" w:lineRule="exact"/>
              <w:rPr>
                <w:sz w:val="20"/>
                <w:szCs w:val="20"/>
                <w:color w:val="auto"/>
              </w:rPr>
            </w:pPr>
            <w:r>
              <w:rPr>
                <w:rFonts w:ascii="Arial" w:cs="Arial" w:eastAsia="Arial" w:hAnsi="Arial"/>
                <w:sz w:val="17"/>
                <w:szCs w:val="17"/>
                <w:color w:val="auto"/>
              </w:rPr>
              <w:t>Income tax expense</w:t>
            </w:r>
          </w:p>
        </w:tc>
        <w:tc>
          <w:tcPr>
            <w:tcW w:w="500" w:type="dxa"/>
            <w:vAlign w:val="bottom"/>
          </w:tcPr>
          <w:p>
            <w:pPr>
              <w:jc w:val="right"/>
              <w:ind w:right="19"/>
              <w:spacing w:after="0" w:line="193" w:lineRule="exact"/>
              <w:rPr>
                <w:sz w:val="20"/>
                <w:szCs w:val="20"/>
                <w:color w:val="auto"/>
              </w:rPr>
            </w:pPr>
            <w:r>
              <w:rPr>
                <w:rFonts w:ascii="Arial" w:cs="Arial" w:eastAsia="Arial" w:hAnsi="Arial"/>
                <w:sz w:val="17"/>
                <w:szCs w:val="17"/>
                <w:color w:val="auto"/>
              </w:rPr>
              <w:t>14</w:t>
            </w:r>
          </w:p>
        </w:tc>
        <w:tc>
          <w:tcPr>
            <w:tcW w:w="16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(90)</w:t>
            </w:r>
          </w:p>
        </w:tc>
        <w:tc>
          <w:tcPr>
            <w:tcW w:w="1060" w:type="dxa"/>
            <w:vAlign w:val="bottom"/>
            <w:gridSpan w:val="3"/>
          </w:tcPr>
          <w:p>
            <w:pPr>
              <w:jc w:val="right"/>
              <w:ind w:right="40"/>
              <w:spacing w:after="0" w:line="193" w:lineRule="exact"/>
              <w:rPr>
                <w:sz w:val="20"/>
                <w:szCs w:val="20"/>
                <w:color w:val="auto"/>
              </w:rPr>
            </w:pPr>
            <w:r>
              <w:rPr>
                <w:rFonts w:ascii="Arial" w:cs="Arial" w:eastAsia="Arial" w:hAnsi="Arial"/>
                <w:sz w:val="17"/>
                <w:szCs w:val="17"/>
                <w:color w:val="auto"/>
              </w:rPr>
              <w:t>(35)</w:t>
            </w:r>
          </w:p>
        </w:tc>
        <w:tc>
          <w:tcPr>
            <w:tcW w:w="1060" w:type="dxa"/>
            <w:vAlign w:val="bottom"/>
            <w:gridSpan w:val="3"/>
          </w:tcPr>
          <w:p>
            <w:pPr>
              <w:jc w:val="right"/>
              <w:ind w:right="60"/>
              <w:spacing w:after="0" w:line="193" w:lineRule="exact"/>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(7,479)</w:t>
            </w:r>
          </w:p>
        </w:tc>
        <w:tc>
          <w:tcPr>
            <w:tcW w:w="1060" w:type="dxa"/>
            <w:vAlign w:val="bottom"/>
            <w:tcBorders>
              <w:left w:val="single" w:sz="8" w:color="CCFFCC"/>
            </w:tcBorders>
            <w:gridSpan w:val="3"/>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(9,942)</w:t>
            </w:r>
          </w:p>
        </w:tc>
        <w:tc>
          <w:tcPr>
            <w:tcW w:w="1060" w:type="dxa"/>
            <w:vAlign w:val="bottom"/>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(37,546)</w:t>
            </w:r>
          </w:p>
        </w:tc>
        <w:tc>
          <w:tcPr>
            <w:tcW w:w="0" w:type="dxa"/>
            <w:vAlign w:val="bottom"/>
          </w:tcPr>
          <w:p>
            <w:pPr>
              <w:spacing w:after="0"/>
              <w:rPr>
                <w:sz w:val="1"/>
                <w:szCs w:val="1"/>
                <w:color w:val="auto"/>
              </w:rPr>
            </w:pPr>
          </w:p>
        </w:tc>
      </w:tr>
      <w:tr>
        <w:trPr>
          <w:trHeight w:val="20"/>
        </w:trPr>
        <w:tc>
          <w:tcPr>
            <w:tcW w:w="900" w:type="dxa"/>
            <w:vAlign w:val="bottom"/>
            <w:tcBorders>
              <w:top w:val="single" w:sz="8" w:color="CCFFCC"/>
            </w:tcBorders>
            <w:shd w:val="clear" w:color="auto" w:fill="CCFFCC"/>
          </w:tcPr>
          <w:p>
            <w:pPr>
              <w:spacing w:after="0" w:line="20" w:lineRule="exact"/>
              <w:rPr>
                <w:sz w:val="1"/>
                <w:szCs w:val="1"/>
                <w:color w:val="auto"/>
              </w:rPr>
            </w:pPr>
          </w:p>
        </w:tc>
        <w:tc>
          <w:tcPr>
            <w:tcW w:w="3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00" w:type="dxa"/>
            <w:vAlign w:val="bottom"/>
            <w:gridSpan w:val="2"/>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(1.17)</w:t>
            </w:r>
          </w:p>
        </w:tc>
        <w:tc>
          <w:tcPr>
            <w:tcW w:w="1060" w:type="dxa"/>
            <w:vAlign w:val="bottom"/>
            <w:gridSpan w:val="3"/>
          </w:tcPr>
          <w:p>
            <w:pPr>
              <w:jc w:val="right"/>
              <w:ind w:right="40"/>
              <w:spacing w:after="0" w:line="191" w:lineRule="exact"/>
              <w:rPr>
                <w:sz w:val="20"/>
                <w:szCs w:val="20"/>
                <w:color w:val="auto"/>
              </w:rPr>
            </w:pPr>
            <w:r>
              <w:rPr>
                <w:rFonts w:ascii="Arial" w:cs="Arial" w:eastAsia="Arial" w:hAnsi="Arial"/>
                <w:sz w:val="17"/>
                <w:szCs w:val="17"/>
                <w:color w:val="auto"/>
              </w:rPr>
              <w:t>(3.15)</w:t>
            </w:r>
          </w:p>
        </w:tc>
        <w:tc>
          <w:tcPr>
            <w:tcW w:w="1060" w:type="dxa"/>
            <w:vAlign w:val="bottom"/>
            <w:gridSpan w:val="3"/>
          </w:tcPr>
          <w:p>
            <w:pPr>
              <w:jc w:val="right"/>
              <w:ind w:right="60"/>
              <w:spacing w:after="0" w:line="191" w:lineRule="exact"/>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00" w:type="dxa"/>
            <w:vAlign w:val="bottom"/>
            <w:gridSpan w:val="2"/>
            <w:shd w:val="clear" w:color="auto" w:fill="CCFFCC"/>
          </w:tcPr>
          <w:p>
            <w:pPr>
              <w:spacing w:after="0" w:line="178" w:lineRule="exact"/>
              <w:rPr>
                <w:sz w:val="20"/>
                <w:szCs w:val="20"/>
                <w:color w:val="auto"/>
              </w:rPr>
            </w:pPr>
            <w:r>
              <w:rPr>
                <w:rFonts w:ascii="Arial" w:cs="Arial" w:eastAsia="Arial" w:hAnsi="Arial"/>
                <w:sz w:val="17"/>
                <w:szCs w:val="17"/>
                <w:color w:val="auto"/>
                <w:w w:val="97"/>
              </w:rPr>
              <w:t>Weighted average number of shares used in computing</w:t>
            </w:r>
          </w:p>
        </w:tc>
        <w:tc>
          <w:tcPr>
            <w:tcW w:w="5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4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w w:val="97"/>
              </w:rPr>
              <w:t>6,372,659</w:t>
            </w:r>
          </w:p>
        </w:tc>
        <w:tc>
          <w:tcPr>
            <w:tcW w:w="1060" w:type="dxa"/>
            <w:vAlign w:val="bottom"/>
            <w:tcBorders>
              <w:left w:val="single" w:sz="8" w:color="CCFFCC"/>
            </w:tcBorders>
            <w:gridSpan w:val="3"/>
            <w:shd w:val="clear" w:color="auto" w:fill="CCFFCC"/>
          </w:tcPr>
          <w:p>
            <w:pPr>
              <w:jc w:val="right"/>
              <w:ind w:right="100"/>
              <w:spacing w:after="0" w:line="178" w:lineRule="exact"/>
              <w:rPr>
                <w:sz w:val="20"/>
                <w:szCs w:val="20"/>
                <w:color w:val="auto"/>
              </w:rPr>
            </w:pPr>
            <w:r>
              <w:rPr>
                <w:rFonts w:ascii="Arial" w:cs="Arial" w:eastAsia="Arial" w:hAnsi="Arial"/>
                <w:sz w:val="17"/>
                <w:szCs w:val="17"/>
                <w:color w:val="auto"/>
              </w:rPr>
              <w:t>3,154,489</w:t>
            </w:r>
          </w:p>
        </w:tc>
        <w:tc>
          <w:tcPr>
            <w:tcW w:w="1060" w:type="dxa"/>
            <w:vAlign w:val="bottom"/>
            <w:gridSpan w:val="3"/>
            <w:shd w:val="clear" w:color="auto" w:fill="CCFFCC"/>
          </w:tcPr>
          <w:p>
            <w:pPr>
              <w:jc w:val="right"/>
              <w:ind w:right="120"/>
              <w:spacing w:after="0" w:line="178" w:lineRule="exact"/>
              <w:rPr>
                <w:sz w:val="20"/>
                <w:szCs w:val="20"/>
                <w:color w:val="auto"/>
              </w:rPr>
            </w:pPr>
            <w:r>
              <w:rPr>
                <w:rFonts w:ascii="Arial" w:cs="Arial" w:eastAsia="Arial" w:hAnsi="Arial"/>
                <w:sz w:val="17"/>
                <w:szCs w:val="17"/>
                <w:color w:val="auto"/>
              </w:rPr>
              <w:t>1,853,077</w:t>
            </w:r>
          </w:p>
        </w:tc>
        <w:tc>
          <w:tcPr>
            <w:tcW w:w="0" w:type="dxa"/>
            <w:vAlign w:val="bottom"/>
          </w:tcPr>
          <w:p>
            <w:pPr>
              <w:spacing w:after="0"/>
              <w:rPr>
                <w:sz w:val="1"/>
                <w:szCs w:val="1"/>
                <w:color w:val="auto"/>
              </w:rPr>
            </w:pPr>
          </w:p>
        </w:tc>
      </w:tr>
      <w:tr>
        <w:trPr>
          <w:trHeight w:val="253"/>
        </w:trPr>
        <w:tc>
          <w:tcPr>
            <w:tcW w:w="410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basic and dilutive net loss per common share</w:t>
            </w:r>
          </w:p>
        </w:tc>
        <w:tc>
          <w:tcPr>
            <w:tcW w:w="5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auto"/>
            </w:tcBorders>
            <w:shd w:val="clear" w:color="auto" w:fill="CCFFCC"/>
          </w:tcPr>
          <w:p>
            <w:pPr>
              <w:spacing w:after="0"/>
              <w:rPr>
                <w:sz w:val="21"/>
                <w:szCs w:val="21"/>
                <w:color w:val="auto"/>
              </w:rPr>
            </w:pPr>
          </w:p>
        </w:tc>
        <w:tc>
          <w:tcPr>
            <w:tcW w:w="200" w:type="dxa"/>
            <w:vAlign w:val="bottom"/>
            <w:tcBorders>
              <w:left w:val="single" w:sz="8" w:color="CCFFCC"/>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-2736215</wp:posOffset>
            </wp:positionV>
            <wp:extent cx="4837430" cy="135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-1956435</wp:posOffset>
            </wp:positionV>
            <wp:extent cx="4837430" cy="1435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-914400</wp:posOffset>
            </wp:positionV>
            <wp:extent cx="4837430" cy="1435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-643890</wp:posOffset>
            </wp:positionV>
            <wp:extent cx="4837430" cy="1911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837430" cy="1911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4837430" cy="317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18" w:lineRule="exact"/>
        <w:rPr>
          <w:sz w:val="20"/>
          <w:szCs w:val="20"/>
          <w:color w:val="auto"/>
        </w:rPr>
      </w:pPr>
    </w:p>
    <w:p>
      <w:pPr>
        <w:ind w:left="260" w:right="1239" w:hanging="250"/>
        <w:spacing w:after="0" w:line="267" w:lineRule="auto"/>
        <w:tabs>
          <w:tab w:leader="none" w:pos="2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Includes expenses in the total amount of $53, $450 and $1,103 to related parties for the years ended 2011 and 2010 and for the cumulative period from inception until December 31, 2011, respectively.</w:t>
      </w:r>
    </w:p>
    <w:p>
      <w:pPr>
        <w:spacing w:after="0" w:line="200" w:lineRule="exact"/>
        <w:rPr>
          <w:sz w:val="20"/>
          <w:szCs w:val="20"/>
          <w:color w:val="auto"/>
        </w:rPr>
      </w:pP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accompanying notes form an integral part of these consolidated financial statements.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1" w:name="page242"/>
    <w:bookmarkEnd w:id="24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STATEMENT OF CHANGES IN STOCKHOLDERS’ EQUITY (DEFICIT)</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483743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Series A</w:t>
            </w: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convertible</w:t>
            </w:r>
          </w:p>
        </w:tc>
        <w:tc>
          <w:tcPr>
            <w:tcW w:w="14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paid-in</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4"/>
              </w:rPr>
              <w:t>preferred</w:t>
            </w:r>
          </w:p>
        </w:tc>
        <w:tc>
          <w:tcPr>
            <w:tcW w:w="14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during the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88"/>
              </w:rPr>
              <w:t>stock</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development</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2"/>
              </w:rPr>
              <w:t>stage</w:t>
            </w:r>
          </w:p>
        </w:tc>
        <w:tc>
          <w:tcPr>
            <w:tcW w:w="1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Balance as of January 9, 2006</w:t>
            </w: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U.S.$</w:t>
            </w:r>
          </w:p>
        </w:tc>
        <w:tc>
          <w:tcPr>
            <w:tcW w:w="140" w:type="dxa"/>
            <w:vAlign w:val="bottom"/>
          </w:tcPr>
          <w:p>
            <w:pPr>
              <w:spacing w:after="0"/>
              <w:rPr>
                <w:sz w:val="15"/>
                <w:szCs w:val="15"/>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77"/>
        </w:trPr>
        <w:tc>
          <w:tcPr>
            <w:tcW w:w="2900" w:type="dxa"/>
            <w:vAlign w:val="bottom"/>
            <w:gridSpan w:val="2"/>
            <w:vMerge w:val="continue"/>
          </w:tcPr>
          <w:p>
            <w:pPr>
              <w:spacing w:after="0"/>
              <w:rPr>
                <w:sz w:val="15"/>
                <w:szCs w:val="15"/>
                <w:color w:val="auto"/>
              </w:rPr>
            </w:pP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900" w:type="dxa"/>
            <w:vAlign w:val="bottom"/>
            <w:gridSpan w:val="2"/>
          </w:tcPr>
          <w:p>
            <w:pPr>
              <w:ind w:left="160"/>
              <w:spacing w:after="0"/>
              <w:rPr>
                <w:sz w:val="20"/>
                <w:szCs w:val="20"/>
                <w:color w:val="auto"/>
              </w:rPr>
            </w:pPr>
            <w:r>
              <w:rPr>
                <w:rFonts w:ascii="Arial" w:cs="Arial" w:eastAsia="Arial" w:hAnsi="Arial"/>
                <w:sz w:val="17"/>
                <w:szCs w:val="17"/>
                <w:b w:val="1"/>
                <w:bCs w:val="1"/>
                <w:color w:val="auto"/>
              </w:rPr>
              <w:t>(inception)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common stock</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Issuance of series A convertible</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2,321</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00"/>
        </w:trPr>
        <w:tc>
          <w:tcPr>
            <w:tcW w:w="2900" w:type="dxa"/>
            <w:vAlign w:val="bottom"/>
            <w:gridSpan w:val="2"/>
          </w:tcPr>
          <w:p>
            <w:pPr>
              <w:ind w:left="160"/>
              <w:spacing w:after="0"/>
              <w:rPr>
                <w:sz w:val="20"/>
                <w:szCs w:val="20"/>
                <w:color w:val="auto"/>
              </w:rPr>
            </w:pPr>
            <w:r>
              <w:rPr>
                <w:rFonts w:ascii="Arial" w:cs="Arial" w:eastAsia="Arial" w:hAnsi="Arial"/>
                <w:sz w:val="17"/>
                <w:szCs w:val="17"/>
                <w:color w:val="auto"/>
                <w:w w:val="96"/>
              </w:rPr>
              <w:t>preferred stock, net of issuance costs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of $33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Stock dividend</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20</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24</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00" w:type="dxa"/>
            <w:vAlign w:val="bottom"/>
            <w:gridSpan w:val="2"/>
          </w:tcPr>
          <w:p>
            <w:pPr>
              <w:spacing w:after="0"/>
              <w:rPr>
                <w:sz w:val="20"/>
                <w:szCs w:val="20"/>
                <w:color w:val="auto"/>
              </w:rPr>
            </w:pPr>
            <w:r>
              <w:rPr>
                <w:rFonts w:ascii="Arial" w:cs="Arial" w:eastAsia="Arial" w:hAnsi="Arial"/>
                <w:sz w:val="17"/>
                <w:szCs w:val="17"/>
                <w:color w:val="auto"/>
              </w:rPr>
              <w:t>Net loss for the period</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(1,481)</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as of December 31, 2006</w:t>
            </w:r>
          </w:p>
        </w:tc>
        <w:tc>
          <w:tcPr>
            <w:tcW w:w="80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20</w:t>
            </w:r>
          </w:p>
        </w:tc>
        <w:tc>
          <w:tcPr>
            <w:tcW w:w="9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24</w:t>
            </w:r>
          </w:p>
        </w:tc>
        <w:tc>
          <w:tcPr>
            <w:tcW w:w="94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2,288</w:t>
            </w:r>
          </w:p>
        </w:tc>
        <w:tc>
          <w:tcPr>
            <w:tcW w:w="960" w:type="dxa"/>
            <w:vAlign w:val="bottom"/>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(1,481)</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900" w:type="dxa"/>
            <w:vAlign w:val="bottom"/>
            <w:gridSpan w:val="2"/>
          </w:tcPr>
          <w:p>
            <w:pPr>
              <w:spacing w:after="0" w:line="180" w:lineRule="exact"/>
              <w:rPr>
                <w:sz w:val="20"/>
                <w:szCs w:val="20"/>
                <w:color w:val="auto"/>
              </w:rPr>
            </w:pPr>
            <w:r>
              <w:rPr>
                <w:rFonts w:ascii="Arial" w:cs="Arial" w:eastAsia="Arial" w:hAnsi="Arial"/>
                <w:sz w:val="17"/>
                <w:szCs w:val="17"/>
                <w:color w:val="auto"/>
              </w:rPr>
              <w:t>Issuance of common stock as part of</w:t>
            </w:r>
          </w:p>
        </w:tc>
        <w:tc>
          <w:tcPr>
            <w:tcW w:w="80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2</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0" w:lineRule="exact"/>
              <w:rPr>
                <w:sz w:val="20"/>
                <w:szCs w:val="20"/>
                <w:color w:val="auto"/>
              </w:rPr>
            </w:pPr>
            <w:r>
              <w:rPr>
                <w:rFonts w:ascii="Arial" w:cs="Arial" w:eastAsia="Arial" w:hAnsi="Arial"/>
                <w:sz w:val="17"/>
                <w:szCs w:val="17"/>
                <w:color w:val="auto"/>
              </w:rPr>
              <w:t>138</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line="180"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0" w:lineRule="exact"/>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conversion of convertible loan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Discounts to temporary equity</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w w:val="99"/>
              </w:rPr>
              <w:t>Amortization of discounts to temporary</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(4)</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98</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15</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for the year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(5,163)</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(5,163)</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Balance as of December 31, 2007</w:t>
            </w:r>
          </w:p>
        </w:tc>
        <w:tc>
          <w:tcPr>
            <w:tcW w:w="80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22</w:t>
            </w:r>
          </w:p>
        </w:tc>
        <w:tc>
          <w:tcPr>
            <w:tcW w:w="96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24</w:t>
            </w:r>
          </w:p>
        </w:tc>
        <w:tc>
          <w:tcPr>
            <w:tcW w:w="940" w:type="dxa"/>
            <w:vAlign w:val="bottom"/>
            <w:gridSpan w:val="3"/>
          </w:tcPr>
          <w:p>
            <w:pPr>
              <w:jc w:val="right"/>
              <w:ind w:right="160"/>
              <w:spacing w:after="0" w:line="193" w:lineRule="exact"/>
              <w:rPr>
                <w:sz w:val="20"/>
                <w:szCs w:val="20"/>
                <w:color w:val="auto"/>
              </w:rPr>
            </w:pPr>
            <w:r>
              <w:rPr>
                <w:rFonts w:ascii="Arial" w:cs="Arial" w:eastAsia="Arial" w:hAnsi="Arial"/>
                <w:sz w:val="17"/>
                <w:szCs w:val="17"/>
                <w:color w:val="auto"/>
              </w:rPr>
              <w:t>2,578</w:t>
            </w:r>
          </w:p>
        </w:tc>
        <w:tc>
          <w:tcPr>
            <w:tcW w:w="96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(6,644)</w:t>
            </w:r>
          </w:p>
        </w:tc>
        <w:tc>
          <w:tcPr>
            <w:tcW w:w="106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Issuance of warrants</w:t>
            </w:r>
          </w:p>
        </w:tc>
        <w:tc>
          <w:tcPr>
            <w:tcW w:w="80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360</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w w:val="99"/>
              </w:rPr>
              <w:t>Amortization of discounts to temporary</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18</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for the year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(7,332)</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(7,332)</w:t>
            </w:r>
          </w:p>
        </w:tc>
        <w:tc>
          <w:tcPr>
            <w:tcW w:w="0" w:type="dxa"/>
            <w:vAlign w:val="bottom"/>
          </w:tcPr>
          <w:p>
            <w:pPr>
              <w:spacing w:after="0"/>
              <w:rPr>
                <w:sz w:val="1"/>
                <w:szCs w:val="1"/>
                <w:color w:val="auto"/>
              </w:rPr>
            </w:pPr>
          </w:p>
        </w:tc>
      </w:tr>
      <w:tr>
        <w:trPr>
          <w:trHeight w:val="243"/>
        </w:trPr>
        <w:tc>
          <w:tcPr>
            <w:tcW w:w="900" w:type="dxa"/>
            <w:vAlign w:val="bottom"/>
            <w:tcBorders>
              <w:top w:val="single" w:sz="8" w:color="CCFFCC"/>
              <w:bottom w:val="single" w:sz="8" w:color="auto"/>
            </w:tcBorders>
          </w:tcPr>
          <w:p>
            <w:pPr>
              <w:spacing w:after="0"/>
              <w:rPr>
                <w:sz w:val="21"/>
                <w:szCs w:val="21"/>
                <w:color w:val="auto"/>
              </w:rPr>
            </w:pPr>
          </w:p>
        </w:tc>
        <w:tc>
          <w:tcPr>
            <w:tcW w:w="2000" w:type="dxa"/>
            <w:vAlign w:val="bottom"/>
            <w:tcBorders>
              <w:top w:val="single" w:sz="8" w:color="CCFFCC"/>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-2616835</wp:posOffset>
            </wp:positionV>
            <wp:extent cx="4837430" cy="262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837430" cy="262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-1336040</wp:posOffset>
            </wp:positionV>
            <wp:extent cx="4837430" cy="1435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-174625</wp:posOffset>
            </wp:positionV>
            <wp:extent cx="483743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Consideration for less than $1.</w:t>
      </w:r>
    </w:p>
    <w:p>
      <w:pPr>
        <w:spacing w:after="0" w:line="200" w:lineRule="exact"/>
        <w:rPr>
          <w:sz w:val="20"/>
          <w:szCs w:val="20"/>
          <w:color w:val="auto"/>
        </w:rPr>
      </w:pP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2" w:name="page243"/>
    <w:bookmarkEnd w:id="24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STATEMENT OF CHANGES IN STOCKHOLDERS’ EQUITY (DEFICIT)</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483743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5"/>
        </w:trPr>
        <w:tc>
          <w:tcPr>
            <w:tcW w:w="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1"/>
                <w:szCs w:val="11"/>
                <w:color w:val="auto"/>
              </w:rPr>
            </w:pP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88"/>
              </w:rPr>
              <w:t>Series A</w:t>
            </w:r>
          </w:p>
        </w:tc>
        <w:tc>
          <w:tcPr>
            <w:tcW w:w="140" w:type="dxa"/>
            <w:vAlign w:val="bottom"/>
          </w:tcPr>
          <w:p>
            <w:pPr>
              <w:spacing w:after="0"/>
              <w:rPr>
                <w:sz w:val="11"/>
                <w:szCs w:val="11"/>
                <w:color w:val="auto"/>
              </w:rPr>
            </w:pP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1"/>
                <w:szCs w:val="11"/>
                <w:color w:val="auto"/>
              </w:rPr>
            </w:pPr>
          </w:p>
        </w:tc>
        <w:tc>
          <w:tcPr>
            <w:tcW w:w="74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1"/>
                <w:szCs w:val="11"/>
                <w:color w:val="auto"/>
              </w:rPr>
            </w:pPr>
          </w:p>
        </w:tc>
        <w:tc>
          <w:tcPr>
            <w:tcW w:w="820" w:type="dxa"/>
            <w:vAlign w:val="bottom"/>
            <w:gridSpan w:val="2"/>
          </w:tcPr>
          <w:p>
            <w:pPr>
              <w:jc w:val="right"/>
              <w:ind w:right="260"/>
              <w:spacing w:after="0" w:line="13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gridSpan w:val="2"/>
          </w:tcPr>
          <w:p>
            <w:pPr>
              <w:jc w:val="right"/>
              <w:ind w:right="200"/>
              <w:spacing w:after="0" w:line="138"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convertible</w:t>
            </w:r>
          </w:p>
        </w:tc>
        <w:tc>
          <w:tcPr>
            <w:tcW w:w="14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paid-in</w:t>
            </w: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preferred</w:t>
            </w:r>
          </w:p>
        </w:tc>
        <w:tc>
          <w:tcPr>
            <w:tcW w:w="14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during the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8"/>
              </w:rPr>
              <w:t>stock</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development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stage</w:t>
            </w:r>
          </w:p>
        </w:tc>
        <w:tc>
          <w:tcPr>
            <w:tcW w:w="1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Balance as of December 31, 2008</w:t>
            </w: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80"/>
        </w:trPr>
        <w:tc>
          <w:tcPr>
            <w:tcW w:w="3360" w:type="dxa"/>
            <w:vAlign w:val="bottom"/>
            <w:gridSpan w:val="2"/>
            <w:vMerge w:val="continue"/>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22</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24</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2,960</w:t>
            </w:r>
          </w:p>
        </w:tc>
        <w:tc>
          <w:tcPr>
            <w:tcW w:w="1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(13,976)</w:t>
            </w:r>
          </w:p>
        </w:tc>
        <w:tc>
          <w:tcPr>
            <w:tcW w:w="14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(10,970)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Issuance of warrants</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60</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Loan modification</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500</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Amortization of discounts to temporary equity</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(7)</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0"/>
        </w:trPr>
        <w:tc>
          <w:tcPr>
            <w:tcW w:w="3360" w:type="dxa"/>
            <w:vAlign w:val="bottom"/>
            <w:gridSpan w:val="2"/>
          </w:tcPr>
          <w:p>
            <w:pPr>
              <w:spacing w:after="0"/>
              <w:rPr>
                <w:sz w:val="20"/>
                <w:szCs w:val="20"/>
                <w:color w:val="auto"/>
              </w:rPr>
            </w:pPr>
            <w:r>
              <w:rPr>
                <w:rFonts w:ascii="Arial" w:cs="Arial" w:eastAsia="Arial" w:hAnsi="Arial"/>
                <w:sz w:val="15"/>
                <w:szCs w:val="15"/>
                <w:color w:val="auto"/>
              </w:rPr>
              <w:t>Grants of stock options, net of forfeitures –</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178</w:t>
            </w: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93"/>
        </w:trPr>
        <w:tc>
          <w:tcPr>
            <w:tcW w:w="3360" w:type="dxa"/>
            <w:vAlign w:val="bottom"/>
            <w:gridSpan w:val="2"/>
          </w:tcPr>
          <w:p>
            <w:pPr>
              <w:ind w:left="200"/>
              <w:spacing w:after="0"/>
              <w:rPr>
                <w:sz w:val="20"/>
                <w:szCs w:val="20"/>
                <w:color w:val="auto"/>
              </w:rPr>
            </w:pPr>
            <w:r>
              <w:rPr>
                <w:rFonts w:ascii="Arial" w:cs="Arial" w:eastAsia="Arial" w:hAnsi="Arial"/>
                <w:sz w:val="15"/>
                <w:szCs w:val="15"/>
                <w:color w:val="auto"/>
              </w:rPr>
              <w:t>employees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Grants of stock options, net of</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forfeiture – non employees</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Net loss for the year</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5"/>
                <w:szCs w:val="15"/>
                <w:color w:val="auto"/>
              </w:rPr>
              <w:t>(6,149)</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(6,149)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b w:val="1"/>
                <w:bCs w:val="1"/>
                <w:color w:val="auto"/>
              </w:rPr>
              <w:t>Balance as of December 31, 2009</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22</w:t>
            </w: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24</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3,701</w:t>
            </w:r>
          </w:p>
        </w:tc>
        <w:tc>
          <w:tcPr>
            <w:tcW w:w="900" w:type="dxa"/>
            <w:vAlign w:val="bottom"/>
            <w:gridSpan w:val="3"/>
            <w:shd w:val="clear" w:color="auto" w:fill="CCFFCC"/>
          </w:tcPr>
          <w:p>
            <w:pPr>
              <w:jc w:val="right"/>
              <w:ind w:right="40"/>
              <w:spacing w:after="0"/>
              <w:rPr>
                <w:sz w:val="20"/>
                <w:szCs w:val="20"/>
                <w:color w:val="auto"/>
              </w:rPr>
            </w:pPr>
            <w:r>
              <w:rPr>
                <w:rFonts w:ascii="Arial" w:cs="Arial" w:eastAsia="Arial" w:hAnsi="Arial"/>
                <w:sz w:val="15"/>
                <w:szCs w:val="15"/>
                <w:color w:val="auto"/>
              </w:rPr>
              <w:t>(20,125)</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(16,378)</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gridSpan w:val="2"/>
          </w:tcPr>
          <w:p>
            <w:pPr>
              <w:spacing w:after="0"/>
              <w:rPr>
                <w:sz w:val="20"/>
                <w:szCs w:val="20"/>
                <w:color w:val="auto"/>
              </w:rPr>
            </w:pPr>
            <w:r>
              <w:rPr>
                <w:rFonts w:ascii="Arial" w:cs="Arial" w:eastAsia="Arial" w:hAnsi="Arial"/>
                <w:sz w:val="15"/>
                <w:szCs w:val="15"/>
                <w:color w:val="auto"/>
                <w:w w:val="97"/>
              </w:rPr>
              <w:t>Issuance of common stock, net of issuance costs of</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24</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9,239</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9,263</w:t>
            </w:r>
          </w:p>
        </w:tc>
        <w:tc>
          <w:tcPr>
            <w:tcW w:w="0" w:type="dxa"/>
            <w:vAlign w:val="bottom"/>
          </w:tcPr>
          <w:p>
            <w:pPr>
              <w:spacing w:after="0"/>
              <w:rPr>
                <w:sz w:val="1"/>
                <w:szCs w:val="1"/>
                <w:color w:val="auto"/>
              </w:rPr>
            </w:pPr>
          </w:p>
        </w:tc>
      </w:tr>
      <w:tr>
        <w:trPr>
          <w:trHeight w:val="193"/>
        </w:trPr>
        <w:tc>
          <w:tcPr>
            <w:tcW w:w="900" w:type="dxa"/>
            <w:vAlign w:val="bottom"/>
          </w:tcPr>
          <w:p>
            <w:pPr>
              <w:ind w:left="160"/>
              <w:spacing w:after="0"/>
              <w:rPr>
                <w:sz w:val="20"/>
                <w:szCs w:val="20"/>
                <w:color w:val="auto"/>
              </w:rPr>
            </w:pPr>
            <w:r>
              <w:rPr>
                <w:rFonts w:ascii="Arial" w:cs="Arial" w:eastAsia="Arial" w:hAnsi="Arial"/>
                <w:sz w:val="15"/>
                <w:szCs w:val="15"/>
                <w:color w:val="auto"/>
              </w:rPr>
              <w:t>$1,768</w:t>
            </w:r>
          </w:p>
        </w:tc>
        <w:tc>
          <w:tcPr>
            <w:tcW w:w="2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w w:val="96"/>
              </w:rPr>
              <w:t>Exchange of series A convertible preferred stock for</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24</w:t>
            </w:r>
          </w:p>
        </w:tc>
        <w:tc>
          <w:tcPr>
            <w:tcW w:w="860" w:type="dxa"/>
            <w:vAlign w:val="bottom"/>
            <w:gridSpan w:val="3"/>
            <w:shd w:val="clear" w:color="auto" w:fill="CCFFCC"/>
          </w:tcPr>
          <w:p>
            <w:pPr>
              <w:jc w:val="right"/>
              <w:ind w:right="140"/>
              <w:spacing w:after="0"/>
              <w:rPr>
                <w:sz w:val="20"/>
                <w:szCs w:val="20"/>
                <w:color w:val="auto"/>
              </w:rPr>
            </w:pPr>
            <w:r>
              <w:rPr>
                <w:rFonts w:ascii="Arial" w:cs="Arial" w:eastAsia="Arial" w:hAnsi="Arial"/>
                <w:sz w:val="15"/>
                <w:szCs w:val="15"/>
                <w:color w:val="auto"/>
              </w:rPr>
              <w:t>(24)</w:t>
            </w:r>
          </w:p>
        </w:tc>
        <w:tc>
          <w:tcPr>
            <w:tcW w:w="14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common stock</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Conversion of Bridge notes</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2,536</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2,545</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Amortization of discounts to temporary equity</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(3)</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0"/>
        </w:trPr>
        <w:tc>
          <w:tcPr>
            <w:tcW w:w="3360" w:type="dxa"/>
            <w:vAlign w:val="bottom"/>
            <w:gridSpan w:val="2"/>
          </w:tcPr>
          <w:p>
            <w:pPr>
              <w:spacing w:after="0"/>
              <w:rPr>
                <w:sz w:val="20"/>
                <w:szCs w:val="20"/>
                <w:color w:val="auto"/>
              </w:rPr>
            </w:pPr>
            <w:r>
              <w:rPr>
                <w:rFonts w:ascii="Arial" w:cs="Arial" w:eastAsia="Arial" w:hAnsi="Arial"/>
                <w:sz w:val="15"/>
                <w:szCs w:val="15"/>
                <w:color w:val="auto"/>
              </w:rPr>
              <w:t>Grants of stock options, net of forfeitures –</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883</w:t>
            </w: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883</w:t>
            </w:r>
          </w:p>
        </w:tc>
        <w:tc>
          <w:tcPr>
            <w:tcW w:w="0" w:type="dxa"/>
            <w:vAlign w:val="bottom"/>
          </w:tcPr>
          <w:p>
            <w:pPr>
              <w:spacing w:after="0"/>
              <w:rPr>
                <w:sz w:val="1"/>
                <w:szCs w:val="1"/>
                <w:color w:val="auto"/>
              </w:rPr>
            </w:pPr>
          </w:p>
        </w:tc>
      </w:tr>
      <w:tr>
        <w:trPr>
          <w:trHeight w:val="193"/>
        </w:trPr>
        <w:tc>
          <w:tcPr>
            <w:tcW w:w="3360" w:type="dxa"/>
            <w:vAlign w:val="bottom"/>
            <w:gridSpan w:val="2"/>
          </w:tcPr>
          <w:p>
            <w:pPr>
              <w:ind w:left="200"/>
              <w:spacing w:after="0"/>
              <w:rPr>
                <w:sz w:val="20"/>
                <w:szCs w:val="20"/>
                <w:color w:val="auto"/>
              </w:rPr>
            </w:pPr>
            <w:r>
              <w:rPr>
                <w:rFonts w:ascii="Arial" w:cs="Arial" w:eastAsia="Arial" w:hAnsi="Arial"/>
                <w:sz w:val="15"/>
                <w:szCs w:val="15"/>
                <w:color w:val="auto"/>
              </w:rPr>
              <w:t>employees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Grants of stock options, net of</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29</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forfeitures – non employees</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Exercise of warrants to charity</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Grants of warrants to lead investors</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1,342</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1,342</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Grants of warrants to charity</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37</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Exercise of stock options</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1</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Exercise of warrants</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Stock dividend</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19</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(19)</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Reverse stock split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(93)</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93</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w w:val="96"/>
              </w:rPr>
              <w:t>Exchange of series B convertible preferred stock for</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46</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11,925</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11,971</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common stock</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Net loss for the year</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5"/>
                <w:szCs w:val="15"/>
                <w:color w:val="auto"/>
              </w:rPr>
              <w:t>(9,942)</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(9,942)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b w:val="1"/>
                <w:bCs w:val="1"/>
                <w:color w:val="auto"/>
              </w:rPr>
              <w:t>Balance as of December 31, 2010</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54</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29,774</w:t>
            </w:r>
          </w:p>
        </w:tc>
        <w:tc>
          <w:tcPr>
            <w:tcW w:w="900" w:type="dxa"/>
            <w:vAlign w:val="bottom"/>
            <w:gridSpan w:val="3"/>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(30,067)</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(239)</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gridSpan w:val="2"/>
          </w:tcPr>
          <w:p>
            <w:pPr>
              <w:spacing w:after="0"/>
              <w:rPr>
                <w:sz w:val="20"/>
                <w:szCs w:val="20"/>
                <w:color w:val="auto"/>
              </w:rPr>
            </w:pPr>
            <w:r>
              <w:rPr>
                <w:rFonts w:ascii="Arial" w:cs="Arial" w:eastAsia="Arial" w:hAnsi="Arial"/>
                <w:sz w:val="15"/>
                <w:szCs w:val="15"/>
                <w:color w:val="auto"/>
              </w:rPr>
              <w:t>Grants of stock options, net of forfeitures –</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1,300</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1,300</w:t>
            </w:r>
          </w:p>
        </w:tc>
        <w:tc>
          <w:tcPr>
            <w:tcW w:w="0" w:type="dxa"/>
            <w:vAlign w:val="bottom"/>
          </w:tcPr>
          <w:p>
            <w:pPr>
              <w:spacing w:after="0"/>
              <w:rPr>
                <w:sz w:val="1"/>
                <w:szCs w:val="1"/>
                <w:color w:val="auto"/>
              </w:rPr>
            </w:pPr>
          </w:p>
        </w:tc>
      </w:tr>
      <w:tr>
        <w:trPr>
          <w:trHeight w:val="193"/>
        </w:trPr>
        <w:tc>
          <w:tcPr>
            <w:tcW w:w="3360" w:type="dxa"/>
            <w:vAlign w:val="bottom"/>
            <w:gridSpan w:val="2"/>
          </w:tcPr>
          <w:p>
            <w:pPr>
              <w:ind w:left="200"/>
              <w:spacing w:after="0"/>
              <w:rPr>
                <w:sz w:val="20"/>
                <w:szCs w:val="20"/>
                <w:color w:val="auto"/>
              </w:rPr>
            </w:pPr>
            <w:r>
              <w:rPr>
                <w:rFonts w:ascii="Arial" w:cs="Arial" w:eastAsia="Arial" w:hAnsi="Arial"/>
                <w:sz w:val="15"/>
                <w:szCs w:val="15"/>
                <w:color w:val="auto"/>
              </w:rPr>
              <w:t>employees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Grants of stock options, net of</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131</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131</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forfeitures – non employees</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Exercise of warrants</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w w:val="95"/>
              </w:rPr>
              <w:t>Conversion of convertible notes and accrued interest</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27</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2,484</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2,511</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Issuance of shares, net of issuance costs of $65</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8</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777</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785</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Issuance of shares to a consultant</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2</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293</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295</w:t>
            </w:r>
          </w:p>
        </w:tc>
        <w:tc>
          <w:tcPr>
            <w:tcW w:w="0" w:type="dxa"/>
            <w:vAlign w:val="bottom"/>
          </w:tcPr>
          <w:p>
            <w:pPr>
              <w:spacing w:after="0"/>
              <w:rPr>
                <w:sz w:val="1"/>
                <w:szCs w:val="1"/>
                <w:color w:val="auto"/>
              </w:rPr>
            </w:pPr>
          </w:p>
        </w:tc>
      </w:tr>
      <w:tr>
        <w:trPr>
          <w:trHeight w:val="180"/>
        </w:trPr>
        <w:tc>
          <w:tcPr>
            <w:tcW w:w="3360" w:type="dxa"/>
            <w:vAlign w:val="bottom"/>
            <w:gridSpan w:val="2"/>
          </w:tcPr>
          <w:p>
            <w:pPr>
              <w:spacing w:after="0"/>
              <w:rPr>
                <w:sz w:val="20"/>
                <w:szCs w:val="20"/>
                <w:color w:val="auto"/>
              </w:rPr>
            </w:pPr>
            <w:r>
              <w:rPr>
                <w:rFonts w:ascii="Arial" w:cs="Arial" w:eastAsia="Arial" w:hAnsi="Arial"/>
                <w:sz w:val="15"/>
                <w:szCs w:val="15"/>
                <w:color w:val="auto"/>
                <w:w w:val="94"/>
              </w:rPr>
              <w:t>Issuance of shares in connection with restructuring of</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210</w:t>
            </w: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213</w:t>
            </w:r>
          </w:p>
        </w:tc>
        <w:tc>
          <w:tcPr>
            <w:tcW w:w="0" w:type="dxa"/>
            <w:vAlign w:val="bottom"/>
          </w:tcPr>
          <w:p>
            <w:pPr>
              <w:spacing w:after="0"/>
              <w:rPr>
                <w:sz w:val="1"/>
                <w:szCs w:val="1"/>
                <w:color w:val="auto"/>
              </w:rPr>
            </w:pPr>
          </w:p>
        </w:tc>
      </w:tr>
      <w:tr>
        <w:trPr>
          <w:trHeight w:val="193"/>
        </w:trPr>
        <w:tc>
          <w:tcPr>
            <w:tcW w:w="3360" w:type="dxa"/>
            <w:vAlign w:val="bottom"/>
            <w:gridSpan w:val="2"/>
          </w:tcPr>
          <w:p>
            <w:pPr>
              <w:ind w:left="160"/>
              <w:spacing w:after="0"/>
              <w:rPr>
                <w:sz w:val="20"/>
                <w:szCs w:val="20"/>
                <w:color w:val="auto"/>
              </w:rPr>
            </w:pPr>
            <w:r>
              <w:rPr>
                <w:rFonts w:ascii="Arial" w:cs="Arial" w:eastAsia="Arial" w:hAnsi="Arial"/>
                <w:sz w:val="15"/>
                <w:szCs w:val="15"/>
                <w:color w:val="auto"/>
              </w:rPr>
              <w:t>venture loan</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Grants of warrants to charity</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43</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43</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Exercise of stock options</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w w:val="95"/>
              </w:rPr>
              <w:t>Beneficial conversion feature recorded in connection</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1,269</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1,269</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with convertible notes</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Net loss for the year</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(7,479)</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(7,479)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b w:val="1"/>
                <w:bCs w:val="1"/>
                <w:color w:val="auto"/>
              </w:rPr>
              <w:t>Balance as of December 31, 2011</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100</w:t>
            </w:r>
          </w:p>
        </w:tc>
        <w:tc>
          <w:tcPr>
            <w:tcW w:w="160" w:type="dxa"/>
            <w:vAlign w:val="bottom"/>
            <w:shd w:val="clear" w:color="auto" w:fill="CCFFCC"/>
          </w:tcPr>
          <w:p>
            <w:pPr>
              <w:spacing w:after="0"/>
              <w:rPr>
                <w:sz w:val="19"/>
                <w:szCs w:val="19"/>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36,281</w:t>
            </w:r>
          </w:p>
        </w:tc>
        <w:tc>
          <w:tcPr>
            <w:tcW w:w="900" w:type="dxa"/>
            <w:vAlign w:val="bottom"/>
            <w:gridSpan w:val="3"/>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(37,546)</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(1,165)</w:t>
            </w:r>
          </w:p>
        </w:tc>
        <w:tc>
          <w:tcPr>
            <w:tcW w:w="0" w:type="dxa"/>
            <w:vAlign w:val="bottom"/>
          </w:tcPr>
          <w:p>
            <w:pPr>
              <w:spacing w:after="0"/>
              <w:rPr>
                <w:sz w:val="1"/>
                <w:szCs w:val="1"/>
                <w:color w:val="auto"/>
              </w:rPr>
            </w:pPr>
          </w:p>
        </w:tc>
      </w:tr>
      <w:tr>
        <w:trPr>
          <w:trHeight w:val="241"/>
        </w:trPr>
        <w:tc>
          <w:tcPr>
            <w:tcW w:w="900" w:type="dxa"/>
            <w:vAlign w:val="bottom"/>
            <w:tcBorders>
              <w:top w:val="single" w:sz="8" w:color="CCFFCC"/>
              <w:bottom w:val="single" w:sz="8" w:color="auto"/>
            </w:tcBorders>
          </w:tcPr>
          <w:p>
            <w:pPr>
              <w:spacing w:after="0"/>
              <w:rPr>
                <w:sz w:val="20"/>
                <w:szCs w:val="20"/>
                <w:color w:val="auto"/>
              </w:rPr>
            </w:pPr>
          </w:p>
        </w:tc>
        <w:tc>
          <w:tcPr>
            <w:tcW w:w="2460" w:type="dxa"/>
            <w:vAlign w:val="bottom"/>
            <w:tcBorders>
              <w:top w:val="single" w:sz="8" w:color="CCFFCC"/>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-4646295</wp:posOffset>
            </wp:positionV>
            <wp:extent cx="4837430" cy="2463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837430" cy="2463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-2124075</wp:posOffset>
            </wp:positionV>
            <wp:extent cx="4837430" cy="2463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837430" cy="2463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4837430" cy="317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Consideration for less than $1.</w:t>
      </w:r>
    </w:p>
    <w:p>
      <w:pPr>
        <w:spacing w:after="0" w:line="200" w:lineRule="exact"/>
        <w:rPr>
          <w:sz w:val="20"/>
          <w:szCs w:val="20"/>
          <w:color w:val="auto"/>
        </w:rPr>
      </w:pP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3" w:name="page244"/>
    <w:bookmarkEnd w:id="24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176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For the year ended</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r>
      <w:tr>
        <w:trPr>
          <w:trHeight w:val="138"/>
        </w:trPr>
        <w:tc>
          <w:tcPr>
            <w:tcW w:w="4800" w:type="dxa"/>
            <w:vAlign w:val="bottom"/>
          </w:tcPr>
          <w:p>
            <w:pPr>
              <w:spacing w:after="0"/>
              <w:rPr>
                <w:sz w:val="11"/>
                <w:szCs w:val="11"/>
                <w:color w:val="auto"/>
              </w:rPr>
            </w:pPr>
          </w:p>
        </w:tc>
        <w:tc>
          <w:tcPr>
            <w:tcW w:w="1760" w:type="dxa"/>
            <w:vAlign w:val="bottom"/>
            <w:gridSpan w:val="4"/>
          </w:tcPr>
          <w:p>
            <w:pPr>
              <w:jc w:val="right"/>
              <w:ind w:right="480"/>
              <w:spacing w:after="0" w:line="13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r>
      <w:tr>
        <w:trPr>
          <w:trHeight w:val="138"/>
        </w:trPr>
        <w:tc>
          <w:tcPr>
            <w:tcW w:w="4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r>
      <w:tr>
        <w:trPr>
          <w:trHeight w:val="158"/>
        </w:trPr>
        <w:tc>
          <w:tcPr>
            <w:tcW w:w="48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r>
      <w:tr>
        <w:trPr>
          <w:trHeight w:val="180"/>
        </w:trPr>
        <w:tc>
          <w:tcPr>
            <w:tcW w:w="4800" w:type="dxa"/>
            <w:vAlign w:val="bottom"/>
          </w:tcPr>
          <w:p>
            <w:pPr>
              <w:spacing w:after="0"/>
              <w:rPr>
                <w:sz w:val="15"/>
                <w:szCs w:val="15"/>
                <w:color w:val="auto"/>
              </w:rPr>
            </w:pPr>
          </w:p>
        </w:tc>
        <w:tc>
          <w:tcPr>
            <w:tcW w:w="740" w:type="dxa"/>
            <w:vAlign w:val="bottom"/>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880" w:type="dxa"/>
            <w:vAlign w:val="bottom"/>
            <w:gridSpan w:val="2"/>
          </w:tcPr>
          <w:p>
            <w:pPr>
              <w:jc w:val="right"/>
              <w:ind w:right="3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5"/>
                <w:szCs w:val="15"/>
                <w:color w:val="auto"/>
              </w:rPr>
            </w:pPr>
          </w:p>
        </w:tc>
        <w:tc>
          <w:tcPr>
            <w:tcW w:w="900" w:type="dxa"/>
            <w:vAlign w:val="bottom"/>
            <w:gridSpan w:val="2"/>
          </w:tcPr>
          <w:p>
            <w:pPr>
              <w:jc w:val="center"/>
              <w:ind w:left="237"/>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5"/>
                <w:szCs w:val="15"/>
                <w:color w:val="auto"/>
              </w:rPr>
            </w:pPr>
          </w:p>
        </w:tc>
      </w:tr>
      <w:tr>
        <w:trPr>
          <w:trHeight w:val="180"/>
        </w:trPr>
        <w:tc>
          <w:tcPr>
            <w:tcW w:w="48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U.S.$</w:t>
            </w:r>
          </w:p>
        </w:tc>
        <w:tc>
          <w:tcPr>
            <w:tcW w:w="22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r>
      <w:tr>
        <w:trPr>
          <w:trHeight w:val="19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operating activities</w:t>
            </w:r>
          </w:p>
        </w:tc>
        <w:tc>
          <w:tcPr>
            <w:tcW w:w="740" w:type="dxa"/>
            <w:vAlign w:val="bottom"/>
            <w:shd w:val="clear" w:color="auto" w:fill="CCFFCC"/>
          </w:tcPr>
          <w:p>
            <w:pPr>
              <w:spacing w:after="0"/>
              <w:rPr>
                <w:sz w:val="16"/>
                <w:szCs w:val="16"/>
                <w:color w:val="auto"/>
              </w:rPr>
            </w:pPr>
          </w:p>
        </w:tc>
        <w:tc>
          <w:tcPr>
            <w:tcW w:w="220" w:type="dxa"/>
            <w:vAlign w:val="bottom"/>
            <w:tcBorders>
              <w:left w:val="single" w:sz="8" w:color="CCFFCC"/>
            </w:tcBorders>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Net loss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(7,479)</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(9,942)</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(37,546)</w:t>
            </w:r>
          </w:p>
        </w:tc>
      </w:tr>
      <w:tr>
        <w:trPr>
          <w:trHeight w:val="184"/>
        </w:trPr>
        <w:tc>
          <w:tcPr>
            <w:tcW w:w="4800" w:type="dxa"/>
            <w:vAlign w:val="bottom"/>
            <w:shd w:val="clear" w:color="auto" w:fill="CCFFCC"/>
          </w:tcPr>
          <w:p>
            <w:pPr>
              <w:spacing w:after="0" w:line="184" w:lineRule="exact"/>
              <w:rPr>
                <w:sz w:val="20"/>
                <w:szCs w:val="20"/>
                <w:color w:val="auto"/>
              </w:rPr>
            </w:pPr>
            <w:r>
              <w:rPr>
                <w:rFonts w:ascii="Arial" w:cs="Arial" w:eastAsia="Arial" w:hAnsi="Arial"/>
                <w:sz w:val="17"/>
                <w:szCs w:val="17"/>
                <w:b w:val="1"/>
                <w:bCs w:val="1"/>
                <w:color w:val="auto"/>
              </w:rPr>
              <w:t>Adjustments to reconcile net cash flows used in operating</w:t>
            </w:r>
          </w:p>
        </w:tc>
        <w:tc>
          <w:tcPr>
            <w:tcW w:w="740" w:type="dxa"/>
            <w:vAlign w:val="bottom"/>
            <w:shd w:val="clear" w:color="auto" w:fill="CCFFCC"/>
          </w:tcPr>
          <w:p>
            <w:pPr>
              <w:spacing w:after="0"/>
              <w:rPr>
                <w:sz w:val="16"/>
                <w:szCs w:val="16"/>
                <w:color w:val="auto"/>
              </w:rPr>
            </w:pPr>
          </w:p>
        </w:tc>
        <w:tc>
          <w:tcPr>
            <w:tcW w:w="220" w:type="dxa"/>
            <w:vAlign w:val="bottom"/>
            <w:tcBorders>
              <w:left w:val="single" w:sz="8" w:color="CCFFCC"/>
            </w:tcBorders>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r>
      <w:tr>
        <w:trPr>
          <w:trHeight w:val="217"/>
        </w:trPr>
        <w:tc>
          <w:tcPr>
            <w:tcW w:w="4800" w:type="dxa"/>
            <w:vAlign w:val="bottom"/>
            <w:shd w:val="clear" w:color="auto" w:fill="CCFFCC"/>
          </w:tcPr>
          <w:p>
            <w:pPr>
              <w:ind w:left="160"/>
              <w:spacing w:after="0"/>
              <w:rPr>
                <w:sz w:val="20"/>
                <w:szCs w:val="20"/>
                <w:color w:val="auto"/>
              </w:rPr>
            </w:pPr>
            <w:r>
              <w:rPr>
                <w:rFonts w:ascii="Arial" w:cs="Arial" w:eastAsia="Arial" w:hAnsi="Arial"/>
                <w:sz w:val="17"/>
                <w:szCs w:val="17"/>
                <w:b w:val="1"/>
                <w:bCs w:val="1"/>
                <w:color w:val="auto"/>
              </w:rPr>
              <w:t>activities:</w:t>
            </w:r>
          </w:p>
        </w:tc>
        <w:tc>
          <w:tcPr>
            <w:tcW w:w="74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0"/>
        </w:trPr>
        <w:tc>
          <w:tcPr>
            <w:tcW w:w="4800" w:type="dxa"/>
            <w:vAlign w:val="bottom"/>
          </w:tcPr>
          <w:p>
            <w:pPr>
              <w:spacing w:after="0"/>
              <w:rPr>
                <w:sz w:val="20"/>
                <w:szCs w:val="20"/>
                <w:color w:val="auto"/>
              </w:rPr>
            </w:pPr>
            <w:r>
              <w:rPr>
                <w:rFonts w:ascii="Arial" w:cs="Arial" w:eastAsia="Arial" w:hAnsi="Arial"/>
                <w:sz w:val="17"/>
                <w:szCs w:val="17"/>
                <w:b w:val="1"/>
                <w:bCs w:val="1"/>
                <w:color w:val="auto"/>
              </w:rPr>
              <w:t>Items not affecting cash flows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Depreciation and amortization</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61</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87</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454</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Change in deferred tax assets and liabilities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132</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52</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Increase (decrease) in accrued severance pay</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(177)</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150</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Share-based payment expenses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1,769</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2,291</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4,462</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Accrued interest expense</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98</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2,512</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2,855</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Loss (gain) on revaluation of warrants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402</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(952)</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(550)</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Gain on restructuring of venture loan</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(963)</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(963)</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Loss on extinguishment of debt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321</w:t>
            </w:r>
          </w:p>
        </w:tc>
      </w:tr>
      <w:tr>
        <w:trPr>
          <w:trHeight w:val="188"/>
        </w:trPr>
        <w:tc>
          <w:tcPr>
            <w:tcW w:w="480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w w:val="95"/>
              </w:rPr>
              <w:t>Interest and amortization of discount in connection with convertible</w:t>
            </w:r>
          </w:p>
        </w:tc>
        <w:tc>
          <w:tcPr>
            <w:tcW w:w="74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1,280</w:t>
            </w:r>
          </w:p>
        </w:tc>
        <w:tc>
          <w:tcPr>
            <w:tcW w:w="220" w:type="dxa"/>
            <w:vAlign w:val="bottom"/>
            <w:tcBorders>
              <w:left w:val="single" w:sz="8" w:color="CCFFCC"/>
            </w:tcBorders>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1,280</w:t>
            </w:r>
          </w:p>
        </w:tc>
      </w:tr>
      <w:tr>
        <w:trPr>
          <w:trHeight w:val="213"/>
        </w:trPr>
        <w:tc>
          <w:tcPr>
            <w:tcW w:w="4800" w:type="dxa"/>
            <w:vAlign w:val="bottom"/>
            <w:shd w:val="clear" w:color="auto" w:fill="CCFFCC"/>
          </w:tcPr>
          <w:p>
            <w:pPr>
              <w:ind w:left="160"/>
              <w:spacing w:after="0"/>
              <w:rPr>
                <w:sz w:val="20"/>
                <w:szCs w:val="20"/>
                <w:color w:val="auto"/>
              </w:rPr>
            </w:pPr>
            <w:r>
              <w:rPr>
                <w:rFonts w:ascii="Arial" w:cs="Arial" w:eastAsia="Arial" w:hAnsi="Arial"/>
                <w:sz w:val="17"/>
                <w:szCs w:val="17"/>
                <w:color w:val="auto"/>
              </w:rPr>
              <w:t>notes</w:t>
            </w:r>
          </w:p>
        </w:tc>
        <w:tc>
          <w:tcPr>
            <w:tcW w:w="74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Exchange rate (gains) losses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29</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(15)</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81</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Changes in current assets and liabilities</w:t>
            </w:r>
          </w:p>
        </w:tc>
        <w:tc>
          <w:tcPr>
            <w:tcW w:w="740" w:type="dxa"/>
            <w:vAlign w:val="bottom"/>
            <w:shd w:val="clear" w:color="auto" w:fill="CCFFCC"/>
          </w:tcPr>
          <w:p>
            <w:pPr>
              <w:spacing w:after="0"/>
              <w:rPr>
                <w:sz w:val="17"/>
                <w:szCs w:val="17"/>
                <w:color w:val="auto"/>
              </w:rPr>
            </w:pPr>
          </w:p>
        </w:tc>
        <w:tc>
          <w:tcPr>
            <w:tcW w:w="220" w:type="dxa"/>
            <w:vAlign w:val="bottom"/>
            <w:tcBorders>
              <w:left w:val="single" w:sz="8" w:color="CCFFCC"/>
            </w:tcBorders>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188"/>
        </w:trPr>
        <w:tc>
          <w:tcPr>
            <w:tcW w:w="4800" w:type="dxa"/>
            <w:vAlign w:val="bottom"/>
          </w:tcPr>
          <w:p>
            <w:pPr>
              <w:spacing w:after="0" w:line="188" w:lineRule="exact"/>
              <w:rPr>
                <w:sz w:val="20"/>
                <w:szCs w:val="20"/>
                <w:color w:val="auto"/>
              </w:rPr>
            </w:pPr>
            <w:r>
              <w:rPr>
                <w:rFonts w:ascii="Arial" w:cs="Arial" w:eastAsia="Arial" w:hAnsi="Arial"/>
                <w:sz w:val="17"/>
                <w:szCs w:val="17"/>
                <w:color w:val="auto"/>
                <w:w w:val="92"/>
              </w:rPr>
              <w:t>Increase in accounts receivable, prepaid expenses and other current</w:t>
            </w:r>
          </w:p>
        </w:tc>
        <w:tc>
          <w:tcPr>
            <w:tcW w:w="74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(283)</w:t>
            </w:r>
          </w:p>
        </w:tc>
        <w:tc>
          <w:tcPr>
            <w:tcW w:w="1020" w:type="dxa"/>
            <w:vAlign w:val="bottom"/>
            <w:gridSpan w:val="3"/>
          </w:tcPr>
          <w:p>
            <w:pPr>
              <w:jc w:val="right"/>
              <w:ind w:right="80"/>
              <w:spacing w:after="0" w:line="188" w:lineRule="exact"/>
              <w:rPr>
                <w:sz w:val="20"/>
                <w:szCs w:val="20"/>
                <w:color w:val="auto"/>
              </w:rPr>
            </w:pPr>
            <w:r>
              <w:rPr>
                <w:rFonts w:ascii="Arial" w:cs="Arial" w:eastAsia="Arial" w:hAnsi="Arial"/>
                <w:sz w:val="17"/>
                <w:szCs w:val="17"/>
                <w:color w:val="auto"/>
              </w:rPr>
              <w:t>(98)</w:t>
            </w:r>
          </w:p>
        </w:tc>
        <w:tc>
          <w:tcPr>
            <w:tcW w:w="106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(532)</w:t>
            </w:r>
          </w:p>
        </w:tc>
      </w:tr>
      <w:tr>
        <w:trPr>
          <w:trHeight w:val="213"/>
        </w:trPr>
        <w:tc>
          <w:tcPr>
            <w:tcW w:w="4800" w:type="dxa"/>
            <w:vAlign w:val="bottom"/>
          </w:tcPr>
          <w:p>
            <w:pPr>
              <w:ind w:left="160"/>
              <w:spacing w:after="0"/>
              <w:rPr>
                <w:sz w:val="20"/>
                <w:szCs w:val="20"/>
                <w:color w:val="auto"/>
              </w:rPr>
            </w:pPr>
            <w:r>
              <w:rPr>
                <w:rFonts w:ascii="Arial" w:cs="Arial" w:eastAsia="Arial" w:hAnsi="Arial"/>
                <w:sz w:val="17"/>
                <w:szCs w:val="17"/>
                <w:color w:val="auto"/>
              </w:rPr>
              <w:t>assets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Increase (decrease) in payables and accruals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(141)</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(376)</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633</w:t>
            </w:r>
          </w:p>
        </w:tc>
      </w:tr>
      <w:tr>
        <w:trPr>
          <w:trHeight w:val="20"/>
        </w:trPr>
        <w:tc>
          <w:tcPr>
            <w:tcW w:w="48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193"/>
        </w:trPr>
        <w:tc>
          <w:tcPr>
            <w:tcW w:w="4800" w:type="dxa"/>
            <w:vAlign w:val="bottom"/>
          </w:tcPr>
          <w:p>
            <w:pPr>
              <w:spacing w:after="0" w:line="193" w:lineRule="exact"/>
              <w:rPr>
                <w:sz w:val="20"/>
                <w:szCs w:val="20"/>
                <w:color w:val="auto"/>
              </w:rPr>
            </w:pPr>
            <w:r>
              <w:rPr>
                <w:rFonts w:ascii="Arial" w:cs="Arial" w:eastAsia="Arial" w:hAnsi="Arial"/>
                <w:sz w:val="17"/>
                <w:szCs w:val="17"/>
                <w:color w:val="auto"/>
              </w:rPr>
              <w:t>Net cash used in operating activities</w:t>
            </w:r>
          </w:p>
        </w:tc>
        <w:tc>
          <w:tcPr>
            <w:tcW w:w="7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(5,380)</w:t>
            </w:r>
          </w:p>
        </w:tc>
        <w:tc>
          <w:tcPr>
            <w:tcW w:w="220" w:type="dxa"/>
            <w:vAlign w:val="bottom"/>
          </w:tcPr>
          <w:p>
            <w:pPr>
              <w:spacing w:after="0"/>
              <w:rPr>
                <w:sz w:val="16"/>
                <w:szCs w:val="16"/>
                <w:color w:val="auto"/>
              </w:rPr>
            </w:pP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(6,361)</w:t>
            </w:r>
          </w:p>
        </w:tc>
        <w:tc>
          <w:tcPr>
            <w:tcW w:w="106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(29,303)</w:t>
            </w:r>
          </w:p>
        </w:tc>
      </w:tr>
      <w:tr>
        <w:trPr>
          <w:trHeight w:val="19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investing activities</w:t>
            </w:r>
          </w:p>
        </w:tc>
        <w:tc>
          <w:tcPr>
            <w:tcW w:w="740" w:type="dxa"/>
            <w:vAlign w:val="bottom"/>
            <w:tcBorders>
              <w:top w:val="single" w:sz="8" w:color="auto"/>
            </w:tcBorders>
            <w:shd w:val="clear" w:color="auto" w:fill="CCFFCC"/>
          </w:tcPr>
          <w:p>
            <w:pPr>
              <w:spacing w:after="0"/>
              <w:rPr>
                <w:sz w:val="16"/>
                <w:szCs w:val="16"/>
                <w:color w:val="auto"/>
              </w:rPr>
            </w:pPr>
          </w:p>
        </w:tc>
        <w:tc>
          <w:tcPr>
            <w:tcW w:w="220" w:type="dxa"/>
            <w:vAlign w:val="bottom"/>
            <w:tcBorders>
              <w:left w:val="single" w:sz="8" w:color="CCFFCC"/>
            </w:tcBorders>
            <w:shd w:val="clear" w:color="auto" w:fill="CCFFCC"/>
          </w:tcPr>
          <w:p>
            <w:pPr>
              <w:spacing w:after="0"/>
              <w:rPr>
                <w:sz w:val="16"/>
                <w:szCs w:val="16"/>
                <w:color w:val="auto"/>
              </w:rPr>
            </w:pPr>
          </w:p>
        </w:tc>
        <w:tc>
          <w:tcPr>
            <w:tcW w:w="660" w:type="dxa"/>
            <w:vAlign w:val="bottom"/>
            <w:tcBorders>
              <w:top w:val="single" w:sz="8" w:color="auto"/>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Acquisition of property and equipment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(86)</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(598)</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Decrease (increase) in lease deposits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3</w:t>
            </w:r>
          </w:p>
        </w:tc>
        <w:tc>
          <w:tcPr>
            <w:tcW w:w="10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(8)</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Proceeds from investment in restricted short-term deposits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2,582</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
        </w:trPr>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Net cash provided by (used in) investing activities</w:t>
            </w: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(6)</w:t>
            </w:r>
          </w:p>
        </w:tc>
        <w:tc>
          <w:tcPr>
            <w:tcW w:w="220" w:type="dxa"/>
            <w:vAlign w:val="bottom"/>
            <w:tcBorders>
              <w:left w:val="single" w:sz="8" w:color="CCFFCC"/>
            </w:tcBorders>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2,499</w:t>
            </w:r>
          </w:p>
        </w:tc>
        <w:tc>
          <w:tcPr>
            <w:tcW w:w="1060" w:type="dxa"/>
            <w:vAlign w:val="bottom"/>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(606)</w:t>
            </w:r>
          </w:p>
        </w:tc>
      </w:tr>
      <w:tr>
        <w:trPr>
          <w:trHeight w:val="20"/>
        </w:trPr>
        <w:tc>
          <w:tcPr>
            <w:tcW w:w="48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-795020</wp:posOffset>
            </wp:positionV>
            <wp:extent cx="4837430" cy="1435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483743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4" w:name="page245"/>
    <w:bookmarkEnd w:id="2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176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For the year ended</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r>
      <w:tr>
        <w:trPr>
          <w:trHeight w:val="138"/>
        </w:trPr>
        <w:tc>
          <w:tcPr>
            <w:tcW w:w="4800" w:type="dxa"/>
            <w:vAlign w:val="bottom"/>
          </w:tcPr>
          <w:p>
            <w:pPr>
              <w:spacing w:after="0"/>
              <w:rPr>
                <w:sz w:val="11"/>
                <w:szCs w:val="11"/>
                <w:color w:val="auto"/>
              </w:rPr>
            </w:pPr>
          </w:p>
        </w:tc>
        <w:tc>
          <w:tcPr>
            <w:tcW w:w="1760" w:type="dxa"/>
            <w:vAlign w:val="bottom"/>
            <w:gridSpan w:val="4"/>
          </w:tcPr>
          <w:p>
            <w:pPr>
              <w:jc w:val="right"/>
              <w:ind w:right="480"/>
              <w:spacing w:after="0" w:line="13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r>
      <w:tr>
        <w:trPr>
          <w:trHeight w:val="138"/>
        </w:trPr>
        <w:tc>
          <w:tcPr>
            <w:tcW w:w="4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r>
      <w:tr>
        <w:trPr>
          <w:trHeight w:val="158"/>
        </w:trPr>
        <w:tc>
          <w:tcPr>
            <w:tcW w:w="48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r>
      <w:tr>
        <w:trPr>
          <w:trHeight w:val="180"/>
        </w:trPr>
        <w:tc>
          <w:tcPr>
            <w:tcW w:w="4800" w:type="dxa"/>
            <w:vAlign w:val="bottom"/>
          </w:tcPr>
          <w:p>
            <w:pPr>
              <w:spacing w:after="0"/>
              <w:rPr>
                <w:sz w:val="15"/>
                <w:szCs w:val="15"/>
                <w:color w:val="auto"/>
              </w:rPr>
            </w:pPr>
          </w:p>
        </w:tc>
        <w:tc>
          <w:tcPr>
            <w:tcW w:w="740" w:type="dxa"/>
            <w:vAlign w:val="bottom"/>
          </w:tcPr>
          <w:p>
            <w:pPr>
              <w:jc w:val="right"/>
              <w:ind w:right="119"/>
              <w:spacing w:after="0"/>
              <w:rPr>
                <w:sz w:val="20"/>
                <w:szCs w:val="20"/>
                <w:color w:val="auto"/>
              </w:rPr>
            </w:pPr>
            <w:r>
              <w:rPr>
                <w:rFonts w:ascii="Arial" w:cs="Arial" w:eastAsia="Arial" w:hAnsi="Arial"/>
                <w:sz w:val="13"/>
                <w:szCs w:val="13"/>
                <w:b w:val="1"/>
                <w:bCs w:val="1"/>
                <w:color w:val="auto"/>
              </w:rPr>
              <w:t>2011</w:t>
            </w:r>
          </w:p>
        </w:tc>
        <w:tc>
          <w:tcPr>
            <w:tcW w:w="88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5"/>
                <w:szCs w:val="15"/>
                <w:color w:val="auto"/>
              </w:rPr>
            </w:pPr>
          </w:p>
        </w:tc>
        <w:tc>
          <w:tcPr>
            <w:tcW w:w="900" w:type="dxa"/>
            <w:vAlign w:val="bottom"/>
            <w:gridSpan w:val="2"/>
          </w:tcPr>
          <w:p>
            <w:pPr>
              <w:jc w:val="center"/>
              <w:ind w:left="237"/>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5"/>
                <w:szCs w:val="15"/>
                <w:color w:val="auto"/>
              </w:rPr>
            </w:pPr>
          </w:p>
        </w:tc>
      </w:tr>
      <w:tr>
        <w:trPr>
          <w:trHeight w:val="180"/>
        </w:trPr>
        <w:tc>
          <w:tcPr>
            <w:tcW w:w="48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U.S.$</w:t>
            </w:r>
          </w:p>
        </w:tc>
        <w:tc>
          <w:tcPr>
            <w:tcW w:w="22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r>
      <w:tr>
        <w:trPr>
          <w:trHeight w:val="19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financing activities</w:t>
            </w:r>
          </w:p>
        </w:tc>
        <w:tc>
          <w:tcPr>
            <w:tcW w:w="740" w:type="dxa"/>
            <w:vAlign w:val="bottom"/>
            <w:shd w:val="clear" w:color="auto" w:fill="CCFFCC"/>
          </w:tcPr>
          <w:p>
            <w:pPr>
              <w:spacing w:after="0"/>
              <w:rPr>
                <w:sz w:val="16"/>
                <w:szCs w:val="16"/>
                <w:color w:val="auto"/>
              </w:rPr>
            </w:pPr>
          </w:p>
        </w:tc>
        <w:tc>
          <w:tcPr>
            <w:tcW w:w="220" w:type="dxa"/>
            <w:vAlign w:val="bottom"/>
            <w:tcBorders>
              <w:left w:val="single" w:sz="8" w:color="CCFFCC"/>
            </w:tcBorders>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Receipt of venture loan</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5,000</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Repayment on account of venture loan</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(2,095)</w:t>
            </w:r>
          </w:p>
        </w:tc>
        <w:tc>
          <w:tcPr>
            <w:tcW w:w="102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(757)</w:t>
            </w:r>
          </w:p>
        </w:tc>
        <w:tc>
          <w:tcPr>
            <w:tcW w:w="10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(3,651)</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Receipt of convertible notes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2,500</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2,500</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Issuance of common stock and warrants, net</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9,263</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9,263</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Issuance of warrants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1,070</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Receipt of convertible loans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3,976</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Issuance of convertible preferred stock</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12,195</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Exercise of common stock options and warrants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8</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14</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22</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Issuance of common stock, net of issuance expenses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785</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785</w:t>
            </w:r>
          </w:p>
        </w:tc>
      </w:tr>
      <w:tr>
        <w:trPr>
          <w:trHeight w:val="20"/>
        </w:trPr>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cash provided by financing activities</w:t>
            </w: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1,198</w:t>
            </w:r>
          </w:p>
        </w:tc>
        <w:tc>
          <w:tcPr>
            <w:tcW w:w="220" w:type="dxa"/>
            <w:vAlign w:val="bottom"/>
            <w:tcBorders>
              <w:left w:val="single" w:sz="8" w:color="CCFFCC"/>
            </w:tcBorders>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8,520</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31,160</w:t>
            </w:r>
          </w:p>
        </w:tc>
      </w:tr>
      <w:tr>
        <w:trPr>
          <w:trHeight w:val="20"/>
        </w:trPr>
        <w:tc>
          <w:tcPr>
            <w:tcW w:w="48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193"/>
        </w:trPr>
        <w:tc>
          <w:tcPr>
            <w:tcW w:w="4800" w:type="dxa"/>
            <w:vAlign w:val="bottom"/>
          </w:tcPr>
          <w:p>
            <w:pPr>
              <w:spacing w:after="0" w:line="193" w:lineRule="exact"/>
              <w:rPr>
                <w:sz w:val="20"/>
                <w:szCs w:val="20"/>
                <w:color w:val="auto"/>
              </w:rPr>
            </w:pPr>
            <w:r>
              <w:rPr>
                <w:rFonts w:ascii="Arial" w:cs="Arial" w:eastAsia="Arial" w:hAnsi="Arial"/>
                <w:sz w:val="17"/>
                <w:szCs w:val="17"/>
                <w:color w:val="auto"/>
              </w:rPr>
              <w:t>Effect of exchange rate changes on cash and cash equivalents</w:t>
            </w:r>
          </w:p>
        </w:tc>
        <w:tc>
          <w:tcPr>
            <w:tcW w:w="7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(29)</w:t>
            </w:r>
          </w:p>
        </w:tc>
        <w:tc>
          <w:tcPr>
            <w:tcW w:w="220" w:type="dxa"/>
            <w:vAlign w:val="bottom"/>
          </w:tcPr>
          <w:p>
            <w:pPr>
              <w:spacing w:after="0"/>
              <w:rPr>
                <w:sz w:val="16"/>
                <w:szCs w:val="16"/>
                <w:color w:val="auto"/>
              </w:rPr>
            </w:pPr>
          </w:p>
        </w:tc>
        <w:tc>
          <w:tcPr>
            <w:tcW w:w="80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5</w:t>
            </w:r>
          </w:p>
        </w:tc>
        <w:tc>
          <w:tcPr>
            <w:tcW w:w="106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(61)</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Increase (decrease) in cash and cash equivalents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(4,217)</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4,663</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1,190</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5,407</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744</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
        </w:trPr>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Cash and cash equivalents at end of period</w:t>
            </w: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1,190</w:t>
            </w:r>
          </w:p>
        </w:tc>
        <w:tc>
          <w:tcPr>
            <w:tcW w:w="220" w:type="dxa"/>
            <w:vAlign w:val="bottom"/>
            <w:tcBorders>
              <w:left w:val="single" w:sz="8" w:color="CCFFCC"/>
            </w:tcBorders>
            <w:shd w:val="clear" w:color="auto" w:fill="CCFFCC"/>
          </w:tcPr>
          <w:p>
            <w:pPr>
              <w:spacing w:after="0"/>
              <w:rPr>
                <w:sz w:val="20"/>
                <w:szCs w:val="20"/>
                <w:color w:val="auto"/>
              </w:rPr>
            </w:pPr>
          </w:p>
        </w:tc>
        <w:tc>
          <w:tcPr>
            <w:tcW w:w="8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5,407</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1,190</w:t>
            </w:r>
          </w:p>
        </w:tc>
      </w:tr>
      <w:tr>
        <w:trPr>
          <w:trHeight w:val="191"/>
        </w:trPr>
        <w:tc>
          <w:tcPr>
            <w:tcW w:w="4800" w:type="dxa"/>
            <w:vAlign w:val="bottom"/>
            <w:tcBorders>
              <w:top w:val="single" w:sz="8" w:color="CCFFCC"/>
            </w:tcBorders>
          </w:tcPr>
          <w:p>
            <w:pPr>
              <w:spacing w:after="0" w:line="191" w:lineRule="exact"/>
              <w:rPr>
                <w:sz w:val="20"/>
                <w:szCs w:val="20"/>
                <w:color w:val="auto"/>
              </w:rPr>
            </w:pPr>
            <w:r>
              <w:rPr>
                <w:rFonts w:ascii="Arial" w:cs="Arial" w:eastAsia="Arial" w:hAnsi="Arial"/>
                <w:sz w:val="17"/>
                <w:szCs w:val="17"/>
                <w:b w:val="1"/>
                <w:bCs w:val="1"/>
                <w:color w:val="auto"/>
              </w:rPr>
              <w:t>Supplemental disclosure of cash flows information</w:t>
            </w: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Interest paid</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151</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386</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1,137</w:t>
            </w:r>
          </w:p>
        </w:tc>
      </w:tr>
      <w:tr>
        <w:trPr>
          <w:trHeight w:val="200"/>
        </w:trPr>
        <w:tc>
          <w:tcPr>
            <w:tcW w:w="4800" w:type="dxa"/>
            <w:vAlign w:val="bottom"/>
          </w:tcPr>
          <w:p>
            <w:pPr>
              <w:spacing w:after="0"/>
              <w:rPr>
                <w:sz w:val="20"/>
                <w:szCs w:val="20"/>
                <w:color w:val="auto"/>
              </w:rPr>
            </w:pPr>
            <w:r>
              <w:rPr>
                <w:rFonts w:ascii="Arial" w:cs="Arial" w:eastAsia="Arial" w:hAnsi="Arial"/>
                <w:sz w:val="17"/>
                <w:szCs w:val="17"/>
                <w:b w:val="1"/>
                <w:bCs w:val="1"/>
                <w:color w:val="auto"/>
              </w:rPr>
              <w:t>Non-cash investing and financing transactions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Conversion of convertible loan into convertible preferred stock</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1,964</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Extinguishment of debt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321</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Discount to the series B convertible preferred stock</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Allocation of fair value of loan warrants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334</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Allocation of fair value of conversion warrants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1,564</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1,564</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w w:val="94"/>
              </w:rPr>
              <w:t>Exchange of series B convertible preferred stock for common stock</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11,971</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11,971</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w w:val="94"/>
              </w:rPr>
              <w:t>Exchange of series A convertible preferred stock for common stock</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24</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24</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Conversion of bridge notes into common stock</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2,545</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2,545</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Amortization of discounts to temporary equity</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3</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21</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w w:val="95"/>
              </w:rPr>
              <w:t>Issuance of shares in consideration of restructuring of venture loan</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213</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213</w:t>
            </w:r>
          </w:p>
        </w:tc>
      </w:tr>
      <w:tr>
        <w:trPr>
          <w:trHeight w:val="188"/>
        </w:trPr>
        <w:tc>
          <w:tcPr>
            <w:tcW w:w="480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Beneficial conversion feature recorded in connection with</w:t>
            </w:r>
          </w:p>
        </w:tc>
        <w:tc>
          <w:tcPr>
            <w:tcW w:w="74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1,269</w:t>
            </w:r>
          </w:p>
        </w:tc>
        <w:tc>
          <w:tcPr>
            <w:tcW w:w="220" w:type="dxa"/>
            <w:vAlign w:val="bottom"/>
            <w:tcBorders>
              <w:left w:val="single" w:sz="8" w:color="CCFFCC"/>
            </w:tcBorders>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1,269</w:t>
            </w:r>
          </w:p>
        </w:tc>
      </w:tr>
      <w:tr>
        <w:trPr>
          <w:trHeight w:val="213"/>
        </w:trPr>
        <w:tc>
          <w:tcPr>
            <w:tcW w:w="480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convertible notes</w:t>
            </w:r>
          </w:p>
        </w:tc>
        <w:tc>
          <w:tcPr>
            <w:tcW w:w="74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7"/>
        </w:trPr>
        <w:tc>
          <w:tcPr>
            <w:tcW w:w="4800" w:type="dxa"/>
            <w:vAlign w:val="bottom"/>
          </w:tcPr>
          <w:p>
            <w:pPr>
              <w:spacing w:after="0"/>
              <w:rPr>
                <w:sz w:val="20"/>
                <w:szCs w:val="20"/>
                <w:color w:val="auto"/>
              </w:rPr>
            </w:pPr>
            <w:r>
              <w:rPr>
                <w:rFonts w:ascii="Arial" w:cs="Arial" w:eastAsia="Arial" w:hAnsi="Arial"/>
                <w:sz w:val="17"/>
                <w:szCs w:val="17"/>
                <w:color w:val="auto"/>
              </w:rPr>
              <w:t>Conversion of convertible notes into common stock</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2,511</w:t>
            </w: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-2603500</wp:posOffset>
            </wp:positionV>
            <wp:extent cx="4837430" cy="135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-2078355</wp:posOffset>
            </wp:positionV>
            <wp:extent cx="4837430" cy="1593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837430" cy="1593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5" w:name="page246"/>
    <w:bookmarkEnd w:id="2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 — General</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2"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7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61"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year ended December 31, 2011 and for the cumulative period from inception until December 31, 2011, the Company incurred net losses of $7.5 million and $37.4 million, respectively.</w:t>
      </w:r>
    </w:p>
    <w:p>
      <w:pPr>
        <w:spacing w:after="0" w:line="62" w:lineRule="exact"/>
        <w:rPr>
          <w:sz w:val="20"/>
          <w:szCs w:val="20"/>
          <w:color w:val="auto"/>
        </w:rPr>
      </w:pPr>
    </w:p>
    <w:p>
      <w:pPr>
        <w:jc w:val="both"/>
        <w:ind w:left="40" w:right="1239" w:firstLine="251"/>
        <w:spacing w:after="0" w:line="248" w:lineRule="auto"/>
        <w:rPr>
          <w:sz w:val="20"/>
          <w:szCs w:val="20"/>
          <w:color w:val="auto"/>
        </w:rPr>
      </w:pPr>
      <w:r>
        <w:rPr>
          <w:rFonts w:ascii="Arial" w:cs="Arial" w:eastAsia="Arial" w:hAnsi="Arial"/>
          <w:sz w:val="17"/>
          <w:szCs w:val="17"/>
          <w:color w:val="auto"/>
        </w:rPr>
        <w:t>In July 2011, the Company raised an aggregate amount of $2.5 million through the issuance of convertible notes (“Convertible Notes”) in a private placement. On December 1, 2011, the Company raised additional $0.85 million through the issuance of 817,303 additional shares of common stock (“December 2011 financing”). In connection with the December 2011 financing, all Convertible Notes (and accrued interest) were converted into 2,671,026 shares of common stock. In February 2012, the Company entered into agreements with holders (the “Holders”) of certain of its outstanding Special Bridge and Conversion Warrants, pursuant to which the Holders exercised warrants to purchase 3,828,993 shares of our common stock for aggregate proceeds of $3.6 million (“February 2012 warrant exercise”). In addition, certain Holders were granted additional warrants to purchase 2,660,922 shares of common stock of the Company, at an exercise price of $1.76 per share. The total issuance costs were $65 thousand. See also Note 17.</w:t>
      </w: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6" w:name="page247"/>
    <w:bookmarkEnd w:id="2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 — General – (continued)</w:t>
      </w:r>
    </w:p>
    <w:p>
      <w:pPr>
        <w:jc w:val="both"/>
        <w:ind w:left="40" w:right="1239" w:firstLine="251"/>
        <w:spacing w:after="0" w:line="286" w:lineRule="auto"/>
        <w:rPr>
          <w:sz w:val="20"/>
          <w:szCs w:val="20"/>
          <w:color w:val="auto"/>
        </w:rPr>
      </w:pPr>
      <w:r>
        <w:rPr>
          <w:rFonts w:ascii="Arial" w:cs="Arial" w:eastAsia="Arial" w:hAnsi="Arial"/>
          <w:sz w:val="15"/>
          <w:szCs w:val="15"/>
          <w:color w:val="auto"/>
        </w:rPr>
        <w:t>The Company believes that following the February 2012 warrant exercise, its current cash levels will be sufficient to support its activity into the fourth quarter of 2012. On March 12, 2012, the Company entered into an agreement and Plan of Merger Agreement (“Merger Agreement”), pursuant to which Innovate/Protect, Inc. (“I/P”) will merge with and into VIP Merger Sub, Inc.,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See description in Note 17.</w:t>
      </w:r>
    </w:p>
    <w:p>
      <w:pPr>
        <w:spacing w:after="0" w:line="60"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December 31, 2011, approximately $303 thousand of the Company’s net assets were located outside of the United States.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 Significant Accounting and Reporting Policies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 Basis of presentation and principles of consolidation</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 Development stage enterprise</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 Translation into U.S. dollars</w:t>
      </w:r>
    </w:p>
    <w:p>
      <w:pPr>
        <w:spacing w:after="0" w:line="10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currency of the primary economic environment in which the operations of the Company are conducted is the U.S. dollar (“dollar” or “$”). Therefore, the dollar has been determined to be the Company’s functional currency. 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 At December 31, 2011, the exchange rate was $1 = NIS 3.821 (December 31, 2010 — $1 = NIS 3.549). The average exchange rate for the year ended December 31, 2011 was $1 = 3.578 NIS (December 31, 2010 — $1 = NIS 3.733).</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 Use of estimates</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reporting period. Actual results may differ from such estimates. Significant items subject to such estimates and assumptions include timing and realization of deferred tax assets and liabilities, allowances for doubtful accounts, valuation of convertible preferred and common stock, warrants and</w:t>
      </w: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7" w:name="page248"/>
    <w:bookmarkEnd w:id="2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2 — Significant Accounting and Reporting Policies – (continued)</w:t>
      </w:r>
    </w:p>
    <w:p>
      <w:pPr>
        <w:jc w:val="both"/>
        <w:ind w:left="40" w:right="1239"/>
        <w:spacing w:after="0" w:line="267" w:lineRule="auto"/>
        <w:rPr>
          <w:sz w:val="20"/>
          <w:szCs w:val="20"/>
          <w:color w:val="auto"/>
        </w:rPr>
      </w:pPr>
      <w:r>
        <w:rPr>
          <w:rFonts w:ascii="Arial" w:cs="Arial" w:eastAsia="Arial" w:hAnsi="Arial"/>
          <w:sz w:val="17"/>
          <w:szCs w:val="17"/>
          <w:color w:val="auto"/>
        </w:rPr>
        <w:t>derivative instruments, share-based payments, warrants, income tax uncertainties and other contingencies. The current economic environment has increased the degree of uncertainty inherent in those estimates and assumptions.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 Cash and cash equivalents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For the purpose of these financial statements, all highly liquid investments with original maturities of three months or less are considered cash equivalents.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 Accounts receivables and allowance for doubtful accounts</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December 31, 2011 neither write-offs, nor provision for doubtful accounts for was created. The Company does not have any significant off-balance-sheet credit exposure related to its customers.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 Derivative instruments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recognizes all derivative instruments as either assets or liabilities in the balance sheet at their respective fair values. The Company’s derivative instruments include a Special Bridge Warrant and a Conversion Warrant which have been recorded as a liability, at fair value, and are revalued at each reporting date, with changes in the fair value of the instruments included in the statement of operations as non-operating income or expense.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(h) Property and equipment</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Property and equipment is stated at historical cost, net of accumulated depreciation. Depreciation is calculated according to the straight-line method over the estimated useful lives of the assets. Annual depreciation rates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w:t>
            </w:r>
          </w:p>
        </w:tc>
      </w:tr>
      <w:tr>
        <w:trPr>
          <w:trHeight w:val="193"/>
        </w:trPr>
        <w:tc>
          <w:tcPr>
            <w:tcW w:w="604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Office furniture and equipment</w:t>
            </w:r>
          </w:p>
        </w:tc>
        <w:tc>
          <w:tcPr>
            <w:tcW w:w="900" w:type="dxa"/>
            <w:vAlign w:val="bottom"/>
            <w:shd w:val="clear" w:color="auto" w:fill="CCFFCC"/>
          </w:tcPr>
          <w:p>
            <w:pPr>
              <w:jc w:val="right"/>
              <w:ind w:right="2"/>
              <w:spacing w:after="0" w:line="193" w:lineRule="exact"/>
              <w:rPr>
                <w:sz w:val="20"/>
                <w:szCs w:val="20"/>
                <w:color w:val="auto"/>
              </w:rPr>
            </w:pPr>
            <w:r>
              <w:rPr>
                <w:rFonts w:ascii="Arial" w:cs="Arial" w:eastAsia="Arial" w:hAnsi="Arial"/>
                <w:sz w:val="17"/>
                <w:szCs w:val="17"/>
                <w:color w:val="auto"/>
              </w:rPr>
              <w:t>7 – 33</w:t>
            </w:r>
          </w:p>
        </w:tc>
      </w:tr>
      <w:tr>
        <w:trPr>
          <w:trHeight w:val="213"/>
        </w:trPr>
        <w:tc>
          <w:tcPr>
            <w:tcW w:w="6040" w:type="dxa"/>
            <w:vAlign w:val="bottom"/>
          </w:tcPr>
          <w:p>
            <w:pPr>
              <w:spacing w:after="0"/>
              <w:rPr>
                <w:sz w:val="20"/>
                <w:szCs w:val="20"/>
                <w:color w:val="auto"/>
              </w:rPr>
            </w:pPr>
            <w:r>
              <w:rPr>
                <w:rFonts w:ascii="Arial" w:cs="Arial" w:eastAsia="Arial" w:hAnsi="Arial"/>
                <w:sz w:val="17"/>
                <w:szCs w:val="17"/>
                <w:color w:val="auto"/>
              </w:rPr>
              <w:t>Computers and related equipment</w:t>
            </w:r>
          </w:p>
        </w:tc>
        <w:tc>
          <w:tcPr>
            <w:tcW w:w="900" w:type="dxa"/>
            <w:vAlign w:val="bottom"/>
          </w:tcPr>
          <w:p>
            <w:pPr>
              <w:jc w:val="right"/>
              <w:ind w:right="2"/>
              <w:spacing w:after="0"/>
              <w:rPr>
                <w:sz w:val="20"/>
                <w:szCs w:val="20"/>
                <w:color w:val="auto"/>
              </w:rPr>
            </w:pPr>
            <w:r>
              <w:rPr>
                <w:rFonts w:ascii="Arial" w:cs="Arial" w:eastAsia="Arial" w:hAnsi="Arial"/>
                <w:sz w:val="17"/>
                <w:szCs w:val="17"/>
                <w:color w:val="auto"/>
              </w:rPr>
              <w:t>33</w:t>
            </w:r>
          </w:p>
        </w:tc>
      </w:tr>
    </w:tbl>
    <w:p>
      <w:pPr>
        <w:spacing w:after="0" w:line="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Leasehold improvements are amortized over the shorter of the useful life of the asset or the term of the lease.</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 Revenue recognition</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Revenue from subscription services and software development and licenses is recognized if collection of the relevant receivable is probable, persuasive evidence of an arrangement exists, the sales price is fixed or determinable and delivery of the service has been rendered. Revenues from non-refundable up-front fees are recognized according to the guidance in SAB Topic 13.A.3.f. As these up-front fees relate to the hosting of the service over a period of the contract, the Company recognizes these up-front fees over the life time of the contract. According to ASU 2009-13, Revenue Recognition (Topic 605), which was early-adopted by the Company in 2009, the Company uses management’s best estimate of selling price for individual elements in multiple-element arrangements, where other sources of evidence are unavailable.</w:t>
      </w: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8" w:name="page249"/>
    <w:bookmarkEnd w:id="2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96" w:lineRule="auto"/>
        <w:rPr>
          <w:sz w:val="20"/>
          <w:szCs w:val="20"/>
          <w:color w:val="auto"/>
        </w:rPr>
      </w:pPr>
      <w:r>
        <w:rPr>
          <w:rFonts w:ascii="Arial" w:cs="Arial" w:eastAsia="Arial" w:hAnsi="Arial"/>
          <w:sz w:val="17"/>
          <w:szCs w:val="17"/>
          <w:b w:val="1"/>
          <w:bCs w:val="1"/>
          <w:color w:val="auto"/>
        </w:rPr>
        <w:t xml:space="preserve">NOTES TO CONSOLIDATED FINANCIAL STATEMENTS Note 2 — Significant Accounting and Reporting Policies – (continued) </w:t>
      </w:r>
      <w:r>
        <w:rPr>
          <w:rFonts w:ascii="Arial" w:cs="Arial" w:eastAsia="Arial" w:hAnsi="Arial"/>
          <w:sz w:val="17"/>
          <w:szCs w:val="17"/>
          <w:b w:val="1"/>
          <w:bCs w:val="1"/>
          <w:i w:val="1"/>
          <w:iCs w:val="1"/>
          <w:color w:val="auto"/>
        </w:rPr>
        <w:t>(j) Cost of revenue</w:t>
      </w:r>
    </w:p>
    <w:p>
      <w:pPr>
        <w:spacing w:after="0" w:line="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Cost of revenue consists primarily of direct costs that the Company pays to third parties in order to operate its products in launched markets. These expenses include the costs associated with production servers serving the end-users, royalty fees for content sales, amortization of prepaid content licenses.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(k) Research and development</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Research and development expenses are expensed as incurred and consist primarily of payroll and facilities charges associated with the research, development and integration of our current and future products.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 Advertising and Promotional costs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We expense advertising and promotional costs in the period in which they are incurred. For the years ended December 31, 2011, 2010, and cumulative from inception till December 31, 2011, advertising and promotional expenses totaled approximately $271 thousand, $141 thousand, and $923 thousand, respectively.</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 Accounting for share-based payments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Share-based payment is recognized as an expense in the financial statements and such cost is measured at the grant-date fair value of the equity-settled award. The expense is recognized using the straight-line method, over the requisite service period, and is reduced for estimated forfeitures.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 Income taxes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71"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9" w:name="page250"/>
    <w:bookmarkEnd w:id="2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2 — Significant Accounting and Reporting Policies – (continued)</w:t>
      </w:r>
    </w:p>
    <w:p>
      <w:pPr>
        <w:jc w:val="both"/>
        <w:ind w:left="40" w:right="1239" w:firstLine="251"/>
        <w:spacing w:after="0" w:line="297" w:lineRule="auto"/>
        <w:rPr>
          <w:sz w:val="20"/>
          <w:szCs w:val="20"/>
          <w:color w:val="auto"/>
        </w:rPr>
      </w:pPr>
      <w:r>
        <w:rPr>
          <w:rFonts w:ascii="Arial" w:cs="Arial" w:eastAsia="Arial" w:hAnsi="Arial"/>
          <w:sz w:val="15"/>
          <w:szCs w:val="15"/>
          <w:color w:val="auto"/>
        </w:rPr>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 Reverse stock split</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June 21, 2010, immediately prior to the closing of the IPO,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 share amounts retroactively reflect the reverse stock split, unless otherwise indicated.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 Net loss per share data</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the effect of such shares is anti-dilutive.</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presents the computation of basic and diluted net losses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Cumulative</w:t>
            </w: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1"/>
                <w:szCs w:val="11"/>
                <w:color w:val="auto"/>
              </w:rPr>
            </w:pPr>
          </w:p>
        </w:tc>
        <w:tc>
          <w:tcPr>
            <w:tcW w:w="1820" w:type="dxa"/>
            <w:vAlign w:val="bottom"/>
            <w:gridSpan w:val="5"/>
            <w:vMerge w:val="restart"/>
          </w:tcPr>
          <w:p>
            <w:pPr>
              <w:jc w:val="right"/>
              <w:ind w:right="180"/>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from inception</w:t>
            </w: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1"/>
                <w:szCs w:val="11"/>
                <w:color w:val="auto"/>
              </w:rPr>
            </w:pPr>
          </w:p>
        </w:tc>
        <w:tc>
          <w:tcPr>
            <w:tcW w:w="182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to December 31,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gridSpan w:val="2"/>
            <w:vMerge w:val="restart"/>
          </w:tcPr>
          <w:p>
            <w:pPr>
              <w:jc w:val="center"/>
              <w:ind w:left="219"/>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760" w:type="dxa"/>
            <w:vAlign w:val="bottom"/>
            <w:vMerge w:val="restart"/>
          </w:tcPr>
          <w:p>
            <w:pPr>
              <w:jc w:val="right"/>
              <w:ind w:right="143"/>
              <w:spacing w:after="0"/>
              <w:rPr>
                <w:sz w:val="20"/>
                <w:szCs w:val="20"/>
                <w:color w:val="auto"/>
              </w:rPr>
            </w:pPr>
            <w:r>
              <w:rPr>
                <w:rFonts w:ascii="Arial" w:cs="Arial" w:eastAsia="Arial" w:hAnsi="Arial"/>
                <w:sz w:val="13"/>
                <w:szCs w:val="13"/>
                <w:b w:val="1"/>
                <w:bCs w:val="1"/>
                <w:color w:val="auto"/>
              </w:rPr>
              <w:t>2011</w:t>
            </w:r>
          </w:p>
        </w:tc>
        <w:tc>
          <w:tcPr>
            <w:tcW w:w="40" w:type="dxa"/>
            <w:vAlign w:val="bottom"/>
          </w:tcPr>
          <w:p>
            <w:pPr>
              <w:spacing w:after="0"/>
              <w:rPr>
                <w:sz w:val="11"/>
                <w:szCs w:val="11"/>
                <w:color w:val="auto"/>
              </w:rPr>
            </w:pPr>
          </w:p>
        </w:tc>
        <w:tc>
          <w:tcPr>
            <w:tcW w:w="160" w:type="dxa"/>
            <w:vAlign w:val="bottom"/>
            <w:vMerge w:val="restart"/>
          </w:tcPr>
          <w:p>
            <w:pPr>
              <w:spacing w:after="0"/>
              <w:rPr>
                <w:sz w:val="11"/>
                <w:szCs w:val="11"/>
                <w:color w:val="auto"/>
              </w:rPr>
            </w:pPr>
          </w:p>
        </w:tc>
        <w:tc>
          <w:tcPr>
            <w:tcW w:w="76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020" w:type="dxa"/>
            <w:vAlign w:val="bottom"/>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2920" w:type="dxa"/>
            <w:vAlign w:val="bottom"/>
            <w:gridSpan w:val="8"/>
          </w:tcPr>
          <w:p>
            <w:pPr>
              <w:jc w:val="right"/>
              <w:ind w:right="200"/>
              <w:spacing w:after="0"/>
              <w:rPr>
                <w:sz w:val="20"/>
                <w:szCs w:val="20"/>
                <w:color w:val="auto"/>
              </w:rPr>
            </w:pPr>
            <w:r>
              <w:rPr>
                <w:rFonts w:ascii="Arial" w:cs="Arial" w:eastAsia="Arial" w:hAnsi="Arial"/>
                <w:sz w:val="13"/>
                <w:szCs w:val="13"/>
                <w:color w:val="auto"/>
                <w:w w:val="97"/>
              </w:rPr>
              <w:t>(in thousands, except share and per share data)</w:t>
            </w:r>
          </w:p>
        </w:tc>
        <w:tc>
          <w:tcPr>
            <w:tcW w:w="0" w:type="dxa"/>
            <w:vAlign w:val="bottom"/>
          </w:tcPr>
          <w:p>
            <w:pPr>
              <w:spacing w:after="0"/>
              <w:rPr>
                <w:sz w:val="1"/>
                <w:szCs w:val="1"/>
                <w:color w:val="auto"/>
              </w:rPr>
            </w:pPr>
          </w:p>
        </w:tc>
      </w:tr>
      <w:tr>
        <w:trPr>
          <w:trHeight w:val="206"/>
        </w:trPr>
        <w:tc>
          <w:tcPr>
            <w:tcW w:w="40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Numerator:</w:t>
            </w:r>
          </w:p>
        </w:tc>
        <w:tc>
          <w:tcPr>
            <w:tcW w:w="7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20" w:type="dxa"/>
            <w:vAlign w:val="bottom"/>
          </w:tcPr>
          <w:p>
            <w:pPr>
              <w:spacing w:after="0" w:line="188" w:lineRule="exact"/>
              <w:rPr>
                <w:sz w:val="20"/>
                <w:szCs w:val="20"/>
                <w:color w:val="auto"/>
              </w:rPr>
            </w:pPr>
            <w:r>
              <w:rPr>
                <w:rFonts w:ascii="Arial" w:cs="Arial" w:eastAsia="Arial" w:hAnsi="Arial"/>
                <w:sz w:val="17"/>
                <w:szCs w:val="17"/>
                <w:color w:val="auto"/>
              </w:rPr>
              <w:t>Net loss attributable to common stock shares</w:t>
            </w:r>
          </w:p>
        </w:tc>
        <w:tc>
          <w:tcPr>
            <w:tcW w:w="800" w:type="dxa"/>
            <w:vAlign w:val="bottom"/>
            <w:gridSpan w:val="2"/>
          </w:tcPr>
          <w:p>
            <w:pPr>
              <w:jc w:val="right"/>
              <w:ind w:right="40"/>
              <w:spacing w:after="0" w:line="188" w:lineRule="exact"/>
              <w:rPr>
                <w:sz w:val="20"/>
                <w:szCs w:val="20"/>
                <w:color w:val="auto"/>
              </w:rPr>
            </w:pPr>
            <w:r>
              <w:rPr>
                <w:rFonts w:ascii="Arial" w:cs="Arial" w:eastAsia="Arial" w:hAnsi="Arial"/>
                <w:sz w:val="17"/>
                <w:szCs w:val="17"/>
                <w:b w:val="1"/>
                <w:bCs w:val="1"/>
                <w:color w:val="auto"/>
              </w:rPr>
              <w:t>(7,479)</w:t>
            </w:r>
          </w:p>
        </w:tc>
        <w:tc>
          <w:tcPr>
            <w:tcW w:w="1020" w:type="dxa"/>
            <w:vAlign w:val="bottom"/>
            <w:gridSpan w:val="3"/>
          </w:tcPr>
          <w:p>
            <w:pPr>
              <w:jc w:val="right"/>
              <w:ind w:right="40"/>
              <w:spacing w:after="0" w:line="188" w:lineRule="exact"/>
              <w:rPr>
                <w:sz w:val="20"/>
                <w:szCs w:val="20"/>
                <w:color w:val="auto"/>
              </w:rPr>
            </w:pPr>
            <w:r>
              <w:rPr>
                <w:rFonts w:ascii="Arial" w:cs="Arial" w:eastAsia="Arial" w:hAnsi="Arial"/>
                <w:sz w:val="17"/>
                <w:szCs w:val="17"/>
                <w:color w:val="auto"/>
              </w:rPr>
              <w:t>(9,942)</w:t>
            </w:r>
          </w:p>
        </w:tc>
        <w:tc>
          <w:tcPr>
            <w:tcW w:w="1100" w:type="dxa"/>
            <w:vAlign w:val="bottom"/>
            <w:gridSpan w:val="3"/>
          </w:tcPr>
          <w:p>
            <w:pPr>
              <w:jc w:val="right"/>
              <w:ind w:right="80"/>
              <w:spacing w:after="0" w:line="188" w:lineRule="exact"/>
              <w:rPr>
                <w:sz w:val="20"/>
                <w:szCs w:val="20"/>
                <w:color w:val="auto"/>
              </w:rPr>
            </w:pPr>
            <w:r>
              <w:rPr>
                <w:rFonts w:ascii="Arial" w:cs="Arial" w:eastAsia="Arial" w:hAnsi="Arial"/>
                <w:sz w:val="17"/>
                <w:szCs w:val="17"/>
                <w:color w:val="auto"/>
              </w:rPr>
              <w:t>(37,546)</w:t>
            </w:r>
          </w:p>
        </w:tc>
        <w:tc>
          <w:tcPr>
            <w:tcW w:w="0" w:type="dxa"/>
            <w:vAlign w:val="bottom"/>
          </w:tcPr>
          <w:p>
            <w:pPr>
              <w:spacing w:after="0"/>
              <w:rPr>
                <w:sz w:val="1"/>
                <w:szCs w:val="1"/>
                <w:color w:val="auto"/>
              </w:rPr>
            </w:pPr>
          </w:p>
        </w:tc>
      </w:tr>
      <w:tr>
        <w:trPr>
          <w:trHeight w:val="213"/>
        </w:trPr>
        <w:tc>
          <w:tcPr>
            <w:tcW w:w="4020" w:type="dxa"/>
            <w:vAlign w:val="bottom"/>
          </w:tcPr>
          <w:p>
            <w:pPr>
              <w:ind w:left="160"/>
              <w:spacing w:after="0"/>
              <w:rPr>
                <w:sz w:val="20"/>
                <w:szCs w:val="20"/>
                <w:color w:val="auto"/>
              </w:rPr>
            </w:pPr>
            <w:r>
              <w:rPr>
                <w:rFonts w:ascii="Arial" w:cs="Arial" w:eastAsia="Arial" w:hAnsi="Arial"/>
                <w:sz w:val="17"/>
                <w:szCs w:val="17"/>
                <w:color w:val="auto"/>
              </w:rPr>
              <w:t>(basic and diluted)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Denominator:</w:t>
            </w:r>
          </w:p>
        </w:tc>
        <w:tc>
          <w:tcPr>
            <w:tcW w:w="7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20" w:type="dxa"/>
            <w:vAlign w:val="bottom"/>
          </w:tcPr>
          <w:p>
            <w:pPr>
              <w:spacing w:after="0" w:line="188" w:lineRule="exact"/>
              <w:rPr>
                <w:sz w:val="20"/>
                <w:szCs w:val="20"/>
                <w:color w:val="auto"/>
              </w:rPr>
            </w:pPr>
            <w:r>
              <w:rPr>
                <w:rFonts w:ascii="Arial" w:cs="Arial" w:eastAsia="Arial" w:hAnsi="Arial"/>
                <w:sz w:val="17"/>
                <w:szCs w:val="17"/>
                <w:color w:val="auto"/>
              </w:rPr>
              <w:t>Weighted average number of common stock shares</w:t>
            </w:r>
          </w:p>
        </w:tc>
        <w:tc>
          <w:tcPr>
            <w:tcW w:w="800" w:type="dxa"/>
            <w:vAlign w:val="bottom"/>
            <w:gridSpan w:val="2"/>
          </w:tcPr>
          <w:p>
            <w:pPr>
              <w:jc w:val="right"/>
              <w:ind w:right="40"/>
              <w:spacing w:after="0" w:line="188" w:lineRule="exact"/>
              <w:rPr>
                <w:sz w:val="20"/>
                <w:szCs w:val="20"/>
                <w:color w:val="auto"/>
              </w:rPr>
            </w:pPr>
            <w:r>
              <w:rPr>
                <w:rFonts w:ascii="Arial" w:cs="Arial" w:eastAsia="Arial" w:hAnsi="Arial"/>
                <w:sz w:val="17"/>
                <w:szCs w:val="17"/>
                <w:b w:val="1"/>
                <w:bCs w:val="1"/>
                <w:color w:val="auto"/>
                <w:w w:val="97"/>
              </w:rPr>
              <w:t>6,241,048</w:t>
            </w:r>
          </w:p>
        </w:tc>
        <w:tc>
          <w:tcPr>
            <w:tcW w:w="102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2,958,568</w:t>
            </w:r>
          </w:p>
        </w:tc>
        <w:tc>
          <w:tcPr>
            <w:tcW w:w="110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1,797,582</w:t>
            </w:r>
          </w:p>
        </w:tc>
        <w:tc>
          <w:tcPr>
            <w:tcW w:w="0" w:type="dxa"/>
            <w:vAlign w:val="bottom"/>
          </w:tcPr>
          <w:p>
            <w:pPr>
              <w:spacing w:after="0"/>
              <w:rPr>
                <w:sz w:val="1"/>
                <w:szCs w:val="1"/>
                <w:color w:val="auto"/>
              </w:rPr>
            </w:pPr>
          </w:p>
        </w:tc>
      </w:tr>
      <w:tr>
        <w:trPr>
          <w:trHeight w:val="213"/>
        </w:trPr>
        <w:tc>
          <w:tcPr>
            <w:tcW w:w="4020" w:type="dxa"/>
            <w:vAlign w:val="bottom"/>
          </w:tcPr>
          <w:p>
            <w:pPr>
              <w:ind w:left="160"/>
              <w:spacing w:after="0"/>
              <w:rPr>
                <w:sz w:val="20"/>
                <w:szCs w:val="20"/>
                <w:color w:val="auto"/>
              </w:rPr>
            </w:pPr>
            <w:r>
              <w:rPr>
                <w:rFonts w:ascii="Arial" w:cs="Arial" w:eastAsia="Arial" w:hAnsi="Arial"/>
                <w:sz w:val="17"/>
                <w:szCs w:val="17"/>
                <w:color w:val="auto"/>
              </w:rPr>
              <w:t>outstanding during the period (basic and diluted)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2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w w:val="98"/>
              </w:rPr>
              <w:t>Weighted average number of penny stock options and</w:t>
            </w:r>
          </w:p>
        </w:tc>
        <w:tc>
          <w:tcPr>
            <w:tcW w:w="800" w:type="dxa"/>
            <w:vAlign w:val="bottom"/>
            <w:gridSpan w:val="2"/>
            <w:shd w:val="clear" w:color="auto" w:fill="CCFFCC"/>
          </w:tcPr>
          <w:p>
            <w:pPr>
              <w:jc w:val="right"/>
              <w:ind w:right="40"/>
              <w:spacing w:after="0" w:line="188" w:lineRule="exact"/>
              <w:rPr>
                <w:sz w:val="20"/>
                <w:szCs w:val="20"/>
                <w:color w:val="auto"/>
              </w:rPr>
            </w:pPr>
            <w:r>
              <w:rPr>
                <w:rFonts w:ascii="Arial" w:cs="Arial" w:eastAsia="Arial" w:hAnsi="Arial"/>
                <w:sz w:val="17"/>
                <w:szCs w:val="17"/>
                <w:b w:val="1"/>
                <w:bCs w:val="1"/>
                <w:color w:val="auto"/>
              </w:rPr>
              <w:t>131,611</w:t>
            </w:r>
          </w:p>
        </w:tc>
        <w:tc>
          <w:tcPr>
            <w:tcW w:w="102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195,921</w:t>
            </w:r>
          </w:p>
        </w:tc>
        <w:tc>
          <w:tcPr>
            <w:tcW w:w="110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55,495</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warrants (basic and diluted)</w:t>
            </w:r>
          </w:p>
        </w:tc>
        <w:tc>
          <w:tcPr>
            <w:tcW w:w="76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20" w:type="dxa"/>
            <w:vAlign w:val="bottom"/>
          </w:tcPr>
          <w:p>
            <w:pPr>
              <w:spacing w:after="0" w:line="194" w:lineRule="exact"/>
              <w:rPr>
                <w:sz w:val="20"/>
                <w:szCs w:val="20"/>
                <w:color w:val="auto"/>
              </w:rPr>
            </w:pPr>
            <w:r>
              <w:rPr>
                <w:rFonts w:ascii="Arial" w:cs="Arial" w:eastAsia="Arial" w:hAnsi="Arial"/>
                <w:sz w:val="17"/>
                <w:szCs w:val="17"/>
                <w:b w:val="1"/>
                <w:bCs w:val="1"/>
                <w:color w:val="auto"/>
                <w:highlight w:val="white"/>
                <w:w w:val="89"/>
              </w:rPr>
              <w:t>Basic and diluted shares of common stock outstanding</w:t>
            </w:r>
          </w:p>
        </w:tc>
        <w:tc>
          <w:tcPr>
            <w:tcW w:w="800" w:type="dxa"/>
            <w:vAlign w:val="bottom"/>
            <w:gridSpan w:val="2"/>
          </w:tcPr>
          <w:p>
            <w:pPr>
              <w:jc w:val="right"/>
              <w:ind w:right="40"/>
              <w:spacing w:after="0" w:line="194" w:lineRule="exact"/>
              <w:rPr>
                <w:sz w:val="20"/>
                <w:szCs w:val="20"/>
                <w:color w:val="auto"/>
              </w:rPr>
            </w:pPr>
            <w:r>
              <w:rPr>
                <w:rFonts w:ascii="Arial" w:cs="Arial" w:eastAsia="Arial" w:hAnsi="Arial"/>
                <w:sz w:val="17"/>
                <w:szCs w:val="17"/>
                <w:b w:val="1"/>
                <w:bCs w:val="1"/>
                <w:color w:val="auto"/>
                <w:w w:val="97"/>
              </w:rPr>
              <w:t>6,372,659</w:t>
            </w:r>
          </w:p>
        </w:tc>
        <w:tc>
          <w:tcPr>
            <w:tcW w:w="10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3,154,489</w:t>
            </w:r>
          </w:p>
        </w:tc>
        <w:tc>
          <w:tcPr>
            <w:tcW w:w="110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1,853,077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shd w:val="clear" w:color="auto" w:fill="CCFFCC"/>
          </w:tcPr>
          <w:p>
            <w:pPr>
              <w:spacing w:after="0" w:line="176" w:lineRule="exact"/>
              <w:rPr>
                <w:sz w:val="20"/>
                <w:szCs w:val="20"/>
                <w:color w:val="auto"/>
              </w:rPr>
            </w:pPr>
            <w:r>
              <w:rPr>
                <w:rFonts w:ascii="Arial" w:cs="Arial" w:eastAsia="Arial" w:hAnsi="Arial"/>
                <w:sz w:val="17"/>
                <w:szCs w:val="17"/>
                <w:b w:val="1"/>
                <w:bCs w:val="1"/>
                <w:color w:val="auto"/>
              </w:rPr>
              <w:t>Basic and diluted net losses per share of</w:t>
            </w:r>
          </w:p>
        </w:tc>
        <w:tc>
          <w:tcPr>
            <w:tcW w:w="800" w:type="dxa"/>
            <w:vAlign w:val="bottom"/>
            <w:gridSpan w:val="2"/>
            <w:shd w:val="clear" w:color="auto" w:fill="CCFFCC"/>
          </w:tcPr>
          <w:p>
            <w:pPr>
              <w:jc w:val="right"/>
              <w:ind w:right="40"/>
              <w:spacing w:after="0" w:line="176" w:lineRule="exact"/>
              <w:rPr>
                <w:sz w:val="20"/>
                <w:szCs w:val="20"/>
                <w:color w:val="auto"/>
              </w:rPr>
            </w:pPr>
            <w:r>
              <w:rPr>
                <w:rFonts w:ascii="Arial" w:cs="Arial" w:eastAsia="Arial" w:hAnsi="Arial"/>
                <w:sz w:val="17"/>
                <w:szCs w:val="17"/>
                <w:b w:val="1"/>
                <w:bCs w:val="1"/>
                <w:color w:val="auto"/>
              </w:rPr>
              <w:t>(1.17)</w:t>
            </w:r>
          </w:p>
        </w:tc>
        <w:tc>
          <w:tcPr>
            <w:tcW w:w="1020" w:type="dxa"/>
            <w:vAlign w:val="bottom"/>
            <w:gridSpan w:val="3"/>
            <w:shd w:val="clear" w:color="auto" w:fill="CCFFCC"/>
          </w:tcPr>
          <w:p>
            <w:pPr>
              <w:jc w:val="right"/>
              <w:ind w:right="40"/>
              <w:spacing w:after="0" w:line="176" w:lineRule="exact"/>
              <w:rPr>
                <w:sz w:val="20"/>
                <w:szCs w:val="20"/>
                <w:color w:val="auto"/>
              </w:rPr>
            </w:pPr>
            <w:r>
              <w:rPr>
                <w:rFonts w:ascii="Arial" w:cs="Arial" w:eastAsia="Arial" w:hAnsi="Arial"/>
                <w:sz w:val="17"/>
                <w:szCs w:val="17"/>
                <w:color w:val="auto"/>
              </w:rPr>
              <w:t>(3.15)</w:t>
            </w:r>
          </w:p>
        </w:tc>
        <w:tc>
          <w:tcPr>
            <w:tcW w:w="110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57"/>
        </w:trPr>
        <w:tc>
          <w:tcPr>
            <w:tcW w:w="40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b w:val="1"/>
                <w:bCs w:val="1"/>
                <w:color w:val="auto"/>
              </w:rPr>
              <w:t>common stock</w:t>
            </w:r>
          </w:p>
        </w:tc>
        <w:tc>
          <w:tcPr>
            <w:tcW w:w="760" w:type="dxa"/>
            <w:vAlign w:val="bottom"/>
            <w:tcBorders>
              <w:bottom w:val="single" w:sz="8" w:color="auto"/>
            </w:tcBorders>
            <w:shd w:val="clear" w:color="auto" w:fill="CCFFCC"/>
          </w:tcPr>
          <w:p>
            <w:pPr>
              <w:spacing w:after="0"/>
              <w:rPr>
                <w:sz w:val="22"/>
                <w:szCs w:val="22"/>
                <w:color w:val="auto"/>
              </w:rPr>
            </w:pPr>
          </w:p>
        </w:tc>
        <w:tc>
          <w:tcPr>
            <w:tcW w:w="4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-429260</wp:posOffset>
            </wp:positionV>
            <wp:extent cx="9525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-429260</wp:posOffset>
            </wp:positionV>
            <wp:extent cx="12700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-429260</wp:posOffset>
            </wp:positionV>
            <wp:extent cx="15938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-429260</wp:posOffset>
            </wp:positionV>
            <wp:extent cx="7937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(q) Long lived assets</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Long-lived assets, such as property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w:t>
      </w:r>
    </w:p>
    <w:p>
      <w:pPr>
        <w:spacing w:after="0" w:line="200" w:lineRule="exact"/>
        <w:rPr>
          <w:sz w:val="20"/>
          <w:szCs w:val="20"/>
          <w:color w:val="auto"/>
        </w:rPr>
      </w:pP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0" w:name="page251"/>
    <w:bookmarkEnd w:id="2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2 — Significant Accounting and Reporting Policies – (continued)</w:t>
      </w:r>
    </w:p>
    <w:p>
      <w:pPr>
        <w:jc w:val="both"/>
        <w:ind w:left="40" w:right="1239"/>
        <w:spacing w:after="0" w:line="299" w:lineRule="auto"/>
        <w:rPr>
          <w:sz w:val="20"/>
          <w:szCs w:val="20"/>
          <w:color w:val="auto"/>
        </w:rPr>
      </w:pPr>
      <w:r>
        <w:rPr>
          <w:rFonts w:ascii="Arial" w:cs="Arial" w:eastAsia="Arial" w:hAnsi="Arial"/>
          <w:sz w:val="16"/>
          <w:szCs w:val="16"/>
          <w:color w:val="auto"/>
        </w:rPr>
        <w:t>the carrying value exceeds its fair value. Fair value is to be determined through various valuation techniques including discounted cash flow models, quoted market values and third-party independent appraisals, as considered necessary.</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 Commitments and Contingencies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Liabilities for loss contingencies arising from assessments, estimates or other sources are to be recorded when it is probable that a liability has been incurred and the amount can be reasonably estimated.</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 Fair value measurements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49" w:lineRule="exact"/>
        <w:rPr>
          <w:sz w:val="20"/>
          <w:szCs w:val="20"/>
          <w:color w:val="auto"/>
        </w:rPr>
      </w:pPr>
    </w:p>
    <w:p>
      <w:pPr>
        <w:jc w:val="both"/>
        <w:ind w:left="300" w:right="1239" w:firstLine="251"/>
        <w:spacing w:after="0" w:line="272" w:lineRule="auto"/>
        <w:rPr>
          <w:sz w:val="20"/>
          <w:szCs w:val="20"/>
          <w:color w:val="auto"/>
        </w:rPr>
      </w:pPr>
      <w:r>
        <w:rPr>
          <w:rFonts w:ascii="Arial" w:cs="Arial" w:eastAsia="Arial" w:hAnsi="Arial"/>
          <w:sz w:val="17"/>
          <w:szCs w:val="17"/>
          <w:b w:val="1"/>
          <w:bCs w:val="1"/>
          <w:color w:val="auto"/>
        </w:rPr>
        <w:t xml:space="preserve">Level 1 — </w:t>
      </w:r>
      <w:r>
        <w:rPr>
          <w:rFonts w:ascii="Arial" w:cs="Arial" w:eastAsia="Arial" w:hAnsi="Arial"/>
          <w:sz w:val="17"/>
          <w:szCs w:val="17"/>
          <w:color w:val="auto"/>
        </w:rPr>
        <w:t>Unadjusted quoted prices in active markets for identical assets or liabilities accessible to the reporting entity at</w:t>
      </w:r>
      <w:r>
        <w:rPr>
          <w:rFonts w:ascii="Arial" w:cs="Arial" w:eastAsia="Arial" w:hAnsi="Arial"/>
          <w:sz w:val="17"/>
          <w:szCs w:val="17"/>
          <w:b w:val="1"/>
          <w:bCs w:val="1"/>
          <w:color w:val="auto"/>
        </w:rPr>
        <w:t xml:space="preserve"> </w:t>
      </w:r>
      <w:r>
        <w:rPr>
          <w:rFonts w:ascii="Arial" w:cs="Arial" w:eastAsia="Arial" w:hAnsi="Arial"/>
          <w:sz w:val="17"/>
          <w:szCs w:val="17"/>
          <w:color w:val="auto"/>
        </w:rPr>
        <w:t>the measurement date.</w:t>
      </w:r>
    </w:p>
    <w:p>
      <w:pPr>
        <w:spacing w:after="0" w:line="58" w:lineRule="exact"/>
        <w:rPr>
          <w:sz w:val="20"/>
          <w:szCs w:val="20"/>
          <w:color w:val="auto"/>
        </w:rPr>
      </w:pPr>
    </w:p>
    <w:p>
      <w:pPr>
        <w:jc w:val="both"/>
        <w:ind w:left="300" w:right="1239" w:firstLine="251"/>
        <w:spacing w:after="0" w:line="272"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Other than quoted prices included in Level 1 inputs that are observable for the asset or liability, either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for substantially the full term of the asset or liability.</w:t>
      </w:r>
    </w:p>
    <w:p>
      <w:pPr>
        <w:spacing w:after="0" w:line="58" w:lineRule="exact"/>
        <w:rPr>
          <w:sz w:val="20"/>
          <w:szCs w:val="20"/>
          <w:color w:val="auto"/>
        </w:rPr>
      </w:pPr>
    </w:p>
    <w:p>
      <w:pPr>
        <w:jc w:val="both"/>
        <w:ind w:left="300" w:right="1239" w:firstLine="251"/>
        <w:spacing w:after="0" w:line="259" w:lineRule="auto"/>
        <w:rPr>
          <w:sz w:val="20"/>
          <w:szCs w:val="20"/>
          <w:color w:val="auto"/>
        </w:rPr>
      </w:pPr>
      <w:r>
        <w:rPr>
          <w:rFonts w:ascii="Arial" w:cs="Arial" w:eastAsia="Arial" w:hAnsi="Arial"/>
          <w:sz w:val="17"/>
          <w:szCs w:val="17"/>
          <w:b w:val="1"/>
          <w:bCs w:val="1"/>
          <w:color w:val="auto"/>
        </w:rPr>
        <w:t xml:space="preserve">Level 3 — </w:t>
      </w:r>
      <w:r>
        <w:rPr>
          <w:rFonts w:ascii="Arial" w:cs="Arial" w:eastAsia="Arial" w:hAnsi="Arial"/>
          <w:sz w:val="17"/>
          <w:szCs w:val="17"/>
          <w:color w:val="auto"/>
        </w:rPr>
        <w:t>Unobservable inputs for the asset or liability used to measure fair value to the extent that observable inputs are</w:t>
      </w:r>
      <w:r>
        <w:rPr>
          <w:rFonts w:ascii="Arial" w:cs="Arial" w:eastAsia="Arial" w:hAnsi="Arial"/>
          <w:sz w:val="17"/>
          <w:szCs w:val="17"/>
          <w:b w:val="1"/>
          <w:bCs w:val="1"/>
          <w:color w:val="auto"/>
        </w:rPr>
        <w:t xml:space="preserve"> </w:t>
      </w:r>
      <w:r>
        <w:rPr>
          <w:rFonts w:ascii="Arial" w:cs="Arial" w:eastAsia="Arial" w:hAnsi="Arial"/>
          <w:sz w:val="17"/>
          <w:szCs w:val="17"/>
          <w:color w:val="auto"/>
        </w:rPr>
        <w:t>not available, thereby allowing for situations in which there is little, if any, market activity for the asset or liability at measurement date.</w:t>
      </w:r>
    </w:p>
    <w:p>
      <w:pPr>
        <w:spacing w:after="0" w:line="7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fair value hierarchy also requires an entity to maximize the use of observable inputs and minimize the use of unobservable inputs when measuring fair value.</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 Recently issued and adopted accounting standards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In December 2011, the FASB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The Company will implement the provisions of ASU 2011-11 as of January 1, 2013. The impact on our financial statements is believed to be immaterial.</w:t>
      </w:r>
    </w:p>
    <w:p>
      <w:pPr>
        <w:spacing w:after="0" w:line="96" w:lineRule="exact"/>
        <w:rPr>
          <w:sz w:val="20"/>
          <w:szCs w:val="20"/>
          <w:color w:val="auto"/>
        </w:rPr>
      </w:pPr>
    </w:p>
    <w:p>
      <w:pPr>
        <w:ind w:left="300" w:hanging="253"/>
        <w:spacing w:after="0"/>
        <w:tabs>
          <w:tab w:leader="none" w:pos="300" w:val="left"/>
        </w:tabs>
        <w:numPr>
          <w:ilvl w:val="0"/>
          <w:numId w:val="16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Reclassification</w:t>
      </w:r>
    </w:p>
    <w:p>
      <w:pPr>
        <w:spacing w:after="0" w:line="105" w:lineRule="exact"/>
        <w:rPr>
          <w:rFonts w:ascii="Arial" w:cs="Arial" w:eastAsia="Arial" w:hAnsi="Arial"/>
          <w:sz w:val="17"/>
          <w:szCs w:val="17"/>
          <w:b w:val="1"/>
          <w:bCs w:val="1"/>
          <w:i w:val="1"/>
          <w:iCs w:val="1"/>
          <w:color w:val="auto"/>
        </w:rPr>
      </w:pPr>
    </w:p>
    <w:p>
      <w:pPr>
        <w:ind w:left="30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Certain balances have been reclassified to conform to current year presentation.</w:t>
      </w:r>
    </w:p>
    <w:p>
      <w:pPr>
        <w:spacing w:after="0" w:line="200" w:lineRule="exact"/>
        <w:rPr>
          <w:sz w:val="20"/>
          <w:szCs w:val="20"/>
          <w:color w:val="auto"/>
        </w:rPr>
      </w:pPr>
    </w:p>
    <w:p>
      <w:pPr>
        <w:spacing w:after="0" w:line="33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1" w:name="page252"/>
    <w:bookmarkEnd w:id="2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43" w:lineRule="auto"/>
        <w:rPr>
          <w:sz w:val="20"/>
          <w:szCs w:val="20"/>
          <w:color w:val="auto"/>
        </w:rPr>
      </w:pPr>
      <w:r>
        <w:rPr>
          <w:rFonts w:ascii="Arial" w:cs="Arial" w:eastAsia="Arial" w:hAnsi="Arial"/>
          <w:sz w:val="17"/>
          <w:szCs w:val="17"/>
          <w:b w:val="1"/>
          <w:bCs w:val="1"/>
          <w:color w:val="auto"/>
        </w:rPr>
        <w:t>NOTES TO CONSOLIDATED FINANCIAL STATEMENTS Note 3 —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840" w:type="dxa"/>
            <w:vAlign w:val="bottom"/>
          </w:tcPr>
          <w:p>
            <w:pPr>
              <w:jc w:val="center"/>
              <w:ind w:left="103"/>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5"/>
                <w:szCs w:val="15"/>
                <w:color w:val="auto"/>
              </w:rPr>
            </w:pPr>
          </w:p>
        </w:tc>
        <w:tc>
          <w:tcPr>
            <w:tcW w:w="1060" w:type="dxa"/>
            <w:vAlign w:val="bottom"/>
            <w:gridSpan w:val="2"/>
          </w:tcPr>
          <w:p>
            <w:pPr>
              <w:jc w:val="center"/>
              <w:ind w:left="281"/>
              <w:spacing w:after="0"/>
              <w:rPr>
                <w:sz w:val="20"/>
                <w:szCs w:val="20"/>
                <w:color w:val="auto"/>
              </w:rPr>
            </w:pPr>
            <w:r>
              <w:rPr>
                <w:rFonts w:ascii="Arial" w:cs="Arial" w:eastAsia="Arial" w:hAnsi="Arial"/>
                <w:sz w:val="13"/>
                <w:szCs w:val="13"/>
                <w:b w:val="1"/>
                <w:bCs w:val="1"/>
                <w:color w:val="auto"/>
                <w:w w:val="89"/>
              </w:rPr>
              <w:t>2010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0" w:type="dxa"/>
            <w:vAlign w:val="bottom"/>
          </w:tcPr>
          <w:p>
            <w:pPr>
              <w:spacing w:after="0"/>
              <w:rPr>
                <w:sz w:val="1"/>
                <w:szCs w:val="1"/>
                <w:color w:val="auto"/>
              </w:rPr>
            </w:pPr>
          </w:p>
        </w:tc>
      </w:tr>
      <w:tr>
        <w:trPr>
          <w:trHeight w:val="206"/>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Cash</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779</w:t>
            </w:r>
          </w:p>
        </w:tc>
        <w:tc>
          <w:tcPr>
            <w:tcW w:w="160" w:type="dxa"/>
            <w:vAlign w:val="bottom"/>
            <w:tcBorders>
              <w:left w:val="single" w:sz="8" w:color="CCFFCC"/>
            </w:tcBorders>
            <w:shd w:val="clear" w:color="auto" w:fill="CCFFCC"/>
          </w:tcPr>
          <w:p>
            <w:pPr>
              <w:spacing w:after="0"/>
              <w:rPr>
                <w:sz w:val="17"/>
                <w:szCs w:val="17"/>
                <w:color w:val="auto"/>
              </w:rPr>
            </w:pPr>
          </w:p>
        </w:tc>
        <w:tc>
          <w:tcPr>
            <w:tcW w:w="12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Cash equivalents (money market funds)</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7"/>
                <w:szCs w:val="17"/>
                <w:color w:val="auto"/>
              </w:rPr>
              <w:t>4,542</w:t>
            </w:r>
          </w:p>
        </w:tc>
        <w:tc>
          <w:tcPr>
            <w:tcW w:w="0" w:type="dxa"/>
            <w:vAlign w:val="bottom"/>
          </w:tcPr>
          <w:p>
            <w:pPr>
              <w:spacing w:after="0"/>
              <w:rPr>
                <w:sz w:val="1"/>
                <w:szCs w:val="1"/>
                <w:color w:val="auto"/>
              </w:rPr>
            </w:pPr>
          </w:p>
        </w:tc>
      </w:tr>
      <w:tr>
        <w:trPr>
          <w:trHeight w:val="200"/>
        </w:trPr>
        <w:tc>
          <w:tcPr>
            <w:tcW w:w="5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In currency other than U.S. dollars</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b w:val="1"/>
                <w:bCs w:val="1"/>
                <w:color w:val="auto"/>
              </w:rPr>
              <w:t>411</w:t>
            </w:r>
          </w:p>
        </w:tc>
        <w:tc>
          <w:tcPr>
            <w:tcW w:w="160" w:type="dxa"/>
            <w:vAlign w:val="bottom"/>
            <w:tcBorders>
              <w:left w:val="single" w:sz="8" w:color="CCFFCC"/>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92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268</w:t>
            </w:r>
          </w:p>
        </w:tc>
        <w:tc>
          <w:tcPr>
            <w:tcW w:w="200" w:type="dxa"/>
            <w:vAlign w:val="bottom"/>
            <w:tcBorders>
              <w:left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1,190</w:t>
            </w:r>
          </w:p>
        </w:tc>
        <w:tc>
          <w:tcPr>
            <w:tcW w:w="160" w:type="dxa"/>
            <w:vAlign w:val="bottom"/>
          </w:tcPr>
          <w:p>
            <w:pPr>
              <w:spacing w:after="0"/>
              <w:rPr>
                <w:sz w:val="16"/>
                <w:szCs w:val="16"/>
                <w:color w:val="auto"/>
              </w:rPr>
            </w:pPr>
          </w:p>
        </w:tc>
        <w:tc>
          <w:tcPr>
            <w:tcW w:w="1260" w:type="dxa"/>
            <w:vAlign w:val="bottom"/>
            <w:gridSpan w:val="3"/>
          </w:tcPr>
          <w:p>
            <w:pPr>
              <w:jc w:val="right"/>
              <w:ind w:right="140"/>
              <w:spacing w:after="0" w:line="193" w:lineRule="exact"/>
              <w:rPr>
                <w:sz w:val="20"/>
                <w:szCs w:val="20"/>
                <w:color w:val="auto"/>
              </w:rPr>
            </w:pPr>
            <w:r>
              <w:rPr>
                <w:rFonts w:ascii="Arial" w:cs="Arial" w:eastAsia="Arial" w:hAnsi="Arial"/>
                <w:sz w:val="17"/>
                <w:szCs w:val="17"/>
                <w:color w:val="auto"/>
              </w:rPr>
              <w:t>5,407</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Note 4 — Prepaid Expenses and Other Current Assets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22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840" w:type="dxa"/>
            <w:vAlign w:val="bottom"/>
          </w:tcPr>
          <w:p>
            <w:pPr>
              <w:jc w:val="center"/>
              <w:ind w:left="103"/>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5"/>
                <w:szCs w:val="15"/>
                <w:color w:val="auto"/>
              </w:rPr>
            </w:pPr>
          </w:p>
        </w:tc>
        <w:tc>
          <w:tcPr>
            <w:tcW w:w="1060" w:type="dxa"/>
            <w:vAlign w:val="bottom"/>
            <w:gridSpan w:val="2"/>
          </w:tcPr>
          <w:p>
            <w:pPr>
              <w:jc w:val="center"/>
              <w:ind w:left="281"/>
              <w:spacing w:after="0"/>
              <w:rPr>
                <w:sz w:val="20"/>
                <w:szCs w:val="20"/>
                <w:color w:val="auto"/>
              </w:rPr>
            </w:pPr>
            <w:r>
              <w:rPr>
                <w:rFonts w:ascii="Arial" w:cs="Arial" w:eastAsia="Arial" w:hAnsi="Arial"/>
                <w:sz w:val="13"/>
                <w:szCs w:val="13"/>
                <w:b w:val="1"/>
                <w:bCs w:val="1"/>
                <w:color w:val="auto"/>
                <w:w w:val="89"/>
              </w:rPr>
              <w:t>2010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0" w:type="dxa"/>
            <w:vAlign w:val="bottom"/>
          </w:tcPr>
          <w:p>
            <w:pPr>
              <w:spacing w:after="0"/>
              <w:rPr>
                <w:sz w:val="1"/>
                <w:szCs w:val="1"/>
                <w:color w:val="auto"/>
              </w:rPr>
            </w:pPr>
          </w:p>
        </w:tc>
      </w:tr>
      <w:tr>
        <w:trPr>
          <w:trHeight w:val="206"/>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Government institutions</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6</w:t>
            </w:r>
          </w:p>
        </w:tc>
        <w:tc>
          <w:tcPr>
            <w:tcW w:w="160" w:type="dxa"/>
            <w:vAlign w:val="bottom"/>
            <w:tcBorders>
              <w:left w:val="single" w:sz="8" w:color="CCFFCC"/>
            </w:tcBorders>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30</w:t>
            </w:r>
          </w:p>
        </w:tc>
        <w:tc>
          <w:tcPr>
            <w:tcW w:w="200" w:type="dxa"/>
            <w:vAlign w:val="bottom"/>
            <w:tcBorders>
              <w:lef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Prepaid expenses and others</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181</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138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6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187</w:t>
            </w:r>
          </w:p>
        </w:tc>
        <w:tc>
          <w:tcPr>
            <w:tcW w:w="160" w:type="dxa"/>
            <w:vAlign w:val="bottom"/>
            <w:tcBorders>
              <w:left w:val="single" w:sz="8" w:color="CCFFCC"/>
            </w:tcBorders>
            <w:shd w:val="clear" w:color="auto" w:fill="CCFFCC"/>
          </w:tcPr>
          <w:p>
            <w:pPr>
              <w:spacing w:after="0"/>
              <w:rPr>
                <w:sz w:val="20"/>
                <w:szCs w:val="20"/>
                <w:color w:val="auto"/>
              </w:rPr>
            </w:pPr>
          </w:p>
        </w:tc>
        <w:tc>
          <w:tcPr>
            <w:tcW w:w="1060" w:type="dxa"/>
            <w:vAlign w:val="bottom"/>
            <w:tcBorders>
              <w:righ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168</w:t>
            </w:r>
          </w:p>
        </w:tc>
        <w:tc>
          <w:tcPr>
            <w:tcW w:w="200" w:type="dxa"/>
            <w:vAlign w:val="bottom"/>
            <w:tcBorders>
              <w:left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5360" w:type="dxa"/>
            <w:vAlign w:val="bottom"/>
            <w:tcBorders>
              <w:top w:val="single" w:sz="8" w:color="CCFFCC"/>
            </w:tcBorders>
          </w:tcPr>
          <w:p>
            <w:pPr>
              <w:ind w:left="40"/>
              <w:spacing w:after="0"/>
              <w:rPr>
                <w:sz w:val="20"/>
                <w:szCs w:val="20"/>
                <w:color w:val="auto"/>
              </w:rPr>
            </w:pPr>
            <w:r>
              <w:rPr>
                <w:rFonts w:ascii="Arial" w:cs="Arial" w:eastAsia="Arial" w:hAnsi="Arial"/>
                <w:sz w:val="17"/>
                <w:szCs w:val="17"/>
                <w:b w:val="1"/>
                <w:bCs w:val="1"/>
                <w:color w:val="auto"/>
              </w:rPr>
              <w:t>Note 5 — Property and Equipment</w:t>
            </w: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22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840" w:type="dxa"/>
            <w:vAlign w:val="bottom"/>
          </w:tcPr>
          <w:p>
            <w:pPr>
              <w:jc w:val="center"/>
              <w:ind w:left="103"/>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5"/>
                <w:szCs w:val="15"/>
                <w:color w:val="auto"/>
              </w:rPr>
            </w:pPr>
          </w:p>
        </w:tc>
        <w:tc>
          <w:tcPr>
            <w:tcW w:w="1060" w:type="dxa"/>
            <w:vAlign w:val="bottom"/>
            <w:gridSpan w:val="2"/>
          </w:tcPr>
          <w:p>
            <w:pPr>
              <w:jc w:val="center"/>
              <w:ind w:left="281"/>
              <w:spacing w:after="0"/>
              <w:rPr>
                <w:sz w:val="20"/>
                <w:szCs w:val="20"/>
                <w:color w:val="auto"/>
              </w:rPr>
            </w:pPr>
            <w:r>
              <w:rPr>
                <w:rFonts w:ascii="Arial" w:cs="Arial" w:eastAsia="Arial" w:hAnsi="Arial"/>
                <w:sz w:val="13"/>
                <w:szCs w:val="13"/>
                <w:b w:val="1"/>
                <w:bCs w:val="1"/>
                <w:color w:val="auto"/>
                <w:w w:val="89"/>
              </w:rPr>
              <w:t>2010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0" w:type="dxa"/>
            <w:vAlign w:val="bottom"/>
          </w:tcPr>
          <w:p>
            <w:pPr>
              <w:spacing w:after="0"/>
              <w:rPr>
                <w:sz w:val="1"/>
                <w:szCs w:val="1"/>
                <w:color w:val="auto"/>
              </w:rPr>
            </w:pPr>
          </w:p>
        </w:tc>
      </w:tr>
      <w:tr>
        <w:trPr>
          <w:trHeight w:val="206"/>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Computers, software and equipment</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475</w:t>
            </w:r>
          </w:p>
        </w:tc>
        <w:tc>
          <w:tcPr>
            <w:tcW w:w="160" w:type="dxa"/>
            <w:vAlign w:val="bottom"/>
            <w:tcBorders>
              <w:left w:val="single" w:sz="8" w:color="CCFFCC"/>
            </w:tcBorders>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452</w:t>
            </w:r>
          </w:p>
        </w:tc>
        <w:tc>
          <w:tcPr>
            <w:tcW w:w="200" w:type="dxa"/>
            <w:vAlign w:val="bottom"/>
            <w:tcBorders>
              <w:lef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42</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Leasehold improvements</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81</w:t>
            </w:r>
          </w:p>
        </w:tc>
        <w:tc>
          <w:tcPr>
            <w:tcW w:w="160" w:type="dxa"/>
            <w:vAlign w:val="bottom"/>
            <w:tcBorders>
              <w:left w:val="single" w:sz="8" w:color="CCFFCC"/>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81</w:t>
            </w:r>
          </w:p>
        </w:tc>
        <w:tc>
          <w:tcPr>
            <w:tcW w:w="200" w:type="dxa"/>
            <w:vAlign w:val="bottom"/>
            <w:tcBorders>
              <w:lef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598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571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Less: accumulated depreciation and amortization</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(454)</w:t>
            </w:r>
          </w:p>
        </w:tc>
        <w:tc>
          <w:tcPr>
            <w:tcW w:w="160" w:type="dxa"/>
            <w:vAlign w:val="bottom"/>
            <w:tcBorders>
              <w:left w:val="single" w:sz="8" w:color="CCFFCC"/>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(393)</w:t>
            </w:r>
          </w:p>
        </w:tc>
        <w:tc>
          <w:tcPr>
            <w:tcW w:w="200" w:type="dxa"/>
            <w:vAlign w:val="bottom"/>
            <w:tcBorders>
              <w:lef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144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178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-2593340</wp:posOffset>
            </wp:positionV>
            <wp:extent cx="4837430" cy="1670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-1439545</wp:posOffset>
            </wp:positionV>
            <wp:extent cx="4837430" cy="317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837430" cy="31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-429260</wp:posOffset>
            </wp:positionV>
            <wp:extent cx="4837430" cy="135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837430" cy="1670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-2282825</wp:posOffset>
            </wp:positionV>
            <wp:extent cx="483743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8374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-1264285</wp:posOffset>
            </wp:positionV>
            <wp:extent cx="483743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As of December 31, 2011 and 2010, approximately $116 thousand and $138 thousand of the aggregate value of the Company’s net book value of property and equipment was located in Israel, respectively. During the years 2011 and 2010, the Company recorded $61 thousand and $87 thousand of depreciation and amortization expense, respectively, and $454 thousand cumulatively from inception.</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6 —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3"/>
                <w:szCs w:val="13"/>
                <w:b w:val="1"/>
                <w:bCs w:val="1"/>
                <w:color w:val="auto"/>
              </w:rPr>
              <w:t>As of December 31,</w:t>
            </w:r>
          </w:p>
        </w:tc>
      </w:tr>
      <w:tr>
        <w:trPr>
          <w:trHeight w:val="180"/>
        </w:trPr>
        <w:tc>
          <w:tcPr>
            <w:tcW w:w="53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5"/>
                <w:szCs w:val="15"/>
                <w:color w:val="auto"/>
              </w:rPr>
            </w:pPr>
          </w:p>
        </w:tc>
        <w:tc>
          <w:tcPr>
            <w:tcW w:w="110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5"/>
                <w:szCs w:val="15"/>
                <w:color w:val="auto"/>
              </w:rPr>
            </w:pPr>
          </w:p>
        </w:tc>
      </w:tr>
      <w:tr>
        <w:trPr>
          <w:trHeight w:val="188"/>
        </w:trPr>
        <w:tc>
          <w:tcPr>
            <w:tcW w:w="53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U.S.$ thousands</w:t>
            </w:r>
          </w:p>
        </w:tc>
      </w:tr>
      <w:tr>
        <w:trPr>
          <w:trHeight w:val="206"/>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Accounts payable and accrued expenses</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428</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403</w:t>
            </w: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Deferred revenue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18</w:t>
            </w:r>
          </w:p>
        </w:tc>
      </w:tr>
      <w:tr>
        <w:trPr>
          <w:trHeight w:val="20"/>
        </w:trPr>
        <w:tc>
          <w:tcPr>
            <w:tcW w:w="5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5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428</w:t>
            </w:r>
          </w:p>
        </w:tc>
        <w:tc>
          <w:tcPr>
            <w:tcW w:w="12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421</w:t>
            </w:r>
          </w:p>
        </w:tc>
      </w:tr>
      <w:tr>
        <w:trPr>
          <w:trHeight w:val="20"/>
        </w:trPr>
        <w:tc>
          <w:tcPr>
            <w:tcW w:w="53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7 — Accrued Severance Pay</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2" w:name="page253"/>
    <w:bookmarkEnd w:id="2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7 — Accrued Severance Pay – (continued)</w:t>
      </w:r>
    </w:p>
    <w:p>
      <w:pPr>
        <w:jc w:val="both"/>
        <w:ind w:left="40" w:right="1239" w:firstLine="251"/>
        <w:spacing w:after="0" w:line="253" w:lineRule="auto"/>
        <w:rPr>
          <w:sz w:val="20"/>
          <w:szCs w:val="20"/>
          <w:color w:val="auto"/>
        </w:rPr>
      </w:pPr>
      <w:r>
        <w:rPr>
          <w:rFonts w:ascii="Arial" w:cs="Arial" w:eastAsia="Arial" w:hAnsi="Arial"/>
          <w:sz w:val="17"/>
          <w:szCs w:val="17"/>
          <w:color w:val="auto"/>
        </w:rPr>
        <w:t>The recorded severance liability represents special contractual amounts to be paid to our former Chief Executive Officer, upon termination of his respective employment agreement (see Note 17 for subsequent events). There are no statutory or agreed-upon severance arrangements with U.S. employees. Severance pay expense, net, for the current year amounted to $56 thousand (2010 — $168 thousand, cumulative from inception — $1,040 thousand).</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 Venture Loan</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On September 24, 2008, the Company drew-down on a venture loan in the total amount of $5 million. As a result of the draw-down, the Company issued to the lenders warrants to purchase 152,602 shares of series B convertible preferred stock.</w:t>
      </w:r>
    </w:p>
    <w:p>
      <w:pPr>
        <w:spacing w:after="0" w:line="43"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On December 29, 2009, the Company entered into a Loan Modification Agreement (the “LMA”) with the lenders of the venture loan pursuant to which principal payments were deferred until the consummation of the IPO. The new facility bore an interest rate of 9.5% per annum with an effective interest rate of 18%. In connection with the LMA, the original warrants previously issued to the lenders were terminated and the Company issued the lenders new warrants (“Senior Lenders Warrants”) to purchase 250,000 shares of common stock, at an exercise price of $2.75 per share. In exchange, the lenders granted the Company a six month moratorium on principal payments for the venture loan and extended the repayment period for one year until March 2013. After the principal moratorium, under the modified bank repayment terms, the principal and interest were repaid in monthly payments of $142 thousand each.</w:t>
      </w:r>
    </w:p>
    <w:p>
      <w:pPr>
        <w:spacing w:after="0" w:line="82"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Senior Lender Warrants were exercisable at any time before the tenth anniversary of the date they were issued. On the date of the LMA,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 The fair value of the loan was assessed using an interest rate of 12%, which represented market conditions for a similar loan.</w:t>
      </w:r>
    </w:p>
    <w:p>
      <w:pPr>
        <w:spacing w:after="0" w:line="66"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On June 8, 2011, the Company entered into a Settlement Agreement (the “Settlement Agreement”) with the lenders of the venture loan (the “Lenders”), pursuant to which the Lenders agreed to accept less than the full amount owed to them by the Company. As part of the Settlement Agreement, the Company immediately repaid $331 thousand, and placed an additional $1.051 million as collateral into a restricted account. In addition, the Company issued the Lenders 250,000 shares of its common stock, in exchange for the Senior Lender Warrants, which were cancelled. In July 2011, the Company repaid the outstanding $1.051 million balance of its venture loan, using the funds set aside in the restricted account. The difference between the fair market value of the shares of common stock issued and the fair market value of the cancelled Senior Lender Warrants, amounting to $213 thousand, was recorded in the statement of stockholders’ equity (deficit). In addition, the difference between the carrying value of the loan and the total sum of future payments on the loan, including the above mentioned $213 thousand, net of legal fees, resulted in a gain on restructuring of debt, in the total amount of $963 thousand, recorded in the statements of operations. Basic and diluted per share gain on restructuring of venture loan for the year ended December 31, 2011 is $0.15 (cumulative — $0.52).</w:t>
      </w:r>
    </w:p>
    <w:p>
      <w:pPr>
        <w:spacing w:after="0" w:line="200" w:lineRule="exact"/>
        <w:rPr>
          <w:sz w:val="20"/>
          <w:szCs w:val="20"/>
          <w:color w:val="auto"/>
        </w:rPr>
      </w:pPr>
    </w:p>
    <w:p>
      <w:pPr>
        <w:spacing w:after="0" w:line="27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3" w:name="page254"/>
    <w:bookmarkEnd w:id="2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 Venture Loan – (continued)</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Changes in the balance of the venture loan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6"/>
              </w:rPr>
              <w:t>U.S.$ thousands</w:t>
            </w:r>
          </w:p>
        </w:tc>
      </w:tr>
      <w:tr>
        <w:trPr>
          <w:trHeight w:val="193"/>
        </w:trPr>
        <w:tc>
          <w:tcPr>
            <w:tcW w:w="584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Loan balance at January 1, 2010</w:t>
            </w:r>
          </w:p>
        </w:tc>
        <w:tc>
          <w:tcPr>
            <w:tcW w:w="8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3,703</w:t>
            </w:r>
          </w:p>
        </w:tc>
        <w:tc>
          <w:tcPr>
            <w:tcW w:w="220" w:type="dxa"/>
            <w:vAlign w:val="bottom"/>
            <w:shd w:val="clear" w:color="auto" w:fill="CCFFCC"/>
          </w:tcPr>
          <w:p>
            <w:pPr>
              <w:spacing w:after="0"/>
              <w:rPr>
                <w:sz w:val="16"/>
                <w:szCs w:val="16"/>
                <w:color w:val="auto"/>
              </w:rPr>
            </w:pPr>
          </w:p>
        </w:tc>
      </w:tr>
      <w:tr>
        <w:trPr>
          <w:trHeight w:val="200"/>
        </w:trPr>
        <w:tc>
          <w:tcPr>
            <w:tcW w:w="5840" w:type="dxa"/>
            <w:vAlign w:val="bottom"/>
          </w:tcPr>
          <w:p>
            <w:pPr>
              <w:spacing w:after="0"/>
              <w:rPr>
                <w:sz w:val="20"/>
                <w:szCs w:val="20"/>
                <w:color w:val="auto"/>
              </w:rPr>
            </w:pPr>
            <w:r>
              <w:rPr>
                <w:rFonts w:ascii="Arial" w:cs="Arial" w:eastAsia="Arial" w:hAnsi="Arial"/>
                <w:sz w:val="17"/>
                <w:szCs w:val="17"/>
                <w:color w:val="auto"/>
              </w:rPr>
              <w:t>Loan repayments</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(757)</w:t>
            </w:r>
          </w:p>
        </w:tc>
      </w:tr>
      <w:tr>
        <w:trPr>
          <w:trHeight w:val="200"/>
        </w:trPr>
        <w:tc>
          <w:tcPr>
            <w:tcW w:w="5840" w:type="dxa"/>
            <w:vAlign w:val="bottom"/>
            <w:shd w:val="clear" w:color="auto" w:fill="CCFFCC"/>
          </w:tcPr>
          <w:p>
            <w:pPr>
              <w:spacing w:after="0"/>
              <w:rPr>
                <w:sz w:val="20"/>
                <w:szCs w:val="20"/>
                <w:color w:val="auto"/>
              </w:rPr>
            </w:pPr>
            <w:r>
              <w:rPr>
                <w:rFonts w:ascii="Arial" w:cs="Arial" w:eastAsia="Arial" w:hAnsi="Arial"/>
                <w:sz w:val="17"/>
                <w:szCs w:val="17"/>
                <w:color w:val="auto"/>
              </w:rPr>
              <w:t>Amortization of loan discount</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227</w:t>
            </w:r>
          </w:p>
        </w:tc>
      </w:tr>
      <w:tr>
        <w:trPr>
          <w:trHeight w:val="193"/>
        </w:trPr>
        <w:tc>
          <w:tcPr>
            <w:tcW w:w="5840" w:type="dxa"/>
            <w:vAlign w:val="bottom"/>
            <w:tcBorders>
              <w:top w:val="single" w:sz="8" w:color="CCFFCC"/>
            </w:tcBorders>
          </w:tcPr>
          <w:p>
            <w:pPr>
              <w:spacing w:after="0" w:line="193" w:lineRule="exact"/>
              <w:rPr>
                <w:sz w:val="20"/>
                <w:szCs w:val="20"/>
                <w:color w:val="auto"/>
              </w:rPr>
            </w:pPr>
            <w:r>
              <w:rPr>
                <w:rFonts w:ascii="Arial" w:cs="Arial" w:eastAsia="Arial" w:hAnsi="Arial"/>
                <w:sz w:val="17"/>
                <w:szCs w:val="17"/>
                <w:b w:val="1"/>
                <w:bCs w:val="1"/>
                <w:color w:val="auto"/>
              </w:rPr>
              <w:t>Loan balance at December 31, 2010</w:t>
            </w:r>
          </w:p>
        </w:tc>
        <w:tc>
          <w:tcPr>
            <w:tcW w:w="8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3,173</w:t>
            </w:r>
          </w:p>
        </w:tc>
        <w:tc>
          <w:tcPr>
            <w:tcW w:w="220" w:type="dxa"/>
            <w:vAlign w:val="bottom"/>
            <w:tcBorders>
              <w:top w:val="single" w:sz="8" w:color="CCFFCC"/>
            </w:tcBorders>
          </w:tcPr>
          <w:p>
            <w:pPr>
              <w:spacing w:after="0"/>
              <w:rPr>
                <w:sz w:val="16"/>
                <w:szCs w:val="16"/>
                <w:color w:val="auto"/>
              </w:rPr>
            </w:pPr>
          </w:p>
        </w:tc>
      </w:tr>
      <w:tr>
        <w:trPr>
          <w:trHeight w:val="200"/>
        </w:trPr>
        <w:tc>
          <w:tcPr>
            <w:tcW w:w="5840" w:type="dxa"/>
            <w:vAlign w:val="bottom"/>
            <w:shd w:val="clear" w:color="auto" w:fill="CCFFCC"/>
          </w:tcPr>
          <w:p>
            <w:pPr>
              <w:spacing w:after="0"/>
              <w:rPr>
                <w:sz w:val="20"/>
                <w:szCs w:val="20"/>
                <w:color w:val="auto"/>
              </w:rPr>
            </w:pPr>
            <w:r>
              <w:rPr>
                <w:rFonts w:ascii="Arial" w:cs="Arial" w:eastAsia="Arial" w:hAnsi="Arial"/>
                <w:sz w:val="17"/>
                <w:szCs w:val="17"/>
                <w:color w:val="auto"/>
              </w:rPr>
              <w:t>Repayment as per Settlement Agreement</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(1,382)</w:t>
            </w:r>
          </w:p>
        </w:tc>
      </w:tr>
      <w:tr>
        <w:trPr>
          <w:trHeight w:val="200"/>
        </w:trPr>
        <w:tc>
          <w:tcPr>
            <w:tcW w:w="5840" w:type="dxa"/>
            <w:vAlign w:val="bottom"/>
          </w:tcPr>
          <w:p>
            <w:pPr>
              <w:spacing w:after="0"/>
              <w:rPr>
                <w:sz w:val="20"/>
                <w:szCs w:val="20"/>
                <w:color w:val="auto"/>
              </w:rPr>
            </w:pPr>
            <w:r>
              <w:rPr>
                <w:rFonts w:ascii="Arial" w:cs="Arial" w:eastAsia="Arial" w:hAnsi="Arial"/>
                <w:sz w:val="17"/>
                <w:szCs w:val="17"/>
                <w:color w:val="auto"/>
              </w:rPr>
              <w:t>Loan repayments</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(713)</w:t>
            </w:r>
          </w:p>
        </w:tc>
      </w:tr>
      <w:tr>
        <w:trPr>
          <w:trHeight w:val="200"/>
        </w:trPr>
        <w:tc>
          <w:tcPr>
            <w:tcW w:w="5840" w:type="dxa"/>
            <w:vAlign w:val="bottom"/>
            <w:shd w:val="clear" w:color="auto" w:fill="CCFFCC"/>
          </w:tcPr>
          <w:p>
            <w:pPr>
              <w:spacing w:after="0"/>
              <w:rPr>
                <w:sz w:val="20"/>
                <w:szCs w:val="20"/>
                <w:color w:val="auto"/>
              </w:rPr>
            </w:pPr>
            <w:r>
              <w:rPr>
                <w:rFonts w:ascii="Arial" w:cs="Arial" w:eastAsia="Arial" w:hAnsi="Arial"/>
                <w:sz w:val="17"/>
                <w:szCs w:val="17"/>
                <w:color w:val="auto"/>
              </w:rPr>
              <w:t>Amortization of loan discount</w:t>
            </w:r>
          </w:p>
        </w:tc>
        <w:tc>
          <w:tcPr>
            <w:tcW w:w="8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98</w:t>
            </w:r>
          </w:p>
        </w:tc>
        <w:tc>
          <w:tcPr>
            <w:tcW w:w="220" w:type="dxa"/>
            <w:vAlign w:val="bottom"/>
            <w:shd w:val="clear" w:color="auto" w:fill="CCFFCC"/>
          </w:tcPr>
          <w:p>
            <w:pPr>
              <w:spacing w:after="0"/>
              <w:rPr>
                <w:sz w:val="17"/>
                <w:szCs w:val="17"/>
                <w:color w:val="auto"/>
              </w:rPr>
            </w:pPr>
          </w:p>
        </w:tc>
      </w:tr>
      <w:tr>
        <w:trPr>
          <w:trHeight w:val="200"/>
        </w:trPr>
        <w:tc>
          <w:tcPr>
            <w:tcW w:w="5840" w:type="dxa"/>
            <w:vAlign w:val="bottom"/>
          </w:tcPr>
          <w:p>
            <w:pPr>
              <w:spacing w:after="0"/>
              <w:rPr>
                <w:sz w:val="20"/>
                <w:szCs w:val="20"/>
                <w:color w:val="auto"/>
              </w:rPr>
            </w:pPr>
            <w:r>
              <w:rPr>
                <w:rFonts w:ascii="Arial" w:cs="Arial" w:eastAsia="Arial" w:hAnsi="Arial"/>
                <w:sz w:val="17"/>
                <w:szCs w:val="17"/>
                <w:color w:val="auto"/>
              </w:rPr>
              <w:t>Gain on restructuring of venture loan</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(963)</w:t>
            </w:r>
          </w:p>
        </w:tc>
      </w:tr>
      <w:tr>
        <w:trPr>
          <w:trHeight w:val="200"/>
        </w:trPr>
        <w:tc>
          <w:tcPr>
            <w:tcW w:w="5840" w:type="dxa"/>
            <w:vAlign w:val="bottom"/>
            <w:shd w:val="clear" w:color="auto" w:fill="CCFFCC"/>
          </w:tcPr>
          <w:p>
            <w:pPr>
              <w:spacing w:after="0"/>
              <w:rPr>
                <w:sz w:val="20"/>
                <w:szCs w:val="20"/>
                <w:color w:val="auto"/>
              </w:rPr>
            </w:pPr>
            <w:r>
              <w:rPr>
                <w:rFonts w:ascii="Arial" w:cs="Arial" w:eastAsia="Arial" w:hAnsi="Arial"/>
                <w:sz w:val="17"/>
                <w:szCs w:val="17"/>
                <w:color w:val="auto"/>
              </w:rPr>
              <w:t>Issuance of shares in consideration of restructuring of venture loan</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(213)</w:t>
            </w:r>
          </w:p>
        </w:tc>
      </w:tr>
      <w:tr>
        <w:trPr>
          <w:trHeight w:val="20"/>
        </w:trPr>
        <w:tc>
          <w:tcPr>
            <w:tcW w:w="584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193"/>
        </w:trPr>
        <w:tc>
          <w:tcPr>
            <w:tcW w:w="5840" w:type="dxa"/>
            <w:vAlign w:val="bottom"/>
          </w:tcPr>
          <w:p>
            <w:pPr>
              <w:spacing w:after="0" w:line="193" w:lineRule="exact"/>
              <w:rPr>
                <w:sz w:val="20"/>
                <w:szCs w:val="20"/>
                <w:color w:val="auto"/>
              </w:rPr>
            </w:pPr>
            <w:r>
              <w:rPr>
                <w:rFonts w:ascii="Arial" w:cs="Arial" w:eastAsia="Arial" w:hAnsi="Arial"/>
                <w:sz w:val="17"/>
                <w:szCs w:val="17"/>
                <w:b w:val="1"/>
                <w:bCs w:val="1"/>
                <w:color w:val="auto"/>
              </w:rPr>
              <w:t>Loan balance at December 31, 2011</w:t>
            </w:r>
          </w:p>
        </w:tc>
        <w:tc>
          <w:tcPr>
            <w:tcW w:w="1100" w:type="dxa"/>
            <w:vAlign w:val="bottom"/>
            <w:gridSpan w:val="2"/>
          </w:tcPr>
          <w:p>
            <w:pPr>
              <w:jc w:val="right"/>
              <w:ind w:right="220"/>
              <w:spacing w:after="0" w:line="193" w:lineRule="exact"/>
              <w:rPr>
                <w:sz w:val="20"/>
                <w:szCs w:val="20"/>
                <w:color w:val="auto"/>
              </w:rPr>
            </w:pPr>
            <w:r>
              <w:rPr>
                <w:rFonts w:ascii="Arial" w:cs="Arial" w:eastAsia="Arial" w:hAnsi="Arial"/>
                <w:sz w:val="17"/>
                <w:szCs w:val="17"/>
                <w:color w:val="auto"/>
              </w:rPr>
              <w:t>—</w:t>
            </w:r>
          </w:p>
        </w:tc>
      </w:tr>
      <w:tr>
        <w:trPr>
          <w:trHeight w:val="20"/>
        </w:trPr>
        <w:tc>
          <w:tcPr>
            <w:tcW w:w="5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-938530</wp:posOffset>
            </wp:positionV>
            <wp:extent cx="4408170" cy="135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408170" cy="167005"/>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9 — Convertible Notes</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In July, 2011, the Company entered into agreements (“Securities Purchase Agreements”) with selected accredited investors (the “Purchasers”) to sell and issue Convertible Notes in the aggregate amount of $2.5 million. The Convertible Notes were to mature on January 1, 2012 (the “Maturity Date”) unless earlier converted, and bear interest at a rate of 1.25% per annum. Interest on the Convertible Notes is due on the Maturity Date unless earlier converted. The Company’s obligations under the Convertible Notes were secured by a security interest in all of the Company’s assets, including a pledge over the shares of its wholly-owned subsidiary, pursuant to the Security Purchase Agreements.</w:t>
      </w:r>
    </w:p>
    <w:p>
      <w:pPr>
        <w:spacing w:after="0" w:line="66"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Convertible Notes were convertible into shares of common stock at a conversion price equal to the lower of (i) the closing price of the Company’s common stock on the announcement date of the note offering, (ii) the closing price of the Company’s common stock on the closing date of the note offering and (iii) a ten percent (10%) discount to the price at which the securities are sold in the new stock offering. Consummation of a future stock offering, would automatically trigger conversion of the Convertible Notes and any accrued interest into the same securities and contain the same terms (other than the conversion price, which is set forth above) as in the subsequent stock offering.</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December 1, 2011, the Company raised an additional $0.85 million through the issuance of 817,303 additional shares of common stock in a private placement. Pursuant to the December 2011 financing, all Convertible Notes (and accrued interest) were converted into 2,671,026 shares of common stock. The conversion of the Convertible Notes triggered anti-dilution provisions in certain of our outstanding warrants (see Note 11).</w:t>
      </w:r>
    </w:p>
    <w:p>
      <w:pPr>
        <w:spacing w:after="0" w:line="78"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As of the date of the issuance of the Convertible Notes, an amount of $89 thousand was initially allocated to additional paid-in capital in respect of the beneficial conversion feature, with a corresponding discount to the Convertible Notes, to be amortized as interest expense over the repayment period of the Convertible Notes. The December 2011 financing determined the actual conversion price at $0.94. As a result the amount allocated to discount and the beneficial conversion feature was adjusted to $1,269 thousand. The discount was fully amortized to interest expense at conversion; as a result, $1,269 thousand was recorded in the statement of operations, as interest expense.</w:t>
      </w:r>
    </w:p>
    <w:p>
      <w:pPr>
        <w:spacing w:after="0" w:line="200" w:lineRule="exact"/>
        <w:rPr>
          <w:sz w:val="20"/>
          <w:szCs w:val="20"/>
          <w:color w:val="auto"/>
        </w:rPr>
      </w:pP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4" w:name="page255"/>
    <w:bookmarkEnd w:id="2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10 — Fair Value Measurements</w:t>
      </w:r>
    </w:p>
    <w:p>
      <w:pPr>
        <w:jc w:val="both"/>
        <w:ind w:left="40" w:right="1239" w:firstLine="251"/>
        <w:spacing w:after="0" w:line="290" w:lineRule="auto"/>
        <w:rPr>
          <w:sz w:val="20"/>
          <w:szCs w:val="20"/>
          <w:color w:val="auto"/>
        </w:rPr>
      </w:pPr>
      <w:r>
        <w:rPr>
          <w:rFonts w:ascii="Arial" w:cs="Arial" w:eastAsia="Arial" w:hAnsi="Arial"/>
          <w:sz w:val="15"/>
          <w:szCs w:val="15"/>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and the Monte-Carlo models (as these warrants include a down-round protection clause, see Note 11) which utilize significant inputs that are unobservable in the market such as the expected stock price volatility, dividend yield, probability and timing of the down-round being triggered and the remaining period of time the warrants will be outstanding before they expire.</w:t>
      </w:r>
    </w:p>
    <w:p>
      <w:pPr>
        <w:spacing w:after="0" w:line="53"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presents the placement in the fair value hierarchy of assets and liabilities that are measured at fair value on a recurring basis as of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3"/>
                <w:szCs w:val="13"/>
                <w:b w:val="1"/>
                <w:bCs w:val="1"/>
                <w:color w:val="auto"/>
              </w:rPr>
              <w:t>Fair value measurement at reporting date using</w:t>
            </w:r>
          </w:p>
        </w:tc>
      </w:tr>
      <w:tr>
        <w:trPr>
          <w:trHeight w:val="148"/>
        </w:trPr>
        <w:tc>
          <w:tcPr>
            <w:tcW w:w="2220" w:type="dxa"/>
            <w:vAlign w:val="bottom"/>
          </w:tcPr>
          <w:p>
            <w:pPr>
              <w:spacing w:after="0" w:line="148" w:lineRule="exact"/>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1100" w:type="dxa"/>
            <w:vAlign w:val="bottom"/>
            <w:gridSpan w:val="3"/>
          </w:tcPr>
          <w:p>
            <w:pPr>
              <w:jc w:val="center"/>
              <w:ind w:right="16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14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Quoted prices in</w:t>
            </w:r>
          </w:p>
        </w:tc>
        <w:tc>
          <w:tcPr>
            <w:tcW w:w="160" w:type="dxa"/>
            <w:vAlign w:val="bottom"/>
          </w:tcPr>
          <w:p>
            <w:pPr>
              <w:spacing w:after="0"/>
              <w:rPr>
                <w:sz w:val="12"/>
                <w:szCs w:val="12"/>
                <w:color w:val="auto"/>
              </w:rPr>
            </w:pPr>
          </w:p>
        </w:tc>
        <w:tc>
          <w:tcPr>
            <w:tcW w:w="9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2"/>
                <w:szCs w:val="12"/>
                <w:color w:val="auto"/>
              </w:rPr>
            </w:pPr>
          </w:p>
        </w:tc>
        <w:tc>
          <w:tcPr>
            <w:tcW w:w="10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Significant</w:t>
            </w:r>
          </w:p>
        </w:tc>
      </w:tr>
      <w:tr>
        <w:trPr>
          <w:trHeight w:val="138"/>
        </w:trPr>
        <w:tc>
          <w:tcPr>
            <w:tcW w:w="2220" w:type="dxa"/>
            <w:vAlign w:val="bottom"/>
          </w:tcPr>
          <w:p>
            <w:pPr>
              <w:spacing w:after="0"/>
              <w:rPr>
                <w:sz w:val="11"/>
                <w:szCs w:val="11"/>
                <w:color w:val="auto"/>
              </w:rPr>
            </w:pPr>
          </w:p>
        </w:tc>
        <w:tc>
          <w:tcPr>
            <w:tcW w:w="1000" w:type="dxa"/>
            <w:vAlign w:val="bottom"/>
            <w:gridSpan w:val="2"/>
          </w:tcPr>
          <w:p>
            <w:pPr>
              <w:jc w:val="center"/>
              <w:ind w:left="183"/>
              <w:spacing w:after="0" w:line="138" w:lineRule="exact"/>
              <w:rPr>
                <w:sz w:val="20"/>
                <w:szCs w:val="20"/>
                <w:color w:val="auto"/>
              </w:rPr>
            </w:pPr>
            <w:r>
              <w:rPr>
                <w:rFonts w:ascii="Arial" w:cs="Arial" w:eastAsia="Arial" w:hAnsi="Arial"/>
                <w:sz w:val="13"/>
                <w:szCs w:val="13"/>
                <w:b w:val="1"/>
                <w:bCs w:val="1"/>
                <w:color w:val="auto"/>
                <w:w w:val="89"/>
              </w:rPr>
              <w:t>2011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active markets for</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unobservable</w:t>
            </w:r>
          </w:p>
        </w:tc>
      </w:tr>
      <w:tr>
        <w:trPr>
          <w:trHeight w:val="138"/>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6"/>
              </w:rPr>
              <w:t>identical assets</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r>
      <w:tr>
        <w:trPr>
          <w:trHeight w:val="138"/>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(Level 3)</w:t>
            </w:r>
          </w:p>
        </w:tc>
      </w:tr>
      <w:tr>
        <w:trPr>
          <w:trHeight w:val="158"/>
        </w:trPr>
        <w:tc>
          <w:tcPr>
            <w:tcW w:w="2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(Level 2)</w:t>
            </w: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74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22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Liabilities</w:t>
            </w: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tcBorders>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188"/>
        </w:trPr>
        <w:tc>
          <w:tcPr>
            <w:tcW w:w="2220" w:type="dxa"/>
            <w:vAlign w:val="bottom"/>
          </w:tcPr>
          <w:p>
            <w:pPr>
              <w:spacing w:after="0" w:line="188" w:lineRule="exact"/>
              <w:rPr>
                <w:sz w:val="20"/>
                <w:szCs w:val="20"/>
                <w:color w:val="auto"/>
              </w:rPr>
            </w:pPr>
            <w:r>
              <w:rPr>
                <w:rFonts w:ascii="Arial" w:cs="Arial" w:eastAsia="Arial" w:hAnsi="Arial"/>
                <w:sz w:val="17"/>
                <w:szCs w:val="17"/>
                <w:color w:val="auto"/>
                <w:w w:val="94"/>
              </w:rPr>
              <w:t>Derivative liabilities on account</w:t>
            </w:r>
          </w:p>
        </w:tc>
        <w:tc>
          <w:tcPr>
            <w:tcW w:w="1000" w:type="dxa"/>
            <w:vAlign w:val="bottom"/>
            <w:gridSpan w:val="2"/>
          </w:tcPr>
          <w:p>
            <w:pPr>
              <w:jc w:val="right"/>
              <w:spacing w:after="0" w:line="188" w:lineRule="exact"/>
              <w:rPr>
                <w:sz w:val="20"/>
                <w:szCs w:val="20"/>
                <w:color w:val="auto"/>
              </w:rPr>
            </w:pPr>
            <w:r>
              <w:rPr>
                <w:rFonts w:ascii="Arial" w:cs="Arial" w:eastAsia="Arial" w:hAnsi="Arial"/>
                <w:sz w:val="17"/>
                <w:szCs w:val="17"/>
                <w:b w:val="1"/>
                <w:bCs w:val="1"/>
                <w:color w:val="auto"/>
              </w:rPr>
              <w:t>2,172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80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ind w:left="620"/>
              <w:spacing w:after="0" w:line="188" w:lineRule="exact"/>
              <w:rPr>
                <w:sz w:val="20"/>
                <w:szCs w:val="20"/>
                <w:color w:val="auto"/>
              </w:rPr>
            </w:pPr>
            <w:r>
              <w:rPr>
                <w:rFonts w:ascii="Arial" w:cs="Arial" w:eastAsia="Arial" w:hAnsi="Arial"/>
                <w:sz w:val="17"/>
                <w:szCs w:val="17"/>
                <w:color w:val="auto"/>
              </w:rPr>
              <w:t>—</w:t>
            </w:r>
          </w:p>
        </w:tc>
        <w:tc>
          <w:tcPr>
            <w:tcW w:w="120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2,172</w:t>
            </w:r>
          </w:p>
        </w:tc>
      </w:tr>
      <w:tr>
        <w:trPr>
          <w:trHeight w:val="213"/>
        </w:trPr>
        <w:tc>
          <w:tcPr>
            <w:tcW w:w="2220" w:type="dxa"/>
            <w:vAlign w:val="bottom"/>
          </w:tcPr>
          <w:p>
            <w:pPr>
              <w:ind w:left="160"/>
              <w:spacing w:after="0"/>
              <w:rPr>
                <w:sz w:val="20"/>
                <w:szCs w:val="20"/>
                <w:color w:val="auto"/>
              </w:rPr>
            </w:pPr>
            <w:r>
              <w:rPr>
                <w:rFonts w:ascii="Arial" w:cs="Arial" w:eastAsia="Arial" w:hAnsi="Arial"/>
                <w:sz w:val="17"/>
                <w:szCs w:val="17"/>
                <w:color w:val="auto"/>
              </w:rPr>
              <w:t>of warrants</w:t>
            </w: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220" w:type="dxa"/>
            <w:vAlign w:val="bottom"/>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Total liabilities</w:t>
            </w: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2,172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ind w:left="800"/>
              <w:spacing w:after="0" w:line="191"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ind w:left="620"/>
              <w:spacing w:after="0" w:line="191" w:lineRule="exact"/>
              <w:rPr>
                <w:sz w:val="20"/>
                <w:szCs w:val="20"/>
                <w:color w:val="auto"/>
              </w:rPr>
            </w:pPr>
            <w:r>
              <w:rPr>
                <w:rFonts w:ascii="Arial" w:cs="Arial" w:eastAsia="Arial" w:hAnsi="Arial"/>
                <w:sz w:val="17"/>
                <w:szCs w:val="17"/>
                <w:color w:val="auto"/>
              </w:rPr>
              <w:t>—</w:t>
            </w:r>
          </w:p>
        </w:tc>
        <w:tc>
          <w:tcPr>
            <w:tcW w:w="1200" w:type="dxa"/>
            <w:vAlign w:val="bottom"/>
            <w:gridSpan w:val="3"/>
            <w:shd w:val="clear" w:color="auto" w:fill="CCFFCC"/>
          </w:tcPr>
          <w:p>
            <w:pPr>
              <w:jc w:val="right"/>
              <w:ind w:right="120"/>
              <w:spacing w:after="0" w:line="191" w:lineRule="exact"/>
              <w:rPr>
                <w:sz w:val="20"/>
                <w:szCs w:val="20"/>
                <w:color w:val="auto"/>
              </w:rPr>
            </w:pPr>
            <w:r>
              <w:rPr>
                <w:rFonts w:ascii="Arial" w:cs="Arial" w:eastAsia="Arial" w:hAnsi="Arial"/>
                <w:sz w:val="17"/>
                <w:szCs w:val="17"/>
                <w:color w:val="auto"/>
              </w:rPr>
              <w:t>2,172</w:t>
            </w:r>
          </w:p>
        </w:tc>
      </w:tr>
      <w:tr>
        <w:trPr>
          <w:trHeight w:val="20"/>
        </w:trPr>
        <w:tc>
          <w:tcPr>
            <w:tcW w:w="2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r>
        <w:trPr>
          <w:trHeight w:val="178"/>
        </w:trPr>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3"/>
                <w:szCs w:val="13"/>
                <w:b w:val="1"/>
                <w:bCs w:val="1"/>
                <w:color w:val="auto"/>
              </w:rPr>
              <w:t>Fair value measurement at reporting date using</w:t>
            </w:r>
          </w:p>
        </w:tc>
      </w:tr>
      <w:tr>
        <w:trPr>
          <w:trHeight w:val="148"/>
        </w:trPr>
        <w:tc>
          <w:tcPr>
            <w:tcW w:w="2220" w:type="dxa"/>
            <w:vAlign w:val="bottom"/>
          </w:tcPr>
          <w:p>
            <w:pPr>
              <w:spacing w:after="0" w:line="148" w:lineRule="exact"/>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1100" w:type="dxa"/>
            <w:vAlign w:val="bottom"/>
            <w:gridSpan w:val="3"/>
          </w:tcPr>
          <w:p>
            <w:pPr>
              <w:jc w:val="center"/>
              <w:ind w:right="16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14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Quoted prices in</w:t>
            </w:r>
          </w:p>
        </w:tc>
        <w:tc>
          <w:tcPr>
            <w:tcW w:w="160" w:type="dxa"/>
            <w:vAlign w:val="bottom"/>
          </w:tcPr>
          <w:p>
            <w:pPr>
              <w:spacing w:after="0"/>
              <w:rPr>
                <w:sz w:val="12"/>
                <w:szCs w:val="12"/>
                <w:color w:val="auto"/>
              </w:rPr>
            </w:pPr>
          </w:p>
        </w:tc>
        <w:tc>
          <w:tcPr>
            <w:tcW w:w="9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2"/>
                <w:szCs w:val="12"/>
                <w:color w:val="auto"/>
              </w:rPr>
            </w:pPr>
          </w:p>
        </w:tc>
        <w:tc>
          <w:tcPr>
            <w:tcW w:w="10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Significant</w:t>
            </w:r>
          </w:p>
        </w:tc>
      </w:tr>
      <w:tr>
        <w:trPr>
          <w:trHeight w:val="138"/>
        </w:trPr>
        <w:tc>
          <w:tcPr>
            <w:tcW w:w="2220" w:type="dxa"/>
            <w:vAlign w:val="bottom"/>
          </w:tcPr>
          <w:p>
            <w:pPr>
              <w:spacing w:after="0"/>
              <w:rPr>
                <w:sz w:val="11"/>
                <w:szCs w:val="11"/>
                <w:color w:val="auto"/>
              </w:rPr>
            </w:pPr>
          </w:p>
        </w:tc>
        <w:tc>
          <w:tcPr>
            <w:tcW w:w="1000" w:type="dxa"/>
            <w:vAlign w:val="bottom"/>
            <w:gridSpan w:val="2"/>
          </w:tcPr>
          <w:p>
            <w:pPr>
              <w:jc w:val="center"/>
              <w:ind w:left="183"/>
              <w:spacing w:after="0" w:line="138" w:lineRule="exact"/>
              <w:rPr>
                <w:sz w:val="20"/>
                <w:szCs w:val="20"/>
                <w:color w:val="auto"/>
              </w:rPr>
            </w:pPr>
            <w:r>
              <w:rPr>
                <w:rFonts w:ascii="Arial" w:cs="Arial" w:eastAsia="Arial" w:hAnsi="Arial"/>
                <w:sz w:val="13"/>
                <w:szCs w:val="13"/>
                <w:b w:val="1"/>
                <w:bCs w:val="1"/>
                <w:color w:val="auto"/>
                <w:w w:val="89"/>
              </w:rPr>
              <w:t>2010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active markets for</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unobservable</w:t>
            </w:r>
          </w:p>
        </w:tc>
      </w:tr>
      <w:tr>
        <w:trPr>
          <w:trHeight w:val="138"/>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6"/>
              </w:rPr>
              <w:t>identical assets</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r>
      <w:tr>
        <w:trPr>
          <w:trHeight w:val="138"/>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(Level 3)</w:t>
            </w:r>
          </w:p>
        </w:tc>
      </w:tr>
      <w:tr>
        <w:trPr>
          <w:trHeight w:val="158"/>
        </w:trPr>
        <w:tc>
          <w:tcPr>
            <w:tcW w:w="2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(Level 2)</w:t>
            </w: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74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22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tcBorders>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200"/>
        </w:trPr>
        <w:tc>
          <w:tcPr>
            <w:tcW w:w="2220" w:type="dxa"/>
            <w:vAlign w:val="bottom"/>
          </w:tcPr>
          <w:p>
            <w:pPr>
              <w:spacing w:after="0"/>
              <w:rPr>
                <w:sz w:val="20"/>
                <w:szCs w:val="20"/>
                <w:color w:val="auto"/>
              </w:rPr>
            </w:pPr>
            <w:r>
              <w:rPr>
                <w:rFonts w:ascii="Arial" w:cs="Arial" w:eastAsia="Arial" w:hAnsi="Arial"/>
                <w:sz w:val="17"/>
                <w:szCs w:val="17"/>
                <w:color w:val="auto"/>
              </w:rPr>
              <w:t>Cash equivalents</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4,542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3"/>
        </w:trPr>
        <w:tc>
          <w:tcPr>
            <w:tcW w:w="222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4,542</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tcBorders>
              <w:right w:val="single" w:sz="8" w:color="CCFFCC"/>
            </w:tcBorders>
            <w:shd w:val="clear" w:color="auto" w:fill="CCFFCC"/>
          </w:tcPr>
          <w:p>
            <w:pPr>
              <w:jc w:val="right"/>
              <w:spacing w:after="0" w:line="193" w:lineRule="exact"/>
              <w:rPr>
                <w:sz w:val="20"/>
                <w:szCs w:val="20"/>
                <w:color w:val="auto"/>
              </w:rPr>
            </w:pPr>
            <w:r>
              <w:rPr>
                <w:rFonts w:ascii="Arial" w:cs="Arial" w:eastAsia="Arial" w:hAnsi="Arial"/>
                <w:sz w:val="17"/>
                <w:szCs w:val="17"/>
                <w:color w:val="auto"/>
              </w:rPr>
              <w:t>4,542</w:t>
            </w: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60" w:type="dxa"/>
            <w:vAlign w:val="bottom"/>
            <w:gridSpan w:val="2"/>
            <w:shd w:val="clear" w:color="auto" w:fill="CCFFCC"/>
          </w:tcPr>
          <w:p>
            <w:pPr>
              <w:ind w:left="640"/>
              <w:spacing w:after="0" w:line="193" w:lineRule="exact"/>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w:t>
            </w:r>
          </w:p>
        </w:tc>
      </w:tr>
      <w:tr>
        <w:trPr>
          <w:trHeight w:val="191"/>
        </w:trPr>
        <w:tc>
          <w:tcPr>
            <w:tcW w:w="2220" w:type="dxa"/>
            <w:vAlign w:val="bottom"/>
            <w:tcBorders>
              <w:top w:val="single" w:sz="8" w:color="CCFFCC"/>
            </w:tcBorders>
          </w:tcPr>
          <w:p>
            <w:pPr>
              <w:spacing w:after="0" w:line="191" w:lineRule="exact"/>
              <w:rPr>
                <w:sz w:val="20"/>
                <w:szCs w:val="20"/>
                <w:color w:val="auto"/>
              </w:rPr>
            </w:pPr>
            <w:r>
              <w:rPr>
                <w:rFonts w:ascii="Arial" w:cs="Arial" w:eastAsia="Arial" w:hAnsi="Arial"/>
                <w:sz w:val="17"/>
                <w:szCs w:val="17"/>
                <w:b w:val="1"/>
                <w:bCs w:val="1"/>
                <w:color w:val="auto"/>
              </w:rPr>
              <w:t>Liabilities</w:t>
            </w:r>
          </w:p>
        </w:tc>
        <w:tc>
          <w:tcPr>
            <w:tcW w:w="16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r>
      <w:tr>
        <w:trPr>
          <w:trHeight w:val="188"/>
        </w:trPr>
        <w:tc>
          <w:tcPr>
            <w:tcW w:w="222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w w:val="92"/>
              </w:rPr>
              <w:t>Derivative liability on account of</w:t>
            </w:r>
          </w:p>
        </w:tc>
        <w:tc>
          <w:tcPr>
            <w:tcW w:w="1000" w:type="dxa"/>
            <w:vAlign w:val="bottom"/>
            <w:gridSpan w:val="2"/>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1,770</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960" w:type="dxa"/>
            <w:vAlign w:val="bottom"/>
            <w:gridSpan w:val="2"/>
            <w:shd w:val="clear" w:color="auto" w:fill="CCFFCC"/>
          </w:tcPr>
          <w:p>
            <w:pPr>
              <w:ind w:left="6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FFCC"/>
          </w:tcPr>
          <w:p>
            <w:pPr>
              <w:jc w:val="right"/>
              <w:spacing w:after="0" w:line="188" w:lineRule="exact"/>
              <w:rPr>
                <w:sz w:val="20"/>
                <w:szCs w:val="20"/>
                <w:color w:val="auto"/>
              </w:rPr>
            </w:pPr>
            <w:r>
              <w:rPr>
                <w:rFonts w:ascii="Arial" w:cs="Arial" w:eastAsia="Arial" w:hAnsi="Arial"/>
                <w:sz w:val="17"/>
                <w:szCs w:val="17"/>
                <w:color w:val="auto"/>
              </w:rPr>
              <w:t>1,770</w:t>
            </w:r>
          </w:p>
        </w:tc>
        <w:tc>
          <w:tcPr>
            <w:tcW w:w="140" w:type="dxa"/>
            <w:vAlign w:val="bottom"/>
            <w:shd w:val="clear" w:color="auto" w:fill="CCFFCC"/>
          </w:tcPr>
          <w:p>
            <w:pPr>
              <w:spacing w:after="0"/>
              <w:rPr>
                <w:sz w:val="16"/>
                <w:szCs w:val="16"/>
                <w:color w:val="auto"/>
              </w:rPr>
            </w:pPr>
          </w:p>
        </w:tc>
      </w:tr>
      <w:tr>
        <w:trPr>
          <w:trHeight w:val="213"/>
        </w:trPr>
        <w:tc>
          <w:tcPr>
            <w:tcW w:w="22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warrants</w:t>
            </w:r>
          </w:p>
        </w:tc>
        <w:tc>
          <w:tcPr>
            <w:tcW w:w="16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auto"/>
              <w:right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auto"/>
              <w:right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r>
      <w:tr>
        <w:trPr>
          <w:trHeight w:val="193"/>
        </w:trPr>
        <w:tc>
          <w:tcPr>
            <w:tcW w:w="2220" w:type="dxa"/>
            <w:vAlign w:val="bottom"/>
          </w:tcPr>
          <w:p>
            <w:pPr>
              <w:spacing w:after="0" w:line="194" w:lineRule="exact"/>
              <w:rPr>
                <w:sz w:val="20"/>
                <w:szCs w:val="20"/>
                <w:color w:val="auto"/>
              </w:rPr>
            </w:pPr>
            <w:r>
              <w:rPr>
                <w:rFonts w:ascii="Arial" w:cs="Arial" w:eastAsia="Arial" w:hAnsi="Arial"/>
                <w:sz w:val="17"/>
                <w:szCs w:val="17"/>
                <w:b w:val="1"/>
                <w:bCs w:val="1"/>
                <w:color w:val="auto"/>
              </w:rPr>
              <w:t>Total liabilities</w:t>
            </w:r>
          </w:p>
        </w:tc>
        <w:tc>
          <w:tcPr>
            <w:tcW w:w="100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auto"/>
              </w:rPr>
              <w:t>1,770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ind w:left="64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1,770</w:t>
            </w:r>
          </w:p>
        </w:tc>
        <w:tc>
          <w:tcPr>
            <w:tcW w:w="140" w:type="dxa"/>
            <w:vAlign w:val="bottom"/>
          </w:tcPr>
          <w:p>
            <w:pPr>
              <w:spacing w:after="0"/>
              <w:rPr>
                <w:sz w:val="16"/>
                <w:szCs w:val="16"/>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-1725930</wp:posOffset>
            </wp:positionV>
            <wp:extent cx="4408170" cy="317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-580390</wp:posOffset>
            </wp:positionV>
            <wp:extent cx="4408170" cy="1593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40817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40817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-1765935</wp:posOffset>
            </wp:positionV>
            <wp:extent cx="44081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addition to the above, the Company’s financial instruments at December 31, 2011 and 2010, consisted of cash, accounts receivable, long-term deposits, accrued expenses, and the venture loan (December 31, 2010, only). The carrying amounts of all the aforementioned financial instruments approximate fair value, except for the fair value of the venture loan, for the year ended December 31, 2010, for which the carrying amount of the venture loan was $3,173 thousand and the fair value was estimated at $3,317 thousand.</w:t>
      </w:r>
    </w:p>
    <w:p>
      <w:pPr>
        <w:spacing w:after="0" w:line="200" w:lineRule="exact"/>
        <w:rPr>
          <w:sz w:val="20"/>
          <w:szCs w:val="20"/>
          <w:color w:val="auto"/>
        </w:rPr>
      </w:pPr>
    </w:p>
    <w:p>
      <w:pPr>
        <w:spacing w:after="0" w:line="30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5" w:name="page256"/>
    <w:bookmarkEnd w:id="2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10 — Fair Value Measurements – (continued)</w:t>
      </w:r>
    </w:p>
    <w:p>
      <w:pPr>
        <w:ind w:left="40" w:right="1239" w:firstLine="251"/>
        <w:spacing w:after="0" w:line="264" w:lineRule="auto"/>
        <w:rPr>
          <w:sz w:val="20"/>
          <w:szCs w:val="20"/>
          <w:color w:val="auto"/>
        </w:rPr>
      </w:pPr>
      <w:r>
        <w:rPr>
          <w:rFonts w:ascii="Arial" w:cs="Arial" w:eastAsia="Arial" w:hAnsi="Arial"/>
          <w:sz w:val="17"/>
          <w:szCs w:val="17"/>
          <w:color w:val="auto"/>
        </w:rPr>
        <w:t>The following table summarizes the changes in the Company’s liabilities measured at fair value using significant unobservable inputs (Level 3) during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48"/>
        </w:trPr>
        <w:tc>
          <w:tcPr>
            <w:tcW w:w="418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auto"/>
                <w:w w:val="90"/>
              </w:rPr>
              <w:t>Special Bridge</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Conversion</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Total</w:t>
            </w:r>
          </w:p>
        </w:tc>
      </w:tr>
      <w:tr>
        <w:trPr>
          <w:trHeight w:val="158"/>
        </w:trPr>
        <w:tc>
          <w:tcPr>
            <w:tcW w:w="418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Warrants</w:t>
            </w:r>
          </w:p>
        </w:tc>
        <w:tc>
          <w:tcPr>
            <w:tcW w:w="14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Warrants</w:t>
            </w:r>
          </w:p>
        </w:tc>
        <w:tc>
          <w:tcPr>
            <w:tcW w:w="1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88"/>
        </w:trPr>
        <w:tc>
          <w:tcPr>
            <w:tcW w:w="4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3"/>
                <w:szCs w:val="13"/>
                <w:color w:val="auto"/>
                <w:w w:val="97"/>
              </w:rPr>
              <w:t>U.S.$ thousands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4180" w:type="dxa"/>
            <w:vAlign w:val="bottom"/>
            <w:shd w:val="clear" w:color="auto" w:fill="CCFFCC"/>
          </w:tcPr>
          <w:p>
            <w:pPr>
              <w:spacing w:after="0"/>
              <w:rPr>
                <w:sz w:val="20"/>
                <w:szCs w:val="20"/>
                <w:color w:val="auto"/>
              </w:rPr>
            </w:pPr>
            <w:r>
              <w:rPr>
                <w:rFonts w:ascii="Arial" w:cs="Arial" w:eastAsia="Arial" w:hAnsi="Arial"/>
                <w:sz w:val="17"/>
                <w:szCs w:val="17"/>
                <w:color w:val="auto"/>
              </w:rPr>
              <w:t>Original allocated amount</w:t>
            </w:r>
          </w:p>
        </w:tc>
        <w:tc>
          <w:tcPr>
            <w:tcW w:w="6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1,070</w:t>
            </w: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1,070</w:t>
            </w:r>
          </w:p>
        </w:tc>
      </w:tr>
      <w:tr>
        <w:trPr>
          <w:trHeight w:val="200"/>
        </w:trPr>
        <w:tc>
          <w:tcPr>
            <w:tcW w:w="4180" w:type="dxa"/>
            <w:vAlign w:val="bottom"/>
          </w:tcPr>
          <w:p>
            <w:pPr>
              <w:spacing w:after="0"/>
              <w:rPr>
                <w:sz w:val="20"/>
                <w:szCs w:val="20"/>
                <w:color w:val="auto"/>
              </w:rPr>
            </w:pPr>
            <w:r>
              <w:rPr>
                <w:rFonts w:ascii="Arial" w:cs="Arial" w:eastAsia="Arial" w:hAnsi="Arial"/>
                <w:sz w:val="17"/>
                <w:szCs w:val="17"/>
                <w:color w:val="auto"/>
              </w:rPr>
              <w:t>Additional allocated amount (upon IPO)</w:t>
            </w:r>
          </w:p>
        </w:tc>
        <w:tc>
          <w:tcPr>
            <w:tcW w:w="680" w:type="dxa"/>
            <w:vAlign w:val="bottom"/>
          </w:tcPr>
          <w:p>
            <w:pPr>
              <w:jc w:val="right"/>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7"/>
                <w:szCs w:val="17"/>
                <w:color w:val="auto"/>
              </w:rPr>
              <w:t>1,564</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1,652</w:t>
            </w:r>
          </w:p>
        </w:tc>
      </w:tr>
      <w:tr>
        <w:trPr>
          <w:trHeight w:val="188"/>
        </w:trPr>
        <w:tc>
          <w:tcPr>
            <w:tcW w:w="418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Fair value adjustment included in statement</w:t>
            </w:r>
          </w:p>
        </w:tc>
        <w:tc>
          <w:tcPr>
            <w:tcW w:w="86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(382)</w:t>
            </w:r>
          </w:p>
        </w:tc>
        <w:tc>
          <w:tcPr>
            <w:tcW w:w="100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(570)</w:t>
            </w:r>
          </w:p>
        </w:tc>
        <w:tc>
          <w:tcPr>
            <w:tcW w:w="90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(952)</w:t>
            </w:r>
          </w:p>
        </w:tc>
      </w:tr>
      <w:tr>
        <w:trPr>
          <w:trHeight w:val="213"/>
        </w:trPr>
        <w:tc>
          <w:tcPr>
            <w:tcW w:w="41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of operations</w:t>
            </w:r>
          </w:p>
        </w:tc>
        <w:tc>
          <w:tcPr>
            <w:tcW w:w="68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r>
      <w:tr>
        <w:trPr>
          <w:trHeight w:val="193"/>
        </w:trPr>
        <w:tc>
          <w:tcPr>
            <w:tcW w:w="4180" w:type="dxa"/>
            <w:vAlign w:val="bottom"/>
          </w:tcPr>
          <w:p>
            <w:pPr>
              <w:spacing w:after="0" w:line="194" w:lineRule="exact"/>
              <w:rPr>
                <w:sz w:val="20"/>
                <w:szCs w:val="20"/>
                <w:color w:val="auto"/>
              </w:rPr>
            </w:pPr>
            <w:r>
              <w:rPr>
                <w:rFonts w:ascii="Arial" w:cs="Arial" w:eastAsia="Arial" w:hAnsi="Arial"/>
                <w:sz w:val="17"/>
                <w:szCs w:val="17"/>
                <w:b w:val="1"/>
                <w:bCs w:val="1"/>
                <w:color w:val="auto"/>
              </w:rPr>
              <w:t>Balance at December 31, 2010</w:t>
            </w:r>
          </w:p>
        </w:tc>
        <w:tc>
          <w:tcPr>
            <w:tcW w:w="86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auto"/>
              </w:rPr>
              <w:t>776</w:t>
            </w:r>
          </w:p>
        </w:tc>
        <w:tc>
          <w:tcPr>
            <w:tcW w:w="1000" w:type="dxa"/>
            <w:vAlign w:val="bottom"/>
            <w:gridSpan w:val="3"/>
          </w:tcPr>
          <w:p>
            <w:pPr>
              <w:jc w:val="right"/>
              <w:ind w:right="180"/>
              <w:spacing w:after="0" w:line="194" w:lineRule="exact"/>
              <w:rPr>
                <w:sz w:val="20"/>
                <w:szCs w:val="20"/>
                <w:color w:val="auto"/>
              </w:rPr>
            </w:pPr>
            <w:r>
              <w:rPr>
                <w:rFonts w:ascii="Arial" w:cs="Arial" w:eastAsia="Arial" w:hAnsi="Arial"/>
                <w:sz w:val="17"/>
                <w:szCs w:val="17"/>
                <w:b w:val="1"/>
                <w:bCs w:val="1"/>
                <w:color w:val="auto"/>
              </w:rPr>
              <w:t>994</w:t>
            </w:r>
          </w:p>
        </w:tc>
        <w:tc>
          <w:tcPr>
            <w:tcW w:w="900" w:type="dxa"/>
            <w:vAlign w:val="bottom"/>
            <w:gridSpan w:val="3"/>
          </w:tcPr>
          <w:p>
            <w:pPr>
              <w:jc w:val="right"/>
              <w:ind w:right="160"/>
              <w:spacing w:after="0" w:line="194" w:lineRule="exact"/>
              <w:rPr>
                <w:sz w:val="20"/>
                <w:szCs w:val="20"/>
                <w:color w:val="auto"/>
              </w:rPr>
            </w:pPr>
            <w:r>
              <w:rPr>
                <w:rFonts w:ascii="Arial" w:cs="Arial" w:eastAsia="Arial" w:hAnsi="Arial"/>
                <w:sz w:val="17"/>
                <w:szCs w:val="17"/>
                <w:b w:val="1"/>
                <w:bCs w:val="1"/>
                <w:color w:val="auto"/>
              </w:rPr>
              <w:t>1,770</w:t>
            </w:r>
          </w:p>
        </w:tc>
      </w:tr>
      <w:tr>
        <w:trPr>
          <w:trHeight w:val="188"/>
        </w:trPr>
        <w:tc>
          <w:tcPr>
            <w:tcW w:w="418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Fair value adjustment included in statement</w:t>
            </w:r>
          </w:p>
        </w:tc>
        <w:tc>
          <w:tcPr>
            <w:tcW w:w="860" w:type="dxa"/>
            <w:vAlign w:val="bottom"/>
            <w:gridSpan w:val="2"/>
            <w:shd w:val="clear" w:color="auto" w:fill="CCFFCC"/>
          </w:tcPr>
          <w:p>
            <w:pPr>
              <w:jc w:val="right"/>
              <w:ind w:right="180"/>
              <w:spacing w:after="0" w:line="188" w:lineRule="exact"/>
              <w:rPr>
                <w:sz w:val="20"/>
                <w:szCs w:val="20"/>
                <w:color w:val="auto"/>
              </w:rPr>
            </w:pPr>
            <w:r>
              <w:rPr>
                <w:rFonts w:ascii="Arial" w:cs="Arial" w:eastAsia="Arial" w:hAnsi="Arial"/>
                <w:sz w:val="17"/>
                <w:szCs w:val="17"/>
                <w:color w:val="auto"/>
              </w:rPr>
              <w:t>511</w:t>
            </w:r>
          </w:p>
        </w:tc>
        <w:tc>
          <w:tcPr>
            <w:tcW w:w="100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(109)</w:t>
            </w:r>
          </w:p>
        </w:tc>
        <w:tc>
          <w:tcPr>
            <w:tcW w:w="90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402</w:t>
            </w:r>
          </w:p>
        </w:tc>
      </w:tr>
      <w:tr>
        <w:trPr>
          <w:trHeight w:val="213"/>
        </w:trPr>
        <w:tc>
          <w:tcPr>
            <w:tcW w:w="41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of operations</w:t>
            </w:r>
          </w:p>
        </w:tc>
        <w:tc>
          <w:tcPr>
            <w:tcW w:w="68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r>
      <w:tr>
        <w:trPr>
          <w:trHeight w:val="193"/>
        </w:trPr>
        <w:tc>
          <w:tcPr>
            <w:tcW w:w="4180" w:type="dxa"/>
            <w:vAlign w:val="bottom"/>
          </w:tcPr>
          <w:p>
            <w:pPr>
              <w:spacing w:after="0" w:line="194" w:lineRule="exact"/>
              <w:rPr>
                <w:sz w:val="20"/>
                <w:szCs w:val="20"/>
                <w:color w:val="auto"/>
              </w:rPr>
            </w:pPr>
            <w:r>
              <w:rPr>
                <w:rFonts w:ascii="Arial" w:cs="Arial" w:eastAsia="Arial" w:hAnsi="Arial"/>
                <w:sz w:val="17"/>
                <w:szCs w:val="17"/>
                <w:b w:val="1"/>
                <w:bCs w:val="1"/>
                <w:color w:val="auto"/>
              </w:rPr>
              <w:t>Balance at December 31, 2011</w:t>
            </w:r>
          </w:p>
        </w:tc>
        <w:tc>
          <w:tcPr>
            <w:tcW w:w="6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1,287</w:t>
            </w:r>
          </w:p>
        </w:tc>
        <w:tc>
          <w:tcPr>
            <w:tcW w:w="180" w:type="dxa"/>
            <w:vAlign w:val="bottom"/>
          </w:tcPr>
          <w:p>
            <w:pPr>
              <w:spacing w:after="0"/>
              <w:rPr>
                <w:sz w:val="16"/>
                <w:szCs w:val="16"/>
                <w:color w:val="auto"/>
              </w:rPr>
            </w:pPr>
          </w:p>
        </w:tc>
        <w:tc>
          <w:tcPr>
            <w:tcW w:w="1000" w:type="dxa"/>
            <w:vAlign w:val="bottom"/>
            <w:gridSpan w:val="3"/>
          </w:tcPr>
          <w:p>
            <w:pPr>
              <w:jc w:val="right"/>
              <w:ind w:right="180"/>
              <w:spacing w:after="0" w:line="194" w:lineRule="exact"/>
              <w:rPr>
                <w:sz w:val="20"/>
                <w:szCs w:val="20"/>
                <w:color w:val="auto"/>
              </w:rPr>
            </w:pPr>
            <w:r>
              <w:rPr>
                <w:rFonts w:ascii="Arial" w:cs="Arial" w:eastAsia="Arial" w:hAnsi="Arial"/>
                <w:sz w:val="17"/>
                <w:szCs w:val="17"/>
                <w:b w:val="1"/>
                <w:bCs w:val="1"/>
                <w:color w:val="auto"/>
              </w:rPr>
              <w:t>885</w:t>
            </w:r>
          </w:p>
        </w:tc>
        <w:tc>
          <w:tcPr>
            <w:tcW w:w="900" w:type="dxa"/>
            <w:vAlign w:val="bottom"/>
            <w:gridSpan w:val="3"/>
          </w:tcPr>
          <w:p>
            <w:pPr>
              <w:jc w:val="right"/>
              <w:ind w:right="160"/>
              <w:spacing w:after="0" w:line="194" w:lineRule="exact"/>
              <w:rPr>
                <w:sz w:val="20"/>
                <w:szCs w:val="20"/>
                <w:color w:val="auto"/>
              </w:rPr>
            </w:pPr>
            <w:r>
              <w:rPr>
                <w:rFonts w:ascii="Arial" w:cs="Arial" w:eastAsia="Arial" w:hAnsi="Arial"/>
                <w:sz w:val="17"/>
                <w:szCs w:val="17"/>
                <w:b w:val="1"/>
                <w:bCs w:val="1"/>
                <w:color w:val="auto"/>
              </w:rPr>
              <w:t>2,172</w:t>
            </w:r>
          </w:p>
        </w:tc>
      </w:tr>
      <w:tr>
        <w:trPr>
          <w:trHeight w:val="20"/>
        </w:trPr>
        <w:tc>
          <w:tcPr>
            <w:tcW w:w="4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-556260</wp:posOffset>
            </wp:positionV>
            <wp:extent cx="4408170" cy="135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408170" cy="167005"/>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11 — Stockholders’ Equity (Deficit)</w:t>
      </w:r>
    </w:p>
    <w:p>
      <w:pPr>
        <w:spacing w:after="0" w:line="143" w:lineRule="exact"/>
        <w:rPr>
          <w:sz w:val="20"/>
          <w:szCs w:val="20"/>
          <w:color w:val="auto"/>
        </w:rPr>
      </w:pPr>
    </w:p>
    <w:p>
      <w:pPr>
        <w:ind w:left="280" w:hanging="233"/>
        <w:spacing w:after="0"/>
        <w:tabs>
          <w:tab w:leader="none" w:pos="280"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w:t>
      </w:r>
    </w:p>
    <w:p>
      <w:pPr>
        <w:spacing w:after="0" w:line="109"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color w:val="auto"/>
        </w:rPr>
        <w:t>In June 2010, the Company completed an IPO of 2,392,000 units (see Note 1).</w:t>
      </w:r>
    </w:p>
    <w:p>
      <w:pPr>
        <w:spacing w:after="0" w:line="105"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On December 1, 2011, the Company completed an additional financing round, in which it issued 817,303 shares of common stock. In connection with the financing round the Convertible Notes were converted into equity (see Note 9), and 2,671,026 shares of common stock were issued to the Convertible Notes holders. In addition, pursuant to the commencement of the above mentioned financing round, the Company issued 208,159 shares of common stock to one of its consultants.</w:t>
      </w:r>
    </w:p>
    <w:p>
      <w:pPr>
        <w:spacing w:after="0" w:line="4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Subsequent to the balance sheet date, between February 6 and February 14, 2012, 3,828,993 of the Company’s outstanding Special Bridge Warrants and Conversion Warrants were exercised. As a result, the Company issued 3,828,993 shares of common stock. See Note 17.</w:t>
      </w: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6" w:name="page257"/>
    <w:bookmarkEnd w:id="2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11 — Stockholders’ Equity (Deficit) – (continued)</w:t>
      </w: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summarizes information about the Company’s issued and outstanding common stock from inception through December 31, 2011, on a post-split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9229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3922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5860" w:type="dxa"/>
            <w:vAlign w:val="bottom"/>
          </w:tcPr>
          <w:p>
            <w:pPr>
              <w:spacing w:after="0"/>
              <w:rPr>
                <w:sz w:val="12"/>
                <w:szCs w:val="12"/>
                <w:color w:val="auto"/>
              </w:rPr>
            </w:pPr>
          </w:p>
        </w:tc>
        <w:tc>
          <w:tcPr>
            <w:tcW w:w="108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8"/>
              </w:rPr>
              <w:t>Shares of common</w:t>
            </w:r>
          </w:p>
        </w:tc>
      </w:tr>
      <w:tr>
        <w:trPr>
          <w:trHeight w:val="138"/>
        </w:trPr>
        <w:tc>
          <w:tcPr>
            <w:tcW w:w="5860" w:type="dxa"/>
            <w:vAlign w:val="bottom"/>
          </w:tcPr>
          <w:p>
            <w:pPr>
              <w:spacing w:after="0"/>
              <w:rPr>
                <w:sz w:val="11"/>
                <w:szCs w:val="11"/>
                <w:color w:val="auto"/>
              </w:rPr>
            </w:pPr>
          </w:p>
        </w:tc>
        <w:tc>
          <w:tcPr>
            <w:tcW w:w="108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2"/>
              </w:rPr>
              <w:t>stock</w:t>
            </w:r>
          </w:p>
        </w:tc>
      </w:tr>
      <w:tr>
        <w:trPr>
          <w:trHeight w:val="158"/>
        </w:trPr>
        <w:tc>
          <w:tcPr>
            <w:tcW w:w="5860" w:type="dxa"/>
            <w:vAlign w:val="bottom"/>
          </w:tcPr>
          <w:p>
            <w:pPr>
              <w:spacing w:after="0"/>
              <w:rPr>
                <w:sz w:val="13"/>
                <w:szCs w:val="13"/>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0.01$ par value</w:t>
            </w:r>
          </w:p>
        </w:tc>
      </w:tr>
      <w:tr>
        <w:trPr>
          <w:trHeight w:val="193"/>
        </w:trPr>
        <w:tc>
          <w:tcPr>
            <w:tcW w:w="58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as of January 9, 2006 (inception)</w:t>
            </w:r>
          </w:p>
        </w:tc>
        <w:tc>
          <w:tcPr>
            <w:tcW w:w="10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Issuance of common stock to two founders for a net amount of $5</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83</w:t>
            </w:r>
          </w:p>
        </w:tc>
      </w:tr>
      <w:tr>
        <w:trPr>
          <w:trHeight w:val="188"/>
        </w:trPr>
        <w:tc>
          <w:tcPr>
            <w:tcW w:w="58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w w:val="91"/>
              </w:rPr>
              <w:t>Stock dividend of 3,999 shares for each share of outstanding stock in their respective</w:t>
            </w:r>
          </w:p>
        </w:tc>
        <w:tc>
          <w:tcPr>
            <w:tcW w:w="108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333,250</w:t>
            </w:r>
          </w:p>
        </w:tc>
      </w:tr>
      <w:tr>
        <w:trPr>
          <w:trHeight w:val="213"/>
        </w:trPr>
        <w:tc>
          <w:tcPr>
            <w:tcW w:w="5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classes</w:t>
            </w:r>
          </w:p>
        </w:tc>
        <w:tc>
          <w:tcPr>
            <w:tcW w:w="100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r>
      <w:tr>
        <w:trPr>
          <w:trHeight w:val="193"/>
        </w:trPr>
        <w:tc>
          <w:tcPr>
            <w:tcW w:w="5860" w:type="dxa"/>
            <w:vAlign w:val="bottom"/>
          </w:tcPr>
          <w:p>
            <w:pPr>
              <w:spacing w:after="0" w:line="194" w:lineRule="exact"/>
              <w:rPr>
                <w:sz w:val="20"/>
                <w:szCs w:val="20"/>
                <w:color w:val="auto"/>
              </w:rPr>
            </w:pPr>
            <w:r>
              <w:rPr>
                <w:rFonts w:ascii="Arial" w:cs="Arial" w:eastAsia="Arial" w:hAnsi="Arial"/>
                <w:sz w:val="17"/>
                <w:szCs w:val="17"/>
                <w:b w:val="1"/>
                <w:bCs w:val="1"/>
                <w:color w:val="auto"/>
              </w:rPr>
              <w:t>Balance as of December 31, 2006</w:t>
            </w:r>
          </w:p>
        </w:tc>
        <w:tc>
          <w:tcPr>
            <w:tcW w:w="1080" w:type="dxa"/>
            <w:vAlign w:val="bottom"/>
            <w:gridSpan w:val="2"/>
          </w:tcPr>
          <w:p>
            <w:pPr>
              <w:jc w:val="right"/>
              <w:ind w:right="80"/>
              <w:spacing w:after="0" w:line="194" w:lineRule="exact"/>
              <w:rPr>
                <w:sz w:val="20"/>
                <w:szCs w:val="20"/>
                <w:color w:val="auto"/>
              </w:rPr>
            </w:pPr>
            <w:r>
              <w:rPr>
                <w:rFonts w:ascii="Arial" w:cs="Arial" w:eastAsia="Arial" w:hAnsi="Arial"/>
                <w:sz w:val="17"/>
                <w:szCs w:val="17"/>
                <w:b w:val="1"/>
                <w:bCs w:val="1"/>
                <w:color w:val="auto"/>
              </w:rPr>
              <w:t>333,333</w:t>
            </w:r>
          </w:p>
        </w:tc>
      </w:tr>
      <w:tr>
        <w:trPr>
          <w:trHeight w:val="188"/>
        </w:trPr>
        <w:tc>
          <w:tcPr>
            <w:tcW w:w="58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w w:val="96"/>
              </w:rPr>
              <w:t>Issuance of common stock in lieu of beneficial conversion terms contained in the</w:t>
            </w:r>
          </w:p>
        </w:tc>
        <w:tc>
          <w:tcPr>
            <w:tcW w:w="108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33,449</w:t>
            </w:r>
          </w:p>
        </w:tc>
      </w:tr>
      <w:tr>
        <w:trPr>
          <w:trHeight w:val="213"/>
        </w:trPr>
        <w:tc>
          <w:tcPr>
            <w:tcW w:w="5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convertible loan agreement</w:t>
            </w:r>
          </w:p>
        </w:tc>
        <w:tc>
          <w:tcPr>
            <w:tcW w:w="100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r>
      <w:tr>
        <w:trPr>
          <w:trHeight w:val="193"/>
        </w:trPr>
        <w:tc>
          <w:tcPr>
            <w:tcW w:w="5860" w:type="dxa"/>
            <w:vAlign w:val="bottom"/>
          </w:tcPr>
          <w:p>
            <w:pPr>
              <w:spacing w:after="0" w:line="194" w:lineRule="exact"/>
              <w:rPr>
                <w:sz w:val="20"/>
                <w:szCs w:val="20"/>
                <w:color w:val="auto"/>
              </w:rPr>
            </w:pPr>
            <w:r>
              <w:rPr>
                <w:rFonts w:ascii="Arial" w:cs="Arial" w:eastAsia="Arial" w:hAnsi="Arial"/>
                <w:sz w:val="17"/>
                <w:szCs w:val="17"/>
                <w:b w:val="1"/>
                <w:bCs w:val="1"/>
                <w:color w:val="auto"/>
              </w:rPr>
              <w:t>Balance as of December 31, 2007</w:t>
            </w:r>
          </w:p>
        </w:tc>
        <w:tc>
          <w:tcPr>
            <w:tcW w:w="1080" w:type="dxa"/>
            <w:vAlign w:val="bottom"/>
            <w:gridSpan w:val="2"/>
          </w:tcPr>
          <w:p>
            <w:pPr>
              <w:jc w:val="right"/>
              <w:ind w:right="80"/>
              <w:spacing w:after="0" w:line="194" w:lineRule="exact"/>
              <w:rPr>
                <w:sz w:val="20"/>
                <w:szCs w:val="20"/>
                <w:color w:val="auto"/>
              </w:rPr>
            </w:pPr>
            <w:r>
              <w:rPr>
                <w:rFonts w:ascii="Arial" w:cs="Arial" w:eastAsia="Arial" w:hAnsi="Arial"/>
                <w:sz w:val="17"/>
                <w:szCs w:val="17"/>
                <w:b w:val="1"/>
                <w:bCs w:val="1"/>
                <w:color w:val="auto"/>
              </w:rPr>
              <w:t>366,782</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Issuance of common stock</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r>
      <w:tr>
        <w:trPr>
          <w:trHeight w:val="20"/>
        </w:trPr>
        <w:tc>
          <w:tcPr>
            <w:tcW w:w="586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860" w:type="dxa"/>
            <w:vAlign w:val="bottom"/>
          </w:tcPr>
          <w:p>
            <w:pPr>
              <w:spacing w:after="0" w:line="193" w:lineRule="exact"/>
              <w:rPr>
                <w:sz w:val="20"/>
                <w:szCs w:val="20"/>
                <w:color w:val="auto"/>
              </w:rPr>
            </w:pPr>
            <w:r>
              <w:rPr>
                <w:rFonts w:ascii="Arial" w:cs="Arial" w:eastAsia="Arial" w:hAnsi="Arial"/>
                <w:sz w:val="17"/>
                <w:szCs w:val="17"/>
                <w:b w:val="1"/>
                <w:bCs w:val="1"/>
                <w:color w:val="auto"/>
              </w:rPr>
              <w:t>Balance as of December 31, 2008</w:t>
            </w:r>
          </w:p>
        </w:tc>
        <w:tc>
          <w:tcPr>
            <w:tcW w:w="108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366,782</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Issuance of common stock</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r>
      <w:tr>
        <w:trPr>
          <w:trHeight w:val="20"/>
        </w:trPr>
        <w:tc>
          <w:tcPr>
            <w:tcW w:w="586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860" w:type="dxa"/>
            <w:vAlign w:val="bottom"/>
          </w:tcPr>
          <w:p>
            <w:pPr>
              <w:spacing w:after="0" w:line="193" w:lineRule="exact"/>
              <w:rPr>
                <w:sz w:val="20"/>
                <w:szCs w:val="20"/>
                <w:color w:val="auto"/>
              </w:rPr>
            </w:pPr>
            <w:r>
              <w:rPr>
                <w:rFonts w:ascii="Arial" w:cs="Arial" w:eastAsia="Arial" w:hAnsi="Arial"/>
                <w:sz w:val="17"/>
                <w:szCs w:val="17"/>
                <w:b w:val="1"/>
                <w:bCs w:val="1"/>
                <w:color w:val="auto"/>
              </w:rPr>
              <w:t>Balance as of December 31, 2009</w:t>
            </w:r>
          </w:p>
        </w:tc>
        <w:tc>
          <w:tcPr>
            <w:tcW w:w="108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366,782</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Issuance of common stock, in connection with IPO (see Note 1)</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2,392,000</w:t>
            </w:r>
          </w:p>
        </w:tc>
      </w:tr>
      <w:tr>
        <w:trPr>
          <w:trHeight w:val="188"/>
        </w:trPr>
        <w:tc>
          <w:tcPr>
            <w:tcW w:w="5860" w:type="dxa"/>
            <w:vAlign w:val="bottom"/>
          </w:tcPr>
          <w:p>
            <w:pPr>
              <w:spacing w:after="0" w:line="188" w:lineRule="exact"/>
              <w:rPr>
                <w:sz w:val="20"/>
                <w:szCs w:val="20"/>
                <w:color w:val="auto"/>
              </w:rPr>
            </w:pPr>
            <w:r>
              <w:rPr>
                <w:rFonts w:ascii="Arial" w:cs="Arial" w:eastAsia="Arial" w:hAnsi="Arial"/>
                <w:sz w:val="17"/>
                <w:szCs w:val="17"/>
                <w:color w:val="auto"/>
              </w:rPr>
              <w:t>Exchange of series A convertible preferred stock for common stock</w:t>
            </w:r>
          </w:p>
        </w:tc>
        <w:tc>
          <w:tcPr>
            <w:tcW w:w="1080" w:type="dxa"/>
            <w:vAlign w:val="bottom"/>
            <w:gridSpan w:val="2"/>
          </w:tcPr>
          <w:p>
            <w:pPr>
              <w:jc w:val="right"/>
              <w:ind w:right="80"/>
              <w:spacing w:after="0" w:line="188" w:lineRule="exact"/>
              <w:rPr>
                <w:sz w:val="20"/>
                <w:szCs w:val="20"/>
                <w:color w:val="auto"/>
              </w:rPr>
            </w:pPr>
            <w:r>
              <w:rPr>
                <w:rFonts w:ascii="Arial" w:cs="Arial" w:eastAsia="Arial" w:hAnsi="Arial"/>
                <w:sz w:val="17"/>
                <w:szCs w:val="17"/>
                <w:color w:val="auto"/>
              </w:rPr>
              <w:t>392,315</w:t>
            </w:r>
          </w:p>
        </w:tc>
      </w:tr>
      <w:tr>
        <w:trPr>
          <w:trHeight w:val="213"/>
        </w:trPr>
        <w:tc>
          <w:tcPr>
            <w:tcW w:w="5860" w:type="dxa"/>
            <w:vAlign w:val="bottom"/>
          </w:tcPr>
          <w:p>
            <w:pPr>
              <w:ind w:left="160"/>
              <w:spacing w:after="0"/>
              <w:rPr>
                <w:sz w:val="20"/>
                <w:szCs w:val="20"/>
                <w:color w:val="auto"/>
              </w:rPr>
            </w:pPr>
            <w:r>
              <w:rPr>
                <w:rFonts w:ascii="Arial" w:cs="Arial" w:eastAsia="Arial" w:hAnsi="Arial"/>
                <w:sz w:val="17"/>
                <w:szCs w:val="17"/>
                <w:color w:val="auto"/>
              </w:rPr>
              <w:t>(see Note 11 b)</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Conversion of Bridge notes (see Note 1)</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864,332</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Stock dividend (see Note 11 b)</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311,451</w:t>
            </w:r>
          </w:p>
        </w:tc>
      </w:tr>
      <w:tr>
        <w:trPr>
          <w:trHeight w:val="188"/>
        </w:trPr>
        <w:tc>
          <w:tcPr>
            <w:tcW w:w="58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Exchange of series B convertible preferred stock for common stock</w:t>
            </w:r>
          </w:p>
        </w:tc>
        <w:tc>
          <w:tcPr>
            <w:tcW w:w="108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765,466</w:t>
            </w:r>
          </w:p>
        </w:tc>
      </w:tr>
      <w:tr>
        <w:trPr>
          <w:trHeight w:val="213"/>
        </w:trPr>
        <w:tc>
          <w:tcPr>
            <w:tcW w:w="58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(see Note 11 b)</w:t>
            </w: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Exercise of charitable warrants</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11,044</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Exercise of lead investor warrants (see Note 11 f)</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241,173</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60,517</w:t>
            </w:r>
          </w:p>
        </w:tc>
      </w:tr>
      <w:tr>
        <w:trPr>
          <w:trHeight w:val="20"/>
        </w:trPr>
        <w:tc>
          <w:tcPr>
            <w:tcW w:w="5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8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as of December 31, 2010</w:t>
            </w:r>
          </w:p>
        </w:tc>
        <w:tc>
          <w:tcPr>
            <w:tcW w:w="10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5,405,080</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Exercise of lead investor warrants (see Note 11 f)</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241,173</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Exercise of stock options</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341,913</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w w:val="98"/>
              </w:rPr>
              <w:t>Issuance of common stock, in connection venture loan settlement (see Note 8)</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250,000</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Exercise of charitable warrants</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19,862</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Issuance of common stock, to consultants</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208,159</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Conversion of convertible notes (see Note 9)</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2,671,026</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Issuance of common stock, in connection with December 2011 financing</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817,303</w:t>
            </w:r>
          </w:p>
        </w:tc>
      </w:tr>
      <w:tr>
        <w:trPr>
          <w:trHeight w:val="20"/>
        </w:trPr>
        <w:tc>
          <w:tcPr>
            <w:tcW w:w="5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3"/>
        </w:trPr>
        <w:tc>
          <w:tcPr>
            <w:tcW w:w="58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as of December 31, 2011</w:t>
            </w:r>
          </w:p>
        </w:tc>
        <w:tc>
          <w:tcPr>
            <w:tcW w:w="10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9,954,516</w:t>
            </w:r>
          </w:p>
        </w:tc>
      </w:tr>
      <w:tr>
        <w:trPr>
          <w:trHeight w:val="20"/>
        </w:trPr>
        <w:tc>
          <w:tcPr>
            <w:tcW w:w="58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-3515995</wp:posOffset>
            </wp:positionV>
            <wp:extent cx="4408170" cy="135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-3126105</wp:posOffset>
            </wp:positionV>
            <wp:extent cx="4408170" cy="135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-2863850</wp:posOffset>
            </wp:positionV>
            <wp:extent cx="4408170" cy="135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-2600960</wp:posOffset>
            </wp:positionV>
            <wp:extent cx="4408170" cy="135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 Preferred Stock</w:t>
      </w:r>
    </w:p>
    <w:p>
      <w:pPr>
        <w:spacing w:after="0" w:line="109"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On May 8, 2006, the Company issued 98 shares of series A convertible preferred stock (on a post-split basis) for a net amount of $2.35 million. On August 8, 2006, the Company declared a stock dividend of approximately 3,999 shares for each share of outstanding stock in their respective classes. The Company treated this transaction as a stock dividend with no adjustment to the par value per respective share due to legal restrictions. Upon the consummation of the IPO, the Series A convertible preferred stock were granted a 15% stock dividend, and then exchanged for shares of common stock and recorded as such (see table above).</w:t>
      </w: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7" w:name="page258"/>
    <w:bookmarkEnd w:id="2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11 — Stockholders’ Equity (Deficit) – (continued)</w:t>
      </w:r>
    </w:p>
    <w:p>
      <w:pPr>
        <w:jc w:val="both"/>
        <w:ind w:left="40" w:right="1239" w:firstLine="251"/>
        <w:spacing w:after="0" w:line="253" w:lineRule="auto"/>
        <w:rPr>
          <w:sz w:val="20"/>
          <w:szCs w:val="20"/>
          <w:color w:val="auto"/>
        </w:rPr>
      </w:pPr>
      <w:r>
        <w:rPr>
          <w:rFonts w:ascii="Arial" w:cs="Arial" w:eastAsia="Arial" w:hAnsi="Arial"/>
          <w:sz w:val="17"/>
          <w:szCs w:val="17"/>
          <w:color w:val="auto"/>
        </w:rPr>
        <w:t>On July 30, 2007, the Company issued 765,466 shares of series B convertible preferred stock (on a post-split basis) which was categorized as temporary equity. Upon the consummation of the IPO, the Series B convertible preferred stock previously classified as temporary equity was granted a 33% stock dividend, and then exchanged for shares of common stock and recorded as such (see table above).</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 Common stock reserved for issuance upon exercise of stock options</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October 30, 2006, the Company adopted the 2006 Stock Option Plan, pursuant to which 880 thousand shares of common stock were reserved for issuance. On July 30, 2007, the Company amended and restated the original plan in its entirety by adopting Amendment No. 1 to Stock Option Plan (the “Stock Option Plan”), which increased the number of common stock reserved for issuance to 2.79 million. In January 2010, the number of common stock reserved for issuance upon the exercise of options in the Stock Option Plan was increased to 14.14 million.</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 Stock options</w:t>
      </w:r>
    </w:p>
    <w:p>
      <w:pPr>
        <w:spacing w:after="0" w:line="10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The Stock Option Plan provides for grants or sales of common stock options to employees, directors and consultants. Options granted in connection with the Company’s Stock Option Plan are exercisable for six years from the grant date. Options are generally forfeited, if not exercised, within ninety days of termination of employment or service to the Company.</w:t>
      </w:r>
    </w:p>
    <w:p>
      <w:pPr>
        <w:spacing w:after="0" w:line="5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the years ended December 31, 2011 and 2010 the Company recorded compensation expense of $1,769 thousand and $912 thousand, respectively. Cumulative from inception the Company has recorded compensation expense of $3,023 thousand, in respect of stock options granted.</w:t>
      </w:r>
    </w:p>
    <w:p>
      <w:pPr>
        <w:spacing w:after="0" w:line="7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January 31, 2011, the Company’s Board of Directors (the “Board”) approved the granting of 216 thousand options to management, employees and consultants at an exercise price of $0.01 per share. These options will vest yearly over three and four year periods (according to the applicable schedule of each optionee). The Board also approved the granting of 264 thousand options at an exercise price of $5.50 to its management, employees and consultants. These options will vest over three and four years (according to the applicable schedule of each optionee).</w:t>
      </w:r>
    </w:p>
    <w:p>
      <w:pPr>
        <w:spacing w:after="0" w:line="6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fair value of options granted in 2011 to employees and directors at an exercise price of $0.01 was calculated using the Black-Scholes-Merton model, which takes into consideration the share price at the date of grant, the exercise price of the option, the expected life of the option, risk free interest rates, expected dividend, and the expected volatility. The following assumptions were used: an expected life of 4 – 4.25 years, a risk-free interest rate of 1.44% – 1.55% and an expected volatility of 52.21% – 47.89% and no dividend yield. The fair value of the common stock used for this calculation was $1.68.</w:t>
      </w:r>
    </w:p>
    <w:p>
      <w:pPr>
        <w:spacing w:after="0" w:line="68"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fair value of options, granted in 2011, to employees and directors at an exercise price of $5.50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6 years, a risk-free interest rate of 2.38% and an expected volatility of 56.41% and no dividend yield. The fair value of the common stock used for this calculation was $1.68.</w:t>
      </w:r>
    </w:p>
    <w:p>
      <w:pPr>
        <w:spacing w:after="0" w:line="66"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In 2011, the fair value of options granted to consultants was calculated using the Black-Scholes-Merton model. The following assumptions were used: expected life of 2 – 6 years, a risk free interest rate of 0.29% – 2.38% and an expected volatility of 45.71% – 59.69% and no dividend yield. The fair value of the common stock used for this calculation was $0.99 – $1.70.</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December 31, 2011, there were approximately 11.5 million shares of common stock available for future grants.</w:t>
      </w:r>
    </w:p>
    <w:p>
      <w:pPr>
        <w:spacing w:after="0" w:line="200" w:lineRule="exact"/>
        <w:rPr>
          <w:sz w:val="20"/>
          <w:szCs w:val="20"/>
          <w:color w:val="auto"/>
        </w:rPr>
      </w:pPr>
    </w:p>
    <w:p>
      <w:pPr>
        <w:spacing w:after="0" w:line="33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8" w:name="page259"/>
    <w:bookmarkEnd w:id="2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11 — Stockholders’ Equity (Deficit) – (continued)</w:t>
      </w:r>
    </w:p>
    <w:p>
      <w:pPr>
        <w:jc w:val="both"/>
        <w:ind w:left="40" w:right="1239" w:firstLine="251"/>
        <w:spacing w:after="0" w:line="250" w:lineRule="auto"/>
        <w:rPr>
          <w:sz w:val="20"/>
          <w:szCs w:val="20"/>
          <w:color w:val="auto"/>
        </w:rPr>
      </w:pPr>
      <w:r>
        <w:rPr>
          <w:rFonts w:ascii="Arial" w:cs="Arial" w:eastAsia="Arial" w:hAnsi="Arial"/>
          <w:sz w:val="17"/>
          <w:szCs w:val="17"/>
          <w:color w:val="auto"/>
        </w:rPr>
        <w:t>On March 17, 2010, the Board approved the granting of options to management, directors and consultants. The Board approved the granting of 1,392,000 options at an exercise price of $0.01. These options vest yearly over three and four year periods, according to the applicable schedule of each optionee. The Board also approved the granting of 1,420,000 options at an exercise price of $5.50 to its employees, directors and consultants. These options vest over four years. Vesting of options granted during 2010 commenced in June through December 2010, according to the applicable schedule of each optionee, and when the terms were communicated.</w:t>
      </w:r>
    </w:p>
    <w:p>
      <w:pPr>
        <w:spacing w:after="0" w:line="8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fair value of the options to employees and directors granted in 2010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5.2 – 6 years, a risk-free interest rate of 2.11% – 2.83% and an expected volatility of 56.11% – 64.3% and no dividend yield. The fair value of the common stock used for this calculation was $2.49 – $2.62. The fair value of options to non-employees is calculated using the following assumptions: expected life of 3 – 5.5 years, a risk free interest rate of 0.71% – 2.64% and an expected volatility of 46% – 64% and no dividend yield.</w:t>
      </w:r>
    </w:p>
    <w:p>
      <w:pPr>
        <w:spacing w:after="0" w:line="73"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In January and February 2012 the Board of Directors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fair value of options granted in January and February 2012 was calculated using the Black-Scholes-Merton model. The following assumptions were used: an expected life of 4.25 – 6 years, a risk-free interest rate of 0.71% – 1.19% and an expected volatility of 67.26% – 75.78% and no dividend yield. The fair value of the common stock used for this calculation was $0.96 – $1.21 and no dividend yield. The Company expects that the total value of the options granted will be approximately $467 thousand.</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 Stock option activity</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information about stock option activity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7"/>
              </w:rPr>
              <w:t>No. of shares</w:t>
            </w:r>
          </w:p>
        </w:tc>
        <w:tc>
          <w:tcPr>
            <w:tcW w:w="14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No. of 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1"/>
              <w:spacing w:after="0"/>
              <w:rPr>
                <w:sz w:val="20"/>
                <w:szCs w:val="20"/>
                <w:color w:val="auto"/>
              </w:rPr>
            </w:pPr>
            <w:r>
              <w:rPr>
                <w:rFonts w:ascii="Arial" w:cs="Arial" w:eastAsia="Arial" w:hAnsi="Arial"/>
                <w:sz w:val="13"/>
                <w:szCs w:val="13"/>
                <w:b w:val="1"/>
                <w:bCs w:val="1"/>
                <w:color w:val="auto"/>
                <w:w w:val="92"/>
              </w:rPr>
              <w:t>Weighted</w:t>
            </w:r>
          </w:p>
        </w:tc>
        <w:tc>
          <w:tcPr>
            <w:tcW w:w="3100" w:type="dxa"/>
            <w:vAlign w:val="bottom"/>
          </w:tcPr>
          <w:p>
            <w:pPr>
              <w:spacing w:after="0"/>
              <w:rPr>
                <w:sz w:val="12"/>
                <w:szCs w:val="12"/>
                <w:color w:val="auto"/>
              </w:rPr>
            </w:pPr>
          </w:p>
        </w:tc>
      </w:tr>
      <w:tr>
        <w:trPr>
          <w:trHeight w:val="138"/>
        </w:trPr>
        <w:tc>
          <w:tcPr>
            <w:tcW w:w="1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2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rPr>
              <w:t>Employees</w:t>
            </w: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8" w:lineRule="exact"/>
              <w:rPr>
                <w:sz w:val="20"/>
                <w:szCs w:val="20"/>
                <w:color w:val="auto"/>
              </w:rPr>
            </w:pPr>
            <w:r>
              <w:rPr>
                <w:rFonts w:ascii="Arial" w:cs="Arial" w:eastAsia="Arial" w:hAnsi="Arial"/>
                <w:sz w:val="13"/>
                <w:szCs w:val="13"/>
                <w:b w:val="1"/>
                <w:bCs w:val="1"/>
                <w:color w:val="auto"/>
                <w:w w:val="97"/>
              </w:rPr>
              <w:t>Non-Employees</w:t>
            </w:r>
          </w:p>
        </w:tc>
        <w:tc>
          <w:tcPr>
            <w:tcW w:w="16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7"/>
              </w:rPr>
              <w:t>average exercise</w:t>
            </w:r>
          </w:p>
        </w:tc>
        <w:tc>
          <w:tcPr>
            <w:tcW w:w="3100" w:type="dxa"/>
            <w:vAlign w:val="bottom"/>
          </w:tcPr>
          <w:p>
            <w:pPr>
              <w:spacing w:after="0"/>
              <w:rPr>
                <w:sz w:val="11"/>
                <w:szCs w:val="11"/>
                <w:color w:val="auto"/>
              </w:rPr>
            </w:pPr>
          </w:p>
        </w:tc>
      </w:tr>
      <w:tr>
        <w:trPr>
          <w:trHeight w:val="158"/>
        </w:trPr>
        <w:tc>
          <w:tcPr>
            <w:tcW w:w="1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5"/>
              </w:rPr>
              <w:t>price U.S.$</w:t>
            </w:r>
          </w:p>
        </w:tc>
        <w:tc>
          <w:tcPr>
            <w:tcW w:w="3100" w:type="dxa"/>
            <w:vAlign w:val="bottom"/>
          </w:tcPr>
          <w:p>
            <w:pPr>
              <w:spacing w:after="0"/>
              <w:rPr>
                <w:sz w:val="13"/>
                <w:szCs w:val="13"/>
                <w:color w:val="auto"/>
              </w:rPr>
            </w:pPr>
          </w:p>
        </w:tc>
      </w:tr>
      <w:tr>
        <w:trPr>
          <w:trHeight w:val="193"/>
        </w:trPr>
        <w:tc>
          <w:tcPr>
            <w:tcW w:w="3680" w:type="dxa"/>
            <w:vAlign w:val="bottom"/>
            <w:gridSpan w:val="2"/>
            <w:shd w:val="clear" w:color="auto" w:fill="CCFFCC"/>
          </w:tcPr>
          <w:p>
            <w:pPr>
              <w:ind w:left="160"/>
              <w:spacing w:after="0" w:line="193" w:lineRule="exact"/>
              <w:rPr>
                <w:sz w:val="20"/>
                <w:szCs w:val="20"/>
                <w:color w:val="auto"/>
              </w:rPr>
            </w:pPr>
            <w:r>
              <w:rPr>
                <w:rFonts w:ascii="Arial" w:cs="Arial" w:eastAsia="Arial" w:hAnsi="Arial"/>
                <w:sz w:val="17"/>
                <w:szCs w:val="17"/>
                <w:color w:val="auto"/>
              </w:rPr>
              <w:t>Outstanding at January 1, 2011</w:t>
            </w:r>
          </w:p>
        </w:tc>
        <w:tc>
          <w:tcPr>
            <w:tcW w:w="9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2,378,908</w:t>
            </w:r>
          </w:p>
        </w:tc>
        <w:tc>
          <w:tcPr>
            <w:tcW w:w="1180" w:type="dxa"/>
            <w:vAlign w:val="bottom"/>
            <w:gridSpan w:val="3"/>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128,000</w:t>
            </w:r>
          </w:p>
        </w:tc>
        <w:tc>
          <w:tcPr>
            <w:tcW w:w="30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jc w:val="right"/>
              <w:ind w:right="61"/>
              <w:spacing w:after="0" w:line="193" w:lineRule="exact"/>
              <w:rPr>
                <w:sz w:val="20"/>
                <w:szCs w:val="20"/>
                <w:color w:val="auto"/>
              </w:rPr>
            </w:pPr>
            <w:r>
              <w:rPr>
                <w:rFonts w:ascii="Arial" w:cs="Arial" w:eastAsia="Arial" w:hAnsi="Arial"/>
                <w:sz w:val="17"/>
                <w:szCs w:val="17"/>
                <w:color w:val="auto"/>
              </w:rPr>
              <w:t>2.76</w:t>
            </w:r>
          </w:p>
        </w:tc>
        <w:tc>
          <w:tcPr>
            <w:tcW w:w="3100" w:type="dxa"/>
            <w:vAlign w:val="bottom"/>
          </w:tcPr>
          <w:p>
            <w:pPr>
              <w:spacing w:after="0"/>
              <w:rPr>
                <w:sz w:val="16"/>
                <w:szCs w:val="16"/>
                <w:color w:val="auto"/>
              </w:rPr>
            </w:pPr>
          </w:p>
        </w:tc>
      </w:tr>
      <w:tr>
        <w:trPr>
          <w:trHeight w:val="200"/>
        </w:trPr>
        <w:tc>
          <w:tcPr>
            <w:tcW w:w="368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496,500</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73,000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61"/>
              <w:spacing w:after="0"/>
              <w:rPr>
                <w:sz w:val="20"/>
                <w:szCs w:val="20"/>
                <w:color w:val="auto"/>
              </w:rPr>
            </w:pPr>
            <w:r>
              <w:rPr>
                <w:rFonts w:ascii="Arial" w:cs="Arial" w:eastAsia="Arial" w:hAnsi="Arial"/>
                <w:sz w:val="17"/>
                <w:szCs w:val="17"/>
                <w:color w:val="auto"/>
              </w:rPr>
              <w:t>3.04</w:t>
            </w:r>
          </w:p>
        </w:tc>
        <w:tc>
          <w:tcPr>
            <w:tcW w:w="3100" w:type="dxa"/>
            <w:vAlign w:val="bottom"/>
          </w:tcPr>
          <w:p>
            <w:pPr>
              <w:spacing w:after="0"/>
              <w:rPr>
                <w:sz w:val="17"/>
                <w:szCs w:val="17"/>
                <w:color w:val="auto"/>
              </w:rPr>
            </w:pPr>
          </w:p>
        </w:tc>
      </w:tr>
      <w:tr>
        <w:trPr>
          <w:trHeight w:val="200"/>
        </w:trPr>
        <w:tc>
          <w:tcPr>
            <w:tcW w:w="36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Exercised</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(302,413)</w:t>
            </w:r>
          </w:p>
        </w:tc>
        <w:tc>
          <w:tcPr>
            <w:tcW w:w="118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(39,500)</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jc w:val="right"/>
              <w:ind w:right="61"/>
              <w:spacing w:after="0"/>
              <w:rPr>
                <w:sz w:val="20"/>
                <w:szCs w:val="20"/>
                <w:color w:val="auto"/>
              </w:rPr>
            </w:pPr>
            <w:r>
              <w:rPr>
                <w:rFonts w:ascii="Arial" w:cs="Arial" w:eastAsia="Arial" w:hAnsi="Arial"/>
                <w:sz w:val="17"/>
                <w:szCs w:val="17"/>
                <w:color w:val="auto"/>
              </w:rPr>
              <w:t>0.01</w:t>
            </w:r>
          </w:p>
        </w:tc>
        <w:tc>
          <w:tcPr>
            <w:tcW w:w="3100" w:type="dxa"/>
            <w:vAlign w:val="bottom"/>
          </w:tcPr>
          <w:p>
            <w:pPr>
              <w:spacing w:after="0"/>
              <w:rPr>
                <w:sz w:val="17"/>
                <w:szCs w:val="17"/>
                <w:color w:val="auto"/>
              </w:rPr>
            </w:pPr>
          </w:p>
        </w:tc>
      </w:tr>
      <w:tr>
        <w:trPr>
          <w:trHeight w:val="200"/>
        </w:trPr>
        <w:tc>
          <w:tcPr>
            <w:tcW w:w="3680" w:type="dxa"/>
            <w:vAlign w:val="bottom"/>
            <w:gridSpan w:val="2"/>
          </w:tcPr>
          <w:p>
            <w:pPr>
              <w:ind w:left="160"/>
              <w:spacing w:after="0"/>
              <w:rPr>
                <w:sz w:val="20"/>
                <w:szCs w:val="20"/>
                <w:color w:val="auto"/>
              </w:rPr>
            </w:pPr>
            <w:r>
              <w:rPr>
                <w:rFonts w:ascii="Arial" w:cs="Arial" w:eastAsia="Arial" w:hAnsi="Arial"/>
                <w:sz w:val="17"/>
                <w:szCs w:val="17"/>
                <w:color w:val="auto"/>
              </w:rPr>
              <w:t>Expired</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(169,759)</w:t>
            </w: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(18,000)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61"/>
              <w:spacing w:after="0"/>
              <w:rPr>
                <w:sz w:val="20"/>
                <w:szCs w:val="20"/>
                <w:color w:val="auto"/>
              </w:rPr>
            </w:pPr>
            <w:r>
              <w:rPr>
                <w:rFonts w:ascii="Arial" w:cs="Arial" w:eastAsia="Arial" w:hAnsi="Arial"/>
                <w:sz w:val="17"/>
                <w:szCs w:val="17"/>
                <w:color w:val="auto"/>
              </w:rPr>
              <w:t>3.46</w:t>
            </w:r>
          </w:p>
        </w:tc>
        <w:tc>
          <w:tcPr>
            <w:tcW w:w="3100" w:type="dxa"/>
            <w:vAlign w:val="bottom"/>
          </w:tcPr>
          <w:p>
            <w:pPr>
              <w:spacing w:after="0"/>
              <w:rPr>
                <w:sz w:val="17"/>
                <w:szCs w:val="17"/>
                <w:color w:val="auto"/>
              </w:rPr>
            </w:pPr>
          </w:p>
        </w:tc>
      </w:tr>
      <w:tr>
        <w:trPr>
          <w:trHeight w:val="200"/>
        </w:trPr>
        <w:tc>
          <w:tcPr>
            <w:tcW w:w="36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Forfeited</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(318,336)</w:t>
            </w:r>
          </w:p>
        </w:tc>
        <w:tc>
          <w:tcPr>
            <w:tcW w:w="14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jc w:val="right"/>
              <w:ind w:right="61"/>
              <w:spacing w:after="0"/>
              <w:rPr>
                <w:sz w:val="20"/>
                <w:szCs w:val="20"/>
                <w:color w:val="auto"/>
              </w:rPr>
            </w:pPr>
            <w:r>
              <w:rPr>
                <w:rFonts w:ascii="Arial" w:cs="Arial" w:eastAsia="Arial" w:hAnsi="Arial"/>
                <w:sz w:val="17"/>
                <w:szCs w:val="17"/>
                <w:color w:val="auto"/>
              </w:rPr>
              <w:t>3.23</w:t>
            </w:r>
          </w:p>
        </w:tc>
        <w:tc>
          <w:tcPr>
            <w:tcW w:w="3100" w:type="dxa"/>
            <w:vAlign w:val="bottom"/>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5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6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368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Outstanding at December 31, 2011</w:t>
            </w:r>
          </w:p>
        </w:tc>
        <w:tc>
          <w:tcPr>
            <w:tcW w:w="920" w:type="dxa"/>
            <w:vAlign w:val="bottom"/>
            <w:gridSpan w:val="2"/>
          </w:tcPr>
          <w:p>
            <w:pPr>
              <w:jc w:val="right"/>
              <w:ind w:right="120"/>
              <w:spacing w:after="0" w:line="193" w:lineRule="exact"/>
              <w:rPr>
                <w:sz w:val="20"/>
                <w:szCs w:val="20"/>
                <w:color w:val="auto"/>
              </w:rPr>
            </w:pPr>
            <w:r>
              <w:rPr>
                <w:rFonts w:ascii="Arial" w:cs="Arial" w:eastAsia="Arial" w:hAnsi="Arial"/>
                <w:sz w:val="17"/>
                <w:szCs w:val="17"/>
                <w:b w:val="1"/>
                <w:bCs w:val="1"/>
                <w:color w:val="auto"/>
              </w:rPr>
              <w:t>2,084,900</w:t>
            </w:r>
          </w:p>
        </w:tc>
        <w:tc>
          <w:tcPr>
            <w:tcW w:w="1180" w:type="dxa"/>
            <w:vAlign w:val="bottom"/>
            <w:gridSpan w:val="3"/>
          </w:tcPr>
          <w:p>
            <w:pPr>
              <w:jc w:val="right"/>
              <w:ind w:right="140"/>
              <w:spacing w:after="0" w:line="193" w:lineRule="exact"/>
              <w:rPr>
                <w:sz w:val="20"/>
                <w:szCs w:val="20"/>
                <w:color w:val="auto"/>
              </w:rPr>
            </w:pPr>
            <w:r>
              <w:rPr>
                <w:rFonts w:ascii="Arial" w:cs="Arial" w:eastAsia="Arial" w:hAnsi="Arial"/>
                <w:sz w:val="17"/>
                <w:szCs w:val="17"/>
                <w:b w:val="1"/>
                <w:bCs w:val="1"/>
                <w:color w:val="auto"/>
              </w:rPr>
              <w:t>143,500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11"/>
        </w:trPr>
        <w:tc>
          <w:tcPr>
            <w:tcW w:w="368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Exercisable at December 31, 2011</w:t>
            </w:r>
          </w:p>
        </w:tc>
        <w:tc>
          <w:tcPr>
            <w:tcW w:w="92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7"/>
                <w:szCs w:val="17"/>
                <w:b w:val="1"/>
                <w:bCs w:val="1"/>
                <w:color w:val="auto"/>
              </w:rPr>
              <w:t>690,121</w:t>
            </w:r>
          </w:p>
        </w:tc>
        <w:tc>
          <w:tcPr>
            <w:tcW w:w="1180" w:type="dxa"/>
            <w:vAlign w:val="bottom"/>
            <w:gridSpan w:val="3"/>
            <w:shd w:val="clear" w:color="auto" w:fill="CCFFCC"/>
          </w:tcPr>
          <w:p>
            <w:pPr>
              <w:jc w:val="right"/>
              <w:ind w:right="140"/>
              <w:spacing w:after="0" w:line="191" w:lineRule="exact"/>
              <w:rPr>
                <w:sz w:val="20"/>
                <w:szCs w:val="20"/>
                <w:color w:val="auto"/>
              </w:rPr>
            </w:pPr>
            <w:r>
              <w:rPr>
                <w:rFonts w:ascii="Arial" w:cs="Arial" w:eastAsia="Arial" w:hAnsi="Arial"/>
                <w:sz w:val="17"/>
                <w:szCs w:val="17"/>
                <w:b w:val="1"/>
                <w:bCs w:val="1"/>
                <w:color w:val="auto"/>
              </w:rPr>
              <w:t>50,074</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1140" w:type="dxa"/>
            <w:vAlign w:val="bottom"/>
            <w:tcBorders>
              <w:top w:val="single" w:sz="8" w:color="CCFFCC"/>
            </w:tcBorders>
            <w:shd w:val="clear" w:color="auto" w:fill="CCFFCC"/>
          </w:tcPr>
          <w:p>
            <w:pPr>
              <w:spacing w:after="0" w:line="20" w:lineRule="exact"/>
              <w:rPr>
                <w:sz w:val="1"/>
                <w:szCs w:val="1"/>
                <w:color w:val="auto"/>
              </w:rPr>
            </w:pPr>
          </w:p>
        </w:tc>
        <w:tc>
          <w:tcPr>
            <w:tcW w:w="25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704"/>
        </w:trPr>
        <w:tc>
          <w:tcPr>
            <w:tcW w:w="1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F-41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5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5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-906145</wp:posOffset>
            </wp:positionV>
            <wp:extent cx="4408170" cy="1670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40817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408170" cy="317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9" w:name="page260"/>
    <w:bookmarkEnd w:id="2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11 — Stockholders’ Equity (Deficit) – (continued)</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information about stock option activity for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440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34403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7"/>
              </w:rPr>
              <w:t>No. of shares</w:t>
            </w:r>
          </w:p>
        </w:tc>
        <w:tc>
          <w:tcPr>
            <w:tcW w:w="14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No. of shares</w:t>
            </w:r>
          </w:p>
        </w:tc>
        <w:tc>
          <w:tcPr>
            <w:tcW w:w="1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Weighted average</w:t>
            </w:r>
          </w:p>
        </w:tc>
      </w:tr>
      <w:tr>
        <w:trPr>
          <w:trHeight w:val="138"/>
        </w:trPr>
        <w:tc>
          <w:tcPr>
            <w:tcW w:w="3680" w:type="dxa"/>
            <w:vAlign w:val="bottom"/>
          </w:tcPr>
          <w:p>
            <w:pPr>
              <w:spacing w:after="0"/>
              <w:rPr>
                <w:sz w:val="11"/>
                <w:szCs w:val="11"/>
                <w:color w:val="auto"/>
              </w:rPr>
            </w:pPr>
          </w:p>
        </w:tc>
        <w:tc>
          <w:tcPr>
            <w:tcW w:w="900" w:type="dxa"/>
            <w:vAlign w:val="bottom"/>
            <w:gridSpan w:val="2"/>
          </w:tcPr>
          <w:p>
            <w:pPr>
              <w:jc w:val="right"/>
              <w:ind w:right="140"/>
              <w:spacing w:after="0" w:line="138" w:lineRule="exact"/>
              <w:rPr>
                <w:sz w:val="20"/>
                <w:szCs w:val="20"/>
                <w:color w:val="auto"/>
              </w:rPr>
            </w:pPr>
            <w:r>
              <w:rPr>
                <w:rFonts w:ascii="Arial" w:cs="Arial" w:eastAsia="Arial" w:hAnsi="Arial"/>
                <w:sz w:val="13"/>
                <w:szCs w:val="13"/>
                <w:b w:val="1"/>
                <w:bCs w:val="1"/>
                <w:color w:val="auto"/>
              </w:rPr>
              <w:t>Employees</w:t>
            </w:r>
          </w:p>
        </w:tc>
        <w:tc>
          <w:tcPr>
            <w:tcW w:w="140" w:type="dxa"/>
            <w:vAlign w:val="bottom"/>
          </w:tcPr>
          <w:p>
            <w:pPr>
              <w:spacing w:after="0"/>
              <w:rPr>
                <w:sz w:val="11"/>
                <w:szCs w:val="11"/>
                <w:color w:val="auto"/>
              </w:rPr>
            </w:pPr>
          </w:p>
        </w:tc>
        <w:tc>
          <w:tcPr>
            <w:tcW w:w="960" w:type="dxa"/>
            <w:vAlign w:val="bottom"/>
            <w:gridSpan w:val="2"/>
          </w:tcPr>
          <w:p>
            <w:pPr>
              <w:jc w:val="right"/>
              <w:ind w:right="20"/>
              <w:spacing w:after="0" w:line="138" w:lineRule="exact"/>
              <w:rPr>
                <w:sz w:val="20"/>
                <w:szCs w:val="20"/>
                <w:color w:val="auto"/>
              </w:rPr>
            </w:pPr>
            <w:r>
              <w:rPr>
                <w:rFonts w:ascii="Arial" w:cs="Arial" w:eastAsia="Arial" w:hAnsi="Arial"/>
                <w:sz w:val="13"/>
                <w:szCs w:val="13"/>
                <w:b w:val="1"/>
                <w:bCs w:val="1"/>
                <w:color w:val="auto"/>
                <w:w w:val="93"/>
              </w:rPr>
              <w:t>Non-Employees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2"/>
              <w:spacing w:after="0" w:line="138" w:lineRule="exact"/>
              <w:rPr>
                <w:sz w:val="20"/>
                <w:szCs w:val="20"/>
                <w:color w:val="auto"/>
              </w:rPr>
            </w:pPr>
            <w:r>
              <w:rPr>
                <w:rFonts w:ascii="Arial" w:cs="Arial" w:eastAsia="Arial" w:hAnsi="Arial"/>
                <w:sz w:val="13"/>
                <w:szCs w:val="13"/>
                <w:b w:val="1"/>
                <w:bCs w:val="1"/>
                <w:color w:val="auto"/>
                <w:w w:val="89"/>
              </w:rPr>
              <w:t>exercise price</w:t>
            </w:r>
          </w:p>
        </w:tc>
      </w:tr>
      <w:tr>
        <w:trPr>
          <w:trHeight w:val="158"/>
        </w:trPr>
        <w:tc>
          <w:tcPr>
            <w:tcW w:w="36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2"/>
              </w:rPr>
              <w:t>U.S.$</w:t>
            </w:r>
          </w:p>
        </w:tc>
      </w:tr>
      <w:tr>
        <w:trPr>
          <w:trHeight w:val="193"/>
        </w:trPr>
        <w:tc>
          <w:tcPr>
            <w:tcW w:w="368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Outstanding at January 1, 2010</w:t>
            </w:r>
          </w:p>
        </w:tc>
        <w:tc>
          <w:tcPr>
            <w:tcW w:w="7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237,677</w:t>
            </w:r>
          </w:p>
        </w:tc>
        <w:tc>
          <w:tcPr>
            <w:tcW w:w="120" w:type="dxa"/>
            <w:vAlign w:val="bottom"/>
            <w:shd w:val="clear" w:color="auto" w:fill="CCFFCC"/>
          </w:tcPr>
          <w:p>
            <w:pPr>
              <w:spacing w:after="0"/>
              <w:rPr>
                <w:sz w:val="16"/>
                <w:szCs w:val="16"/>
                <w:color w:val="auto"/>
              </w:rPr>
            </w:pPr>
          </w:p>
        </w:tc>
        <w:tc>
          <w:tcPr>
            <w:tcW w:w="1100" w:type="dxa"/>
            <w:vAlign w:val="bottom"/>
            <w:gridSpan w:val="3"/>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45,250</w:t>
            </w:r>
          </w:p>
        </w:tc>
        <w:tc>
          <w:tcPr>
            <w:tcW w:w="2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980" w:type="dxa"/>
            <w:vAlign w:val="bottom"/>
            <w:shd w:val="clear" w:color="auto" w:fill="CCFFCC"/>
          </w:tcPr>
          <w:p>
            <w:pPr>
              <w:jc w:val="right"/>
              <w:ind w:right="82"/>
              <w:spacing w:after="0" w:line="193" w:lineRule="exact"/>
              <w:rPr>
                <w:sz w:val="20"/>
                <w:szCs w:val="20"/>
                <w:color w:val="auto"/>
              </w:rPr>
            </w:pPr>
            <w:r>
              <w:rPr>
                <w:rFonts w:ascii="Arial" w:cs="Arial" w:eastAsia="Arial" w:hAnsi="Arial"/>
                <w:sz w:val="17"/>
                <w:szCs w:val="17"/>
                <w:color w:val="auto"/>
              </w:rPr>
              <w:t>2.58</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Granted</w:t>
            </w:r>
          </w:p>
        </w:tc>
        <w:tc>
          <w:tcPr>
            <w:tcW w:w="780" w:type="dxa"/>
            <w:vAlign w:val="bottom"/>
          </w:tcPr>
          <w:p>
            <w:pPr>
              <w:jc w:val="right"/>
              <w:spacing w:after="0"/>
              <w:rPr>
                <w:sz w:val="20"/>
                <w:szCs w:val="20"/>
                <w:color w:val="auto"/>
              </w:rPr>
            </w:pPr>
            <w:r>
              <w:rPr>
                <w:rFonts w:ascii="Arial" w:cs="Arial" w:eastAsia="Arial" w:hAnsi="Arial"/>
                <w:sz w:val="17"/>
                <w:szCs w:val="17"/>
                <w:color w:val="auto"/>
              </w:rPr>
              <w:t>2,708,000</w:t>
            </w:r>
          </w:p>
        </w:tc>
        <w:tc>
          <w:tcPr>
            <w:tcW w:w="1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7"/>
                <w:szCs w:val="17"/>
                <w:color w:val="auto"/>
              </w:rPr>
              <w:t>104,000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82"/>
              <w:spacing w:after="0"/>
              <w:rPr>
                <w:sz w:val="20"/>
                <w:szCs w:val="20"/>
                <w:color w:val="auto"/>
              </w:rPr>
            </w:pPr>
            <w:r>
              <w:rPr>
                <w:rFonts w:ascii="Arial" w:cs="Arial" w:eastAsia="Arial" w:hAnsi="Arial"/>
                <w:sz w:val="17"/>
                <w:szCs w:val="17"/>
                <w:color w:val="auto"/>
              </w:rPr>
              <w:t>2.74</w:t>
            </w:r>
          </w:p>
        </w:tc>
      </w:tr>
      <w:tr>
        <w:trPr>
          <w:trHeight w:val="200"/>
        </w:trPr>
        <w:tc>
          <w:tcPr>
            <w:tcW w:w="3680" w:type="dxa"/>
            <w:vAlign w:val="bottom"/>
            <w:shd w:val="clear" w:color="auto" w:fill="CCFFCC"/>
          </w:tcPr>
          <w:p>
            <w:pPr>
              <w:spacing w:after="0"/>
              <w:rPr>
                <w:sz w:val="20"/>
                <w:szCs w:val="20"/>
                <w:color w:val="auto"/>
              </w:rPr>
            </w:pPr>
            <w:r>
              <w:rPr>
                <w:rFonts w:ascii="Arial" w:cs="Arial" w:eastAsia="Arial" w:hAnsi="Arial"/>
                <w:sz w:val="17"/>
                <w:szCs w:val="17"/>
                <w:color w:val="auto"/>
              </w:rPr>
              <w:t>Exercised</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(60,517)</w:t>
            </w:r>
          </w:p>
        </w:tc>
        <w:tc>
          <w:tcPr>
            <w:tcW w:w="14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FFCC"/>
          </w:tcPr>
          <w:p>
            <w:pPr>
              <w:jc w:val="right"/>
              <w:ind w:right="82"/>
              <w:spacing w:after="0"/>
              <w:rPr>
                <w:sz w:val="20"/>
                <w:szCs w:val="20"/>
                <w:color w:val="auto"/>
              </w:rPr>
            </w:pPr>
            <w:r>
              <w:rPr>
                <w:rFonts w:ascii="Arial" w:cs="Arial" w:eastAsia="Arial" w:hAnsi="Arial"/>
                <w:sz w:val="17"/>
                <w:szCs w:val="17"/>
                <w:color w:val="auto"/>
              </w:rPr>
              <w:t>0.21</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Forfeited</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(506,252)</w:t>
            </w:r>
          </w:p>
        </w:tc>
        <w:tc>
          <w:tcPr>
            <w:tcW w:w="1100" w:type="dxa"/>
            <w:vAlign w:val="bottom"/>
            <w:gridSpan w:val="3"/>
          </w:tcPr>
          <w:p>
            <w:pPr>
              <w:jc w:val="right"/>
              <w:ind w:right="80"/>
              <w:spacing w:after="0"/>
              <w:rPr>
                <w:sz w:val="20"/>
                <w:szCs w:val="20"/>
                <w:color w:val="auto"/>
              </w:rPr>
            </w:pPr>
            <w:r>
              <w:rPr>
                <w:rFonts w:ascii="Arial" w:cs="Arial" w:eastAsia="Arial" w:hAnsi="Arial"/>
                <w:sz w:val="17"/>
                <w:szCs w:val="17"/>
                <w:color w:val="auto"/>
              </w:rPr>
              <w:t>(21,250)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82"/>
              <w:spacing w:after="0"/>
              <w:rPr>
                <w:sz w:val="20"/>
                <w:szCs w:val="20"/>
                <w:color w:val="auto"/>
              </w:rPr>
            </w:pPr>
            <w:r>
              <w:rPr>
                <w:rFonts w:ascii="Arial" w:cs="Arial" w:eastAsia="Arial" w:hAnsi="Arial"/>
                <w:sz w:val="17"/>
                <w:szCs w:val="17"/>
                <w:color w:val="auto"/>
              </w:rPr>
              <w:t>2.87</w:t>
            </w:r>
          </w:p>
        </w:tc>
      </w:tr>
      <w:tr>
        <w:trPr>
          <w:trHeight w:val="20"/>
        </w:trPr>
        <w:tc>
          <w:tcPr>
            <w:tcW w:w="3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3"/>
        </w:trPr>
        <w:tc>
          <w:tcPr>
            <w:tcW w:w="368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Outstanding at December 31, 2010</w:t>
            </w:r>
          </w:p>
        </w:tc>
        <w:tc>
          <w:tcPr>
            <w:tcW w:w="7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2,378,908</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128,000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0"/>
        </w:trPr>
        <w:tc>
          <w:tcPr>
            <w:tcW w:w="36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r>
      <w:tr>
        <w:trPr>
          <w:trHeight w:val="191"/>
        </w:trPr>
        <w:tc>
          <w:tcPr>
            <w:tcW w:w="3680" w:type="dxa"/>
            <w:vAlign w:val="bottom"/>
          </w:tcPr>
          <w:p>
            <w:pPr>
              <w:spacing w:after="0" w:line="191" w:lineRule="exact"/>
              <w:rPr>
                <w:sz w:val="20"/>
                <w:szCs w:val="20"/>
                <w:color w:val="auto"/>
              </w:rPr>
            </w:pPr>
            <w:r>
              <w:rPr>
                <w:rFonts w:ascii="Arial" w:cs="Arial" w:eastAsia="Arial" w:hAnsi="Arial"/>
                <w:sz w:val="17"/>
                <w:szCs w:val="17"/>
                <w:b w:val="1"/>
                <w:bCs w:val="1"/>
                <w:color w:val="auto"/>
              </w:rPr>
              <w:t>Exercisable at December 31, 2010</w:t>
            </w:r>
          </w:p>
        </w:tc>
        <w:tc>
          <w:tcPr>
            <w:tcW w:w="78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128,804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line="191" w:lineRule="exact"/>
              <w:rPr>
                <w:sz w:val="20"/>
                <w:szCs w:val="20"/>
                <w:color w:val="auto"/>
              </w:rPr>
            </w:pPr>
            <w:r>
              <w:rPr>
                <w:rFonts w:ascii="Arial" w:cs="Arial" w:eastAsia="Arial" w:hAnsi="Arial"/>
                <w:sz w:val="17"/>
                <w:szCs w:val="17"/>
                <w:b w:val="1"/>
                <w:bCs w:val="1"/>
                <w:color w:val="auto"/>
              </w:rPr>
              <w:t>32,150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3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-190500</wp:posOffset>
            </wp:positionV>
            <wp:extent cx="4408170" cy="1911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408170" cy="19113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cumulative period ended December 31, 2011, the Company granted a total of 3,595 thousand stock options to its employees, directors and consultants at an average exercise price of $2.82. For the cumulative period ended December 31, 2011, 402 thousand stock options were exercised.</w:t>
      </w:r>
    </w:p>
    <w:p>
      <w:pPr>
        <w:spacing w:after="0" w:line="76"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summarizes information about employee and non-employee stock options outstanding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Options outstanding</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Options exercisable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8"/>
        </w:trPr>
        <w:tc>
          <w:tcPr>
            <w:tcW w:w="360" w:type="dxa"/>
            <w:vAlign w:val="bottom"/>
          </w:tcPr>
          <w:p>
            <w:pPr>
              <w:spacing w:after="0"/>
              <w:rPr>
                <w:sz w:val="12"/>
                <w:szCs w:val="12"/>
                <w:color w:val="auto"/>
              </w:rPr>
            </w:pPr>
          </w:p>
        </w:tc>
        <w:tc>
          <w:tcPr>
            <w:tcW w:w="102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Weighted</w:t>
            </w:r>
          </w:p>
        </w:tc>
        <w:tc>
          <w:tcPr>
            <w:tcW w:w="10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1"/>
              </w:rPr>
              <w:t>Weighted average</w:t>
            </w:r>
          </w:p>
        </w:tc>
        <w:tc>
          <w:tcPr>
            <w:tcW w:w="140" w:type="dxa"/>
            <w:vAlign w:val="bottom"/>
          </w:tcPr>
          <w:p>
            <w:pPr>
              <w:spacing w:after="0"/>
              <w:rPr>
                <w:sz w:val="12"/>
                <w:szCs w:val="12"/>
                <w:color w:val="auto"/>
              </w:rPr>
            </w:pPr>
          </w:p>
        </w:tc>
        <w:tc>
          <w:tcPr>
            <w:tcW w:w="940" w:type="dxa"/>
            <w:vAlign w:val="bottom"/>
          </w:tcPr>
          <w:p>
            <w:pPr>
              <w:jc w:val="center"/>
              <w:ind w:left="8"/>
              <w:spacing w:after="0" w:line="148" w:lineRule="exact"/>
              <w:rPr>
                <w:sz w:val="20"/>
                <w:szCs w:val="20"/>
                <w:color w:val="auto"/>
              </w:rPr>
            </w:pPr>
            <w:r>
              <w:rPr>
                <w:rFonts w:ascii="Arial" w:cs="Arial" w:eastAsia="Arial" w:hAnsi="Arial"/>
                <w:sz w:val="13"/>
                <w:szCs w:val="13"/>
                <w:b w:val="1"/>
                <w:bCs w:val="1"/>
                <w:color w:val="auto"/>
                <w:w w:val="93"/>
              </w:rPr>
              <w:t>Number</w:t>
            </w:r>
          </w:p>
        </w:tc>
        <w:tc>
          <w:tcPr>
            <w:tcW w:w="22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Weighted 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
              <w:spacing w:after="0" w:line="148" w:lineRule="exact"/>
              <w:rPr>
                <w:sz w:val="20"/>
                <w:szCs w:val="20"/>
                <w:color w:val="auto"/>
              </w:rPr>
            </w:pPr>
            <w:r>
              <w:rPr>
                <w:rFonts w:ascii="Arial" w:cs="Arial" w:eastAsia="Arial" w:hAnsi="Arial"/>
                <w:sz w:val="13"/>
                <w:szCs w:val="13"/>
                <w:b w:val="1"/>
                <w:bCs w:val="1"/>
                <w:color w:val="auto"/>
                <w:w w:val="92"/>
              </w:rPr>
              <w:t>Weighted</w:t>
            </w:r>
          </w:p>
        </w:tc>
      </w:tr>
      <w:tr>
        <w:trPr>
          <w:trHeight w:val="138"/>
        </w:trPr>
        <w:tc>
          <w:tcPr>
            <w:tcW w:w="360" w:type="dxa"/>
            <w:vAlign w:val="bottom"/>
          </w:tcPr>
          <w:p>
            <w:pPr>
              <w:spacing w:after="0"/>
              <w:rPr>
                <w:sz w:val="11"/>
                <w:szCs w:val="11"/>
                <w:color w:val="auto"/>
              </w:rPr>
            </w:pPr>
          </w:p>
        </w:tc>
        <w:tc>
          <w:tcPr>
            <w:tcW w:w="1020" w:type="dxa"/>
            <w:vAlign w:val="bottom"/>
            <w:gridSpan w:val="2"/>
          </w:tcPr>
          <w:p>
            <w:pPr>
              <w:jc w:val="right"/>
              <w:ind w:right="140"/>
              <w:spacing w:after="0" w:line="138" w:lineRule="exact"/>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1"/>
                <w:szCs w:val="11"/>
                <w:color w:val="auto"/>
              </w:rPr>
            </w:pPr>
          </w:p>
        </w:tc>
        <w:tc>
          <w:tcPr>
            <w:tcW w:w="116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1"/>
                <w:szCs w:val="11"/>
                <w:color w:val="auto"/>
              </w:rPr>
            </w:pPr>
          </w:p>
        </w:tc>
        <w:tc>
          <w:tcPr>
            <w:tcW w:w="940" w:type="dxa"/>
            <w:vAlign w:val="bottom"/>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exercise price</w:t>
            </w:r>
          </w:p>
        </w:tc>
        <w:tc>
          <w:tcPr>
            <w:tcW w:w="140" w:type="dxa"/>
            <w:vAlign w:val="bottom"/>
          </w:tcPr>
          <w:p>
            <w:pPr>
              <w:spacing w:after="0"/>
              <w:rPr>
                <w:sz w:val="11"/>
                <w:szCs w:val="11"/>
                <w:color w:val="auto"/>
              </w:rPr>
            </w:pPr>
          </w:p>
        </w:tc>
        <w:tc>
          <w:tcPr>
            <w:tcW w:w="940" w:type="dxa"/>
            <w:vAlign w:val="bottom"/>
          </w:tcPr>
          <w:p>
            <w:pPr>
              <w:jc w:val="center"/>
              <w:ind w:left="8"/>
              <w:spacing w:after="0" w:line="138" w:lineRule="exact"/>
              <w:rPr>
                <w:sz w:val="20"/>
                <w:szCs w:val="20"/>
                <w:color w:val="auto"/>
              </w:rPr>
            </w:pPr>
            <w:r>
              <w:rPr>
                <w:rFonts w:ascii="Arial" w:cs="Arial" w:eastAsia="Arial" w:hAnsi="Arial"/>
                <w:sz w:val="13"/>
                <w:szCs w:val="13"/>
                <w:b w:val="1"/>
                <w:bCs w:val="1"/>
                <w:color w:val="auto"/>
                <w:w w:val="91"/>
              </w:rPr>
              <w:t>Outstanding</w:t>
            </w:r>
          </w:p>
        </w:tc>
        <w:tc>
          <w:tcPr>
            <w:tcW w:w="220" w:type="dxa"/>
            <w:vAlign w:val="bottom"/>
          </w:tcPr>
          <w:p>
            <w:pPr>
              <w:spacing w:after="0"/>
              <w:rPr>
                <w:sz w:val="11"/>
                <w:szCs w:val="11"/>
                <w:color w:val="auto"/>
              </w:rPr>
            </w:pPr>
          </w:p>
        </w:tc>
        <w:tc>
          <w:tcPr>
            <w:tcW w:w="13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remaining contractual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23"/>
              <w:spacing w:after="0" w:line="138" w:lineRule="exact"/>
              <w:rPr>
                <w:sz w:val="20"/>
                <w:szCs w:val="20"/>
                <w:color w:val="auto"/>
              </w:rPr>
            </w:pPr>
            <w:r>
              <w:rPr>
                <w:rFonts w:ascii="Arial" w:cs="Arial" w:eastAsia="Arial" w:hAnsi="Arial"/>
                <w:sz w:val="13"/>
                <w:szCs w:val="13"/>
                <w:b w:val="1"/>
                <w:bCs w:val="1"/>
                <w:color w:val="auto"/>
                <w:w w:val="87"/>
              </w:rPr>
              <w:t>average exercise</w:t>
            </w:r>
          </w:p>
        </w:tc>
      </w:tr>
      <w:tr>
        <w:trPr>
          <w:trHeight w:val="138"/>
        </w:trPr>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3"/>
              </w:rPr>
              <w:t>remaining</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life (years)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23"/>
              <w:spacing w:after="0" w:line="138" w:lineRule="exact"/>
              <w:rPr>
                <w:sz w:val="20"/>
                <w:szCs w:val="20"/>
                <w:color w:val="auto"/>
              </w:rPr>
            </w:pPr>
            <w:r>
              <w:rPr>
                <w:rFonts w:ascii="Arial" w:cs="Arial" w:eastAsia="Arial" w:hAnsi="Arial"/>
                <w:sz w:val="13"/>
                <w:szCs w:val="13"/>
                <w:b w:val="1"/>
                <w:bCs w:val="1"/>
                <w:color w:val="auto"/>
                <w:w w:val="89"/>
              </w:rPr>
              <w:t>price</w:t>
            </w:r>
          </w:p>
        </w:tc>
      </w:tr>
      <w:tr>
        <w:trPr>
          <w:trHeight w:val="138"/>
        </w:trPr>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2"/>
              </w:rPr>
              <w:t>contractual life</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8"/>
        </w:trPr>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(years)</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3"/>
        </w:trPr>
        <w:tc>
          <w:tcPr>
            <w:tcW w:w="36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60"/>
              <w:spacing w:after="0" w:line="193" w:lineRule="exact"/>
              <w:rPr>
                <w:sz w:val="20"/>
                <w:szCs w:val="20"/>
                <w:color w:val="auto"/>
              </w:rPr>
            </w:pPr>
            <w:r>
              <w:rPr>
                <w:rFonts w:ascii="Arial" w:cs="Arial" w:eastAsia="Arial" w:hAnsi="Arial"/>
                <w:sz w:val="17"/>
                <w:szCs w:val="17"/>
                <w:color w:val="auto"/>
              </w:rPr>
              <w:t>1,218,563</w:t>
            </w: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ind w:right="50"/>
              <w:spacing w:after="0" w:line="193" w:lineRule="exact"/>
              <w:rPr>
                <w:sz w:val="20"/>
                <w:szCs w:val="20"/>
                <w:color w:val="auto"/>
              </w:rPr>
            </w:pPr>
            <w:r>
              <w:rPr>
                <w:rFonts w:ascii="Arial" w:cs="Arial" w:eastAsia="Arial" w:hAnsi="Arial"/>
                <w:sz w:val="17"/>
                <w:szCs w:val="17"/>
                <w:color w:val="auto"/>
              </w:rPr>
              <w:t>4.38</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line="193" w:lineRule="exact"/>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59"/>
              <w:spacing w:after="0" w:line="193" w:lineRule="exact"/>
              <w:rPr>
                <w:sz w:val="20"/>
                <w:szCs w:val="20"/>
                <w:color w:val="auto"/>
              </w:rPr>
            </w:pPr>
            <w:r>
              <w:rPr>
                <w:rFonts w:ascii="Arial" w:cs="Arial" w:eastAsia="Arial" w:hAnsi="Arial"/>
                <w:sz w:val="17"/>
                <w:szCs w:val="17"/>
                <w:color w:val="auto"/>
              </w:rPr>
              <w:t>5.5</w:t>
            </w:r>
          </w:p>
        </w:tc>
        <w:tc>
          <w:tcPr>
            <w:tcW w:w="140" w:type="dxa"/>
            <w:vAlign w:val="bottom"/>
          </w:tcPr>
          <w:p>
            <w:pPr>
              <w:spacing w:after="0"/>
              <w:rPr>
                <w:sz w:val="16"/>
                <w:szCs w:val="16"/>
                <w:color w:val="auto"/>
              </w:rPr>
            </w:pPr>
          </w:p>
        </w:tc>
        <w:tc>
          <w:tcPr>
            <w:tcW w:w="9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472,355</w:t>
            </w:r>
          </w:p>
        </w:tc>
        <w:tc>
          <w:tcPr>
            <w:tcW w:w="220" w:type="dxa"/>
            <w:vAlign w:val="bottom"/>
          </w:tcPr>
          <w:p>
            <w:pPr>
              <w:spacing w:after="0"/>
              <w:rPr>
                <w:sz w:val="16"/>
                <w:szCs w:val="16"/>
                <w:color w:val="auto"/>
              </w:rPr>
            </w:pPr>
          </w:p>
        </w:tc>
        <w:tc>
          <w:tcPr>
            <w:tcW w:w="1340" w:type="dxa"/>
            <w:vAlign w:val="bottom"/>
            <w:tcBorders>
              <w:top w:val="single" w:sz="8" w:color="auto"/>
            </w:tcBorders>
          </w:tcPr>
          <w:p>
            <w:pPr>
              <w:jc w:val="right"/>
              <w:ind w:right="110"/>
              <w:spacing w:after="0" w:line="193" w:lineRule="exact"/>
              <w:rPr>
                <w:sz w:val="20"/>
                <w:szCs w:val="20"/>
                <w:color w:val="auto"/>
              </w:rPr>
            </w:pPr>
            <w:r>
              <w:rPr>
                <w:rFonts w:ascii="Arial" w:cs="Arial" w:eastAsia="Arial" w:hAnsi="Arial"/>
                <w:sz w:val="17"/>
                <w:szCs w:val="17"/>
                <w:color w:val="auto"/>
              </w:rPr>
              <w:t>4.35</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83"/>
              <w:spacing w:after="0" w:line="193" w:lineRule="exact"/>
              <w:rPr>
                <w:sz w:val="20"/>
                <w:szCs w:val="20"/>
                <w:color w:val="auto"/>
              </w:rPr>
            </w:pPr>
            <w:r>
              <w:rPr>
                <w:rFonts w:ascii="Arial" w:cs="Arial" w:eastAsia="Arial" w:hAnsi="Arial"/>
                <w:sz w:val="17"/>
                <w:szCs w:val="17"/>
                <w:color w:val="auto"/>
              </w:rPr>
              <w:t>5.5</w:t>
            </w:r>
          </w:p>
        </w:tc>
      </w:tr>
      <w:tr>
        <w:trPr>
          <w:trHeight w:val="200"/>
        </w:trPr>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40,001</w:t>
            </w:r>
          </w:p>
        </w:tc>
        <w:tc>
          <w:tcPr>
            <w:tcW w:w="1140" w:type="dxa"/>
            <w:vAlign w:val="bottom"/>
            <w:gridSpan w:val="2"/>
            <w:shd w:val="clear" w:color="auto" w:fill="CCFFCC"/>
          </w:tcPr>
          <w:p>
            <w:pPr>
              <w:jc w:val="right"/>
              <w:ind w:right="50"/>
              <w:spacing w:after="0"/>
              <w:rPr>
                <w:sz w:val="20"/>
                <w:szCs w:val="20"/>
                <w:color w:val="auto"/>
              </w:rPr>
            </w:pPr>
            <w:r>
              <w:rPr>
                <w:rFonts w:ascii="Arial" w:cs="Arial" w:eastAsia="Arial" w:hAnsi="Arial"/>
                <w:sz w:val="17"/>
                <w:szCs w:val="17"/>
                <w:color w:val="auto"/>
              </w:rPr>
              <w:t>2.28</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FFCC"/>
          </w:tcPr>
          <w:p>
            <w:pPr>
              <w:jc w:val="right"/>
              <w:ind w:right="59"/>
              <w:spacing w:after="0"/>
              <w:rPr>
                <w:sz w:val="20"/>
                <w:szCs w:val="20"/>
                <w:color w:val="auto"/>
              </w:rPr>
            </w:pPr>
            <w:r>
              <w:rPr>
                <w:rFonts w:ascii="Arial" w:cs="Arial" w:eastAsia="Arial" w:hAnsi="Arial"/>
                <w:sz w:val="17"/>
                <w:szCs w:val="17"/>
                <w:color w:val="auto"/>
              </w:rPr>
              <w:t>4.5</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35,897</w:t>
            </w:r>
          </w:p>
        </w:tc>
        <w:tc>
          <w:tcPr>
            <w:tcW w:w="1560" w:type="dxa"/>
            <w:vAlign w:val="bottom"/>
            <w:tcBorders>
              <w:left w:val="single" w:sz="8" w:color="CCFFCC"/>
            </w:tcBorders>
            <w:gridSpan w:val="2"/>
            <w:shd w:val="clear" w:color="auto" w:fill="CCFFCC"/>
          </w:tcPr>
          <w:p>
            <w:pPr>
              <w:jc w:val="right"/>
              <w:ind w:right="110"/>
              <w:spacing w:after="0"/>
              <w:rPr>
                <w:sz w:val="20"/>
                <w:szCs w:val="20"/>
                <w:color w:val="auto"/>
              </w:rPr>
            </w:pPr>
            <w:r>
              <w:rPr>
                <w:rFonts w:ascii="Arial" w:cs="Arial" w:eastAsia="Arial" w:hAnsi="Arial"/>
                <w:sz w:val="17"/>
                <w:szCs w:val="17"/>
                <w:color w:val="auto"/>
              </w:rPr>
              <w:t>2.26</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FFCC"/>
          </w:tcPr>
          <w:p>
            <w:pPr>
              <w:jc w:val="right"/>
              <w:ind w:right="83"/>
              <w:spacing w:after="0"/>
              <w:rPr>
                <w:sz w:val="20"/>
                <w:szCs w:val="20"/>
                <w:color w:val="auto"/>
              </w:rPr>
            </w:pPr>
            <w:r>
              <w:rPr>
                <w:rFonts w:ascii="Arial" w:cs="Arial" w:eastAsia="Arial" w:hAnsi="Arial"/>
                <w:sz w:val="17"/>
                <w:szCs w:val="17"/>
                <w:color w:val="auto"/>
              </w:rPr>
              <w:t>4.5</w:t>
            </w:r>
          </w:p>
        </w:tc>
      </w:tr>
      <w:tr>
        <w:trPr>
          <w:trHeight w:val="200"/>
        </w:trPr>
        <w:tc>
          <w:tcPr>
            <w:tcW w:w="1380" w:type="dxa"/>
            <w:vAlign w:val="bottom"/>
            <w:gridSpan w:val="3"/>
          </w:tcPr>
          <w:p>
            <w:pPr>
              <w:jc w:val="right"/>
              <w:ind w:right="60"/>
              <w:spacing w:after="0"/>
              <w:rPr>
                <w:sz w:val="20"/>
                <w:szCs w:val="20"/>
                <w:color w:val="auto"/>
              </w:rPr>
            </w:pPr>
            <w:r>
              <w:rPr>
                <w:rFonts w:ascii="Arial" w:cs="Arial" w:eastAsia="Arial" w:hAnsi="Arial"/>
                <w:sz w:val="17"/>
                <w:szCs w:val="17"/>
                <w:color w:val="auto"/>
              </w:rPr>
              <w:t>25,000</w:t>
            </w:r>
          </w:p>
        </w:tc>
        <w:tc>
          <w:tcPr>
            <w:tcW w:w="1140" w:type="dxa"/>
            <w:vAlign w:val="bottom"/>
            <w:gridSpan w:val="2"/>
          </w:tcPr>
          <w:p>
            <w:pPr>
              <w:jc w:val="right"/>
              <w:ind w:right="50"/>
              <w:spacing w:after="0"/>
              <w:rPr>
                <w:sz w:val="20"/>
                <w:szCs w:val="20"/>
                <w:color w:val="auto"/>
              </w:rPr>
            </w:pPr>
            <w:r>
              <w:rPr>
                <w:rFonts w:ascii="Arial" w:cs="Arial" w:eastAsia="Arial" w:hAnsi="Arial"/>
                <w:sz w:val="17"/>
                <w:szCs w:val="17"/>
                <w:color w:val="auto"/>
              </w:rPr>
              <w:t>1.67</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3.0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25,000</w:t>
            </w:r>
          </w:p>
        </w:tc>
        <w:tc>
          <w:tcPr>
            <w:tcW w:w="1560" w:type="dxa"/>
            <w:vAlign w:val="bottom"/>
            <w:gridSpan w:val="2"/>
          </w:tcPr>
          <w:p>
            <w:pPr>
              <w:jc w:val="right"/>
              <w:ind w:right="110"/>
              <w:spacing w:after="0"/>
              <w:rPr>
                <w:sz w:val="20"/>
                <w:szCs w:val="20"/>
                <w:color w:val="auto"/>
              </w:rPr>
            </w:pPr>
            <w:r>
              <w:rPr>
                <w:rFonts w:ascii="Arial" w:cs="Arial" w:eastAsia="Arial" w:hAnsi="Arial"/>
                <w:sz w:val="17"/>
                <w:szCs w:val="17"/>
                <w:color w:val="auto"/>
              </w:rPr>
              <w:t>1.67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
              <w:spacing w:after="0"/>
              <w:rPr>
                <w:sz w:val="20"/>
                <w:szCs w:val="20"/>
                <w:color w:val="auto"/>
              </w:rPr>
            </w:pPr>
            <w:r>
              <w:rPr>
                <w:rFonts w:ascii="Arial" w:cs="Arial" w:eastAsia="Arial" w:hAnsi="Arial"/>
                <w:sz w:val="17"/>
                <w:szCs w:val="17"/>
                <w:color w:val="auto"/>
              </w:rPr>
              <w:t>3.0</w:t>
            </w:r>
          </w:p>
        </w:tc>
      </w:tr>
      <w:tr>
        <w:trPr>
          <w:trHeight w:val="200"/>
        </w:trPr>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56,584</w:t>
            </w:r>
          </w:p>
        </w:tc>
        <w:tc>
          <w:tcPr>
            <w:tcW w:w="1140" w:type="dxa"/>
            <w:vAlign w:val="bottom"/>
            <w:gridSpan w:val="2"/>
            <w:shd w:val="clear" w:color="auto" w:fill="CCFFCC"/>
          </w:tcPr>
          <w:p>
            <w:pPr>
              <w:jc w:val="right"/>
              <w:ind w:right="50"/>
              <w:spacing w:after="0"/>
              <w:rPr>
                <w:sz w:val="20"/>
                <w:szCs w:val="20"/>
                <w:color w:val="auto"/>
              </w:rPr>
            </w:pPr>
            <w:r>
              <w:rPr>
                <w:rFonts w:ascii="Arial" w:cs="Arial" w:eastAsia="Arial" w:hAnsi="Arial"/>
                <w:sz w:val="17"/>
                <w:szCs w:val="17"/>
                <w:color w:val="auto"/>
              </w:rPr>
              <w:t>2.08</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FFCC"/>
          </w:tcPr>
          <w:p>
            <w:pPr>
              <w:jc w:val="right"/>
              <w:ind w:right="59"/>
              <w:spacing w:after="0"/>
              <w:rPr>
                <w:sz w:val="20"/>
                <w:szCs w:val="20"/>
                <w:color w:val="auto"/>
              </w:rPr>
            </w:pPr>
            <w:r>
              <w:rPr>
                <w:rFonts w:ascii="Arial" w:cs="Arial" w:eastAsia="Arial" w:hAnsi="Arial"/>
                <w:sz w:val="17"/>
                <w:szCs w:val="17"/>
                <w:color w:val="auto"/>
              </w:rPr>
              <w:t>1.5</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48,274</w:t>
            </w:r>
          </w:p>
        </w:tc>
        <w:tc>
          <w:tcPr>
            <w:tcW w:w="1560" w:type="dxa"/>
            <w:vAlign w:val="bottom"/>
            <w:tcBorders>
              <w:left w:val="single" w:sz="8" w:color="CCFFCC"/>
            </w:tcBorders>
            <w:gridSpan w:val="2"/>
            <w:shd w:val="clear" w:color="auto" w:fill="CCFFCC"/>
          </w:tcPr>
          <w:p>
            <w:pPr>
              <w:jc w:val="right"/>
              <w:ind w:right="110"/>
              <w:spacing w:after="0"/>
              <w:rPr>
                <w:sz w:val="20"/>
                <w:szCs w:val="20"/>
                <w:color w:val="auto"/>
              </w:rPr>
            </w:pPr>
            <w:r>
              <w:rPr>
                <w:rFonts w:ascii="Arial" w:cs="Arial" w:eastAsia="Arial" w:hAnsi="Arial"/>
                <w:sz w:val="17"/>
                <w:szCs w:val="17"/>
                <w:color w:val="auto"/>
              </w:rPr>
              <w:t>1.84</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FFCC"/>
          </w:tcPr>
          <w:p>
            <w:pPr>
              <w:jc w:val="right"/>
              <w:ind w:right="83"/>
              <w:spacing w:after="0"/>
              <w:rPr>
                <w:sz w:val="20"/>
                <w:szCs w:val="20"/>
                <w:color w:val="auto"/>
              </w:rPr>
            </w:pPr>
            <w:r>
              <w:rPr>
                <w:rFonts w:ascii="Arial" w:cs="Arial" w:eastAsia="Arial" w:hAnsi="Arial"/>
                <w:sz w:val="17"/>
                <w:szCs w:val="17"/>
                <w:color w:val="auto"/>
              </w:rPr>
              <w:t>1.5</w:t>
            </w:r>
          </w:p>
        </w:tc>
      </w:tr>
      <w:tr>
        <w:trPr>
          <w:trHeight w:val="200"/>
        </w:trPr>
        <w:tc>
          <w:tcPr>
            <w:tcW w:w="3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888,252</w:t>
            </w:r>
          </w:p>
        </w:tc>
        <w:tc>
          <w:tcPr>
            <w:tcW w:w="1140" w:type="dxa"/>
            <w:vAlign w:val="bottom"/>
            <w:gridSpan w:val="2"/>
          </w:tcPr>
          <w:p>
            <w:pPr>
              <w:jc w:val="right"/>
              <w:ind w:right="50"/>
              <w:spacing w:after="0"/>
              <w:rPr>
                <w:sz w:val="20"/>
                <w:szCs w:val="20"/>
                <w:color w:val="auto"/>
              </w:rPr>
            </w:pPr>
            <w:r>
              <w:rPr>
                <w:rFonts w:ascii="Arial" w:cs="Arial" w:eastAsia="Arial" w:hAnsi="Arial"/>
                <w:sz w:val="17"/>
                <w:szCs w:val="17"/>
                <w:color w:val="auto"/>
              </w:rPr>
              <w:t>4.37</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158,669</w:t>
            </w:r>
          </w:p>
        </w:tc>
        <w:tc>
          <w:tcPr>
            <w:tcW w:w="1560" w:type="dxa"/>
            <w:vAlign w:val="bottom"/>
            <w:gridSpan w:val="2"/>
          </w:tcPr>
          <w:p>
            <w:pPr>
              <w:jc w:val="right"/>
              <w:ind w:right="110"/>
              <w:spacing w:after="0"/>
              <w:rPr>
                <w:sz w:val="20"/>
                <w:szCs w:val="20"/>
                <w:color w:val="auto"/>
              </w:rPr>
            </w:pPr>
            <w:r>
              <w:rPr>
                <w:rFonts w:ascii="Arial" w:cs="Arial" w:eastAsia="Arial" w:hAnsi="Arial"/>
                <w:sz w:val="17"/>
                <w:szCs w:val="17"/>
                <w:color w:val="auto"/>
              </w:rPr>
              <w:t>4.36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
              <w:spacing w:after="0"/>
              <w:rPr>
                <w:sz w:val="20"/>
                <w:szCs w:val="20"/>
                <w:color w:val="auto"/>
              </w:rPr>
            </w:pPr>
            <w:r>
              <w:rPr>
                <w:rFonts w:ascii="Arial" w:cs="Arial" w:eastAsia="Arial" w:hAnsi="Arial"/>
                <w:sz w:val="17"/>
                <w:szCs w:val="17"/>
                <w:color w:val="auto"/>
              </w:rPr>
              <w:t>0.01</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3"/>
        </w:trPr>
        <w:tc>
          <w:tcPr>
            <w:tcW w:w="3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2,228,400</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740,195</w:t>
            </w:r>
          </w:p>
        </w:tc>
        <w:tc>
          <w:tcPr>
            <w:tcW w:w="220" w:type="dxa"/>
            <w:vAlign w:val="bottom"/>
            <w:tcBorders>
              <w:left w:val="single" w:sz="8" w:color="CCFFCC"/>
            </w:tcBorders>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0"/>
        </w:trPr>
        <w:tc>
          <w:tcPr>
            <w:tcW w:w="3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As of December 31, 2011, the total aggregate intrinsic value of options outstanding was $593 thousand, of options exercisable $107 thousand and of options exercised $816 thousand. As of December 31, 2010, the total aggregate intrinsic value of both the options outstanding and options exercisable was $0 thousand, the total intrinsic value of options exercised was $134 thousand. The total fair value of stock options that vested in the years ended December 31, 2011, 2010 and cumulative from inception till December 31, 2011 amounts to $1,761 thousand, $206 thousand and $3,015 respectively. The weighted average grant date fair value of options granted during the years ended December 31, 2011, 2010 and cumulative from inception till December 31, 2011 was $0.91, $1.69 and $1.57, respectively.</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represents respective annual amortization of unrecognized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ending December 31,</w:t>
            </w:r>
          </w:p>
        </w:tc>
        <w:tc>
          <w:tcPr>
            <w:tcW w:w="2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6"/>
              </w:rPr>
              <w:t>U.S.$ thousands</w:t>
            </w:r>
          </w:p>
        </w:tc>
        <w:tc>
          <w:tcPr>
            <w:tcW w:w="3100" w:type="dxa"/>
            <w:vAlign w:val="bottom"/>
          </w:tcPr>
          <w:p>
            <w:pPr>
              <w:spacing w:after="0"/>
              <w:rPr>
                <w:sz w:val="14"/>
                <w:szCs w:val="14"/>
                <w:color w:val="auto"/>
              </w:rPr>
            </w:pPr>
          </w:p>
        </w:tc>
      </w:tr>
      <w:tr>
        <w:trPr>
          <w:trHeight w:val="193"/>
        </w:trPr>
        <w:tc>
          <w:tcPr>
            <w:tcW w:w="114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2012</w:t>
            </w:r>
          </w:p>
        </w:tc>
        <w:tc>
          <w:tcPr>
            <w:tcW w:w="1680" w:type="dxa"/>
            <w:vAlign w:val="bottom"/>
            <w:shd w:val="clear" w:color="auto" w:fill="CCFFCC"/>
          </w:tcPr>
          <w:p>
            <w:pPr>
              <w:spacing w:after="0"/>
              <w:rPr>
                <w:sz w:val="16"/>
                <w:szCs w:val="16"/>
                <w:color w:val="auto"/>
              </w:rPr>
            </w:pPr>
          </w:p>
        </w:tc>
        <w:tc>
          <w:tcPr>
            <w:tcW w:w="4120" w:type="dxa"/>
            <w:vAlign w:val="bottom"/>
            <w:gridSpan w:val="4"/>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1,015</w:t>
            </w:r>
          </w:p>
        </w:tc>
        <w:tc>
          <w:tcPr>
            <w:tcW w:w="3100" w:type="dxa"/>
            <w:vAlign w:val="bottom"/>
          </w:tcPr>
          <w:p>
            <w:pPr>
              <w:spacing w:after="0"/>
              <w:rPr>
                <w:sz w:val="16"/>
                <w:szCs w:val="16"/>
                <w:color w:val="auto"/>
              </w:rPr>
            </w:pP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2013</w:t>
            </w:r>
          </w:p>
        </w:tc>
        <w:tc>
          <w:tcPr>
            <w:tcW w:w="1680" w:type="dxa"/>
            <w:vAlign w:val="bottom"/>
          </w:tcPr>
          <w:p>
            <w:pPr>
              <w:spacing w:after="0"/>
              <w:rPr>
                <w:sz w:val="17"/>
                <w:szCs w:val="17"/>
                <w:color w:val="auto"/>
              </w:rPr>
            </w:pPr>
          </w:p>
        </w:tc>
        <w:tc>
          <w:tcPr>
            <w:tcW w:w="4120" w:type="dxa"/>
            <w:vAlign w:val="bottom"/>
            <w:gridSpan w:val="4"/>
          </w:tcPr>
          <w:p>
            <w:pPr>
              <w:jc w:val="right"/>
              <w:ind w:right="140"/>
              <w:spacing w:after="0"/>
              <w:rPr>
                <w:sz w:val="20"/>
                <w:szCs w:val="20"/>
                <w:color w:val="auto"/>
              </w:rPr>
            </w:pPr>
            <w:r>
              <w:rPr>
                <w:rFonts w:ascii="Arial" w:cs="Arial" w:eastAsia="Arial" w:hAnsi="Arial"/>
                <w:sz w:val="17"/>
                <w:szCs w:val="17"/>
                <w:color w:val="auto"/>
              </w:rPr>
              <w:t>679</w:t>
            </w:r>
          </w:p>
        </w:tc>
        <w:tc>
          <w:tcPr>
            <w:tcW w:w="3100" w:type="dxa"/>
            <w:vAlign w:val="bottom"/>
          </w:tcPr>
          <w:p>
            <w:pPr>
              <w:spacing w:after="0"/>
              <w:rPr>
                <w:sz w:val="17"/>
                <w:szCs w:val="17"/>
                <w:color w:val="auto"/>
              </w:rPr>
            </w:pPr>
          </w:p>
        </w:tc>
      </w:tr>
      <w:tr>
        <w:trPr>
          <w:trHeight w:val="200"/>
        </w:trPr>
        <w:tc>
          <w:tcPr>
            <w:tcW w:w="1140" w:type="dxa"/>
            <w:vAlign w:val="bottom"/>
            <w:shd w:val="clear" w:color="auto" w:fill="CCFFCC"/>
          </w:tcPr>
          <w:p>
            <w:pPr>
              <w:spacing w:after="0"/>
              <w:rPr>
                <w:sz w:val="20"/>
                <w:szCs w:val="20"/>
                <w:color w:val="auto"/>
              </w:rPr>
            </w:pPr>
            <w:r>
              <w:rPr>
                <w:rFonts w:ascii="Arial" w:cs="Arial" w:eastAsia="Arial" w:hAnsi="Arial"/>
                <w:sz w:val="17"/>
                <w:szCs w:val="17"/>
                <w:color w:val="auto"/>
              </w:rPr>
              <w:t>2014</w:t>
            </w:r>
          </w:p>
        </w:tc>
        <w:tc>
          <w:tcPr>
            <w:tcW w:w="1680" w:type="dxa"/>
            <w:vAlign w:val="bottom"/>
            <w:shd w:val="clear" w:color="auto" w:fill="CCFFCC"/>
          </w:tcPr>
          <w:p>
            <w:pPr>
              <w:spacing w:after="0"/>
              <w:rPr>
                <w:sz w:val="17"/>
                <w:szCs w:val="17"/>
                <w:color w:val="auto"/>
              </w:rPr>
            </w:pPr>
          </w:p>
        </w:tc>
        <w:tc>
          <w:tcPr>
            <w:tcW w:w="3020" w:type="dxa"/>
            <w:vAlign w:val="bottom"/>
            <w:gridSpan w:val="2"/>
            <w:shd w:val="clear" w:color="auto" w:fill="CCFFCC"/>
          </w:tcPr>
          <w:p>
            <w:pPr>
              <w:spacing w:after="0"/>
              <w:rPr>
                <w:sz w:val="17"/>
                <w:szCs w:val="17"/>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158</w:t>
            </w:r>
          </w:p>
        </w:tc>
        <w:tc>
          <w:tcPr>
            <w:tcW w:w="3100" w:type="dxa"/>
            <w:vAlign w:val="bottom"/>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1680" w:type="dxa"/>
            <w:vAlign w:val="bottom"/>
            <w:shd w:val="clear" w:color="auto" w:fill="CCFFCC"/>
          </w:tcPr>
          <w:p>
            <w:pPr>
              <w:spacing w:after="0" w:line="20" w:lineRule="exact"/>
              <w:rPr>
                <w:sz w:val="1"/>
                <w:szCs w:val="1"/>
                <w:color w:val="auto"/>
              </w:rPr>
            </w:pPr>
          </w:p>
        </w:tc>
        <w:tc>
          <w:tcPr>
            <w:tcW w:w="28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20" w:type="dxa"/>
            <w:vAlign w:val="bottom"/>
            <w:gridSpan w:val="2"/>
          </w:tcPr>
          <w:p>
            <w:pPr>
              <w:spacing w:after="0"/>
              <w:rPr>
                <w:sz w:val="16"/>
                <w:szCs w:val="16"/>
                <w:color w:val="auto"/>
              </w:rPr>
            </w:pPr>
          </w:p>
        </w:tc>
        <w:tc>
          <w:tcPr>
            <w:tcW w:w="1100" w:type="dxa"/>
            <w:vAlign w:val="bottom"/>
            <w:gridSpan w:val="2"/>
          </w:tcPr>
          <w:p>
            <w:pPr>
              <w:jc w:val="right"/>
              <w:ind w:right="140"/>
              <w:spacing w:after="0" w:line="193" w:lineRule="exact"/>
              <w:rPr>
                <w:sz w:val="20"/>
                <w:szCs w:val="20"/>
                <w:color w:val="auto"/>
              </w:rPr>
            </w:pPr>
            <w:r>
              <w:rPr>
                <w:rFonts w:ascii="Arial" w:cs="Arial" w:eastAsia="Arial" w:hAnsi="Arial"/>
                <w:sz w:val="17"/>
                <w:szCs w:val="17"/>
                <w:b w:val="1"/>
                <w:bCs w:val="1"/>
                <w:color w:val="auto"/>
              </w:rPr>
              <w:t>1,852</w:t>
            </w:r>
          </w:p>
        </w:tc>
        <w:tc>
          <w:tcPr>
            <w:tcW w:w="310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717"/>
        </w:trPr>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120" w:type="dxa"/>
            <w:vAlign w:val="bottom"/>
            <w:gridSpan w:val="4"/>
          </w:tcPr>
          <w:p>
            <w:pPr>
              <w:jc w:val="right"/>
              <w:ind w:right="2460"/>
              <w:spacing w:after="0"/>
              <w:rPr>
                <w:sz w:val="20"/>
                <w:szCs w:val="20"/>
                <w:color w:val="auto"/>
              </w:rPr>
            </w:pPr>
            <w:r>
              <w:rPr>
                <w:rFonts w:ascii="Arial" w:cs="Arial" w:eastAsia="Arial" w:hAnsi="Arial"/>
                <w:sz w:val="17"/>
                <w:szCs w:val="17"/>
                <w:color w:val="auto"/>
              </w:rPr>
              <w:t>F-42</w:t>
            </w: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8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2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-755015</wp:posOffset>
            </wp:positionV>
            <wp:extent cx="4408170" cy="1670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408170" cy="16700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0" w:name="page261"/>
    <w:bookmarkEnd w:id="2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11 — Stockholders’ Equity (Deficit) – (continued)</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 Warrants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Conversion Warrants, Special Bridge Warrants and Reload Warrants</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On December 29, 2009, the Company consummated a Bridge Financing pursuant to which it issued 5% subordinated convertible promissory notes, (“Bridge Notes”), in the aggregate amount of $2.98 million in a private placement, as well as warrants to purchase 795,200 shares of common stock (the “Special Bridge Warrants”) (together the “Bridge Financing”). Proceeds from the Bridge Financing were first allocated to the Special Bridge Warrants, which were classified as a derivative liability and recorded at fair value, with the residual amount allocated to the Bridge Notes. The Special Bridge Warrants have down-round protection clauses and their fair value is calculated using the Black-Scholes-Merton model at every reporting period. Upon the consummation of the IPO, the Company issued a further 69,132 Special Bridge Warrants to the holders of the Bridge Notes to reflect the final offering price of the IPO units. These warrants were valued on the date of the IPO by using the Black-Scholes-Merton model.</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Upon the consummation of the IPO, the Bridge Notes were automatically converted into 864,332 shares of common stock and 1,728,664 warrants (the “Conversion Warrants”). The Conversion Warrants granted to the Bridge Note holders were classified as a derivative long-term liability. Also see Note 10.</w:t>
      </w:r>
    </w:p>
    <w:p>
      <w:pPr>
        <w:spacing w:after="0" w:line="76"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On December 1, 2011, the Company entered into Subscription Agreements with certain accredited investors pursuant to which the Company issued 817,303 shares of common stock at $1.04 per share, a 20% discount to the closing price of the Company’s common stock on November 30, 2011. Upon the closing of the Financing, the Company’s outstanding Convertible Notes in the aggregate principal amount of $2.5 million automatically converted into 2,671,026 shares of common stock at $0.94 per share, a 10% discount to the purchase price in the Financing. The foregoing issuances triggered down-round and anti-dilution provisions in outstanding Special Bridge and Conversion Warrants. As a result, the number of shares issuable to the holders of the Special Bridge Warrants was adjusted to 2,528,615 and the exercise price for both Special Bridge and Conversion Warrants adjusted to $0.94.</w:t>
      </w:r>
    </w:p>
    <w:p>
      <w:pPr>
        <w:spacing w:after="0" w:line="5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As of December 31, 2011,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exercise amount remains as under the original terms (approximately $2.4 million). We estimate 50% probability of such protection being activated in April, 2012. We have estimated the value of the down-round protection using a Monte-Carlo simulation. The following assumptions were used: 70.2% expected volatility, a risk-free interest rate of 0.38%, estimated life of 3.00 years and no dividend yield. The fair value of the common stock was $0.99. Also see Note 10.</w:t>
      </w:r>
    </w:p>
    <w:p>
      <w:pPr>
        <w:spacing w:after="0" w:line="5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At December 31, 2011, the Conversion Warrants were revalued using the Black-Scholes-Merton and the Monte-Carlo models. As the terms of these warrants include a down-round protection clause, i.e. in a new issuance of common shares at a lower price than the current exercise price, the current exercise price will be adjusted to the new issuance price. We estimate 50% probability of such protection being activated in April, 2012. We have estimated the value of the down-round protection using a Monte-Carlo simulation. The following assumptions were used: 70.98% expected volatility, a risk-free interest rate of 0.52%, estimated life of 3.47 years and no dividend yield. The fair value of the common stock was $0.99. Also see Note 10.</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Subsequent to the balance sheet date, between February 6 and February 14, 2012, the Company entered into agreements with Holders, pursuant to which the Holders exercised 2,274,235 Special Bridge and 1,554,758 Conversion Warrants to purchase an aggregate of 3,828,993 shares of the Company’s common stock for aggregate proceeds to the Company of $3.6 million. In addition, the Company issued new warrants to purchase an aggregate of 2,660,922 shares of common stock at an exercise price of $1.76 per share in</w:t>
      </w:r>
    </w:p>
    <w:p>
      <w:pPr>
        <w:spacing w:after="0" w:line="200" w:lineRule="exact"/>
        <w:rPr>
          <w:sz w:val="20"/>
          <w:szCs w:val="20"/>
          <w:color w:val="auto"/>
        </w:rPr>
      </w:pPr>
    </w:p>
    <w:p>
      <w:pPr>
        <w:spacing w:after="0" w:line="29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1" w:name="page262"/>
    <w:bookmarkEnd w:id="2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11 — Stockholders’ Equity (Deficit) – (continued)</w:t>
      </w:r>
    </w:p>
    <w:p>
      <w:pPr>
        <w:jc w:val="both"/>
        <w:ind w:left="40" w:right="1239"/>
        <w:spacing w:after="0" w:line="335" w:lineRule="auto"/>
        <w:rPr>
          <w:sz w:val="20"/>
          <w:szCs w:val="20"/>
          <w:color w:val="auto"/>
        </w:rPr>
      </w:pPr>
      <w:r>
        <w:rPr>
          <w:rFonts w:ascii="Arial" w:cs="Arial" w:eastAsia="Arial" w:hAnsi="Arial"/>
          <w:sz w:val="15"/>
          <w:szCs w:val="15"/>
          <w:color w:val="auto"/>
        </w:rPr>
        <w:t>consideration for the immediate exercise of the warrants (“Reload Warrants”). A portion of the Reload warrants bear down-round protection clauses as a result, they will be classified as a long-term derivative liability and recorded at fair value. See also Note 17.</w:t>
      </w:r>
    </w:p>
    <w:p>
      <w:pPr>
        <w:spacing w:after="0" w:line="2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Senior Lenders Warrants</w:t>
      </w:r>
    </w:p>
    <w:p>
      <w:pPr>
        <w:spacing w:after="0" w:line="10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As discussed in Note 8, the senior lenders of the Company’s venture loan received Senior Lenders Warrants to purchase 250,000 shares of common stock, at an exercise price of $2.75 per share, in exchange for granting the Company a six month moratorium on principal payments and an additional year for the repayment of the venture loan. The Senior Lender Warrants were exercisable at any time before the tenth anniversary of the date they were issued. On June 8, 2011, the Company entered into a Settlement Agreement with the lenders of the venture loan, pursuant to which the Lenders agreed to accept less than the full amount owed to them by the Company. As part of the Settlement Agreement the Company issued the Lenders 250,000 shares of its common stock, in exchange for 250,000 Senior Lender Warrants, which were cancelled.</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Lead Investor Warrants</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 lead investors of the Bridge Financing received warrants (“Lead Investor Warrants”) to purchase 482,346 shares of common stock at $0.01 exercise price per share. The Lead Investor Warrants (i) were exercisable 65 days subsequent to the consummation of the IPO, (ii) expire four years after issuance and (iii) Were subject to a lock-up agreement for six months subsequent to exercise. Upon the consummation of the IPO, Lead Investor Warrants were recorded at their fair value using the Black-Scholes-Merton model, as a result, an additional interest expense in the total amount of $1,342 thousand, was recognized. The assumptions used in this calculation were 52.6% expected volatility, risk-free interest rate of 1.68%, estimated life of 4 years and no dividend yield. The fair value of the common stock was estimated at $2.79. In October 2010, 241,173 of the Lead Investor Warrants were exercised, and in February 2011, the remaining 241,173 Lead Investor Warrants were exercised.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Placement Agent Warrants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For their role in helping to facilitate the Bridge Financing, the Placement Agent for the offering received warrants equal to 7% of the total amount of securities sold in the Bridge Financing (“Placement Agent Warrants”). Based on the amount raised, the Company issued 55,664 Placement Agent Warrants. The Placement Agent Warrants were non-exercisable for three months after the date of the closing of the Bridge Financing and subsequently exercisable until five years after the closing of the Bridge Financing. The Placement Agent Warrants were exercisable at $3.795 per share. The December 2011 financing triggered the anti-dilution provision in the Placement Agent Warrants, resulting in a reduction of the exercise price to $0.94. On February 2, 2012, the Placement Agent Warrants were exercised.</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IPO warrants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June 2010, upon completion of the IPO, 2,392,000 units, each containing one share of common stock and two warrants, at an issue price of $4.60 per unit, were issued. Each warrant in the IPO unit is exercisable for five years after the IPO at an exercise price of $5.06. On July 27, 2010, the unit was separated into its components and the shares and warrants began to trade separately. Upon separation of the units into shares and warrants, the units ceased trading. As of December 31, 2011, all of these warrants are outstanding.</w:t>
      </w:r>
    </w:p>
    <w:p>
      <w:pPr>
        <w:spacing w:after="0" w:line="200" w:lineRule="exact"/>
        <w:rPr>
          <w:sz w:val="20"/>
          <w:szCs w:val="20"/>
          <w:color w:val="auto"/>
        </w:rPr>
      </w:pPr>
    </w:p>
    <w:p>
      <w:pPr>
        <w:spacing w:after="0" w:line="29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2" w:name="page263"/>
    <w:bookmarkEnd w:id="2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96" w:lineRule="auto"/>
        <w:rPr>
          <w:sz w:val="20"/>
          <w:szCs w:val="20"/>
          <w:color w:val="auto"/>
        </w:rPr>
      </w:pPr>
      <w:r>
        <w:rPr>
          <w:rFonts w:ascii="Arial" w:cs="Arial" w:eastAsia="Arial" w:hAnsi="Arial"/>
          <w:sz w:val="17"/>
          <w:szCs w:val="17"/>
          <w:b w:val="1"/>
          <w:bCs w:val="1"/>
          <w:color w:val="auto"/>
        </w:rPr>
        <w:t xml:space="preserve">NOTES TO CONSOLIDATED FINANCIAL STATEMENTS Note 11 — Stockholders’ Equity (Deficit) – (continued) </w:t>
      </w:r>
      <w:r>
        <w:rPr>
          <w:rFonts w:ascii="Arial" w:cs="Arial" w:eastAsia="Arial" w:hAnsi="Arial"/>
          <w:sz w:val="17"/>
          <w:szCs w:val="17"/>
          <w:b w:val="1"/>
          <w:bCs w:val="1"/>
          <w:i w:val="1"/>
          <w:iCs w:val="1"/>
          <w:color w:val="auto"/>
        </w:rPr>
        <w:t>Charitable warrants</w:t>
      </w:r>
    </w:p>
    <w:p>
      <w:pPr>
        <w:spacing w:after="0" w:line="1"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Upon the consummation of the IPO, the Company recognized a charitable donation of a warrant to purchase 20,000 shares of common stock at an exercise price of $1.50 granted in 2006. The fair value of the donation was calculated using the Black-Scholes-Merton model with an expected life of 6.33 years, a risk-free interest rate of 2.7%, an expected volatility of 56.1% and no dividend yield. The expenses for these options in the amount of $37 thousand were recorded upon the consummation of the IPO. During September 2010, the foregoing warrant was exercised on a cashless basis, resulting in the issuance by the Company of 11,044 shares of common stock. In addition, the Company granted warrants to purchase 40 thousand shares of common stock as a charitable donation. 20 thousand of these warrants were granted at an exercise price of $5.50 per share and the remaining 20 thousand at an exercise price of $0.01 per share. The total fair value of approximately $43 thousand was calculated using the Black-Scholes-Merton model, using the following assumptions: stock price of $1.68, expected life of 6 years, risk-free interest rate of 2.38%, expected volatility of 56.41% and no dividend yield. The total fair value of the grant was recorded as an additional share-based payment expense in year ended December 31, 2011. In April 2011, the Company issued 19,862 shares of common stock upon exercise of 20 thousand charitable warrants with an exercise price of $0.01 per share.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12 —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7421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4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w w:val="97"/>
              </w:rPr>
              <w:t>For the year ended December 31,</w:t>
            </w:r>
          </w:p>
        </w:tc>
        <w:tc>
          <w:tcPr>
            <w:tcW w:w="16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4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December 31,</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center"/>
              <w:ind w:left="258"/>
              <w:spacing w:after="0"/>
              <w:rPr>
                <w:sz w:val="20"/>
                <w:szCs w:val="20"/>
                <w:color w:val="auto"/>
              </w:rPr>
            </w:pPr>
            <w:r>
              <w:rPr>
                <w:rFonts w:ascii="Arial" w:cs="Arial" w:eastAsia="Arial" w:hAnsi="Arial"/>
                <w:sz w:val="13"/>
                <w:szCs w:val="13"/>
                <w:b w:val="1"/>
                <w:bCs w:val="1"/>
                <w:color w:val="auto"/>
                <w:w w:val="89"/>
              </w:rPr>
              <w:t>2011</w:t>
            </w:r>
          </w:p>
        </w:tc>
        <w:tc>
          <w:tcPr>
            <w:tcW w:w="180" w:type="dxa"/>
            <w:vAlign w:val="bottom"/>
            <w:vMerge w:val="restart"/>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161"/>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00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color w:val="auto"/>
                <w:w w:val="93"/>
              </w:rPr>
              <w:t>U.S.$ thousands</w:t>
            </w:r>
          </w:p>
        </w:tc>
        <w:tc>
          <w:tcPr>
            <w:tcW w:w="160" w:type="dxa"/>
            <w:vAlign w:val="bottom"/>
          </w:tcPr>
          <w:p>
            <w:pPr>
              <w:spacing w:after="0"/>
              <w:rPr>
                <w:sz w:val="16"/>
                <w:szCs w:val="16"/>
                <w:color w:val="auto"/>
              </w:rPr>
            </w:pPr>
          </w:p>
        </w:tc>
        <w:tc>
          <w:tcPr>
            <w:tcW w:w="12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600" w:type="dxa"/>
            <w:vAlign w:val="bottom"/>
            <w:tcBorders>
              <w:bottom w:val="single" w:sz="8" w:color="auto"/>
            </w:tcBorders>
            <w:gridSpan w:val="6"/>
            <w:shd w:val="clear" w:color="auto" w:fill="CCFFCC"/>
          </w:tcPr>
          <w:p>
            <w:pPr>
              <w:spacing w:after="0" w:line="168" w:lineRule="exact"/>
              <w:rPr>
                <w:sz w:val="20"/>
                <w:szCs w:val="20"/>
                <w:color w:val="auto"/>
              </w:rPr>
            </w:pPr>
            <w:r>
              <w:rPr>
                <w:rFonts w:ascii="Arial" w:cs="Arial" w:eastAsia="Arial" w:hAnsi="Arial"/>
                <w:sz w:val="17"/>
                <w:szCs w:val="17"/>
                <w:b w:val="1"/>
                <w:bCs w:val="1"/>
                <w:color w:val="auto"/>
                <w:w w:val="88"/>
              </w:rPr>
              <w:t>Information on sales by product exceeding 10% of</w:t>
            </w:r>
          </w:p>
        </w:tc>
        <w:tc>
          <w:tcPr>
            <w:tcW w:w="460" w:type="dxa"/>
            <w:vAlign w:val="bottom"/>
            <w:tcBorders>
              <w:bottom w:val="single" w:sz="8" w:color="CCFFCC"/>
            </w:tcBorders>
            <w:shd w:val="clear" w:color="auto" w:fill="CCFFCC"/>
          </w:tcPr>
          <w:p>
            <w:pPr>
              <w:spacing w:after="0"/>
              <w:rPr>
                <w:sz w:val="14"/>
                <w:szCs w:val="14"/>
                <w:color w:val="auto"/>
              </w:rPr>
            </w:pPr>
          </w:p>
        </w:tc>
        <w:tc>
          <w:tcPr>
            <w:tcW w:w="86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88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10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CCFFCC"/>
            </w:tcBorders>
            <w:shd w:val="clear" w:color="auto" w:fill="CCFFCC"/>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60" w:type="dxa"/>
            <w:vAlign w:val="bottom"/>
            <w:tcBorders>
              <w:bottom w:val="single" w:sz="8" w:color="CCFFCC"/>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line="180" w:lineRule="exact"/>
              <w:rPr>
                <w:sz w:val="20"/>
                <w:szCs w:val="20"/>
                <w:color w:val="auto"/>
              </w:rPr>
            </w:pPr>
            <w:r>
              <w:rPr>
                <w:rFonts w:ascii="Arial" w:cs="Arial" w:eastAsia="Arial" w:hAnsi="Arial"/>
                <w:sz w:val="17"/>
                <w:szCs w:val="17"/>
                <w:b w:val="1"/>
                <w:bCs w:val="1"/>
                <w:color w:val="auto"/>
                <w:w w:val="83"/>
              </w:rPr>
              <w:t>Revenues:</w:t>
            </w:r>
          </w:p>
        </w:tc>
        <w:tc>
          <w:tcPr>
            <w:tcW w:w="3160" w:type="dxa"/>
            <w:vAlign w:val="bottom"/>
            <w:tcBorders>
              <w:bottom w:val="single" w:sz="8" w:color="CCFFCC"/>
            </w:tcBorders>
            <w:gridSpan w:val="5"/>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Video Ringtones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514</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209</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743</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shd w:val="clear" w:color="auto" w:fill="CCFFCC"/>
          </w:tcPr>
          <w:p>
            <w:pPr>
              <w:spacing w:after="0"/>
              <w:rPr>
                <w:sz w:val="20"/>
                <w:szCs w:val="20"/>
                <w:color w:val="auto"/>
              </w:rPr>
            </w:pPr>
            <w:r>
              <w:rPr>
                <w:rFonts w:ascii="Arial" w:cs="Arial" w:eastAsia="Arial" w:hAnsi="Arial"/>
                <w:sz w:val="17"/>
                <w:szCs w:val="17"/>
                <w:color w:val="auto"/>
              </w:rPr>
              <w:t>Development Projects</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184</w:t>
            </w:r>
          </w:p>
        </w:tc>
        <w:tc>
          <w:tcPr>
            <w:tcW w:w="14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184</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Other</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2</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22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23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718</w:t>
            </w:r>
          </w:p>
        </w:tc>
        <w:tc>
          <w:tcPr>
            <w:tcW w:w="114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211</w:t>
            </w:r>
          </w:p>
        </w:tc>
        <w:tc>
          <w:tcPr>
            <w:tcW w:w="142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949</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580" w:type="dxa"/>
            <w:vAlign w:val="bottom"/>
            <w:tcBorders>
              <w:top w:val="single" w:sz="8" w:color="CCFFCC"/>
              <w:bottom w:val="single" w:sz="8" w:color="auto"/>
            </w:tcBorders>
            <w:gridSpan w:val="5"/>
          </w:tcPr>
          <w:p>
            <w:pPr>
              <w:spacing w:after="0" w:line="153" w:lineRule="exact"/>
              <w:rPr>
                <w:sz w:val="20"/>
                <w:szCs w:val="20"/>
                <w:color w:val="auto"/>
              </w:rPr>
            </w:pPr>
            <w:r>
              <w:rPr>
                <w:rFonts w:ascii="Arial" w:cs="Arial" w:eastAsia="Arial" w:hAnsi="Arial"/>
                <w:sz w:val="17"/>
                <w:szCs w:val="17"/>
                <w:b w:val="1"/>
                <w:bCs w:val="1"/>
                <w:color w:val="auto"/>
                <w:w w:val="85"/>
              </w:rPr>
              <w:t>Revenues from single customers exceeding 10% of</w:t>
            </w:r>
          </w:p>
        </w:tc>
        <w:tc>
          <w:tcPr>
            <w:tcW w:w="480" w:type="dxa"/>
            <w:vAlign w:val="bottom"/>
            <w:tcBorders>
              <w:top w:val="single" w:sz="8" w:color="CCFFCC"/>
            </w:tcBorders>
            <w:gridSpan w:val="2"/>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CFFCC"/>
            </w:tcBorders>
          </w:tcPr>
          <w:p>
            <w:pPr>
              <w:spacing w:after="0"/>
              <w:rPr>
                <w:sz w:val="13"/>
                <w:szCs w:val="13"/>
                <w:color w:val="auto"/>
              </w:rPr>
            </w:pPr>
          </w:p>
        </w:tc>
        <w:tc>
          <w:tcPr>
            <w:tcW w:w="160" w:type="dxa"/>
            <w:vAlign w:val="bottom"/>
            <w:tcBorders>
              <w:top w:val="single" w:sz="8" w:color="CCFFC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80" w:type="dxa"/>
            <w:vAlign w:val="bottom"/>
            <w:tcBorders>
              <w:top w:val="single" w:sz="8" w:color="CCFFCC"/>
            </w:tcBorders>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b w:val="1"/>
                <w:bCs w:val="1"/>
                <w:color w:val="auto"/>
                <w:w w:val="83"/>
              </w:rPr>
              <w:t>Revenues:</w:t>
            </w:r>
          </w:p>
        </w:tc>
        <w:tc>
          <w:tcPr>
            <w:tcW w:w="3160" w:type="dxa"/>
            <w:vAlign w:val="bottom"/>
            <w:gridSpan w:val="5"/>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60" w:type="dxa"/>
            <w:vAlign w:val="bottom"/>
            <w:gridSpan w:val="7"/>
            <w:shd w:val="clear" w:color="auto" w:fill="CCFFCC"/>
          </w:tcPr>
          <w:p>
            <w:pPr>
              <w:spacing w:after="0"/>
              <w:rPr>
                <w:sz w:val="20"/>
                <w:szCs w:val="20"/>
                <w:color w:val="auto"/>
              </w:rPr>
            </w:pPr>
            <w:r>
              <w:rPr>
                <w:rFonts w:ascii="Arial" w:cs="Arial" w:eastAsia="Arial" w:hAnsi="Arial"/>
                <w:sz w:val="17"/>
                <w:szCs w:val="17"/>
                <w:color w:val="auto"/>
              </w:rPr>
              <w:t>Customer A</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312</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95</w:t>
            </w:r>
          </w:p>
        </w:tc>
        <w:tc>
          <w:tcPr>
            <w:tcW w:w="14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407</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Customer B</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90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54</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144</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shd w:val="clear" w:color="auto" w:fill="CCFFCC"/>
          </w:tcPr>
          <w:p>
            <w:pPr>
              <w:spacing w:after="0"/>
              <w:rPr>
                <w:sz w:val="20"/>
                <w:szCs w:val="20"/>
                <w:color w:val="auto"/>
              </w:rPr>
            </w:pPr>
            <w:r>
              <w:rPr>
                <w:rFonts w:ascii="Arial" w:cs="Arial" w:eastAsia="Arial" w:hAnsi="Arial"/>
                <w:sz w:val="17"/>
                <w:szCs w:val="17"/>
                <w:color w:val="auto"/>
              </w:rPr>
              <w:t>Customer C</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110</w:t>
            </w:r>
          </w:p>
        </w:tc>
        <w:tc>
          <w:tcPr>
            <w:tcW w:w="14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110</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Other</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206</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62</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288</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23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718</w:t>
            </w:r>
          </w:p>
        </w:tc>
        <w:tc>
          <w:tcPr>
            <w:tcW w:w="114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211</w:t>
            </w:r>
          </w:p>
        </w:tc>
        <w:tc>
          <w:tcPr>
            <w:tcW w:w="142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949</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460" w:type="dxa"/>
            <w:vAlign w:val="bottom"/>
            <w:tcBorders>
              <w:top w:val="single" w:sz="8" w:color="CCFFCC"/>
              <w:bottom w:val="single" w:sz="8" w:color="auto"/>
            </w:tcBorders>
            <w:gridSpan w:val="4"/>
          </w:tcPr>
          <w:p>
            <w:pPr>
              <w:spacing w:after="0" w:line="153" w:lineRule="exact"/>
              <w:rPr>
                <w:sz w:val="20"/>
                <w:szCs w:val="20"/>
                <w:color w:val="auto"/>
              </w:rPr>
            </w:pPr>
            <w:r>
              <w:rPr>
                <w:rFonts w:ascii="Arial" w:cs="Arial" w:eastAsia="Arial" w:hAnsi="Arial"/>
                <w:sz w:val="17"/>
                <w:szCs w:val="17"/>
                <w:b w:val="1"/>
                <w:bCs w:val="1"/>
                <w:color w:val="auto"/>
                <w:w w:val="87"/>
              </w:rPr>
              <w:t>Information on sales by geographic distribution:</w:t>
            </w:r>
          </w:p>
        </w:tc>
        <w:tc>
          <w:tcPr>
            <w:tcW w:w="600" w:type="dxa"/>
            <w:vAlign w:val="bottom"/>
            <w:tcBorders>
              <w:top w:val="single" w:sz="8" w:color="CCFFCC"/>
            </w:tcBorders>
            <w:gridSpan w:val="3"/>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gridSpan w:val="7"/>
            <w:shd w:val="clear" w:color="auto" w:fill="CCFFCC"/>
          </w:tcPr>
          <w:p>
            <w:pPr>
              <w:spacing w:after="0"/>
              <w:rPr>
                <w:sz w:val="20"/>
                <w:szCs w:val="20"/>
                <w:color w:val="auto"/>
              </w:rPr>
            </w:pPr>
            <w:r>
              <w:rPr>
                <w:rFonts w:ascii="Arial" w:cs="Arial" w:eastAsia="Arial" w:hAnsi="Arial"/>
                <w:sz w:val="17"/>
                <w:szCs w:val="17"/>
                <w:color w:val="auto"/>
              </w:rPr>
              <w:t>South East Asia</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384</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105</w:t>
            </w:r>
          </w:p>
        </w:tc>
        <w:tc>
          <w:tcPr>
            <w:tcW w:w="14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488</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Middle East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175</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54</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229</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shd w:val="clear" w:color="auto" w:fill="CCFFCC"/>
          </w:tcPr>
          <w:p>
            <w:pPr>
              <w:spacing w:after="0"/>
              <w:rPr>
                <w:sz w:val="20"/>
                <w:szCs w:val="20"/>
                <w:color w:val="auto"/>
              </w:rPr>
            </w:pPr>
            <w:r>
              <w:rPr>
                <w:rFonts w:ascii="Arial" w:cs="Arial" w:eastAsia="Arial" w:hAnsi="Arial"/>
                <w:sz w:val="17"/>
                <w:szCs w:val="17"/>
                <w:color w:val="auto"/>
              </w:rPr>
              <w:t>Europe</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82</w:t>
            </w:r>
          </w:p>
        </w:tc>
        <w:tc>
          <w:tcPr>
            <w:tcW w:w="14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82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Others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77</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52</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150</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23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718</w:t>
            </w:r>
          </w:p>
        </w:tc>
        <w:tc>
          <w:tcPr>
            <w:tcW w:w="114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211</w:t>
            </w:r>
          </w:p>
        </w:tc>
        <w:tc>
          <w:tcPr>
            <w:tcW w:w="142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949</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4"/>
        </w:trPr>
        <w:tc>
          <w:tcPr>
            <w:tcW w:w="160" w:type="dxa"/>
            <w:vAlign w:val="bottom"/>
            <w:tcBorders>
              <w:top w:val="single" w:sz="8" w:color="CCFFCC"/>
            </w:tcBorders>
          </w:tcPr>
          <w:p>
            <w:pPr>
              <w:spacing w:after="0"/>
              <w:rPr>
                <w:sz w:val="24"/>
                <w:szCs w:val="24"/>
                <w:color w:val="auto"/>
              </w:rPr>
            </w:pPr>
          </w:p>
        </w:tc>
        <w:tc>
          <w:tcPr>
            <w:tcW w:w="740" w:type="dxa"/>
            <w:vAlign w:val="bottom"/>
            <w:tcBorders>
              <w:top w:val="single" w:sz="8" w:color="CCFFCC"/>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232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460" w:type="dxa"/>
            <w:vAlign w:val="bottom"/>
            <w:tcBorders>
              <w:top w:val="single" w:sz="8" w:color="CCFFCC"/>
            </w:tcBorders>
          </w:tcPr>
          <w:p>
            <w:pPr>
              <w:spacing w:after="0"/>
              <w:rPr>
                <w:sz w:val="24"/>
                <w:szCs w:val="24"/>
                <w:color w:val="auto"/>
              </w:rPr>
            </w:pP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F-45</w:t>
            </w:r>
          </w:p>
        </w:tc>
        <w:tc>
          <w:tcPr>
            <w:tcW w:w="14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-2346325</wp:posOffset>
            </wp:positionV>
            <wp:extent cx="4837430" cy="2863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83743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-1415415</wp:posOffset>
            </wp:positionV>
            <wp:extent cx="4837430" cy="1593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83743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837430" cy="317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83743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3" w:name="page264"/>
    <w:bookmarkEnd w:id="2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43" w:lineRule="auto"/>
        <w:rPr>
          <w:sz w:val="20"/>
          <w:szCs w:val="20"/>
          <w:color w:val="auto"/>
        </w:rPr>
      </w:pPr>
      <w:r>
        <w:rPr>
          <w:rFonts w:ascii="Arial" w:cs="Arial" w:eastAsia="Arial" w:hAnsi="Arial"/>
          <w:sz w:val="17"/>
          <w:szCs w:val="17"/>
          <w:b w:val="1"/>
          <w:bCs w:val="1"/>
          <w:color w:val="auto"/>
        </w:rPr>
        <w:t>NOTES TO CONSOLIDATED FINANCIAL STATEMENTS Note 13 — Interest and Amortization of Debt Discount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7504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504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0"/>
              <w:spacing w:after="0" w:line="139" w:lineRule="exact"/>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60" w:type="dxa"/>
            <w:vAlign w:val="bottom"/>
            <w:gridSpan w:val="5"/>
            <w:vMerge w:val="restart"/>
          </w:tcPr>
          <w:p>
            <w:pPr>
              <w:jc w:val="right"/>
              <w:ind w:right="120"/>
              <w:spacing w:after="0"/>
              <w:rPr>
                <w:sz w:val="20"/>
                <w:szCs w:val="20"/>
                <w:color w:val="auto"/>
              </w:rPr>
            </w:pPr>
            <w:r>
              <w:rPr>
                <w:rFonts w:ascii="Arial" w:cs="Arial" w:eastAsia="Arial" w:hAnsi="Arial"/>
                <w:sz w:val="13"/>
                <w:szCs w:val="13"/>
                <w:b w:val="1"/>
                <w:bCs w:val="1"/>
                <w:color w:val="auto"/>
                <w:w w:val="98"/>
              </w:rPr>
              <w:t>For the year ended December 31,</w:t>
            </w:r>
          </w:p>
        </w:tc>
        <w:tc>
          <w:tcPr>
            <w:tcW w:w="160" w:type="dxa"/>
            <w:vAlign w:val="bottom"/>
          </w:tcPr>
          <w:p>
            <w:pPr>
              <w:spacing w:after="0"/>
              <w:rPr>
                <w:sz w:val="11"/>
                <w:szCs w:val="11"/>
                <w:color w:val="auto"/>
              </w:rPr>
            </w:pPr>
          </w:p>
        </w:tc>
        <w:tc>
          <w:tcPr>
            <w:tcW w:w="12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6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center"/>
              <w:ind w:left="298"/>
              <w:spacing w:after="0"/>
              <w:rPr>
                <w:sz w:val="20"/>
                <w:szCs w:val="20"/>
                <w:color w:val="auto"/>
              </w:rPr>
            </w:pPr>
            <w:r>
              <w:rPr>
                <w:rFonts w:ascii="Arial" w:cs="Arial" w:eastAsia="Arial" w:hAnsi="Arial"/>
                <w:sz w:val="13"/>
                <w:szCs w:val="13"/>
                <w:b w:val="1"/>
                <w:bCs w:val="1"/>
                <w:color w:val="auto"/>
                <w:w w:val="89"/>
              </w:rPr>
              <w:t>2011</w:t>
            </w:r>
          </w:p>
        </w:tc>
        <w:tc>
          <w:tcPr>
            <w:tcW w:w="2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900" w:type="dxa"/>
            <w:vAlign w:val="bottom"/>
            <w:vMerge w:val="restart"/>
          </w:tcPr>
          <w:p>
            <w:pPr>
              <w:jc w:val="right"/>
              <w:ind w:right="181"/>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01"/>
              <w:spacing w:after="0"/>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160" w:type="dxa"/>
            <w:vAlign w:val="bottom"/>
          </w:tcPr>
          <w:p>
            <w:pPr>
              <w:spacing w:after="0"/>
              <w:rPr>
                <w:sz w:val="16"/>
                <w:szCs w:val="16"/>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95"/>
              </w:rPr>
              <w:t>U.S.$ thousands</w:t>
            </w:r>
          </w:p>
        </w:tc>
        <w:tc>
          <w:tcPr>
            <w:tcW w:w="160" w:type="dxa"/>
            <w:vAlign w:val="bottom"/>
          </w:tcPr>
          <w:p>
            <w:pPr>
              <w:spacing w:after="0"/>
              <w:rPr>
                <w:sz w:val="16"/>
                <w:szCs w:val="16"/>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0" w:type="dxa"/>
            <w:vAlign w:val="bottom"/>
          </w:tcPr>
          <w:p>
            <w:pPr>
              <w:spacing w:after="0"/>
              <w:rPr>
                <w:sz w:val="1"/>
                <w:szCs w:val="1"/>
                <w:color w:val="auto"/>
              </w:rPr>
            </w:pPr>
          </w:p>
        </w:tc>
      </w:tr>
      <w:tr>
        <w:trPr>
          <w:trHeight w:val="193"/>
        </w:trPr>
        <w:tc>
          <w:tcPr>
            <w:tcW w:w="4060" w:type="dxa"/>
            <w:vAlign w:val="bottom"/>
            <w:shd w:val="clear" w:color="auto" w:fill="CCFFCC"/>
          </w:tcPr>
          <w:p>
            <w:pPr>
              <w:spacing w:after="0" w:line="194" w:lineRule="exact"/>
              <w:rPr>
                <w:sz w:val="20"/>
                <w:szCs w:val="20"/>
                <w:color w:val="auto"/>
              </w:rPr>
            </w:pPr>
            <w:r>
              <w:rPr>
                <w:rFonts w:ascii="Arial" w:cs="Arial" w:eastAsia="Arial" w:hAnsi="Arial"/>
                <w:sz w:val="17"/>
                <w:szCs w:val="17"/>
                <w:color w:val="auto"/>
              </w:rPr>
              <w:t>Interest and discount amortization expense from</w:t>
            </w:r>
          </w:p>
        </w:tc>
        <w:tc>
          <w:tcPr>
            <w:tcW w:w="1000" w:type="dxa"/>
            <w:vAlign w:val="bottom"/>
            <w:gridSpan w:val="2"/>
            <w:shd w:val="clear" w:color="auto" w:fill="CCFFCC"/>
          </w:tcPr>
          <w:p>
            <w:pPr>
              <w:jc w:val="right"/>
              <w:ind w:right="80"/>
              <w:spacing w:after="0" w:line="194" w:lineRule="exact"/>
              <w:rPr>
                <w:sz w:val="20"/>
                <w:szCs w:val="20"/>
                <w:color w:val="auto"/>
              </w:rPr>
            </w:pPr>
            <w:r>
              <w:rPr>
                <w:rFonts w:ascii="Arial" w:cs="Arial" w:eastAsia="Arial" w:hAnsi="Arial"/>
                <w:sz w:val="17"/>
                <w:szCs w:val="17"/>
                <w:b w:val="1"/>
                <w:bCs w:val="1"/>
                <w:color w:val="auto"/>
              </w:rPr>
              <w:t>(245)</w:t>
            </w:r>
          </w:p>
        </w:tc>
        <w:tc>
          <w:tcPr>
            <w:tcW w:w="116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(604)</w:t>
            </w:r>
          </w:p>
        </w:tc>
        <w:tc>
          <w:tcPr>
            <w:tcW w:w="1400" w:type="dxa"/>
            <w:vAlign w:val="bottom"/>
            <w:gridSpan w:val="3"/>
            <w:shd w:val="clear" w:color="auto" w:fill="CCFFCC"/>
          </w:tcPr>
          <w:p>
            <w:pPr>
              <w:jc w:val="right"/>
              <w:ind w:right="180"/>
              <w:spacing w:after="0" w:line="194" w:lineRule="exact"/>
              <w:rPr>
                <w:sz w:val="20"/>
                <w:szCs w:val="20"/>
                <w:color w:val="auto"/>
              </w:rPr>
            </w:pPr>
            <w:r>
              <w:rPr>
                <w:rFonts w:ascii="Arial" w:cs="Arial" w:eastAsia="Arial" w:hAnsi="Arial"/>
                <w:sz w:val="17"/>
                <w:szCs w:val="17"/>
                <w:color w:val="auto"/>
              </w:rPr>
              <w:t>(1,614)</w:t>
            </w:r>
          </w:p>
        </w:tc>
        <w:tc>
          <w:tcPr>
            <w:tcW w:w="0" w:type="dxa"/>
            <w:vAlign w:val="bottom"/>
          </w:tcPr>
          <w:p>
            <w:pPr>
              <w:spacing w:after="0"/>
              <w:rPr>
                <w:sz w:val="1"/>
                <w:szCs w:val="1"/>
                <w:color w:val="auto"/>
              </w:rPr>
            </w:pPr>
          </w:p>
        </w:tc>
      </w:tr>
      <w:tr>
        <w:trPr>
          <w:trHeight w:val="213"/>
        </w:trPr>
        <w:tc>
          <w:tcPr>
            <w:tcW w:w="40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venture loan</w:t>
            </w: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Interest expense from Bridge Notes</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(161)</w:t>
            </w:r>
          </w:p>
        </w:tc>
        <w:tc>
          <w:tcPr>
            <w:tcW w:w="1400" w:type="dxa"/>
            <w:vAlign w:val="bottom"/>
            <w:gridSpan w:val="3"/>
          </w:tcPr>
          <w:p>
            <w:pPr>
              <w:jc w:val="right"/>
              <w:ind w:right="18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00"/>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Lead Investor warrants recorded at fair value</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(1,342)</w:t>
            </w:r>
          </w:p>
        </w:tc>
        <w:tc>
          <w:tcPr>
            <w:tcW w:w="140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(1,342)</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Amortization of discount of Bridge Notes</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(1,070)</w:t>
            </w:r>
          </w:p>
        </w:tc>
        <w:tc>
          <w:tcPr>
            <w:tcW w:w="1400" w:type="dxa"/>
            <w:vAlign w:val="bottom"/>
            <w:gridSpan w:val="3"/>
          </w:tcPr>
          <w:p>
            <w:pPr>
              <w:jc w:val="right"/>
              <w:ind w:right="180"/>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188"/>
        </w:trPr>
        <w:tc>
          <w:tcPr>
            <w:tcW w:w="40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Beneficial conversion feature in connection with</w:t>
            </w:r>
          </w:p>
        </w:tc>
        <w:tc>
          <w:tcPr>
            <w:tcW w:w="100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16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(1,127)</w:t>
            </w:r>
          </w:p>
        </w:tc>
        <w:tc>
          <w:tcPr>
            <w:tcW w:w="1400" w:type="dxa"/>
            <w:vAlign w:val="bottom"/>
            <w:gridSpan w:val="3"/>
            <w:shd w:val="clear" w:color="auto" w:fill="CCFFCC"/>
          </w:tcPr>
          <w:p>
            <w:pPr>
              <w:jc w:val="right"/>
              <w:ind w:right="180"/>
              <w:spacing w:after="0" w:line="188" w:lineRule="exact"/>
              <w:rPr>
                <w:sz w:val="20"/>
                <w:szCs w:val="20"/>
                <w:color w:val="auto"/>
              </w:rPr>
            </w:pPr>
            <w:r>
              <w:rPr>
                <w:rFonts w:ascii="Arial" w:cs="Arial" w:eastAsia="Arial" w:hAnsi="Arial"/>
                <w:sz w:val="17"/>
                <w:szCs w:val="17"/>
                <w:color w:val="auto"/>
              </w:rPr>
              <w:t>(1,127)</w:t>
            </w:r>
          </w:p>
        </w:tc>
        <w:tc>
          <w:tcPr>
            <w:tcW w:w="0" w:type="dxa"/>
            <w:vAlign w:val="bottom"/>
          </w:tcPr>
          <w:p>
            <w:pPr>
              <w:spacing w:after="0"/>
              <w:rPr>
                <w:sz w:val="1"/>
                <w:szCs w:val="1"/>
                <w:color w:val="auto"/>
              </w:rPr>
            </w:pPr>
          </w:p>
        </w:tc>
      </w:tr>
      <w:tr>
        <w:trPr>
          <w:trHeight w:val="213"/>
        </w:trPr>
        <w:tc>
          <w:tcPr>
            <w:tcW w:w="40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Bridge Notes</w:t>
            </w: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Interest expense from Series B convertible loan</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18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0"/>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Interest expense from Convertible Notes</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(11)</w:t>
            </w:r>
          </w:p>
        </w:tc>
        <w:tc>
          <w:tcPr>
            <w:tcW w:w="1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8"/>
        </w:trPr>
        <w:tc>
          <w:tcPr>
            <w:tcW w:w="4060" w:type="dxa"/>
            <w:vAlign w:val="bottom"/>
          </w:tcPr>
          <w:p>
            <w:pPr>
              <w:spacing w:after="0" w:line="188" w:lineRule="exact"/>
              <w:rPr>
                <w:sz w:val="20"/>
                <w:szCs w:val="20"/>
                <w:color w:val="auto"/>
              </w:rPr>
            </w:pPr>
            <w:r>
              <w:rPr>
                <w:rFonts w:ascii="Arial" w:cs="Arial" w:eastAsia="Arial" w:hAnsi="Arial"/>
                <w:sz w:val="17"/>
                <w:szCs w:val="17"/>
                <w:color w:val="auto"/>
                <w:w w:val="95"/>
              </w:rPr>
              <w:t>Amortization of discount of Convertible Notes (beneficial</w:t>
            </w:r>
          </w:p>
        </w:tc>
        <w:tc>
          <w:tcPr>
            <w:tcW w:w="100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(1,269)</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180"/>
              <w:spacing w:after="0" w:line="188" w:lineRule="exact"/>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213"/>
        </w:trPr>
        <w:tc>
          <w:tcPr>
            <w:tcW w:w="4060" w:type="dxa"/>
            <w:vAlign w:val="bottom"/>
          </w:tcPr>
          <w:p>
            <w:pPr>
              <w:ind w:left="160"/>
              <w:spacing w:after="0"/>
              <w:rPr>
                <w:sz w:val="20"/>
                <w:szCs w:val="20"/>
                <w:color w:val="auto"/>
              </w:rPr>
            </w:pPr>
            <w:r>
              <w:rPr>
                <w:rFonts w:ascii="Arial" w:cs="Arial" w:eastAsia="Arial" w:hAnsi="Arial"/>
                <w:sz w:val="17"/>
                <w:szCs w:val="17"/>
                <w:color w:val="auto"/>
              </w:rPr>
              <w:t>conversion feature)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line="194" w:lineRule="exact"/>
              <w:rPr>
                <w:sz w:val="20"/>
                <w:szCs w:val="20"/>
                <w:color w:val="auto"/>
              </w:rPr>
            </w:pPr>
            <w:r>
              <w:rPr>
                <w:rFonts w:ascii="Arial" w:cs="Arial" w:eastAsia="Arial" w:hAnsi="Arial"/>
                <w:sz w:val="17"/>
                <w:szCs w:val="17"/>
                <w:b w:val="1"/>
                <w:bCs w:val="1"/>
                <w:color w:val="auto"/>
              </w:rPr>
              <w:t>(1,525)</w:t>
            </w:r>
          </w:p>
        </w:tc>
        <w:tc>
          <w:tcPr>
            <w:tcW w:w="116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(4,304)</w:t>
            </w:r>
          </w:p>
        </w:tc>
        <w:tc>
          <w:tcPr>
            <w:tcW w:w="1400" w:type="dxa"/>
            <w:vAlign w:val="bottom"/>
            <w:gridSpan w:val="3"/>
            <w:shd w:val="clear" w:color="auto" w:fill="CCFFCC"/>
          </w:tcPr>
          <w:p>
            <w:pPr>
              <w:jc w:val="right"/>
              <w:ind w:right="180"/>
              <w:spacing w:after="0" w:line="194" w:lineRule="exact"/>
              <w:rPr>
                <w:sz w:val="20"/>
                <w:szCs w:val="20"/>
                <w:color w:val="auto"/>
              </w:rPr>
            </w:pPr>
            <w:r>
              <w:rPr>
                <w:rFonts w:ascii="Arial" w:cs="Arial" w:eastAsia="Arial" w:hAnsi="Arial"/>
                <w:sz w:val="17"/>
                <w:szCs w:val="17"/>
                <w:color w:val="auto"/>
              </w:rPr>
              <w:t>(6,657)</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14 — Income Taxes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Components of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1228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31228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3380" w:type="dxa"/>
            <w:vAlign w:val="bottom"/>
          </w:tcPr>
          <w:p>
            <w:pPr>
              <w:spacing w:after="0"/>
              <w:rPr>
                <w:sz w:val="11"/>
                <w:szCs w:val="11"/>
                <w:color w:val="auto"/>
              </w:rPr>
            </w:pPr>
          </w:p>
        </w:tc>
        <w:tc>
          <w:tcPr>
            <w:tcW w:w="216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w w:val="97"/>
              </w:rPr>
              <w:t>For the year ended December 31,</w:t>
            </w:r>
          </w:p>
        </w:tc>
        <w:tc>
          <w:tcPr>
            <w:tcW w:w="14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0" w:type="dxa"/>
            <w:vAlign w:val="bottom"/>
          </w:tcPr>
          <w:p>
            <w:pPr>
              <w:spacing w:after="0"/>
              <w:rPr>
                <w:sz w:val="1"/>
                <w:szCs w:val="1"/>
                <w:color w:val="auto"/>
              </w:rPr>
            </w:pPr>
          </w:p>
        </w:tc>
      </w:tr>
      <w:tr>
        <w:trPr>
          <w:trHeight w:val="138"/>
        </w:trPr>
        <w:tc>
          <w:tcPr>
            <w:tcW w:w="3380" w:type="dxa"/>
            <w:vAlign w:val="bottom"/>
          </w:tcPr>
          <w:p>
            <w:pPr>
              <w:spacing w:after="0"/>
              <w:rPr>
                <w:sz w:val="11"/>
                <w:szCs w:val="11"/>
                <w:color w:val="auto"/>
              </w:rPr>
            </w:pPr>
          </w:p>
        </w:tc>
        <w:tc>
          <w:tcPr>
            <w:tcW w:w="216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December 31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gridSpan w:val="2"/>
            <w:vMerge w:val="restart"/>
          </w:tcPr>
          <w:p>
            <w:pPr>
              <w:jc w:val="center"/>
              <w:ind w:left="281"/>
              <w:spacing w:after="0"/>
              <w:rPr>
                <w:sz w:val="20"/>
                <w:szCs w:val="20"/>
                <w:color w:val="auto"/>
              </w:rPr>
            </w:pPr>
            <w:r>
              <w:rPr>
                <w:rFonts w:ascii="Arial" w:cs="Arial" w:eastAsia="Arial" w:hAnsi="Arial"/>
                <w:sz w:val="13"/>
                <w:szCs w:val="13"/>
                <w:b w:val="1"/>
                <w:bCs w:val="1"/>
                <w:color w:val="auto"/>
                <w:w w:val="89"/>
              </w:rPr>
              <w:t>2011</w:t>
            </w:r>
          </w:p>
        </w:tc>
        <w:tc>
          <w:tcPr>
            <w:tcW w:w="2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900" w:type="dxa"/>
            <w:vAlign w:val="bottom"/>
            <w:vMerge w:val="restart"/>
          </w:tcPr>
          <w:p>
            <w:pPr>
              <w:jc w:val="right"/>
              <w:ind w:right="185"/>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33"/>
              <w:spacing w:after="0"/>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3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2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0" w:type="dxa"/>
            <w:vAlign w:val="bottom"/>
          </w:tcPr>
          <w:p>
            <w:pPr>
              <w:spacing w:after="0"/>
              <w:rPr>
                <w:sz w:val="1"/>
                <w:szCs w:val="1"/>
                <w:color w:val="auto"/>
              </w:rPr>
            </w:pPr>
          </w:p>
        </w:tc>
      </w:tr>
      <w:tr>
        <w:trPr>
          <w:trHeight w:val="206"/>
        </w:trPr>
        <w:tc>
          <w:tcPr>
            <w:tcW w:w="3380" w:type="dxa"/>
            <w:vAlign w:val="bottom"/>
            <w:shd w:val="clear" w:color="auto" w:fill="CCFFCC"/>
          </w:tcPr>
          <w:p>
            <w:pPr>
              <w:spacing w:after="0"/>
              <w:rPr>
                <w:sz w:val="20"/>
                <w:szCs w:val="20"/>
                <w:color w:val="auto"/>
              </w:rPr>
            </w:pPr>
            <w:r>
              <w:rPr>
                <w:rFonts w:ascii="Arial" w:cs="Arial" w:eastAsia="Arial" w:hAnsi="Arial"/>
                <w:sz w:val="17"/>
                <w:szCs w:val="17"/>
                <w:color w:val="auto"/>
              </w:rPr>
              <w:t>U.S.</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(7,605)</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(10,151)</w:t>
            </w:r>
          </w:p>
        </w:tc>
        <w:tc>
          <w:tcPr>
            <w:tcW w:w="14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(38,629)</w:t>
            </w:r>
          </w:p>
        </w:tc>
        <w:tc>
          <w:tcPr>
            <w:tcW w:w="0" w:type="dxa"/>
            <w:vAlign w:val="bottom"/>
          </w:tcPr>
          <w:p>
            <w:pPr>
              <w:spacing w:after="0"/>
              <w:rPr>
                <w:sz w:val="1"/>
                <w:szCs w:val="1"/>
                <w:color w:val="auto"/>
              </w:rPr>
            </w:pPr>
          </w:p>
        </w:tc>
      </w:tr>
      <w:tr>
        <w:trPr>
          <w:trHeight w:val="200"/>
        </w:trPr>
        <w:tc>
          <w:tcPr>
            <w:tcW w:w="3380" w:type="dxa"/>
            <w:vAlign w:val="bottom"/>
          </w:tcPr>
          <w:p>
            <w:pPr>
              <w:spacing w:after="0"/>
              <w:rPr>
                <w:sz w:val="20"/>
                <w:szCs w:val="20"/>
                <w:color w:val="auto"/>
              </w:rPr>
            </w:pPr>
            <w:r>
              <w:rPr>
                <w:rFonts w:ascii="Arial" w:cs="Arial" w:eastAsia="Arial" w:hAnsi="Arial"/>
                <w:sz w:val="17"/>
                <w:szCs w:val="17"/>
                <w:color w:val="auto"/>
              </w:rPr>
              <w:t>Non-U.S.</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216</w:t>
            </w:r>
          </w:p>
        </w:tc>
        <w:tc>
          <w:tcPr>
            <w:tcW w:w="1160" w:type="dxa"/>
            <w:vAlign w:val="bottom"/>
            <w:gridSpan w:val="3"/>
          </w:tcPr>
          <w:p>
            <w:pPr>
              <w:jc w:val="right"/>
              <w:ind w:right="160"/>
              <w:spacing w:after="0"/>
              <w:rPr>
                <w:sz w:val="20"/>
                <w:szCs w:val="20"/>
                <w:color w:val="auto"/>
              </w:rPr>
            </w:pPr>
            <w:r>
              <w:rPr>
                <w:rFonts w:ascii="Arial" w:cs="Arial" w:eastAsia="Arial" w:hAnsi="Arial"/>
                <w:sz w:val="17"/>
                <w:szCs w:val="17"/>
                <w:color w:val="auto"/>
              </w:rPr>
              <w:t>244</w:t>
            </w:r>
          </w:p>
        </w:tc>
        <w:tc>
          <w:tcPr>
            <w:tcW w:w="1400" w:type="dxa"/>
            <w:vAlign w:val="bottom"/>
            <w:gridSpan w:val="3"/>
          </w:tcPr>
          <w:p>
            <w:pPr>
              <w:jc w:val="right"/>
              <w:ind w:right="220"/>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(7,389)</w:t>
            </w:r>
          </w:p>
        </w:tc>
        <w:tc>
          <w:tcPr>
            <w:tcW w:w="11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(9,907)</w:t>
            </w:r>
          </w:p>
        </w:tc>
        <w:tc>
          <w:tcPr>
            <w:tcW w:w="140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(37,427)</w:t>
            </w:r>
          </w:p>
        </w:tc>
        <w:tc>
          <w:tcPr>
            <w:tcW w:w="0" w:type="dxa"/>
            <w:vAlign w:val="bottom"/>
          </w:tcPr>
          <w:p>
            <w:pPr>
              <w:spacing w:after="0"/>
              <w:rPr>
                <w:sz w:val="1"/>
                <w:szCs w:val="1"/>
                <w:color w:val="auto"/>
              </w:rPr>
            </w:pPr>
          </w:p>
        </w:tc>
      </w:tr>
      <w:tr>
        <w:trPr>
          <w:trHeight w:val="20"/>
        </w:trPr>
        <w:tc>
          <w:tcPr>
            <w:tcW w:w="33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Income tax benefit (expense) attributable to the operating loss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1228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31228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6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w w:val="97"/>
              </w:rPr>
              <w:t>For the year ended December 31,</w:t>
            </w:r>
          </w:p>
        </w:tc>
        <w:tc>
          <w:tcPr>
            <w:tcW w:w="14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6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December 31</w:t>
            </w: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gridSpan w:val="2"/>
            <w:vMerge w:val="restart"/>
          </w:tcPr>
          <w:p>
            <w:pPr>
              <w:jc w:val="center"/>
              <w:ind w:left="380"/>
              <w:spacing w:after="0"/>
              <w:rPr>
                <w:sz w:val="20"/>
                <w:szCs w:val="20"/>
                <w:color w:val="auto"/>
              </w:rPr>
            </w:pPr>
            <w:r>
              <w:rPr>
                <w:rFonts w:ascii="Arial" w:cs="Arial" w:eastAsia="Arial" w:hAnsi="Arial"/>
                <w:sz w:val="13"/>
                <w:szCs w:val="13"/>
                <w:b w:val="1"/>
                <w:bCs w:val="1"/>
                <w:color w:val="auto"/>
                <w:w w:val="89"/>
              </w:rPr>
              <w:t>2011</w:t>
            </w:r>
          </w:p>
        </w:tc>
        <w:tc>
          <w:tcPr>
            <w:tcW w:w="3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61"/>
              <w:spacing w:after="0"/>
              <w:rPr>
                <w:sz w:val="20"/>
                <w:szCs w:val="20"/>
                <w:color w:val="auto"/>
              </w:rPr>
            </w:pPr>
            <w:r>
              <w:rPr>
                <w:rFonts w:ascii="Arial" w:cs="Arial" w:eastAsia="Arial" w:hAnsi="Arial"/>
                <w:sz w:val="13"/>
                <w:szCs w:val="13"/>
                <w:b w:val="1"/>
                <w:bCs w:val="1"/>
                <w:color w:val="auto"/>
              </w:rPr>
              <w:t>2010</w:t>
            </w:r>
          </w:p>
        </w:tc>
        <w:tc>
          <w:tcPr>
            <w:tcW w:w="2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U.S.$ thousands</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w w:val="97"/>
              </w:rPr>
              <w:t>U.S.$ thousands</w:t>
            </w:r>
          </w:p>
        </w:tc>
        <w:tc>
          <w:tcPr>
            <w:tcW w:w="14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 w:type="dxa"/>
            <w:vAlign w:val="bottom"/>
            <w:tcBorders>
              <w:bottom w:val="single" w:sz="8" w:color="auto"/>
            </w:tcBorders>
            <w:shd w:val="clear" w:color="auto" w:fill="CCFFCC"/>
          </w:tcPr>
          <w:p>
            <w:pPr>
              <w:spacing w:after="0" w:line="168" w:lineRule="exact"/>
              <w:rPr>
                <w:sz w:val="20"/>
                <w:szCs w:val="20"/>
                <w:color w:val="auto"/>
              </w:rPr>
            </w:pPr>
            <w:r>
              <w:rPr>
                <w:rFonts w:ascii="Arial" w:cs="Arial" w:eastAsia="Arial" w:hAnsi="Arial"/>
                <w:sz w:val="17"/>
                <w:szCs w:val="17"/>
                <w:color w:val="auto"/>
                <w:w w:val="84"/>
              </w:rPr>
              <w:t>U.S.</w:t>
            </w:r>
          </w:p>
        </w:tc>
        <w:tc>
          <w:tcPr>
            <w:tcW w:w="3080" w:type="dxa"/>
            <w:vAlign w:val="bottom"/>
            <w:tcBorders>
              <w:bottom w:val="single" w:sz="8" w:color="CCFFCC"/>
            </w:tcBorders>
            <w:gridSpan w:val="3"/>
            <w:shd w:val="clear" w:color="auto" w:fill="CCFFCC"/>
          </w:tcPr>
          <w:p>
            <w:pPr>
              <w:spacing w:after="0"/>
              <w:rPr>
                <w:sz w:val="16"/>
                <w:szCs w:val="16"/>
                <w:color w:val="auto"/>
              </w:rPr>
            </w:pPr>
          </w:p>
        </w:tc>
        <w:tc>
          <w:tcPr>
            <w:tcW w:w="88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CCFFCC"/>
            </w:tcBorders>
            <w:shd w:val="clear" w:color="auto" w:fill="CCFFCC"/>
          </w:tcPr>
          <w:p>
            <w:pPr>
              <w:spacing w:after="0"/>
              <w:rPr>
                <w:sz w:val="16"/>
                <w:szCs w:val="16"/>
                <w:color w:val="auto"/>
              </w:rPr>
            </w:pPr>
          </w:p>
        </w:tc>
        <w:tc>
          <w:tcPr>
            <w:tcW w:w="780" w:type="dxa"/>
            <w:vAlign w:val="bottom"/>
            <w:tcBorders>
              <w:bottom w:val="single" w:sz="8" w:color="CCFFCC"/>
            </w:tcBorders>
            <w:shd w:val="clear" w:color="auto" w:fill="CCFFCC"/>
          </w:tcPr>
          <w:p>
            <w:pPr>
              <w:spacing w:after="0"/>
              <w:rPr>
                <w:sz w:val="16"/>
                <w:szCs w:val="16"/>
                <w:color w:val="auto"/>
              </w:rPr>
            </w:pPr>
          </w:p>
        </w:tc>
        <w:tc>
          <w:tcPr>
            <w:tcW w:w="24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CCFFCC"/>
            </w:tcBorders>
            <w:shd w:val="clear" w:color="auto" w:fill="CCFFCC"/>
          </w:tcPr>
          <w:p>
            <w:pPr>
              <w:spacing w:after="0"/>
              <w:rPr>
                <w:sz w:val="16"/>
                <w:szCs w:val="16"/>
                <w:color w:val="auto"/>
              </w:rPr>
            </w:pPr>
          </w:p>
        </w:tc>
        <w:tc>
          <w:tcPr>
            <w:tcW w:w="940" w:type="dxa"/>
            <w:vAlign w:val="bottom"/>
            <w:tcBorders>
              <w:bottom w:val="single" w:sz="8" w:color="CCFFCC"/>
            </w:tcBorders>
            <w:shd w:val="clear" w:color="auto" w:fill="CCFFCC"/>
          </w:tcPr>
          <w:p>
            <w:pPr>
              <w:spacing w:after="0"/>
              <w:rPr>
                <w:sz w:val="16"/>
                <w:szCs w:val="16"/>
                <w:color w:val="auto"/>
              </w:rPr>
            </w:pPr>
          </w:p>
        </w:tc>
        <w:tc>
          <w:tcPr>
            <w:tcW w:w="320" w:type="dxa"/>
            <w:vAlign w:val="bottom"/>
            <w:tcBorders>
              <w:bottom w:val="single" w:sz="8" w:color="CCFFCC"/>
            </w:tcBorders>
            <w:shd w:val="clear" w:color="auto" w:fill="CCFFCC"/>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380" w:type="dxa"/>
            <w:vAlign w:val="bottom"/>
            <w:gridSpan w:val="4"/>
          </w:tcPr>
          <w:p>
            <w:pPr>
              <w:spacing w:after="0"/>
              <w:rPr>
                <w:sz w:val="20"/>
                <w:szCs w:val="20"/>
                <w:color w:val="auto"/>
              </w:rPr>
            </w:pPr>
            <w:r>
              <w:rPr>
                <w:rFonts w:ascii="Arial" w:cs="Arial" w:eastAsia="Arial" w:hAnsi="Arial"/>
                <w:sz w:val="17"/>
                <w:szCs w:val="17"/>
                <w:color w:val="auto"/>
              </w:rPr>
              <w:t>Current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(43)</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260"/>
              <w:spacing w:after="0"/>
              <w:rPr>
                <w:sz w:val="20"/>
                <w:szCs w:val="20"/>
                <w:color w:val="auto"/>
              </w:rPr>
            </w:pPr>
            <w:r>
              <w:rPr>
                <w:rFonts w:ascii="Arial" w:cs="Arial" w:eastAsia="Arial" w:hAnsi="Arial"/>
                <w:sz w:val="17"/>
                <w:szCs w:val="17"/>
                <w:color w:val="auto"/>
              </w:rPr>
              <w:t>(43)</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8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Deferred</w:t>
            </w:r>
          </w:p>
        </w:tc>
        <w:tc>
          <w:tcPr>
            <w:tcW w:w="1140" w:type="dxa"/>
            <w:vAlign w:val="bottom"/>
            <w:gridSpan w:val="3"/>
            <w:shd w:val="clear" w:color="auto" w:fill="CCFFCC"/>
          </w:tcPr>
          <w:p>
            <w:pPr>
              <w:jc w:val="right"/>
              <w:ind w:right="2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260" w:type="dxa"/>
            <w:vAlign w:val="bottom"/>
            <w:gridSpan w:val="2"/>
            <w:shd w:val="clear" w:color="auto" w:fill="CCFFCC"/>
          </w:tcPr>
          <w:p>
            <w:pPr>
              <w:jc w:val="right"/>
              <w:ind w:right="320"/>
              <w:spacing w:after="0"/>
              <w:rPr>
                <w:sz w:val="20"/>
                <w:szCs w:val="20"/>
                <w:color w:val="auto"/>
              </w:rPr>
            </w:pPr>
            <w:r>
              <w:rPr>
                <w:rFonts w:ascii="Arial" w:cs="Arial" w:eastAsia="Arial" w:hAnsi="Arial"/>
                <w:sz w:val="17"/>
                <w:szCs w:val="17"/>
                <w:color w:val="auto"/>
              </w:rPr>
              <w:t>—</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600" w:type="dxa"/>
            <w:vAlign w:val="bottom"/>
            <w:tcBorders>
              <w:top w:val="single" w:sz="8" w:color="CCFFCC"/>
              <w:bottom w:val="single" w:sz="8" w:color="auto"/>
            </w:tcBorders>
            <w:gridSpan w:val="2"/>
          </w:tcPr>
          <w:p>
            <w:pPr>
              <w:spacing w:after="0" w:line="155" w:lineRule="exact"/>
              <w:rPr>
                <w:sz w:val="20"/>
                <w:szCs w:val="20"/>
                <w:color w:val="auto"/>
              </w:rPr>
            </w:pPr>
            <w:r>
              <w:rPr>
                <w:rFonts w:ascii="Arial" w:cs="Arial" w:eastAsia="Arial" w:hAnsi="Arial"/>
                <w:sz w:val="17"/>
                <w:szCs w:val="17"/>
                <w:color w:val="auto"/>
                <w:w w:val="88"/>
              </w:rPr>
              <w:t>Non-U.S</w:t>
            </w:r>
          </w:p>
        </w:tc>
        <w:tc>
          <w:tcPr>
            <w:tcW w:w="2780" w:type="dxa"/>
            <w:vAlign w:val="bottom"/>
            <w:tcBorders>
              <w:top w:val="single" w:sz="8" w:color="CCFFCC"/>
            </w:tcBorders>
            <w:gridSpan w:val="2"/>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CCFFCC"/>
            </w:tcBorders>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8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Current</w:t>
            </w:r>
          </w:p>
        </w:tc>
        <w:tc>
          <w:tcPr>
            <w:tcW w:w="1140" w:type="dxa"/>
            <w:vAlign w:val="bottom"/>
            <w:gridSpan w:val="3"/>
            <w:shd w:val="clear" w:color="auto" w:fill="CCFFCC"/>
          </w:tcPr>
          <w:p>
            <w:pPr>
              <w:jc w:val="right"/>
              <w:ind w:right="2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98</w:t>
            </w:r>
          </w:p>
        </w:tc>
        <w:tc>
          <w:tcPr>
            <w:tcW w:w="1400" w:type="dxa"/>
            <w:vAlign w:val="bottom"/>
            <w:gridSpan w:val="3"/>
            <w:shd w:val="clear" w:color="auto" w:fill="CCFFCC"/>
          </w:tcPr>
          <w:p>
            <w:pPr>
              <w:jc w:val="right"/>
              <w:ind w:right="320"/>
              <w:spacing w:after="0"/>
              <w:rPr>
                <w:sz w:val="20"/>
                <w:szCs w:val="20"/>
                <w:color w:val="auto"/>
              </w:rPr>
            </w:pPr>
            <w:r>
              <w:rPr>
                <w:rFonts w:ascii="Arial" w:cs="Arial" w:eastAsia="Arial" w:hAnsi="Arial"/>
                <w:sz w:val="17"/>
                <w:szCs w:val="17"/>
                <w:color w:val="auto"/>
              </w:rPr>
              <w:t>2</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80" w:type="dxa"/>
            <w:vAlign w:val="bottom"/>
            <w:gridSpan w:val="4"/>
          </w:tcPr>
          <w:p>
            <w:pPr>
              <w:spacing w:after="0"/>
              <w:rPr>
                <w:sz w:val="20"/>
                <w:szCs w:val="20"/>
                <w:color w:val="auto"/>
              </w:rPr>
            </w:pPr>
            <w:r>
              <w:rPr>
                <w:rFonts w:ascii="Arial" w:cs="Arial" w:eastAsia="Arial" w:hAnsi="Arial"/>
                <w:sz w:val="17"/>
                <w:szCs w:val="17"/>
                <w:color w:val="auto"/>
              </w:rPr>
              <w:t>Deferred</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(133)</w:t>
            </w:r>
          </w:p>
        </w:tc>
        <w:tc>
          <w:tcPr>
            <w:tcW w:w="1400" w:type="dxa"/>
            <w:vAlign w:val="bottom"/>
            <w:gridSpan w:val="3"/>
          </w:tcPr>
          <w:p>
            <w:pPr>
              <w:jc w:val="right"/>
              <w:ind w:right="260"/>
              <w:spacing w:after="0"/>
              <w:rPr>
                <w:sz w:val="20"/>
                <w:szCs w:val="20"/>
                <w:color w:val="auto"/>
              </w:rPr>
            </w:pPr>
            <w:r>
              <w:rPr>
                <w:rFonts w:ascii="Arial" w:cs="Arial" w:eastAsia="Arial" w:hAnsi="Arial"/>
                <w:sz w:val="17"/>
                <w:szCs w:val="17"/>
                <w:color w:val="auto"/>
              </w:rPr>
              <w:t>(78)</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(90)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80"/>
              <w:spacing w:after="0" w:line="193" w:lineRule="exact"/>
              <w:rPr>
                <w:sz w:val="20"/>
                <w:szCs w:val="20"/>
                <w:color w:val="auto"/>
              </w:rPr>
            </w:pPr>
            <w:r>
              <w:rPr>
                <w:rFonts w:ascii="Arial" w:cs="Arial" w:eastAsia="Arial" w:hAnsi="Arial"/>
                <w:sz w:val="17"/>
                <w:szCs w:val="17"/>
                <w:color w:val="auto"/>
              </w:rPr>
              <w:t>(35)</w:t>
            </w:r>
          </w:p>
        </w:tc>
        <w:tc>
          <w:tcPr>
            <w:tcW w:w="1400" w:type="dxa"/>
            <w:vAlign w:val="bottom"/>
            <w:gridSpan w:val="3"/>
            <w:shd w:val="clear" w:color="auto" w:fill="CCFFCC"/>
          </w:tcPr>
          <w:p>
            <w:pPr>
              <w:jc w:val="right"/>
              <w:ind w:right="260"/>
              <w:spacing w:after="0" w:line="193" w:lineRule="exact"/>
              <w:rPr>
                <w:sz w:val="20"/>
                <w:szCs w:val="20"/>
                <w:color w:val="auto"/>
              </w:rPr>
            </w:pPr>
            <w:r>
              <w:rPr>
                <w:rFonts w:ascii="Arial" w:cs="Arial" w:eastAsia="Arial" w:hAnsi="Arial"/>
                <w:sz w:val="17"/>
                <w:szCs w:val="17"/>
                <w:color w:val="auto"/>
              </w:rPr>
              <w:t>(119)</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gridSpan w:val="3"/>
          </w:tcPr>
          <w:p>
            <w:pPr>
              <w:ind w:left="780"/>
              <w:spacing w:after="0"/>
              <w:rPr>
                <w:sz w:val="20"/>
                <w:szCs w:val="20"/>
                <w:color w:val="auto"/>
              </w:rPr>
            </w:pPr>
            <w:r>
              <w:rPr>
                <w:rFonts w:ascii="Arial" w:cs="Arial" w:eastAsia="Arial" w:hAnsi="Arial"/>
                <w:sz w:val="17"/>
                <w:szCs w:val="17"/>
                <w:color w:val="auto"/>
                <w:w w:val="97"/>
              </w:rPr>
              <w:t>F-46</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-1137285</wp:posOffset>
            </wp:positionV>
            <wp:extent cx="4408170" cy="135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408170" cy="317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4" w:name="page265"/>
    <w:bookmarkEnd w:id="2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14 — Income Taxes – (continued)</w:t>
      </w:r>
    </w:p>
    <w:p>
      <w:pPr>
        <w:jc w:val="both"/>
        <w:ind w:left="40" w:right="1239" w:firstLine="251"/>
        <w:spacing w:after="0" w:line="256" w:lineRule="auto"/>
        <w:rPr>
          <w:sz w:val="20"/>
          <w:szCs w:val="20"/>
          <w:color w:val="auto"/>
        </w:rPr>
      </w:pPr>
      <w:r>
        <w:rPr>
          <w:rFonts w:ascii="Arial" w:cs="Arial" w:eastAsia="Arial" w:hAnsi="Arial"/>
          <w:sz w:val="17"/>
          <w:szCs w:val="17"/>
          <w:color w:val="auto"/>
        </w:rPr>
        <w:t>Income tax benefit (expense) for the years ended December 31, 2011 and 2010, and for the cumulative period from inception until December 31, 2011, differed from the amounts computed by applying the U.S. federal income tax rate of 35% (34% in 2010) to loss before income taxes,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47421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40" w:type="dxa"/>
            <w:vAlign w:val="bottom"/>
            <w:gridSpan w:val="5"/>
            <w:vMerge w:val="restart"/>
          </w:tcPr>
          <w:p>
            <w:pPr>
              <w:jc w:val="right"/>
              <w:ind w:right="120"/>
              <w:spacing w:after="0"/>
              <w:rPr>
                <w:sz w:val="20"/>
                <w:szCs w:val="20"/>
                <w:color w:val="auto"/>
              </w:rPr>
            </w:pPr>
            <w:r>
              <w:rPr>
                <w:rFonts w:ascii="Arial" w:cs="Arial" w:eastAsia="Arial" w:hAnsi="Arial"/>
                <w:sz w:val="13"/>
                <w:szCs w:val="13"/>
                <w:b w:val="1"/>
                <w:bCs w:val="1"/>
                <w:color w:val="auto"/>
                <w:w w:val="97"/>
              </w:rPr>
              <w:t>For the year ended December 31,</w:t>
            </w:r>
          </w:p>
        </w:tc>
        <w:tc>
          <w:tcPr>
            <w:tcW w:w="16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4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December 31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gridSpan w:val="2"/>
            <w:vMerge w:val="restart"/>
          </w:tcPr>
          <w:p>
            <w:pPr>
              <w:jc w:val="center"/>
              <w:ind w:left="418"/>
              <w:spacing w:after="0"/>
              <w:rPr>
                <w:sz w:val="20"/>
                <w:szCs w:val="20"/>
                <w:color w:val="auto"/>
              </w:rPr>
            </w:pPr>
            <w:r>
              <w:rPr>
                <w:rFonts w:ascii="Arial" w:cs="Arial" w:eastAsia="Arial" w:hAnsi="Arial"/>
                <w:sz w:val="13"/>
                <w:szCs w:val="13"/>
                <w:b w:val="1"/>
                <w:bCs w:val="1"/>
                <w:color w:val="auto"/>
                <w:w w:val="89"/>
              </w:rPr>
              <w:t>2011</w:t>
            </w:r>
          </w:p>
        </w:tc>
        <w:tc>
          <w:tcPr>
            <w:tcW w:w="3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2010</w:t>
            </w:r>
          </w:p>
        </w:tc>
        <w:tc>
          <w:tcPr>
            <w:tcW w:w="2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color w:val="auto"/>
                <w:w w:val="95"/>
              </w:rPr>
              <w:t>U.S.$ thousands</w:t>
            </w:r>
          </w:p>
        </w:tc>
        <w:tc>
          <w:tcPr>
            <w:tcW w:w="14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160" w:type="dxa"/>
            <w:vAlign w:val="bottom"/>
          </w:tcPr>
          <w:p>
            <w:pPr>
              <w:spacing w:after="0"/>
              <w:rPr>
                <w:sz w:val="16"/>
                <w:szCs w:val="16"/>
                <w:color w:val="auto"/>
              </w:rPr>
            </w:pPr>
          </w:p>
        </w:tc>
        <w:tc>
          <w:tcPr>
            <w:tcW w:w="12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0" w:type="dxa"/>
            <w:vAlign w:val="bottom"/>
          </w:tcPr>
          <w:p>
            <w:pPr>
              <w:spacing w:after="0"/>
              <w:rPr>
                <w:sz w:val="1"/>
                <w:szCs w:val="1"/>
                <w:color w:val="auto"/>
              </w:rPr>
            </w:pPr>
          </w:p>
        </w:tc>
      </w:tr>
      <w:tr>
        <w:trPr>
          <w:trHeight w:val="20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Loss before income taxes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(7,389)</w:t>
            </w:r>
          </w:p>
        </w:tc>
        <w:tc>
          <w:tcPr>
            <w:tcW w:w="100" w:type="dxa"/>
            <w:vAlign w:val="bottom"/>
            <w:shd w:val="clear" w:color="auto" w:fill="CCFFCC"/>
          </w:tcPr>
          <w:p>
            <w:pPr>
              <w:spacing w:after="0"/>
              <w:rPr>
                <w:sz w:val="17"/>
                <w:szCs w:val="17"/>
                <w:color w:val="auto"/>
              </w:rPr>
            </w:pPr>
          </w:p>
        </w:tc>
        <w:tc>
          <w:tcPr>
            <w:tcW w:w="1140" w:type="dxa"/>
            <w:vAlign w:val="bottom"/>
            <w:gridSpan w:val="3"/>
            <w:shd w:val="clear" w:color="auto" w:fill="CCFFCC"/>
          </w:tcPr>
          <w:p>
            <w:pPr>
              <w:jc w:val="right"/>
              <w:ind w:right="220"/>
              <w:spacing w:after="0"/>
              <w:rPr>
                <w:sz w:val="20"/>
                <w:szCs w:val="20"/>
                <w:color w:val="auto"/>
              </w:rPr>
            </w:pPr>
            <w:r>
              <w:rPr>
                <w:rFonts w:ascii="Arial" w:cs="Arial" w:eastAsia="Arial" w:hAnsi="Arial"/>
                <w:sz w:val="17"/>
                <w:szCs w:val="17"/>
                <w:color w:val="auto"/>
              </w:rPr>
              <w:t>(9,907)</w:t>
            </w:r>
          </w:p>
        </w:tc>
        <w:tc>
          <w:tcPr>
            <w:tcW w:w="142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(37,427)</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Tax rate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1420" w:type="dxa"/>
            <w:vAlign w:val="bottom"/>
            <w:gridSpan w:val="3"/>
          </w:tcPr>
          <w:p>
            <w:pPr>
              <w:jc w:val="right"/>
              <w:ind w:right="20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Computed “expected” tax benefit</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2,586</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280"/>
              <w:spacing w:after="0" w:line="193" w:lineRule="exact"/>
              <w:rPr>
                <w:sz w:val="20"/>
                <w:szCs w:val="20"/>
                <w:color w:val="auto"/>
              </w:rPr>
            </w:pPr>
            <w:r>
              <w:rPr>
                <w:rFonts w:ascii="Arial" w:cs="Arial" w:eastAsia="Arial" w:hAnsi="Arial"/>
                <w:sz w:val="17"/>
                <w:szCs w:val="17"/>
                <w:color w:val="auto"/>
              </w:rPr>
              <w:t>3,368</w:t>
            </w:r>
          </w:p>
        </w:tc>
        <w:tc>
          <w:tcPr>
            <w:tcW w:w="1420" w:type="dxa"/>
            <w:vAlign w:val="bottom"/>
            <w:gridSpan w:val="3"/>
            <w:shd w:val="clear" w:color="auto" w:fill="CCFFCC"/>
          </w:tcPr>
          <w:p>
            <w:pPr>
              <w:jc w:val="right"/>
              <w:ind w:right="340"/>
              <w:spacing w:after="0" w:line="193" w:lineRule="exact"/>
              <w:rPr>
                <w:sz w:val="20"/>
                <w:szCs w:val="20"/>
                <w:color w:val="auto"/>
              </w:rPr>
            </w:pPr>
            <w:r>
              <w:rPr>
                <w:rFonts w:ascii="Arial" w:cs="Arial" w:eastAsia="Arial" w:hAnsi="Arial"/>
                <w:sz w:val="17"/>
                <w:szCs w:val="17"/>
                <w:color w:val="auto"/>
              </w:rPr>
              <w:t>13,099</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Foreign tax rate differential</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43</w:t>
            </w:r>
          </w:p>
        </w:tc>
        <w:tc>
          <w:tcPr>
            <w:tcW w:w="100" w:type="dxa"/>
            <w:vAlign w:val="bottom"/>
          </w:tcPr>
          <w:p>
            <w:pPr>
              <w:spacing w:after="0"/>
              <w:rPr>
                <w:sz w:val="17"/>
                <w:szCs w:val="17"/>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22</w:t>
            </w:r>
          </w:p>
        </w:tc>
        <w:tc>
          <w:tcPr>
            <w:tcW w:w="1420" w:type="dxa"/>
            <w:vAlign w:val="bottom"/>
            <w:gridSpan w:val="3"/>
          </w:tcPr>
          <w:p>
            <w:pPr>
              <w:jc w:val="right"/>
              <w:ind w:right="34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0"/>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Tax benefit of “Beneficiary Enterprise” tax holiday</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FFCC"/>
          </w:tcPr>
          <w:p>
            <w:pPr>
              <w:jc w:val="right"/>
              <w:ind w:right="34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Decrease in tax expenses for prior year</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220</w:t>
            </w:r>
          </w:p>
        </w:tc>
        <w:tc>
          <w:tcPr>
            <w:tcW w:w="1420" w:type="dxa"/>
            <w:vAlign w:val="bottom"/>
            <w:gridSpan w:val="3"/>
          </w:tcPr>
          <w:p>
            <w:pPr>
              <w:jc w:val="right"/>
              <w:ind w:right="34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0"/>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Change in valuation allowance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(2,319)</w:t>
            </w:r>
          </w:p>
        </w:tc>
        <w:tc>
          <w:tcPr>
            <w:tcW w:w="100" w:type="dxa"/>
            <w:vAlign w:val="bottom"/>
            <w:shd w:val="clear" w:color="auto" w:fill="CCFFCC"/>
          </w:tcPr>
          <w:p>
            <w:pPr>
              <w:spacing w:after="0"/>
              <w:rPr>
                <w:sz w:val="17"/>
                <w:szCs w:val="17"/>
                <w:color w:val="auto"/>
              </w:rPr>
            </w:pPr>
          </w:p>
        </w:tc>
        <w:tc>
          <w:tcPr>
            <w:tcW w:w="1140" w:type="dxa"/>
            <w:vAlign w:val="bottom"/>
            <w:gridSpan w:val="3"/>
            <w:shd w:val="clear" w:color="auto" w:fill="CCFFCC"/>
          </w:tcPr>
          <w:p>
            <w:pPr>
              <w:jc w:val="right"/>
              <w:ind w:right="220"/>
              <w:spacing w:after="0"/>
              <w:rPr>
                <w:sz w:val="20"/>
                <w:szCs w:val="20"/>
                <w:color w:val="auto"/>
              </w:rPr>
            </w:pPr>
            <w:r>
              <w:rPr>
                <w:rFonts w:ascii="Arial" w:cs="Arial" w:eastAsia="Arial" w:hAnsi="Arial"/>
                <w:sz w:val="17"/>
                <w:szCs w:val="17"/>
                <w:color w:val="auto"/>
              </w:rPr>
              <w:t>(2,141)</w:t>
            </w:r>
          </w:p>
        </w:tc>
        <w:tc>
          <w:tcPr>
            <w:tcW w:w="142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(11,271)</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Non-deductible expenses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(344)</w:t>
            </w:r>
          </w:p>
        </w:tc>
        <w:tc>
          <w:tcPr>
            <w:tcW w:w="10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(1,314)</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(2,163)</w:t>
            </w:r>
          </w:p>
        </w:tc>
        <w:tc>
          <w:tcPr>
            <w:tcW w:w="0" w:type="dxa"/>
            <w:vAlign w:val="bottom"/>
          </w:tcPr>
          <w:p>
            <w:pPr>
              <w:spacing w:after="0"/>
              <w:rPr>
                <w:sz w:val="1"/>
                <w:szCs w:val="1"/>
                <w:color w:val="auto"/>
              </w:rPr>
            </w:pPr>
          </w:p>
        </w:tc>
      </w:tr>
      <w:tr>
        <w:trPr>
          <w:trHeight w:val="200"/>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Other items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(56)</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(190)</w:t>
            </w:r>
          </w:p>
        </w:tc>
        <w:tc>
          <w:tcPr>
            <w:tcW w:w="142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
        </w:trPr>
        <w:tc>
          <w:tcPr>
            <w:tcW w:w="40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60" w:type="dxa"/>
            <w:vAlign w:val="bottom"/>
          </w:tcPr>
          <w:p>
            <w:pPr>
              <w:spacing w:after="0" w:line="193" w:lineRule="exact"/>
              <w:rPr>
                <w:sz w:val="20"/>
                <w:szCs w:val="20"/>
                <w:color w:val="auto"/>
              </w:rPr>
            </w:pPr>
            <w:r>
              <w:rPr>
                <w:rFonts w:ascii="Arial" w:cs="Arial" w:eastAsia="Arial" w:hAnsi="Arial"/>
                <w:sz w:val="17"/>
                <w:szCs w:val="17"/>
                <w:color w:val="auto"/>
              </w:rPr>
              <w:t>Income tax expense</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line="193" w:lineRule="exact"/>
              <w:rPr>
                <w:sz w:val="20"/>
                <w:szCs w:val="20"/>
                <w:color w:val="auto"/>
              </w:rPr>
            </w:pPr>
            <w:r>
              <w:rPr>
                <w:rFonts w:ascii="Arial" w:cs="Arial" w:eastAsia="Arial" w:hAnsi="Arial"/>
                <w:sz w:val="17"/>
                <w:szCs w:val="17"/>
                <w:color w:val="auto"/>
              </w:rPr>
              <w:t>(35)</w:t>
            </w:r>
          </w:p>
        </w:tc>
        <w:tc>
          <w:tcPr>
            <w:tcW w:w="1420" w:type="dxa"/>
            <w:vAlign w:val="bottom"/>
            <w:gridSpan w:val="3"/>
          </w:tcPr>
          <w:p>
            <w:pPr>
              <w:jc w:val="right"/>
              <w:ind w:right="280"/>
              <w:spacing w:after="0" w:line="193" w:lineRule="exact"/>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837430" cy="1670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Company has net tax loss carryforwards (“NOL”) for U.S. federal purposes in the amount of approximately $33.2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 Section 382, the Company’s IPO, recent financing activities, as well as, the potential Merger with I/P (See Note 17), may limit the Parent’s ability to utilize its NOL’s and credit carryforwards although the Parent has not yet determined to what extent. The deferred tax asset in respect of the tax loss carryforwards has been fully offset by a valuation allowance as in the opinion of the Company’s management; it is more likely than not that the tax loss carryforwards will not be utilized in the foreseeable future. No valuation allowance has been provided for the non-U.S. deferred tax assets, as they are more likely than not to be realized.</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5" w:name="page266"/>
    <w:bookmarkEnd w:id="2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14 — Income Taxes – (continued)</w:t>
      </w:r>
    </w:p>
    <w:p>
      <w:pPr>
        <w:jc w:val="both"/>
        <w:ind w:left="40" w:right="1239" w:firstLine="251"/>
        <w:spacing w:after="0" w:line="269" w:lineRule="auto"/>
        <w:rPr>
          <w:sz w:val="20"/>
          <w:szCs w:val="20"/>
          <w:color w:val="auto"/>
        </w:rPr>
      </w:pPr>
      <w:r>
        <w:rPr>
          <w:rFonts w:ascii="Arial" w:cs="Arial" w:eastAsia="Arial" w:hAnsi="Arial"/>
          <w:sz w:val="16"/>
          <w:szCs w:val="16"/>
          <w:color w:val="auto"/>
        </w:rPr>
        <w:t>As of December 31, 2011, there were net deferred liabilities of $42 thousand, which consisted of short-term deferred liabilities of $67 thousand, net of long-term deferred assets of $25 thousand. As of December 31, 2010, there were net deferred liabilities of $23 thousand, which consisted of short-term deferred liabilities of $50 thousand, net of long-term deferred assets of $27 thousand. The deferred tax assets (liabilities) of the Subsidiary are expected to be utilized in future years. These deferred tax assets (liabilities) arise from the following types of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3"/>
                <w:szCs w:val="13"/>
                <w:b w:val="1"/>
                <w:bCs w:val="1"/>
                <w:color w:val="auto"/>
              </w:rPr>
              <w:t>For the year ended December 31,</w:t>
            </w:r>
          </w:p>
        </w:tc>
      </w:tr>
      <w:tr>
        <w:trPr>
          <w:trHeight w:val="180"/>
        </w:trPr>
        <w:tc>
          <w:tcPr>
            <w:tcW w:w="4660" w:type="dxa"/>
            <w:vAlign w:val="bottom"/>
          </w:tcPr>
          <w:p>
            <w:pPr>
              <w:spacing w:after="0"/>
              <w:rPr>
                <w:sz w:val="15"/>
                <w:szCs w:val="15"/>
                <w:color w:val="auto"/>
              </w:rPr>
            </w:pPr>
          </w:p>
        </w:tc>
        <w:tc>
          <w:tcPr>
            <w:tcW w:w="920" w:type="dxa"/>
            <w:vAlign w:val="bottom"/>
          </w:tcPr>
          <w:p>
            <w:pPr>
              <w:jc w:val="right"/>
              <w:ind w:right="201"/>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5"/>
                <w:szCs w:val="15"/>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5"/>
                <w:szCs w:val="15"/>
                <w:color w:val="auto"/>
              </w:rPr>
            </w:pPr>
          </w:p>
        </w:tc>
      </w:tr>
      <w:tr>
        <w:trPr>
          <w:trHeight w:val="188"/>
        </w:trPr>
        <w:tc>
          <w:tcPr>
            <w:tcW w:w="466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97"/>
              </w:rPr>
              <w:t>U.S.$ thousands</w:t>
            </w:r>
          </w:p>
        </w:tc>
        <w:tc>
          <w:tcPr>
            <w:tcW w:w="160" w:type="dxa"/>
            <w:vAlign w:val="bottom"/>
          </w:tcPr>
          <w:p>
            <w:pPr>
              <w:spacing w:after="0"/>
              <w:rPr>
                <w:sz w:val="16"/>
                <w:szCs w:val="16"/>
                <w:color w:val="auto"/>
              </w:rPr>
            </w:pPr>
          </w:p>
        </w:tc>
        <w:tc>
          <w:tcPr>
            <w:tcW w:w="11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99"/>
              </w:rPr>
              <w:t>U.S.$ thousands</w:t>
            </w:r>
          </w:p>
        </w:tc>
      </w:tr>
      <w:tr>
        <w:trPr>
          <w:trHeight w:val="206"/>
        </w:trPr>
        <w:tc>
          <w:tcPr>
            <w:tcW w:w="46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Deferred tax assets:</w:t>
            </w: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Liability for accrued employee vacation pay</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15</w:t>
            </w: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Liability for accrued severance pay</w:t>
            </w:r>
          </w:p>
        </w:tc>
        <w:tc>
          <w:tcPr>
            <w:tcW w:w="9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shd w:val="clear" w:color="auto" w:fill="CCFFCC"/>
          </w:tcPr>
          <w:p>
            <w:pPr>
              <w:spacing w:after="0"/>
              <w:rPr>
                <w:sz w:val="17"/>
                <w:szCs w:val="17"/>
                <w:color w:val="auto"/>
              </w:rPr>
            </w:pPr>
          </w:p>
        </w:tc>
        <w:tc>
          <w:tcPr>
            <w:tcW w:w="126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53</w:t>
            </w: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Net operating loss carryforwards</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11,647</w:t>
            </w: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8,945</w:t>
            </w:r>
          </w:p>
        </w:tc>
      </w:tr>
      <w:tr>
        <w:trPr>
          <w:trHeight w:val="20"/>
        </w:trPr>
        <w:tc>
          <w:tcPr>
            <w:tcW w:w="4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Total gross deferred tax assets</w:t>
            </w:r>
          </w:p>
        </w:tc>
        <w:tc>
          <w:tcPr>
            <w:tcW w:w="102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11,685</w:t>
            </w:r>
          </w:p>
        </w:tc>
        <w:tc>
          <w:tcPr>
            <w:tcW w:w="1260" w:type="dxa"/>
            <w:vAlign w:val="bottom"/>
            <w:gridSpan w:val="3"/>
            <w:shd w:val="clear" w:color="auto" w:fill="CCFFCC"/>
          </w:tcPr>
          <w:p>
            <w:pPr>
              <w:jc w:val="right"/>
              <w:ind w:right="200"/>
              <w:spacing w:after="0" w:line="193" w:lineRule="exact"/>
              <w:rPr>
                <w:sz w:val="20"/>
                <w:szCs w:val="20"/>
                <w:color w:val="auto"/>
              </w:rPr>
            </w:pPr>
            <w:r>
              <w:rPr>
                <w:rFonts w:ascii="Arial" w:cs="Arial" w:eastAsia="Arial" w:hAnsi="Arial"/>
                <w:sz w:val="17"/>
                <w:szCs w:val="17"/>
                <w:color w:val="auto"/>
              </w:rPr>
              <w:t>9,013</w:t>
            </w: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(11,628)</w:t>
            </w:r>
          </w:p>
        </w:tc>
        <w:tc>
          <w:tcPr>
            <w:tcW w:w="1260" w:type="dxa"/>
            <w:vAlign w:val="bottom"/>
            <w:gridSpan w:val="3"/>
          </w:tcPr>
          <w:p>
            <w:pPr>
              <w:jc w:val="right"/>
              <w:ind w:right="140"/>
              <w:spacing w:after="0"/>
              <w:rPr>
                <w:sz w:val="20"/>
                <w:szCs w:val="20"/>
                <w:color w:val="auto"/>
              </w:rPr>
            </w:pPr>
            <w:r>
              <w:rPr>
                <w:rFonts w:ascii="Arial" w:cs="Arial" w:eastAsia="Arial" w:hAnsi="Arial"/>
                <w:sz w:val="17"/>
                <w:szCs w:val="17"/>
                <w:color w:val="auto"/>
              </w:rPr>
              <w:t>(8,929)</w:t>
            </w: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Total net deferred tax assets</w:t>
            </w:r>
          </w:p>
        </w:tc>
        <w:tc>
          <w:tcPr>
            <w:tcW w:w="920" w:type="dxa"/>
            <w:vAlign w:val="bottom"/>
            <w:tcBorders>
              <w:top w:val="single" w:sz="8" w:color="auto"/>
            </w:tcBorders>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57</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jc w:val="right"/>
              <w:spacing w:after="0" w:line="193" w:lineRule="exact"/>
              <w:rPr>
                <w:sz w:val="20"/>
                <w:szCs w:val="20"/>
                <w:color w:val="auto"/>
              </w:rPr>
            </w:pPr>
            <w:r>
              <w:rPr>
                <w:rFonts w:ascii="Arial" w:cs="Arial" w:eastAsia="Arial" w:hAnsi="Arial"/>
                <w:sz w:val="17"/>
                <w:szCs w:val="17"/>
                <w:color w:val="auto"/>
              </w:rPr>
              <w:t>84</w:t>
            </w:r>
          </w:p>
        </w:tc>
        <w:tc>
          <w:tcPr>
            <w:tcW w:w="200" w:type="dxa"/>
            <w:vAlign w:val="bottom"/>
            <w:shd w:val="clear" w:color="auto" w:fill="CCFFCC"/>
          </w:tcPr>
          <w:p>
            <w:pPr>
              <w:spacing w:after="0"/>
              <w:rPr>
                <w:sz w:val="16"/>
                <w:szCs w:val="16"/>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b w:val="1"/>
                <w:bCs w:val="1"/>
                <w:color w:val="auto"/>
              </w:rPr>
              <w:t>Deferred tax liability:</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Net assets deductible for tax purposes on cash basis</w:t>
            </w:r>
          </w:p>
        </w:tc>
        <w:tc>
          <w:tcPr>
            <w:tcW w:w="9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(99)</w:t>
            </w: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(107)</w:t>
            </w:r>
          </w:p>
        </w:tc>
      </w:tr>
      <w:tr>
        <w:trPr>
          <w:trHeight w:val="20"/>
        </w:trPr>
        <w:tc>
          <w:tcPr>
            <w:tcW w:w="466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3"/>
        </w:trPr>
        <w:tc>
          <w:tcPr>
            <w:tcW w:w="4660" w:type="dxa"/>
            <w:vAlign w:val="bottom"/>
          </w:tcPr>
          <w:p>
            <w:pPr>
              <w:spacing w:after="0" w:line="193" w:lineRule="exact"/>
              <w:rPr>
                <w:sz w:val="20"/>
                <w:szCs w:val="20"/>
                <w:color w:val="auto"/>
              </w:rPr>
            </w:pPr>
            <w:r>
              <w:rPr>
                <w:rFonts w:ascii="Arial" w:cs="Arial" w:eastAsia="Arial" w:hAnsi="Arial"/>
                <w:sz w:val="17"/>
                <w:szCs w:val="17"/>
                <w:b w:val="1"/>
                <w:bCs w:val="1"/>
                <w:color w:val="auto"/>
              </w:rPr>
              <w:t>Deferred tax assets (liabilities), net</w:t>
            </w:r>
          </w:p>
        </w:tc>
        <w:tc>
          <w:tcPr>
            <w:tcW w:w="9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(23)</w:t>
            </w:r>
          </w:p>
        </w:tc>
      </w:tr>
      <w:tr>
        <w:trPr>
          <w:trHeight w:val="20"/>
        </w:trPr>
        <w:tc>
          <w:tcPr>
            <w:tcW w:w="4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408170" cy="167005"/>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Subsidiary tax benefits:</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On July 14, 2009, the Knesset (Israel’s parliament) passed the Economic Efficiency Law (Legislation Amendments for Implementation of the 2009 and 2010 Economic Plan) — 2009, which provided, inter-alia, an additional gradual reduction in the regular company tax rate to 18% as from the 2016 tax year. In accordance with the aforementioned amendments, the regular company tax rates applicable as from the 2009 tax year are as follows: in the 2009 tax year — 26%, in the 2010 tax year — 25%, in the 2011 tax year — 24%, in the 2012 tax year — 23%, in the 2013 tax year — 22%, in the 2014 tax year — 21%, in the 2015 tax year — 20% and as from the 2016 tax year the regular company tax rate will be 18%. On December 5, 2011, the Knesset approved the Law to Change the Tax Burden (Legislative Amendments) — 2011. According to the law the tax reduction that was provided in the Economic Efficiency Law, as aforementioned, will be cancelled and the company tax rate will be 25% as from 2012. The aforementioned had no material impact on the Company’s financial position or results of operations, since the Subsidiary is a Beneficiary Enterprise, as explained below.</w:t>
      </w:r>
    </w:p>
    <w:p>
      <w:pPr>
        <w:spacing w:after="0" w:line="74"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The Subsidiary has elected 2007 as its Year of Election and has received a two year tax holiday for profits accumulated in the years 2007 – 2008 and a reduced tax rate of 25% for the following five years.</w:t>
      </w:r>
    </w:p>
    <w:p>
      <w:pPr>
        <w:spacing w:after="0" w:line="5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In January 2011, new legislation amending the Investment Law was enacted.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 Under the transitory provisions of the newly legislated amendment, the Subsidiary chose</w:t>
      </w:r>
    </w:p>
    <w:p>
      <w:pPr>
        <w:spacing w:after="0" w:line="200" w:lineRule="exact"/>
        <w:rPr>
          <w:sz w:val="20"/>
          <w:szCs w:val="20"/>
          <w:color w:val="auto"/>
        </w:rPr>
      </w:pP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6" w:name="page267"/>
    <w:bookmarkEnd w:id="2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14 — Income Taxes – (continued)</w:t>
      </w:r>
    </w:p>
    <w:p>
      <w:pPr>
        <w:jc w:val="both"/>
        <w:ind w:left="40" w:right="1239"/>
        <w:spacing w:after="0" w:line="299" w:lineRule="auto"/>
        <w:rPr>
          <w:sz w:val="20"/>
          <w:szCs w:val="20"/>
          <w:color w:val="auto"/>
        </w:rPr>
      </w:pPr>
      <w:r>
        <w:rPr>
          <w:rFonts w:ascii="Arial" w:cs="Arial" w:eastAsia="Arial" w:hAnsi="Arial"/>
          <w:sz w:val="16"/>
          <w:szCs w:val="16"/>
          <w:color w:val="auto"/>
        </w:rPr>
        <w:t>to irrevocably implement the new legislation amendment while waiving benefits provided under the current law. As of the balance sheet date, the Subsidiary believes that it is in compliance with the conditions of the Beneficiary Enterprise program.</w:t>
      </w:r>
    </w:p>
    <w:p>
      <w:pPr>
        <w:spacing w:after="0" w:line="4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Parent files its tax returns in the U.S. federal jurisdiction, various state &amp; local jurisdictions. The Parent has open tax assessments for the years 2008 through 2011. The Subsidiary files its income tax returns in Israel. As of December 31, 2011, the Subsidiary has open tax assessments for the years 2007 through 2011. In February 2011, the Israeli tax authority initiated an audit of the Subsidiary’s tax returns for the 2007 through 2009 tax years. To date, the Subsidiary has not received any findings from the said audit. The Subsidiary’s assessment for the tax year 2007 was deemed final after the balance sheet date.</w:t>
      </w:r>
    </w:p>
    <w:p>
      <w:pPr>
        <w:spacing w:after="0" w:line="5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Company did not record any provision for unrecognized tax benefits in 2011 and 2010, and does not expect this amount to change significantly within the next twelve months.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15 — Commitments and Contingencies</w:t>
      </w:r>
    </w:p>
    <w:p>
      <w:pPr>
        <w:spacing w:after="0" w:line="109"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Future minimum lease payments under non-cancelable operating leases for office space and cars, as of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366014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0"/>
              </w:rPr>
              <w:t>U.S.$ thousands</w:t>
            </w:r>
          </w:p>
        </w:tc>
      </w:tr>
      <w:tr>
        <w:trPr>
          <w:trHeight w:val="193"/>
        </w:trPr>
        <w:tc>
          <w:tcPr>
            <w:tcW w:w="38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Year ending December 31,</w:t>
            </w:r>
          </w:p>
        </w:tc>
        <w:tc>
          <w:tcPr>
            <w:tcW w:w="8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r>
      <w:tr>
        <w:trPr>
          <w:trHeight w:val="200"/>
        </w:trPr>
        <w:tc>
          <w:tcPr>
            <w:tcW w:w="3800" w:type="dxa"/>
            <w:vAlign w:val="bottom"/>
          </w:tcPr>
          <w:p>
            <w:pPr>
              <w:spacing w:after="0"/>
              <w:rPr>
                <w:sz w:val="20"/>
                <w:szCs w:val="20"/>
                <w:color w:val="auto"/>
              </w:rPr>
            </w:pPr>
            <w:r>
              <w:rPr>
                <w:rFonts w:ascii="Arial" w:cs="Arial" w:eastAsia="Arial" w:hAnsi="Arial"/>
                <w:sz w:val="17"/>
                <w:szCs w:val="17"/>
                <w:color w:val="auto"/>
              </w:rPr>
              <w:t>2012</w:t>
            </w:r>
          </w:p>
        </w:tc>
        <w:tc>
          <w:tcPr>
            <w:tcW w:w="800" w:type="dxa"/>
            <w:vAlign w:val="bottom"/>
          </w:tcPr>
          <w:p>
            <w:pPr>
              <w:jc w:val="right"/>
              <w:spacing w:after="0"/>
              <w:rPr>
                <w:sz w:val="20"/>
                <w:szCs w:val="20"/>
                <w:color w:val="auto"/>
              </w:rPr>
            </w:pPr>
            <w:r>
              <w:rPr>
                <w:rFonts w:ascii="Arial" w:cs="Arial" w:eastAsia="Arial" w:hAnsi="Arial"/>
                <w:sz w:val="17"/>
                <w:szCs w:val="17"/>
                <w:color w:val="auto"/>
              </w:rPr>
              <w:t>66</w:t>
            </w:r>
          </w:p>
        </w:tc>
        <w:tc>
          <w:tcPr>
            <w:tcW w:w="160" w:type="dxa"/>
            <w:vAlign w:val="bottom"/>
          </w:tcPr>
          <w:p>
            <w:pPr>
              <w:spacing w:after="0"/>
              <w:rPr>
                <w:sz w:val="17"/>
                <w:szCs w:val="17"/>
                <w:color w:val="auto"/>
              </w:rPr>
            </w:pPr>
          </w:p>
        </w:tc>
      </w:tr>
      <w:tr>
        <w:trPr>
          <w:trHeight w:val="200"/>
        </w:trPr>
        <w:tc>
          <w:tcPr>
            <w:tcW w:w="3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2013</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27</w:t>
            </w:r>
          </w:p>
        </w:tc>
        <w:tc>
          <w:tcPr>
            <w:tcW w:w="160" w:type="dxa"/>
            <w:vAlign w:val="bottom"/>
            <w:tcBorders>
              <w:bottom w:val="single" w:sz="8" w:color="CCFFCC"/>
            </w:tcBorders>
            <w:shd w:val="clear" w:color="auto" w:fill="CCFFCC"/>
          </w:tcPr>
          <w:p>
            <w:pPr>
              <w:spacing w:after="0"/>
              <w:rPr>
                <w:sz w:val="17"/>
                <w:szCs w:val="17"/>
                <w:color w:val="auto"/>
              </w:rPr>
            </w:pPr>
          </w:p>
        </w:tc>
      </w:tr>
      <w:tr>
        <w:trPr>
          <w:trHeight w:val="193"/>
        </w:trPr>
        <w:tc>
          <w:tcPr>
            <w:tcW w:w="3800" w:type="dxa"/>
            <w:vAlign w:val="bottom"/>
          </w:tcPr>
          <w:p>
            <w:pPr>
              <w:spacing w:after="0"/>
              <w:rPr>
                <w:sz w:val="16"/>
                <w:szCs w:val="16"/>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93</w:t>
            </w:r>
          </w:p>
        </w:tc>
        <w:tc>
          <w:tcPr>
            <w:tcW w:w="160" w:type="dxa"/>
            <w:vAlign w:val="bottom"/>
          </w:tcPr>
          <w:p>
            <w:pPr>
              <w:spacing w:after="0"/>
              <w:rPr>
                <w:sz w:val="16"/>
                <w:szCs w:val="16"/>
                <w:color w:val="auto"/>
              </w:rPr>
            </w:pPr>
          </w:p>
        </w:tc>
      </w:tr>
      <w:tr>
        <w:trPr>
          <w:trHeight w:val="20"/>
        </w:trPr>
        <w:tc>
          <w:tcPr>
            <w:tcW w:w="3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3023235" cy="16700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023235" cy="16700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Rent expense for operating leases for the years ended December 31, 2011, 2010 and for the cumulative period from inception until December 31, 2011, was $81 thousand, $102 thousand and $557 thousand, respectively. Rent expense for the Subsidiary’s lease is in NIS and linked to the Israeli Consumer Price Index from February 2006.</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16 — Risks and Uncertainties</w:t>
      </w:r>
    </w:p>
    <w:p>
      <w:pPr>
        <w:spacing w:after="0" w:line="109" w:lineRule="exact"/>
        <w:rPr>
          <w:sz w:val="20"/>
          <w:szCs w:val="20"/>
          <w:color w:val="auto"/>
        </w:rPr>
      </w:pPr>
    </w:p>
    <w:p>
      <w:pPr>
        <w:jc w:val="both"/>
        <w:ind w:left="520" w:right="1239" w:hanging="260"/>
        <w:spacing w:after="0" w:line="250" w:lineRule="auto"/>
        <w:tabs>
          <w:tab w:leader="none" w:pos="52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81"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102" w:lineRule="exact"/>
        <w:rPr>
          <w:rFonts w:ascii="Arial" w:cs="Arial" w:eastAsia="Arial" w:hAnsi="Arial"/>
          <w:sz w:val="17"/>
          <w:szCs w:val="17"/>
          <w:color w:val="auto"/>
        </w:rPr>
      </w:pPr>
    </w:p>
    <w:p>
      <w:pPr>
        <w:jc w:val="both"/>
        <w:ind w:left="520" w:right="1239" w:hanging="260"/>
        <w:spacing w:after="0" w:line="211" w:lineRule="auto"/>
        <w:tabs>
          <w:tab w:leader="none" w:pos="520" w:val="left"/>
        </w:tabs>
        <w:numPr>
          <w:ilvl w:val="0"/>
          <w:numId w:val="164"/>
        </w:numPr>
        <w:rPr>
          <w:rFonts w:ascii="Arial" w:cs="Arial" w:eastAsia="Arial" w:hAnsi="Arial"/>
          <w:sz w:val="33"/>
          <w:szCs w:val="33"/>
          <w:color w:val="auto"/>
          <w:vertAlign w:val="superscript"/>
        </w:rPr>
      </w:pPr>
      <w:r>
        <w:rPr>
          <w:rFonts w:ascii="Arial" w:cs="Arial" w:eastAsia="Arial" w:hAnsi="Arial"/>
          <w:sz w:val="17"/>
          <w:szCs w:val="17"/>
          <w:color w:val="auto"/>
        </w:rPr>
        <w:t>The Company’s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200" w:lineRule="exact"/>
        <w:rPr>
          <w:sz w:val="20"/>
          <w:szCs w:val="20"/>
          <w:color w:val="auto"/>
        </w:rPr>
      </w:pPr>
    </w:p>
    <w:p>
      <w:pPr>
        <w:spacing w:after="0" w:line="30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7" w:name="page268"/>
    <w:bookmarkEnd w:id="2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16 — Risks and Uncertainties – (continued)</w:t>
      </w:r>
    </w:p>
    <w:p>
      <w:pPr>
        <w:jc w:val="both"/>
        <w:ind w:left="520" w:right="1239" w:hanging="260"/>
        <w:spacing w:after="0" w:line="251" w:lineRule="auto"/>
        <w:tabs>
          <w:tab w:leader="none" w:pos="5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80" w:lineRule="exact"/>
        <w:rPr>
          <w:rFonts w:ascii="Arial" w:cs="Arial" w:eastAsia="Arial" w:hAnsi="Arial"/>
          <w:sz w:val="17"/>
          <w:szCs w:val="17"/>
          <w:color w:val="auto"/>
        </w:rPr>
      </w:pPr>
    </w:p>
    <w:p>
      <w:pPr>
        <w:ind w:left="520" w:right="1239" w:hanging="260"/>
        <w:spacing w:after="0" w:line="335" w:lineRule="auto"/>
        <w:tabs>
          <w:tab w:leader="none" w:pos="5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17 — Subsequent Events</w:t>
      </w:r>
    </w:p>
    <w:p>
      <w:pPr>
        <w:spacing w:after="0" w:line="109" w:lineRule="exact"/>
        <w:rPr>
          <w:sz w:val="20"/>
          <w:szCs w:val="20"/>
          <w:color w:val="auto"/>
        </w:rPr>
      </w:pPr>
    </w:p>
    <w:p>
      <w:pPr>
        <w:jc w:val="both"/>
        <w:ind w:left="520" w:right="1239" w:hanging="260"/>
        <w:spacing w:after="0" w:line="270" w:lineRule="auto"/>
        <w:tabs>
          <w:tab w:leader="none" w:pos="5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January and February 2012, the Company’s Board of Directors (the “Board”)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Company expects that the total value of the options granted will be approximately $467 thousand. Also refer to Note 11.</w:t>
      </w:r>
    </w:p>
    <w:p>
      <w:pPr>
        <w:spacing w:after="0" w:line="67" w:lineRule="exact"/>
        <w:rPr>
          <w:rFonts w:ascii="Arial" w:cs="Arial" w:eastAsia="Arial" w:hAnsi="Arial"/>
          <w:sz w:val="16"/>
          <w:szCs w:val="16"/>
          <w:color w:val="auto"/>
        </w:rPr>
      </w:pPr>
    </w:p>
    <w:p>
      <w:pPr>
        <w:jc w:val="both"/>
        <w:ind w:left="520" w:right="1239" w:hanging="260"/>
        <w:spacing w:after="0" w:line="288" w:lineRule="auto"/>
        <w:tabs>
          <w:tab w:leader="none" w:pos="5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In January 2012, the Board approved a one year acceleration of option vesting for all option holders, except for the Company’s new Chief Executive Officer who will obtain 50% acceleration on all his unvested options, should the Company be subject to a change of control in a merger and/or acquisition transaction. In addition, in March 2012, the Board approved participation of all outstanding options in future dividends, as well as, acceleration of vesting if certain market conditions are met. Moreover, all outstanding options granted to members of the Board shall fully vest if a Board member ceases to be a director at any time during the six-month period immediately following a change of control. The Company is currently evaluating the effect of this decision and estimates that the effect on its financials might be material.</w:t>
      </w:r>
    </w:p>
    <w:p>
      <w:pPr>
        <w:spacing w:after="0" w:line="54" w:lineRule="exact"/>
        <w:rPr>
          <w:rFonts w:ascii="Arial" w:cs="Arial" w:eastAsia="Arial" w:hAnsi="Arial"/>
          <w:sz w:val="15"/>
          <w:szCs w:val="15"/>
          <w:color w:val="auto"/>
        </w:rPr>
      </w:pPr>
    </w:p>
    <w:p>
      <w:pPr>
        <w:jc w:val="both"/>
        <w:ind w:left="520" w:right="1239" w:hanging="260"/>
        <w:spacing w:after="0" w:line="269" w:lineRule="auto"/>
        <w:tabs>
          <w:tab w:leader="none" w:pos="5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Between February 6 and February 14, 2012, the Company entered into agreements with holders of certain of its outstanding warrants (the “Holders”), pursuant to which the Holders exercised warrants to purchase 3,828,993 shares of the Company’s common stock for aggregate proceeds to the Company of $3.6 million. In addition, the Company issued new warrants to purchase an aggregate of 2,660,922 shares of common stock at an exercise price of $1.76 per share in consideration for the immediate exercise of the warrants. The Company is currently evaluating the effect of this warrant issuance. The Company believes that the impact on its financial statements will be material.</w:t>
      </w:r>
    </w:p>
    <w:p>
      <w:pPr>
        <w:spacing w:after="0" w:line="65" w:lineRule="exact"/>
        <w:rPr>
          <w:rFonts w:ascii="Arial" w:cs="Arial" w:eastAsia="Arial" w:hAnsi="Arial"/>
          <w:sz w:val="16"/>
          <w:szCs w:val="16"/>
          <w:color w:val="auto"/>
        </w:rPr>
      </w:pPr>
    </w:p>
    <w:p>
      <w:pPr>
        <w:jc w:val="both"/>
        <w:ind w:left="520" w:right="1239" w:hanging="260"/>
        <w:spacing w:after="0" w:line="285" w:lineRule="auto"/>
        <w:tabs>
          <w:tab w:leader="none" w:pos="5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On March 12, 2012, the Company entered into a Merger Agreement pursuant to which I/P will merge with and into Merger Sub, a wholly owned subsidiary of the Company, with Merger Sub being the surviving corporation through an exchange of capital stock of I/P for capital stock of the Company. Under the terms of the Merger Agreement, the Company will issue I/P stockholders 16,972,977 shares of the Company’s common stock and 21,026,637 Series A Preferred Stock, convertible into 21,026,637 of the Company’s shares of common stock. In addition, the Company will issue I/P stockholders warrants to purchase 15,959,838 shares of common stock at an exercise price of $1.76 per share. In addition, all outstanding warrants to purchase I/P’s common stock that are outstanding and unexercised immediately prior to the completion of the Merger Agreement, shall be exchanged for 250,000 shares of Vringo common stock and 850,000 warrants to purchase 850,000 shares of the Company’s common stock with an exercise price of $1.76 per share. Immediately following the completion of the Merger, former stockholders of I/P are expected to own</w:t>
      </w:r>
    </w:p>
    <w:p>
      <w:pPr>
        <w:spacing w:after="0" w:line="200" w:lineRule="exact"/>
        <w:rPr>
          <w:sz w:val="20"/>
          <w:szCs w:val="20"/>
          <w:color w:val="auto"/>
        </w:rPr>
      </w:pPr>
    </w:p>
    <w:p>
      <w:pPr>
        <w:spacing w:after="0" w:line="27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8" w:name="page269"/>
    <w:bookmarkEnd w:id="2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17 — Subsequent Events – (continued)</w:t>
      </w:r>
    </w:p>
    <w:p>
      <w:pPr>
        <w:jc w:val="both"/>
        <w:ind w:left="520" w:right="1239"/>
        <w:spacing w:after="0" w:line="284" w:lineRule="auto"/>
        <w:rPr>
          <w:sz w:val="20"/>
          <w:szCs w:val="20"/>
          <w:color w:val="auto"/>
        </w:rPr>
      </w:pPr>
      <w:r>
        <w:rPr>
          <w:rFonts w:ascii="Arial" w:cs="Arial" w:eastAsia="Arial" w:hAnsi="Arial"/>
          <w:sz w:val="15"/>
          <w:szCs w:val="15"/>
          <w:color w:val="auto"/>
        </w:rPr>
        <w:t>approximately 55.41% of the outstanding common stock of the combined company, and current stockholders of Vringo are expected to own approximately 44.59% of the outstanding common stock of the combined company (without taking into account the possible exercise of any other type of outstanding equity interest issued). The Company has expended significant effort and management attention on the proposed transaction. There is no assurance that the transaction will be consummated, including failure to obtain stockholders approval. If the transaction is not consummated for any reason, the Company’s business and operations, as well as the market price of its stock and warrants may be adversely affected. For accounting purposes, based on the Company’s preliminary assessment, I/P was identified as the “Acquirer”, as it is defined in FASB Topic ASC 805. As a result, in the post-combination consolidated financial statements, I/P’s assets and liabilities will be presented at its pre-combination amounts, and the Company’s assets and liabilities will be recognized and measured in accordance with the guidance for business combinations in ASC 805. The Company is currently evaluating the effect of this on its financial statements and believes such effect will be material.</w:t>
      </w:r>
    </w:p>
    <w:p>
      <w:pPr>
        <w:spacing w:after="0" w:line="60" w:lineRule="exact"/>
        <w:rPr>
          <w:sz w:val="20"/>
          <w:szCs w:val="20"/>
          <w:color w:val="auto"/>
        </w:rPr>
      </w:pPr>
    </w:p>
    <w:p>
      <w:pPr>
        <w:jc w:val="both"/>
        <w:ind w:left="520" w:right="1239" w:hanging="260"/>
        <w:spacing w:after="0" w:line="285" w:lineRule="auto"/>
        <w:tabs>
          <w:tab w:leader="none" w:pos="5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previously granted to Mr. Medved at $0.01 will fully vest as of June 21, 2012 and the expiration date for exercising all options vested on or before June 21, 2013 is extended to September 21, 2013. Furthermore, the Company granted Mr. Medved with an additional 100,000 options at market value, as part of the grant described in Note 17 f below. Although the Company has a previous provision for its former CEO’s severance obligations (see Note 7) and although, the total effect of the aforementioned was not yet fully estimated, the Company believes that the overall financial impact of the above will be material.</w:t>
      </w:r>
    </w:p>
    <w:p>
      <w:pPr>
        <w:spacing w:after="0" w:line="61" w:lineRule="exact"/>
        <w:rPr>
          <w:rFonts w:ascii="Arial" w:cs="Arial" w:eastAsia="Arial" w:hAnsi="Arial"/>
          <w:sz w:val="15"/>
          <w:szCs w:val="15"/>
          <w:color w:val="auto"/>
        </w:rPr>
      </w:pPr>
    </w:p>
    <w:p>
      <w:pPr>
        <w:jc w:val="both"/>
        <w:ind w:left="520" w:right="1239" w:hanging="260"/>
        <w:spacing w:after="0" w:line="253" w:lineRule="auto"/>
        <w:tabs>
          <w:tab w:leader="none" w:pos="5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March 2012, the Company’s Board approved the granting of 1,700,000 options to Board and management (including the 100,000 options granted to its former CEO, see Note 17 e) at an exercise price of $1.65 per share. These options will vest quarterly over three years. Although the Company did not yet determine the fair value of this option grant, it believes the overall financial impact to be material.</w:t>
      </w:r>
    </w:p>
    <w:p>
      <w:pPr>
        <w:spacing w:after="0" w:line="200" w:lineRule="exact"/>
        <w:rPr>
          <w:sz w:val="20"/>
          <w:szCs w:val="20"/>
          <w:color w:val="auto"/>
        </w:rPr>
      </w:pPr>
    </w:p>
    <w:p>
      <w:pPr>
        <w:spacing w:after="0" w:line="30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149"/>
        </w:trPr>
        <w:tc>
          <w:tcPr>
            <w:tcW w:w="6680" w:type="dxa"/>
            <w:vAlign w:val="bottom"/>
            <w:gridSpan w:val="9"/>
          </w:tcPr>
          <w:p>
            <w:pPr>
              <w:spacing w:after="0"/>
              <w:rPr>
                <w:sz w:val="20"/>
                <w:szCs w:val="20"/>
                <w:color w:val="auto"/>
              </w:rPr>
            </w:pPr>
            <w:r>
              <w:rPr>
                <w:rFonts w:ascii="Arial" w:cs="Arial" w:eastAsia="Arial" w:hAnsi="Arial"/>
                <w:sz w:val="13"/>
                <w:szCs w:val="13"/>
                <w:b w:val="1"/>
                <w:bCs w:val="1"/>
                <w:color w:val="0000EE"/>
              </w:rPr>
              <w:t>TABLE OF CONTENTS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465"/>
        </w:trPr>
        <w:tc>
          <w:tcPr>
            <w:tcW w:w="1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gridSpan w:val="2"/>
          </w:tcPr>
          <w:p>
            <w:pPr>
              <w:jc w:val="center"/>
              <w:ind w:right="1136"/>
              <w:spacing w:after="0"/>
              <w:rPr>
                <w:sz w:val="20"/>
                <w:szCs w:val="20"/>
                <w:color w:val="auto"/>
              </w:rPr>
            </w:pPr>
            <w:r>
              <w:rPr>
                <w:rFonts w:ascii="Arial" w:cs="Arial" w:eastAsia="Arial" w:hAnsi="Arial"/>
                <w:sz w:val="17"/>
                <w:szCs w:val="17"/>
                <w:b w:val="1"/>
                <w:bCs w:val="1"/>
                <w:color w:val="auto"/>
                <w:w w:val="90"/>
              </w:rPr>
              <w:t>Vringo, Inc. and Subsidiary</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7"/>
        </w:trPr>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3"/>
          </w:tcPr>
          <w:p>
            <w:pPr>
              <w:jc w:val="center"/>
              <w:ind w:right="816"/>
              <w:spacing w:after="0"/>
              <w:rPr>
                <w:sz w:val="20"/>
                <w:szCs w:val="20"/>
                <w:color w:val="auto"/>
              </w:rPr>
            </w:pPr>
            <w:r>
              <w:rPr>
                <w:rFonts w:ascii="Arial" w:cs="Arial" w:eastAsia="Arial" w:hAnsi="Arial"/>
                <w:sz w:val="17"/>
                <w:szCs w:val="17"/>
                <w:b w:val="1"/>
                <w:bCs w:val="1"/>
                <w:color w:val="auto"/>
                <w:w w:val="88"/>
              </w:rPr>
              <w:t>(a Development Stage Company)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01"/>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gridSpan w:val="5"/>
          </w:tcPr>
          <w:p>
            <w:pPr>
              <w:jc w:val="center"/>
              <w:ind w:left="56"/>
              <w:spacing w:after="0"/>
              <w:rPr>
                <w:sz w:val="20"/>
                <w:szCs w:val="20"/>
                <w:color w:val="auto"/>
              </w:rPr>
            </w:pPr>
            <w:r>
              <w:rPr>
                <w:rFonts w:ascii="Arial" w:cs="Arial" w:eastAsia="Arial" w:hAnsi="Arial"/>
                <w:sz w:val="17"/>
                <w:szCs w:val="17"/>
                <w:b w:val="1"/>
                <w:bCs w:val="1"/>
                <w:color w:val="auto"/>
                <w:w w:val="98"/>
              </w:rPr>
              <w:t>NOTES TO CONSOLIDATED FINANCIAL STATEMENTS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26"/>
        </w:trPr>
        <w:tc>
          <w:tcPr>
            <w:tcW w:w="6680" w:type="dxa"/>
            <w:vAlign w:val="bottom"/>
            <w:gridSpan w:val="9"/>
          </w:tcPr>
          <w:p>
            <w:pPr>
              <w:ind w:left="40"/>
              <w:spacing w:after="0"/>
              <w:rPr>
                <w:sz w:val="20"/>
                <w:szCs w:val="20"/>
                <w:color w:val="auto"/>
              </w:rPr>
            </w:pPr>
            <w:r>
              <w:rPr>
                <w:rFonts w:ascii="Arial" w:cs="Arial" w:eastAsia="Arial" w:hAnsi="Arial"/>
                <w:sz w:val="17"/>
                <w:szCs w:val="17"/>
                <w:b w:val="1"/>
                <w:bCs w:val="1"/>
                <w:color w:val="auto"/>
              </w:rPr>
              <w:t>Note 17 — Subsequent Events – (continued)</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85"/>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gridSpan w:val="5"/>
          </w:tcPr>
          <w:p>
            <w:pPr>
              <w:jc w:val="center"/>
              <w:ind w:left="76"/>
              <w:spacing w:after="0"/>
              <w:rPr>
                <w:sz w:val="20"/>
                <w:szCs w:val="20"/>
                <w:color w:val="auto"/>
              </w:rPr>
            </w:pPr>
            <w:r>
              <w:rPr>
                <w:rFonts w:ascii="Arial" w:cs="Arial" w:eastAsia="Arial" w:hAnsi="Arial"/>
                <w:sz w:val="17"/>
                <w:szCs w:val="17"/>
                <w:b w:val="1"/>
                <w:bCs w:val="1"/>
                <w:color w:val="auto"/>
                <w:w w:val="97"/>
              </w:rPr>
              <w:t>INNOVATE/PROTECT, INC. AND SUBSIDIARIES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7"/>
        </w:trPr>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3"/>
          </w:tcPr>
          <w:p>
            <w:pPr>
              <w:jc w:val="center"/>
              <w:ind w:right="816"/>
              <w:spacing w:after="0"/>
              <w:rPr>
                <w:sz w:val="20"/>
                <w:szCs w:val="20"/>
                <w:color w:val="auto"/>
              </w:rPr>
            </w:pPr>
            <w:r>
              <w:rPr>
                <w:rFonts w:ascii="Arial" w:cs="Arial" w:eastAsia="Arial" w:hAnsi="Arial"/>
                <w:sz w:val="17"/>
                <w:szCs w:val="17"/>
                <w:b w:val="1"/>
                <w:bCs w:val="1"/>
                <w:color w:val="auto"/>
                <w:w w:val="88"/>
              </w:rPr>
              <w:t>(A Development Stage Company)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01"/>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20" w:type="dxa"/>
            <w:vAlign w:val="bottom"/>
            <w:gridSpan w:val="4"/>
          </w:tcPr>
          <w:p>
            <w:pPr>
              <w:jc w:val="center"/>
              <w:ind w:right="476"/>
              <w:spacing w:after="0"/>
              <w:rPr>
                <w:sz w:val="20"/>
                <w:szCs w:val="20"/>
                <w:color w:val="auto"/>
              </w:rPr>
            </w:pPr>
            <w:r>
              <w:rPr>
                <w:rFonts w:ascii="Arial" w:cs="Arial" w:eastAsia="Arial" w:hAnsi="Arial"/>
                <w:sz w:val="17"/>
                <w:szCs w:val="17"/>
                <w:b w:val="1"/>
                <w:bCs w:val="1"/>
                <w:color w:val="auto"/>
                <w:w w:val="99"/>
              </w:rPr>
              <w:t>INDEX TO FINANCIAL STATEMENTS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89"/>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gridSpan w:val="2"/>
          </w:tcPr>
          <w:p>
            <w:pPr>
              <w:jc w:val="center"/>
              <w:ind w:right="1136"/>
              <w:spacing w:after="0"/>
              <w:rPr>
                <w:sz w:val="20"/>
                <w:szCs w:val="20"/>
                <w:color w:val="auto"/>
              </w:rPr>
            </w:pPr>
            <w:r>
              <w:rPr>
                <w:rFonts w:ascii="Arial" w:cs="Arial" w:eastAsia="Arial" w:hAnsi="Arial"/>
                <w:sz w:val="17"/>
                <w:szCs w:val="17"/>
                <w:b w:val="1"/>
                <w:bCs w:val="1"/>
                <w:color w:val="auto"/>
                <w:w w:val="97"/>
              </w:rPr>
              <w:t>TABLE OF CONTENTS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3"/>
        </w:trPr>
        <w:tc>
          <w:tcPr>
            <w:tcW w:w="6680" w:type="dxa"/>
            <w:vAlign w:val="bottom"/>
            <w:gridSpan w:val="9"/>
          </w:tcPr>
          <w:p>
            <w:pPr>
              <w:spacing w:after="0"/>
              <w:rPr>
                <w:sz w:val="20"/>
                <w:szCs w:val="20"/>
                <w:color w:val="auto"/>
              </w:rPr>
            </w:pPr>
            <w:r>
              <w:rPr>
                <w:rFonts w:ascii="Arial" w:cs="Arial" w:eastAsia="Arial" w:hAnsi="Arial"/>
                <w:sz w:val="17"/>
                <w:szCs w:val="17"/>
                <w:color w:val="auto"/>
              </w:rPr>
              <w:t>CONDENSED CONSOLIDATED FINANCIAL STATEMENTS (Unaudited)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6680" w:type="dxa"/>
            <w:vAlign w:val="bottom"/>
            <w:gridSpan w:val="9"/>
            <w:shd w:val="clear" w:color="auto" w:fill="CCFFCC"/>
          </w:tcPr>
          <w:p>
            <w:pPr>
              <w:spacing w:after="0" w:line="188" w:lineRule="exact"/>
              <w:rPr>
                <w:sz w:val="20"/>
                <w:szCs w:val="20"/>
                <w:color w:val="auto"/>
              </w:rPr>
            </w:pPr>
            <w:r>
              <w:rPr>
                <w:rFonts w:ascii="Arial" w:cs="Arial" w:eastAsia="Arial" w:hAnsi="Arial"/>
                <w:sz w:val="17"/>
                <w:szCs w:val="17"/>
                <w:color w:val="auto"/>
                <w:w w:val="97"/>
              </w:rPr>
              <w:t>AS OF MARCH 31, 2012 AND FOR THE QUARTER ENDED MARCH 31, 2012 AND FOR</w:t>
            </w:r>
          </w:p>
        </w:tc>
        <w:tc>
          <w:tcPr>
            <w:tcW w:w="24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213"/>
        </w:trPr>
        <w:tc>
          <w:tcPr>
            <w:tcW w:w="160" w:type="dxa"/>
            <w:vAlign w:val="bottom"/>
            <w:shd w:val="clear" w:color="auto" w:fill="CCFFCC"/>
          </w:tcPr>
          <w:p>
            <w:pPr>
              <w:spacing w:after="0"/>
              <w:rPr>
                <w:sz w:val="18"/>
                <w:szCs w:val="18"/>
                <w:color w:val="auto"/>
              </w:rPr>
            </w:pPr>
          </w:p>
        </w:tc>
        <w:tc>
          <w:tcPr>
            <w:tcW w:w="6520" w:type="dxa"/>
            <w:vAlign w:val="bottom"/>
            <w:gridSpan w:val="8"/>
            <w:shd w:val="clear" w:color="auto" w:fill="CCFFCC"/>
          </w:tcPr>
          <w:p>
            <w:pPr>
              <w:spacing w:after="0"/>
              <w:rPr>
                <w:sz w:val="20"/>
                <w:szCs w:val="20"/>
                <w:color w:val="auto"/>
              </w:rPr>
            </w:pPr>
            <w:r>
              <w:rPr>
                <w:rFonts w:ascii="Arial" w:cs="Arial" w:eastAsia="Arial" w:hAnsi="Arial"/>
                <w:sz w:val="17"/>
                <w:szCs w:val="17"/>
                <w:color w:val="auto"/>
              </w:rPr>
              <w:t>THE PERIOD FROM JUNE 8, 2011 (Inception) TO MARCH 31, 2012</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63"/>
        </w:trPr>
        <w:tc>
          <w:tcPr>
            <w:tcW w:w="160" w:type="dxa"/>
            <w:vAlign w:val="bottom"/>
          </w:tcPr>
          <w:p>
            <w:pPr>
              <w:spacing w:after="0"/>
              <w:rPr>
                <w:sz w:val="14"/>
                <w:szCs w:val="14"/>
                <w:color w:val="auto"/>
              </w:rPr>
            </w:pPr>
          </w:p>
        </w:tc>
        <w:tc>
          <w:tcPr>
            <w:tcW w:w="1880" w:type="dxa"/>
            <w:vAlign w:val="bottom"/>
            <w:gridSpan w:val="3"/>
          </w:tcPr>
          <w:p>
            <w:pPr>
              <w:spacing w:after="0" w:line="163" w:lineRule="exact"/>
              <w:rPr>
                <w:sz w:val="20"/>
                <w:szCs w:val="20"/>
                <w:color w:val="auto"/>
              </w:rPr>
            </w:pPr>
            <w:r>
              <w:rPr>
                <w:rFonts w:ascii="Arial" w:cs="Arial" w:eastAsia="Arial" w:hAnsi="Arial"/>
                <w:sz w:val="17"/>
                <w:szCs w:val="17"/>
                <w:color w:val="0000EE"/>
                <w:w w:val="86"/>
              </w:rPr>
              <w:t>Consolidated Balance Sheet</w:t>
            </w:r>
          </w:p>
        </w:tc>
        <w:tc>
          <w:tcPr>
            <w:tcW w:w="4640" w:type="dxa"/>
            <w:vAlign w:val="bottom"/>
            <w:gridSpan w:val="5"/>
          </w:tcPr>
          <w:p>
            <w:pPr>
              <w:spacing w:after="0"/>
              <w:rPr>
                <w:sz w:val="14"/>
                <w:szCs w:val="14"/>
                <w:color w:val="auto"/>
              </w:rPr>
            </w:pP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5"/>
              </w:rPr>
              <w:t>F-53</w:t>
            </w: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2600" w:type="dxa"/>
            <w:vAlign w:val="bottom"/>
            <w:tcBorders>
              <w:right w:val="single" w:sz="8" w:color="CCFFCC"/>
            </w:tcBorders>
            <w:gridSpan w:val="4"/>
            <w:shd w:val="clear" w:color="auto" w:fill="CCFFCC"/>
          </w:tcPr>
          <w:p>
            <w:pPr>
              <w:spacing w:after="0" w:line="172" w:lineRule="exact"/>
              <w:rPr>
                <w:sz w:val="20"/>
                <w:szCs w:val="20"/>
                <w:color w:val="auto"/>
              </w:rPr>
            </w:pPr>
            <w:r>
              <w:rPr>
                <w:rFonts w:ascii="Arial" w:cs="Arial" w:eastAsia="Arial" w:hAnsi="Arial"/>
                <w:sz w:val="17"/>
                <w:szCs w:val="17"/>
                <w:color w:val="0000EE"/>
                <w:w w:val="88"/>
              </w:rPr>
              <w:t>Consolidated Statement of Operations</w:t>
            </w:r>
          </w:p>
        </w:tc>
        <w:tc>
          <w:tcPr>
            <w:tcW w:w="3920" w:type="dxa"/>
            <w:vAlign w:val="bottom"/>
            <w:gridSpan w:val="4"/>
            <w:shd w:val="clear" w:color="auto" w:fill="CCFFCC"/>
          </w:tcPr>
          <w:p>
            <w:pPr>
              <w:spacing w:after="0"/>
              <w:rPr>
                <w:sz w:val="14"/>
                <w:szCs w:val="14"/>
                <w:color w:val="auto"/>
              </w:rPr>
            </w:pPr>
          </w:p>
        </w:tc>
        <w:tc>
          <w:tcPr>
            <w:tcW w:w="940" w:type="dxa"/>
            <w:vAlign w:val="bottom"/>
            <w:gridSpan w:val="4"/>
            <w:shd w:val="clear" w:color="auto" w:fill="CCFFCC"/>
          </w:tcPr>
          <w:p>
            <w:pPr>
              <w:jc w:val="center"/>
              <w:ind w:right="160"/>
              <w:spacing w:after="0" w:line="172" w:lineRule="exact"/>
              <w:rPr>
                <w:sz w:val="20"/>
                <w:szCs w:val="20"/>
                <w:color w:val="auto"/>
              </w:rPr>
            </w:pPr>
            <w:r>
              <w:rPr>
                <w:rFonts w:ascii="Arial" w:cs="Arial" w:eastAsia="Arial" w:hAnsi="Arial"/>
                <w:sz w:val="17"/>
                <w:szCs w:val="17"/>
                <w:color w:val="0000EE"/>
                <w:w w:val="85"/>
              </w:rPr>
              <w:t>F-54</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720" w:type="dxa"/>
            <w:vAlign w:val="bottom"/>
            <w:tcBorders>
              <w:right w:val="single" w:sz="8" w:color="CCFFCC"/>
            </w:tcBorders>
            <w:shd w:val="clear" w:color="auto" w:fill="0000EE"/>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3240" w:type="dxa"/>
            <w:vAlign w:val="bottom"/>
            <w:gridSpan w:val="6"/>
          </w:tcPr>
          <w:p>
            <w:pPr>
              <w:spacing w:after="0" w:line="163" w:lineRule="exact"/>
              <w:rPr>
                <w:sz w:val="20"/>
                <w:szCs w:val="20"/>
                <w:color w:val="auto"/>
              </w:rPr>
            </w:pPr>
            <w:r>
              <w:rPr>
                <w:rFonts w:ascii="Arial" w:cs="Arial" w:eastAsia="Arial" w:hAnsi="Arial"/>
                <w:sz w:val="17"/>
                <w:szCs w:val="17"/>
                <w:color w:val="0000EE"/>
                <w:w w:val="89"/>
              </w:rPr>
              <w:t>Consolidated Statement of Stockholders’ Equity</w:t>
            </w:r>
          </w:p>
        </w:tc>
        <w:tc>
          <w:tcPr>
            <w:tcW w:w="3280" w:type="dxa"/>
            <w:vAlign w:val="bottom"/>
            <w:gridSpan w:val="2"/>
          </w:tcPr>
          <w:p>
            <w:pPr>
              <w:spacing w:after="0"/>
              <w:rPr>
                <w:sz w:val="14"/>
                <w:szCs w:val="14"/>
                <w:color w:val="auto"/>
              </w:rPr>
            </w:pP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5"/>
              </w:rPr>
              <w:t>F-55</w:t>
            </w: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3240" w:type="dxa"/>
            <w:vAlign w:val="bottom"/>
            <w:gridSpan w:val="6"/>
            <w:shd w:val="clear" w:color="auto" w:fill="CCFFCC"/>
          </w:tcPr>
          <w:p>
            <w:pPr>
              <w:spacing w:after="0" w:line="172" w:lineRule="exact"/>
              <w:rPr>
                <w:sz w:val="20"/>
                <w:szCs w:val="20"/>
                <w:color w:val="auto"/>
              </w:rPr>
            </w:pPr>
            <w:r>
              <w:rPr>
                <w:rFonts w:ascii="Arial" w:cs="Arial" w:eastAsia="Arial" w:hAnsi="Arial"/>
                <w:sz w:val="17"/>
                <w:szCs w:val="17"/>
                <w:color w:val="0000EE"/>
              </w:rPr>
              <w:t>Consolidated Statement of Cash Flows</w:t>
            </w:r>
          </w:p>
        </w:tc>
        <w:tc>
          <w:tcPr>
            <w:tcW w:w="3280" w:type="dxa"/>
            <w:vAlign w:val="bottom"/>
            <w:gridSpan w:val="2"/>
            <w:shd w:val="clear" w:color="auto" w:fill="CCFFCC"/>
          </w:tcPr>
          <w:p>
            <w:pPr>
              <w:spacing w:after="0"/>
              <w:rPr>
                <w:sz w:val="14"/>
                <w:szCs w:val="14"/>
                <w:color w:val="auto"/>
              </w:rPr>
            </w:pPr>
          </w:p>
        </w:tc>
        <w:tc>
          <w:tcPr>
            <w:tcW w:w="940" w:type="dxa"/>
            <w:vAlign w:val="bottom"/>
            <w:gridSpan w:val="4"/>
            <w:shd w:val="clear" w:color="auto" w:fill="CCFFCC"/>
          </w:tcPr>
          <w:p>
            <w:pPr>
              <w:jc w:val="center"/>
              <w:ind w:right="160"/>
              <w:spacing w:after="0" w:line="172" w:lineRule="exact"/>
              <w:rPr>
                <w:sz w:val="20"/>
                <w:szCs w:val="20"/>
                <w:color w:val="auto"/>
              </w:rPr>
            </w:pPr>
            <w:r>
              <w:rPr>
                <w:rFonts w:ascii="Arial" w:cs="Arial" w:eastAsia="Arial" w:hAnsi="Arial"/>
                <w:sz w:val="17"/>
                <w:szCs w:val="17"/>
                <w:color w:val="0000EE"/>
                <w:w w:val="85"/>
              </w:rPr>
              <w:t>F-56</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520" w:type="dxa"/>
            <w:vAlign w:val="bottom"/>
            <w:gridSpan w:val="8"/>
          </w:tcPr>
          <w:p>
            <w:pPr>
              <w:spacing w:after="0" w:line="163" w:lineRule="exact"/>
              <w:rPr>
                <w:sz w:val="20"/>
                <w:szCs w:val="20"/>
                <w:color w:val="auto"/>
              </w:rPr>
            </w:pPr>
            <w:r>
              <w:rPr>
                <w:rFonts w:ascii="Arial" w:cs="Arial" w:eastAsia="Arial" w:hAnsi="Arial"/>
                <w:sz w:val="17"/>
                <w:szCs w:val="17"/>
                <w:color w:val="0000EE"/>
              </w:rPr>
              <w:t>Notes to Consolidated Financial Statements</w:t>
            </w: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7"/>
              </w:rPr>
              <w:t>F-57 – F-63</w:t>
            </w: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09"/>
        </w:trPr>
        <w:tc>
          <w:tcPr>
            <w:tcW w:w="6680" w:type="dxa"/>
            <w:vAlign w:val="bottom"/>
            <w:gridSpan w:val="9"/>
            <w:shd w:val="clear" w:color="auto" w:fill="CCFFCC"/>
          </w:tcPr>
          <w:p>
            <w:pPr>
              <w:spacing w:after="0"/>
              <w:rPr>
                <w:sz w:val="20"/>
                <w:szCs w:val="20"/>
                <w:color w:val="auto"/>
              </w:rPr>
            </w:pPr>
            <w:r>
              <w:rPr>
                <w:rFonts w:ascii="Arial" w:cs="Arial" w:eastAsia="Arial" w:hAnsi="Arial"/>
                <w:sz w:val="17"/>
                <w:szCs w:val="17"/>
                <w:color w:val="auto"/>
              </w:rPr>
              <w:t>CONSOLIDATED FINANCIAL STATEMENTS</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6680" w:type="dxa"/>
            <w:vAlign w:val="bottom"/>
            <w:gridSpan w:val="9"/>
          </w:tcPr>
          <w:p>
            <w:pPr>
              <w:spacing w:after="0" w:line="188" w:lineRule="exact"/>
              <w:rPr>
                <w:sz w:val="20"/>
                <w:szCs w:val="20"/>
                <w:color w:val="auto"/>
              </w:rPr>
            </w:pPr>
            <w:r>
              <w:rPr>
                <w:rFonts w:ascii="Arial" w:cs="Arial" w:eastAsia="Arial" w:hAnsi="Arial"/>
                <w:sz w:val="17"/>
                <w:szCs w:val="17"/>
                <w:color w:val="auto"/>
              </w:rPr>
              <w:t>AS OF DECEMBER 31, 2011 AND FOR THE PERIOD FROM JUNE 8, 2011 (Inception)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13"/>
        </w:trPr>
        <w:tc>
          <w:tcPr>
            <w:tcW w:w="160" w:type="dxa"/>
            <w:vAlign w:val="bottom"/>
          </w:tcPr>
          <w:p>
            <w:pPr>
              <w:spacing w:after="0"/>
              <w:rPr>
                <w:sz w:val="18"/>
                <w:szCs w:val="18"/>
                <w:color w:val="auto"/>
              </w:rPr>
            </w:pPr>
          </w:p>
        </w:tc>
        <w:tc>
          <w:tcPr>
            <w:tcW w:w="6520" w:type="dxa"/>
            <w:vAlign w:val="bottom"/>
            <w:gridSpan w:val="8"/>
          </w:tcPr>
          <w:p>
            <w:pPr>
              <w:spacing w:after="0"/>
              <w:rPr>
                <w:sz w:val="20"/>
                <w:szCs w:val="20"/>
                <w:color w:val="auto"/>
              </w:rPr>
            </w:pPr>
            <w:r>
              <w:rPr>
                <w:rFonts w:ascii="Arial" w:cs="Arial" w:eastAsia="Arial" w:hAnsi="Arial"/>
                <w:sz w:val="17"/>
                <w:szCs w:val="17"/>
                <w:color w:val="auto"/>
              </w:rPr>
              <w:t>TO DECEMBER 31, 2011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63"/>
        </w:trPr>
        <w:tc>
          <w:tcPr>
            <w:tcW w:w="160" w:type="dxa"/>
            <w:vAlign w:val="bottom"/>
            <w:shd w:val="clear" w:color="auto" w:fill="CCFFCC"/>
          </w:tcPr>
          <w:p>
            <w:pPr>
              <w:spacing w:after="0"/>
              <w:rPr>
                <w:sz w:val="14"/>
                <w:szCs w:val="14"/>
                <w:color w:val="auto"/>
              </w:rPr>
            </w:pPr>
          </w:p>
        </w:tc>
        <w:tc>
          <w:tcPr>
            <w:tcW w:w="3920" w:type="dxa"/>
            <w:vAlign w:val="bottom"/>
            <w:gridSpan w:val="7"/>
            <w:shd w:val="clear" w:color="auto" w:fill="CCFFCC"/>
          </w:tcPr>
          <w:p>
            <w:pPr>
              <w:spacing w:after="0" w:line="163" w:lineRule="exact"/>
              <w:rPr>
                <w:sz w:val="20"/>
                <w:szCs w:val="20"/>
                <w:color w:val="auto"/>
              </w:rPr>
            </w:pPr>
            <w:r>
              <w:rPr>
                <w:rFonts w:ascii="Arial" w:cs="Arial" w:eastAsia="Arial" w:hAnsi="Arial"/>
                <w:sz w:val="17"/>
                <w:szCs w:val="17"/>
                <w:color w:val="0000EE"/>
                <w:w w:val="89"/>
              </w:rPr>
              <w:t>Report of Independent Registered Public Accounting Firm</w:t>
            </w:r>
          </w:p>
        </w:tc>
        <w:tc>
          <w:tcPr>
            <w:tcW w:w="2600" w:type="dxa"/>
            <w:vAlign w:val="bottom"/>
            <w:shd w:val="clear" w:color="auto" w:fill="CCFFCC"/>
          </w:tcPr>
          <w:p>
            <w:pPr>
              <w:spacing w:after="0"/>
              <w:rPr>
                <w:sz w:val="14"/>
                <w:szCs w:val="14"/>
                <w:color w:val="auto"/>
              </w:rPr>
            </w:pPr>
          </w:p>
        </w:tc>
        <w:tc>
          <w:tcPr>
            <w:tcW w:w="940" w:type="dxa"/>
            <w:vAlign w:val="bottom"/>
            <w:gridSpan w:val="4"/>
            <w:shd w:val="clear" w:color="auto" w:fill="CCFFCC"/>
          </w:tcPr>
          <w:p>
            <w:pPr>
              <w:jc w:val="center"/>
              <w:ind w:right="160"/>
              <w:spacing w:after="0" w:line="163" w:lineRule="exact"/>
              <w:rPr>
                <w:sz w:val="20"/>
                <w:szCs w:val="20"/>
                <w:color w:val="auto"/>
              </w:rPr>
            </w:pPr>
            <w:r>
              <w:rPr>
                <w:rFonts w:ascii="Arial" w:cs="Arial" w:eastAsia="Arial" w:hAnsi="Arial"/>
                <w:sz w:val="17"/>
                <w:szCs w:val="17"/>
                <w:color w:val="0000EE"/>
                <w:w w:val="85"/>
              </w:rPr>
              <w:t>F-65</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1880" w:type="dxa"/>
            <w:vAlign w:val="bottom"/>
            <w:gridSpan w:val="3"/>
          </w:tcPr>
          <w:p>
            <w:pPr>
              <w:spacing w:after="0" w:line="163" w:lineRule="exact"/>
              <w:rPr>
                <w:sz w:val="20"/>
                <w:szCs w:val="20"/>
                <w:color w:val="auto"/>
              </w:rPr>
            </w:pPr>
            <w:r>
              <w:rPr>
                <w:rFonts w:ascii="Arial" w:cs="Arial" w:eastAsia="Arial" w:hAnsi="Arial"/>
                <w:sz w:val="17"/>
                <w:szCs w:val="17"/>
                <w:color w:val="0000EE"/>
                <w:w w:val="86"/>
              </w:rPr>
              <w:t>Consolidated Balance Sheet</w:t>
            </w:r>
          </w:p>
        </w:tc>
        <w:tc>
          <w:tcPr>
            <w:tcW w:w="2040" w:type="dxa"/>
            <w:vAlign w:val="bottom"/>
            <w:gridSpan w:val="4"/>
          </w:tcPr>
          <w:p>
            <w:pPr>
              <w:spacing w:after="0"/>
              <w:rPr>
                <w:sz w:val="14"/>
                <w:szCs w:val="14"/>
                <w:color w:val="auto"/>
              </w:rPr>
            </w:pPr>
          </w:p>
        </w:tc>
        <w:tc>
          <w:tcPr>
            <w:tcW w:w="2600" w:type="dxa"/>
            <w:vAlign w:val="bottom"/>
          </w:tcPr>
          <w:p>
            <w:pPr>
              <w:spacing w:after="0"/>
              <w:rPr>
                <w:sz w:val="14"/>
                <w:szCs w:val="14"/>
                <w:color w:val="auto"/>
              </w:rPr>
            </w:pP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5"/>
              </w:rPr>
              <w:t>F-66</w:t>
            </w: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2600" w:type="dxa"/>
            <w:vAlign w:val="bottom"/>
            <w:tcBorders>
              <w:right w:val="single" w:sz="8" w:color="CCFFCC"/>
            </w:tcBorders>
            <w:gridSpan w:val="4"/>
            <w:shd w:val="clear" w:color="auto" w:fill="CCFFCC"/>
          </w:tcPr>
          <w:p>
            <w:pPr>
              <w:spacing w:after="0" w:line="172" w:lineRule="exact"/>
              <w:rPr>
                <w:sz w:val="20"/>
                <w:szCs w:val="20"/>
                <w:color w:val="auto"/>
              </w:rPr>
            </w:pPr>
            <w:r>
              <w:rPr>
                <w:rFonts w:ascii="Arial" w:cs="Arial" w:eastAsia="Arial" w:hAnsi="Arial"/>
                <w:sz w:val="17"/>
                <w:szCs w:val="17"/>
                <w:color w:val="0000EE"/>
                <w:w w:val="88"/>
              </w:rPr>
              <w:t>Consolidated Statement of Operations</w:t>
            </w:r>
          </w:p>
        </w:tc>
        <w:tc>
          <w:tcPr>
            <w:tcW w:w="3920" w:type="dxa"/>
            <w:vAlign w:val="bottom"/>
            <w:gridSpan w:val="4"/>
            <w:shd w:val="clear" w:color="auto" w:fill="CCFFCC"/>
          </w:tcPr>
          <w:p>
            <w:pPr>
              <w:spacing w:after="0"/>
              <w:rPr>
                <w:sz w:val="14"/>
                <w:szCs w:val="14"/>
                <w:color w:val="auto"/>
              </w:rPr>
            </w:pPr>
          </w:p>
        </w:tc>
        <w:tc>
          <w:tcPr>
            <w:tcW w:w="940" w:type="dxa"/>
            <w:vAlign w:val="bottom"/>
            <w:gridSpan w:val="4"/>
            <w:shd w:val="clear" w:color="auto" w:fill="CCFFCC"/>
          </w:tcPr>
          <w:p>
            <w:pPr>
              <w:jc w:val="center"/>
              <w:ind w:right="160"/>
              <w:spacing w:after="0" w:line="172" w:lineRule="exact"/>
              <w:rPr>
                <w:sz w:val="20"/>
                <w:szCs w:val="20"/>
                <w:color w:val="auto"/>
              </w:rPr>
            </w:pPr>
            <w:r>
              <w:rPr>
                <w:rFonts w:ascii="Arial" w:cs="Arial" w:eastAsia="Arial" w:hAnsi="Arial"/>
                <w:sz w:val="17"/>
                <w:szCs w:val="17"/>
                <w:color w:val="0000EE"/>
                <w:w w:val="85"/>
              </w:rPr>
              <w:t>F-67</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720" w:type="dxa"/>
            <w:vAlign w:val="bottom"/>
            <w:tcBorders>
              <w:right w:val="single" w:sz="8" w:color="CCFFCC"/>
            </w:tcBorders>
            <w:shd w:val="clear" w:color="auto" w:fill="0000EE"/>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3240" w:type="dxa"/>
            <w:vAlign w:val="bottom"/>
            <w:gridSpan w:val="6"/>
          </w:tcPr>
          <w:p>
            <w:pPr>
              <w:spacing w:after="0" w:line="163" w:lineRule="exact"/>
              <w:rPr>
                <w:sz w:val="20"/>
                <w:szCs w:val="20"/>
                <w:color w:val="auto"/>
              </w:rPr>
            </w:pPr>
            <w:r>
              <w:rPr>
                <w:rFonts w:ascii="Arial" w:cs="Arial" w:eastAsia="Arial" w:hAnsi="Arial"/>
                <w:sz w:val="17"/>
                <w:szCs w:val="17"/>
                <w:color w:val="0000EE"/>
                <w:w w:val="89"/>
              </w:rPr>
              <w:t>Consolidated Statement of Stockholders’ Equity</w:t>
            </w:r>
          </w:p>
        </w:tc>
        <w:tc>
          <w:tcPr>
            <w:tcW w:w="3280" w:type="dxa"/>
            <w:vAlign w:val="bottom"/>
            <w:gridSpan w:val="2"/>
          </w:tcPr>
          <w:p>
            <w:pPr>
              <w:spacing w:after="0"/>
              <w:rPr>
                <w:sz w:val="14"/>
                <w:szCs w:val="14"/>
                <w:color w:val="auto"/>
              </w:rPr>
            </w:pP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5"/>
              </w:rPr>
              <w:t>F-68</w:t>
            </w: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3240" w:type="dxa"/>
            <w:vAlign w:val="bottom"/>
            <w:gridSpan w:val="6"/>
            <w:shd w:val="clear" w:color="auto" w:fill="CCFFCC"/>
          </w:tcPr>
          <w:p>
            <w:pPr>
              <w:spacing w:after="0" w:line="172" w:lineRule="exact"/>
              <w:rPr>
                <w:sz w:val="20"/>
                <w:szCs w:val="20"/>
                <w:color w:val="auto"/>
              </w:rPr>
            </w:pPr>
            <w:r>
              <w:rPr>
                <w:rFonts w:ascii="Arial" w:cs="Arial" w:eastAsia="Arial" w:hAnsi="Arial"/>
                <w:sz w:val="17"/>
                <w:szCs w:val="17"/>
                <w:color w:val="0000EE"/>
              </w:rPr>
              <w:t>Consolidated Statement of Cash Flows</w:t>
            </w:r>
          </w:p>
        </w:tc>
        <w:tc>
          <w:tcPr>
            <w:tcW w:w="3280" w:type="dxa"/>
            <w:vAlign w:val="bottom"/>
            <w:gridSpan w:val="2"/>
            <w:shd w:val="clear" w:color="auto" w:fill="CCFFCC"/>
          </w:tcPr>
          <w:p>
            <w:pPr>
              <w:spacing w:after="0"/>
              <w:rPr>
                <w:sz w:val="14"/>
                <w:szCs w:val="14"/>
                <w:color w:val="auto"/>
              </w:rPr>
            </w:pPr>
          </w:p>
        </w:tc>
        <w:tc>
          <w:tcPr>
            <w:tcW w:w="940" w:type="dxa"/>
            <w:vAlign w:val="bottom"/>
            <w:gridSpan w:val="4"/>
            <w:shd w:val="clear" w:color="auto" w:fill="CCFFCC"/>
          </w:tcPr>
          <w:p>
            <w:pPr>
              <w:jc w:val="center"/>
              <w:ind w:right="160"/>
              <w:spacing w:after="0" w:line="172" w:lineRule="exact"/>
              <w:rPr>
                <w:sz w:val="20"/>
                <w:szCs w:val="20"/>
                <w:color w:val="auto"/>
              </w:rPr>
            </w:pPr>
            <w:r>
              <w:rPr>
                <w:rFonts w:ascii="Arial" w:cs="Arial" w:eastAsia="Arial" w:hAnsi="Arial"/>
                <w:sz w:val="17"/>
                <w:szCs w:val="17"/>
                <w:color w:val="0000EE"/>
                <w:w w:val="85"/>
              </w:rPr>
              <w:t>F-69</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520" w:type="dxa"/>
            <w:vAlign w:val="bottom"/>
            <w:gridSpan w:val="8"/>
          </w:tcPr>
          <w:p>
            <w:pPr>
              <w:spacing w:after="0" w:line="163" w:lineRule="exact"/>
              <w:rPr>
                <w:sz w:val="20"/>
                <w:szCs w:val="20"/>
                <w:color w:val="auto"/>
              </w:rPr>
            </w:pPr>
            <w:r>
              <w:rPr>
                <w:rFonts w:ascii="Arial" w:cs="Arial" w:eastAsia="Arial" w:hAnsi="Arial"/>
                <w:sz w:val="17"/>
                <w:szCs w:val="17"/>
                <w:color w:val="0000EE"/>
              </w:rPr>
              <w:t>Notes to Consolidated Financial Statements</w:t>
            </w: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7"/>
              </w:rPr>
              <w:t>F-70 – F-78</w:t>
            </w:r>
          </w:p>
        </w:tc>
        <w:tc>
          <w:tcPr>
            <w:tcW w:w="2420" w:type="dxa"/>
            <w:vAlign w:val="bottom"/>
          </w:tcPr>
          <w:p>
            <w:pPr>
              <w:spacing w:after="0"/>
              <w:rPr>
                <w:sz w:val="14"/>
                <w:szCs w:val="14"/>
                <w:color w:val="auto"/>
              </w:rPr>
            </w:pPr>
          </w:p>
        </w:tc>
      </w:tr>
      <w:tr>
        <w:trPr>
          <w:trHeight w:val="744"/>
        </w:trPr>
        <w:tc>
          <w:tcPr>
            <w:tcW w:w="16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7"/>
                <w:szCs w:val="17"/>
                <w:color w:val="auto"/>
              </w:rPr>
              <w:t>F-52</w:t>
            </w: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-2823845</wp:posOffset>
            </wp:positionV>
            <wp:extent cx="483743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70" w:name="page271"/>
    <w:bookmarkEnd w:id="2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6"/>
              </w:rPr>
              <w:t>As of</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As of</w:t>
            </w:r>
          </w:p>
        </w:tc>
      </w:tr>
      <w:tr>
        <w:trPr>
          <w:trHeight w:val="138"/>
        </w:trPr>
        <w:tc>
          <w:tcPr>
            <w:tcW w:w="5360" w:type="dxa"/>
            <w:vAlign w:val="bottom"/>
          </w:tcPr>
          <w:p>
            <w:pPr>
              <w:spacing w:after="0"/>
              <w:rPr>
                <w:sz w:val="11"/>
                <w:szCs w:val="11"/>
                <w:color w:val="auto"/>
              </w:rPr>
            </w:pPr>
          </w:p>
        </w:tc>
        <w:tc>
          <w:tcPr>
            <w:tcW w:w="9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5"/>
              </w:rPr>
              <w:t>March 31, 2012</w:t>
            </w:r>
          </w:p>
        </w:tc>
        <w:tc>
          <w:tcPr>
            <w:tcW w:w="200" w:type="dxa"/>
            <w:vAlign w:val="bottom"/>
          </w:tcPr>
          <w:p>
            <w:pPr>
              <w:spacing w:after="0"/>
              <w:rPr>
                <w:sz w:val="11"/>
                <w:szCs w:val="11"/>
                <w:color w:val="auto"/>
              </w:rPr>
            </w:pPr>
          </w:p>
        </w:tc>
        <w:tc>
          <w:tcPr>
            <w:tcW w:w="112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w w:val="92"/>
              </w:rPr>
              <w:t>December 31, 2011</w:t>
            </w:r>
          </w:p>
        </w:tc>
      </w:tr>
      <w:tr>
        <w:trPr>
          <w:trHeight w:val="158"/>
        </w:trPr>
        <w:tc>
          <w:tcPr>
            <w:tcW w:w="5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(Unaudited)</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193"/>
        </w:trPr>
        <w:tc>
          <w:tcPr>
            <w:tcW w:w="5360" w:type="dxa"/>
            <w:vAlign w:val="bottom"/>
            <w:shd w:val="clear" w:color="auto" w:fill="CCFFCC"/>
          </w:tcPr>
          <w:p>
            <w:pPr>
              <w:ind w:left="2300"/>
              <w:spacing w:after="0" w:line="193"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200" w:type="dxa"/>
            <w:vAlign w:val="bottom"/>
            <w:tcBorders>
              <w:left w:val="single" w:sz="8" w:color="CCFFCC"/>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3,979,671</w:t>
            </w:r>
          </w:p>
        </w:tc>
        <w:tc>
          <w:tcPr>
            <w:tcW w:w="380" w:type="dxa"/>
            <w:vAlign w:val="bottom"/>
            <w:tcBorders>
              <w:left w:val="single" w:sz="8" w:color="CCFFCC"/>
            </w:tcBorders>
            <w:gridSpan w:val="2"/>
            <w:shd w:val="clear" w:color="auto" w:fill="CCFFCC"/>
          </w:tcPr>
          <w:p>
            <w:pPr>
              <w:ind w:left="22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5,212,142</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Prepaid assets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35,844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25,886</w:t>
            </w: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Other current assets</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4,269</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r>
      <w:tr>
        <w:trPr>
          <w:trHeight w:val="20"/>
        </w:trPr>
        <w:tc>
          <w:tcPr>
            <w:tcW w:w="53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Total current assets</w:t>
            </w:r>
          </w:p>
        </w:tc>
        <w:tc>
          <w:tcPr>
            <w:tcW w:w="12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4,019,784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5,238,028</w:t>
            </w:r>
          </w:p>
        </w:tc>
      </w:tr>
      <w:tr>
        <w:trPr>
          <w:trHeight w:val="200"/>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11,813</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8,006</w:t>
            </w: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Intangible assets, net</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2,912,325</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3,067,592</w:t>
            </w:r>
          </w:p>
        </w:tc>
      </w:tr>
      <w:tr>
        <w:trPr>
          <w:trHeight w:val="20"/>
        </w:trPr>
        <w:tc>
          <w:tcPr>
            <w:tcW w:w="53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6,943,922</w:t>
            </w:r>
          </w:p>
        </w:tc>
        <w:tc>
          <w:tcPr>
            <w:tcW w:w="200" w:type="dxa"/>
            <w:vAlign w:val="bottom"/>
          </w:tcPr>
          <w:p>
            <w:pPr>
              <w:spacing w:after="0"/>
              <w:rPr>
                <w:sz w:val="16"/>
                <w:szCs w:val="16"/>
                <w:color w:val="auto"/>
              </w:rPr>
            </w:pPr>
          </w:p>
        </w:tc>
        <w:tc>
          <w:tcPr>
            <w:tcW w:w="180" w:type="dxa"/>
            <w:vAlign w:val="bottom"/>
          </w:tcPr>
          <w:p>
            <w:pPr>
              <w:ind w:left="20"/>
              <w:spacing w:after="0" w:line="193" w:lineRule="exact"/>
              <w:rPr>
                <w:sz w:val="20"/>
                <w:szCs w:val="20"/>
                <w:color w:val="auto"/>
              </w:rPr>
            </w:pPr>
            <w:r>
              <w:rPr>
                <w:rFonts w:ascii="Arial" w:cs="Arial" w:eastAsia="Arial" w:hAnsi="Arial"/>
                <w:sz w:val="17"/>
                <w:szCs w:val="17"/>
                <w:b w:val="1"/>
                <w:bCs w:val="1"/>
                <w:color w:val="auto"/>
              </w:rPr>
              <w:t>$</w:t>
            </w:r>
          </w:p>
        </w:tc>
        <w:tc>
          <w:tcPr>
            <w:tcW w:w="94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8,313,626</w:t>
            </w: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5360" w:type="dxa"/>
            <w:vAlign w:val="bottom"/>
            <w:shd w:val="clear" w:color="auto" w:fill="CCFFCC"/>
          </w:tcPr>
          <w:p>
            <w:pPr>
              <w:ind w:left="780"/>
              <w:spacing w:after="0" w:line="191" w:lineRule="exact"/>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200" w:type="dxa"/>
            <w:vAlign w:val="bottom"/>
            <w:tcBorders>
              <w:left w:val="single" w:sz="8" w:color="CCFFCC"/>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524,999</w:t>
            </w:r>
          </w:p>
        </w:tc>
        <w:tc>
          <w:tcPr>
            <w:tcW w:w="380" w:type="dxa"/>
            <w:vAlign w:val="bottom"/>
            <w:tcBorders>
              <w:left w:val="single" w:sz="8" w:color="CCFFCC"/>
            </w:tcBorders>
            <w:gridSpan w:val="2"/>
            <w:shd w:val="clear" w:color="auto" w:fill="CCFFCC"/>
          </w:tcPr>
          <w:p>
            <w:pPr>
              <w:ind w:left="22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201</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341,256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448,264</w:t>
            </w: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Current portion, note payable-related party</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2,000,000</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2,000,000</w:t>
            </w:r>
          </w:p>
        </w:tc>
      </w:tr>
      <w:tr>
        <w:trPr>
          <w:trHeight w:val="20"/>
        </w:trPr>
        <w:tc>
          <w:tcPr>
            <w:tcW w:w="53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12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2,866,255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2,448,465</w:t>
            </w:r>
          </w:p>
        </w:tc>
      </w:tr>
      <w:tr>
        <w:trPr>
          <w:trHeight w:val="200"/>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Note Payable-related party</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1,200,000</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1,200,000</w:t>
            </w:r>
          </w:p>
        </w:tc>
      </w:tr>
      <w:tr>
        <w:trPr>
          <w:trHeight w:val="20"/>
        </w:trPr>
        <w:tc>
          <w:tcPr>
            <w:tcW w:w="53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Total liabilities</w:t>
            </w:r>
          </w:p>
        </w:tc>
        <w:tc>
          <w:tcPr>
            <w:tcW w:w="12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4,066,255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3,648,465</w:t>
            </w:r>
          </w:p>
        </w:tc>
      </w:tr>
      <w:tr>
        <w:trPr>
          <w:trHeight w:val="200"/>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Commitments and Contingencies (See note 8)</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188"/>
        </w:trPr>
        <w:tc>
          <w:tcPr>
            <w:tcW w:w="5360" w:type="dxa"/>
            <w:vAlign w:val="bottom"/>
          </w:tcPr>
          <w:p>
            <w:pPr>
              <w:spacing w:after="0" w:line="188" w:lineRule="exact"/>
              <w:rPr>
                <w:sz w:val="20"/>
                <w:szCs w:val="20"/>
                <w:color w:val="auto"/>
              </w:rPr>
            </w:pPr>
            <w:r>
              <w:rPr>
                <w:rFonts w:ascii="Arial" w:cs="Arial" w:eastAsia="Arial" w:hAnsi="Arial"/>
                <w:sz w:val="17"/>
                <w:szCs w:val="17"/>
                <w:color w:val="auto"/>
                <w:w w:val="97"/>
              </w:rPr>
              <w:t>Preferred stock, Series A Convertible, $.0001 par value; liquidation value</w:t>
            </w:r>
          </w:p>
        </w:tc>
        <w:tc>
          <w:tcPr>
            <w:tcW w:w="12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1,761,252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1,800,000</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w w:val="90"/>
              </w:rPr>
              <w:t>$1,250 per share; 6,968 shares authorized; and 6,818 and 6,968 issued and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360" w:type="dxa"/>
            <w:vAlign w:val="bottom"/>
          </w:tcPr>
          <w:p>
            <w:pPr>
              <w:ind w:left="160"/>
              <w:spacing w:after="0"/>
              <w:rPr>
                <w:sz w:val="20"/>
                <w:szCs w:val="20"/>
                <w:color w:val="auto"/>
              </w:rPr>
            </w:pPr>
            <w:r>
              <w:rPr>
                <w:rFonts w:ascii="Arial" w:cs="Arial" w:eastAsia="Arial" w:hAnsi="Arial"/>
                <w:sz w:val="17"/>
                <w:szCs w:val="17"/>
                <w:color w:val="auto"/>
              </w:rPr>
              <w:t>outstanding, respectively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188"/>
        </w:trPr>
        <w:tc>
          <w:tcPr>
            <w:tcW w:w="5360" w:type="dxa"/>
            <w:vAlign w:val="bottom"/>
          </w:tcPr>
          <w:p>
            <w:pPr>
              <w:ind w:left="160"/>
              <w:spacing w:after="0" w:line="188" w:lineRule="exact"/>
              <w:rPr>
                <w:sz w:val="20"/>
                <w:szCs w:val="20"/>
                <w:color w:val="auto"/>
              </w:rPr>
            </w:pPr>
            <w:r>
              <w:rPr>
                <w:rFonts w:ascii="Arial" w:cs="Arial" w:eastAsia="Arial" w:hAnsi="Arial"/>
                <w:sz w:val="17"/>
                <w:szCs w:val="17"/>
                <w:color w:val="auto"/>
              </w:rPr>
              <w:t>Common stock, $.0001 par value; 100,000,000 shares authorized;</w:t>
            </w:r>
          </w:p>
        </w:tc>
        <w:tc>
          <w:tcPr>
            <w:tcW w:w="12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578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563</w:t>
            </w:r>
          </w:p>
        </w:tc>
      </w:tr>
      <w:tr>
        <w:trPr>
          <w:trHeight w:val="213"/>
        </w:trPr>
        <w:tc>
          <w:tcPr>
            <w:tcW w:w="5360" w:type="dxa"/>
            <w:vAlign w:val="bottom"/>
          </w:tcPr>
          <w:p>
            <w:pPr>
              <w:ind w:left="340"/>
              <w:spacing w:after="0"/>
              <w:rPr>
                <w:sz w:val="20"/>
                <w:szCs w:val="20"/>
                <w:color w:val="auto"/>
              </w:rPr>
            </w:pPr>
            <w:r>
              <w:rPr>
                <w:rFonts w:ascii="Arial" w:cs="Arial" w:eastAsia="Arial" w:hAnsi="Arial"/>
                <w:sz w:val="17"/>
                <w:szCs w:val="17"/>
                <w:color w:val="auto"/>
                <w:w w:val="95"/>
              </w:rPr>
              <w:t>5,774,661 and 5,624,661 shares issued and outstanding, respectively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5,741,769</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5,618,780</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Deficit accumulated during the development stage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w w:val="91"/>
              </w:rPr>
              <w:t>(4,625,932)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96"/>
              </w:rPr>
              <w:t>(2,754,182)</w:t>
            </w:r>
          </w:p>
        </w:tc>
      </w:tr>
      <w:tr>
        <w:trPr>
          <w:trHeight w:val="20"/>
        </w:trPr>
        <w:tc>
          <w:tcPr>
            <w:tcW w:w="5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360" w:type="dxa"/>
            <w:vAlign w:val="bottom"/>
            <w:shd w:val="clear" w:color="auto" w:fill="CCFFCC"/>
          </w:tcPr>
          <w:p>
            <w:pPr>
              <w:ind w:left="340"/>
              <w:spacing w:after="0" w:line="193" w:lineRule="exact"/>
              <w:rPr>
                <w:sz w:val="20"/>
                <w:szCs w:val="20"/>
                <w:color w:val="auto"/>
              </w:rPr>
            </w:pPr>
            <w:r>
              <w:rPr>
                <w:rFonts w:ascii="Arial" w:cs="Arial" w:eastAsia="Arial" w:hAnsi="Arial"/>
                <w:sz w:val="17"/>
                <w:szCs w:val="17"/>
                <w:b w:val="1"/>
                <w:bCs w:val="1"/>
                <w:color w:val="auto"/>
              </w:rPr>
              <w:t>Total stockholders’ equity</w:t>
            </w:r>
          </w:p>
        </w:tc>
        <w:tc>
          <w:tcPr>
            <w:tcW w:w="1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1,116,415</w:t>
            </w:r>
          </w:p>
        </w:tc>
        <w:tc>
          <w:tcPr>
            <w:tcW w:w="200" w:type="dxa"/>
            <w:vAlign w:val="bottom"/>
            <w:tcBorders>
              <w:left w:val="single" w:sz="8" w:color="CCFFCC"/>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2,865,161</w:t>
            </w:r>
          </w:p>
        </w:tc>
      </w:tr>
      <w:tr>
        <w:trPr>
          <w:trHeight w:val="20"/>
        </w:trPr>
        <w:tc>
          <w:tcPr>
            <w:tcW w:w="53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500"/>
              <w:spacing w:after="0" w:line="193" w:lineRule="exact"/>
              <w:rPr>
                <w:sz w:val="20"/>
                <w:szCs w:val="20"/>
                <w:color w:val="auto"/>
              </w:rPr>
            </w:pPr>
            <w:r>
              <w:rPr>
                <w:rFonts w:ascii="Arial" w:cs="Arial" w:eastAsia="Arial" w:hAnsi="Arial"/>
                <w:sz w:val="17"/>
                <w:szCs w:val="17"/>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6,943,922</w:t>
            </w:r>
          </w:p>
        </w:tc>
        <w:tc>
          <w:tcPr>
            <w:tcW w:w="200" w:type="dxa"/>
            <w:vAlign w:val="bottom"/>
          </w:tcPr>
          <w:p>
            <w:pPr>
              <w:spacing w:after="0"/>
              <w:rPr>
                <w:sz w:val="16"/>
                <w:szCs w:val="16"/>
                <w:color w:val="auto"/>
              </w:rPr>
            </w:pPr>
          </w:p>
        </w:tc>
        <w:tc>
          <w:tcPr>
            <w:tcW w:w="180" w:type="dxa"/>
            <w:vAlign w:val="bottom"/>
          </w:tcPr>
          <w:p>
            <w:pPr>
              <w:ind w:left="20"/>
              <w:spacing w:after="0" w:line="193" w:lineRule="exact"/>
              <w:rPr>
                <w:sz w:val="20"/>
                <w:szCs w:val="20"/>
                <w:color w:val="auto"/>
              </w:rPr>
            </w:pPr>
            <w:r>
              <w:rPr>
                <w:rFonts w:ascii="Arial" w:cs="Arial" w:eastAsia="Arial" w:hAnsi="Arial"/>
                <w:sz w:val="17"/>
                <w:szCs w:val="17"/>
                <w:b w:val="1"/>
                <w:bCs w:val="1"/>
                <w:color w:val="auto"/>
              </w:rPr>
              <w:t>$</w:t>
            </w:r>
          </w:p>
        </w:tc>
        <w:tc>
          <w:tcPr>
            <w:tcW w:w="94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8,313,626</w:t>
            </w: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-3166110</wp:posOffset>
            </wp:positionV>
            <wp:extent cx="4837430" cy="135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-2649220</wp:posOffset>
            </wp:positionV>
            <wp:extent cx="4837430" cy="16700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-1845310</wp:posOffset>
            </wp:positionV>
            <wp:extent cx="4837430" cy="135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-1583055</wp:posOffset>
            </wp:positionV>
            <wp:extent cx="4837430" cy="135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837430" cy="16700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1" w:name="page272"/>
    <w:bookmarkEnd w:id="2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020"/>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2981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82981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For the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Period from</w:t>
            </w: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Three Months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June 8, 2011</w:t>
            </w: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2"/>
              </w:rPr>
              <w:t>(Inception) to</w:t>
            </w:r>
          </w:p>
        </w:tc>
      </w:tr>
      <w:tr>
        <w:trPr>
          <w:trHeight w:val="158"/>
        </w:trPr>
        <w:tc>
          <w:tcPr>
            <w:tcW w:w="534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March 31, 2012</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March 31, 2012</w:t>
            </w:r>
          </w:p>
        </w:tc>
      </w:tr>
      <w:tr>
        <w:trPr>
          <w:trHeight w:val="193"/>
        </w:trPr>
        <w:tc>
          <w:tcPr>
            <w:tcW w:w="534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Revenue</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320" w:type="dxa"/>
            <w:vAlign w:val="bottom"/>
            <w:tcBorders>
              <w:left w:val="single" w:sz="8" w:color="CCFFCC"/>
            </w:tcBorders>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w:t>
            </w:r>
          </w:p>
        </w:tc>
      </w:tr>
      <w:tr>
        <w:trPr>
          <w:trHeight w:val="193"/>
        </w:trPr>
        <w:tc>
          <w:tcPr>
            <w:tcW w:w="5340" w:type="dxa"/>
            <w:vAlign w:val="bottom"/>
            <w:tcBorders>
              <w:top w:val="single" w:sz="8" w:color="CCFFCC"/>
            </w:tcBorders>
          </w:tcPr>
          <w:p>
            <w:pPr>
              <w:spacing w:after="0" w:line="193" w:lineRule="exact"/>
              <w:rPr>
                <w:sz w:val="20"/>
                <w:szCs w:val="20"/>
                <w:color w:val="auto"/>
              </w:rPr>
            </w:pPr>
            <w:r>
              <w:rPr>
                <w:rFonts w:ascii="Arial" w:cs="Arial" w:eastAsia="Arial" w:hAnsi="Arial"/>
                <w:sz w:val="17"/>
                <w:szCs w:val="17"/>
                <w:color w:val="auto"/>
              </w:rPr>
              <w:t>Operating Expenses</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r>
      <w:tr>
        <w:trPr>
          <w:trHeight w:val="200"/>
        </w:trPr>
        <w:tc>
          <w:tcPr>
            <w:tcW w:w="5340" w:type="dxa"/>
            <w:vAlign w:val="bottom"/>
            <w:shd w:val="clear" w:color="auto" w:fill="CCFFCC"/>
          </w:tcPr>
          <w:p>
            <w:pPr>
              <w:ind w:left="160"/>
              <w:spacing w:after="0"/>
              <w:rPr>
                <w:sz w:val="20"/>
                <w:szCs w:val="20"/>
                <w:color w:val="auto"/>
              </w:rPr>
            </w:pPr>
            <w:r>
              <w:rPr>
                <w:rFonts w:ascii="Arial" w:cs="Arial" w:eastAsia="Arial" w:hAnsi="Arial"/>
                <w:sz w:val="17"/>
                <w:szCs w:val="17"/>
                <w:color w:val="auto"/>
              </w:rPr>
              <w:t>Legal</w:t>
            </w: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1,171,920</w:t>
            </w:r>
          </w:p>
        </w:tc>
        <w:tc>
          <w:tcPr>
            <w:tcW w:w="2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2,274,020</w:t>
            </w:r>
          </w:p>
        </w:tc>
      </w:tr>
      <w:tr>
        <w:trPr>
          <w:trHeight w:val="200"/>
        </w:trPr>
        <w:tc>
          <w:tcPr>
            <w:tcW w:w="5340" w:type="dxa"/>
            <w:vAlign w:val="bottom"/>
          </w:tcPr>
          <w:p>
            <w:pPr>
              <w:ind w:left="160"/>
              <w:spacing w:after="0"/>
              <w:rPr>
                <w:sz w:val="20"/>
                <w:szCs w:val="20"/>
                <w:color w:val="auto"/>
              </w:rPr>
            </w:pPr>
            <w:r>
              <w:rPr>
                <w:rFonts w:ascii="Arial" w:cs="Arial" w:eastAsia="Arial" w:hAnsi="Arial"/>
                <w:sz w:val="17"/>
                <w:szCs w:val="17"/>
                <w:color w:val="auto"/>
              </w:rPr>
              <w:t>Compensation</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378,408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1,375,321</w:t>
            </w:r>
          </w:p>
        </w:tc>
      </w:tr>
      <w:tr>
        <w:trPr>
          <w:trHeight w:val="200"/>
        </w:trPr>
        <w:tc>
          <w:tcPr>
            <w:tcW w:w="5340" w:type="dxa"/>
            <w:vAlign w:val="bottom"/>
            <w:shd w:val="clear" w:color="auto" w:fill="CCFFCC"/>
          </w:tcPr>
          <w:p>
            <w:pPr>
              <w:ind w:left="160"/>
              <w:spacing w:after="0"/>
              <w:rPr>
                <w:sz w:val="20"/>
                <w:szCs w:val="20"/>
                <w:color w:val="auto"/>
              </w:rPr>
            </w:pPr>
            <w:r>
              <w:rPr>
                <w:rFonts w:ascii="Arial" w:cs="Arial" w:eastAsia="Arial" w:hAnsi="Arial"/>
                <w:sz w:val="17"/>
                <w:szCs w:val="17"/>
                <w:color w:val="auto"/>
              </w:rPr>
              <w:t>Amortization and depreciation</w:t>
            </w: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156,137</w:t>
            </w:r>
          </w:p>
        </w:tc>
        <w:tc>
          <w:tcPr>
            <w:tcW w:w="2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484,415</w:t>
            </w:r>
          </w:p>
        </w:tc>
      </w:tr>
      <w:tr>
        <w:trPr>
          <w:trHeight w:val="200"/>
        </w:trPr>
        <w:tc>
          <w:tcPr>
            <w:tcW w:w="53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161,605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374,797</w:t>
            </w:r>
          </w:p>
        </w:tc>
      </w:tr>
      <w:tr>
        <w:trPr>
          <w:trHeight w:val="200"/>
        </w:trPr>
        <w:tc>
          <w:tcPr>
            <w:tcW w:w="5340" w:type="dxa"/>
            <w:vAlign w:val="bottom"/>
            <w:shd w:val="clear" w:color="auto" w:fill="CCFFCC"/>
          </w:tcPr>
          <w:p>
            <w:pPr>
              <w:ind w:left="160"/>
              <w:spacing w:after="0"/>
              <w:rPr>
                <w:sz w:val="20"/>
                <w:szCs w:val="20"/>
                <w:color w:val="auto"/>
              </w:rPr>
            </w:pPr>
            <w:r>
              <w:rPr>
                <w:rFonts w:ascii="Arial" w:cs="Arial" w:eastAsia="Arial" w:hAnsi="Arial"/>
                <w:sz w:val="17"/>
                <w:szCs w:val="17"/>
                <w:color w:val="auto"/>
              </w:rPr>
              <w:t>Startup and capital acquisition costs</w:t>
            </w: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105,971</w:t>
            </w:r>
          </w:p>
        </w:tc>
      </w:tr>
      <w:tr>
        <w:trPr>
          <w:trHeight w:val="20"/>
        </w:trPr>
        <w:tc>
          <w:tcPr>
            <w:tcW w:w="53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40" w:type="dxa"/>
            <w:vAlign w:val="bottom"/>
          </w:tcPr>
          <w:p>
            <w:pPr>
              <w:ind w:left="340"/>
              <w:spacing w:after="0" w:line="193" w:lineRule="exact"/>
              <w:rPr>
                <w:sz w:val="20"/>
                <w:szCs w:val="20"/>
                <w:color w:val="auto"/>
              </w:rPr>
            </w:pPr>
            <w:r>
              <w:rPr>
                <w:rFonts w:ascii="Arial" w:cs="Arial" w:eastAsia="Arial" w:hAnsi="Arial"/>
                <w:sz w:val="17"/>
                <w:szCs w:val="17"/>
                <w:color w:val="auto"/>
              </w:rPr>
              <w:t>Total operating expenses</w:t>
            </w:r>
          </w:p>
        </w:tc>
        <w:tc>
          <w:tcPr>
            <w:tcW w:w="8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1,868,070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4,614,524</w:t>
            </w:r>
          </w:p>
        </w:tc>
      </w:tr>
      <w:tr>
        <w:trPr>
          <w:trHeight w:val="20"/>
        </w:trPr>
        <w:tc>
          <w:tcPr>
            <w:tcW w:w="5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340" w:type="dxa"/>
            <w:vAlign w:val="bottom"/>
            <w:shd w:val="clear" w:color="auto" w:fill="CCFFCC"/>
          </w:tcPr>
          <w:p>
            <w:pPr>
              <w:ind w:left="500"/>
              <w:spacing w:after="0" w:line="193" w:lineRule="exact"/>
              <w:rPr>
                <w:sz w:val="20"/>
                <w:szCs w:val="20"/>
                <w:color w:val="auto"/>
              </w:rPr>
            </w:pPr>
            <w:r>
              <w:rPr>
                <w:rFonts w:ascii="Arial" w:cs="Arial" w:eastAsia="Arial" w:hAnsi="Arial"/>
                <w:sz w:val="17"/>
                <w:szCs w:val="17"/>
                <w:b w:val="1"/>
                <w:bCs w:val="1"/>
                <w:color w:val="auto"/>
              </w:rPr>
              <w:t>Loss from operations</w:t>
            </w:r>
          </w:p>
        </w:tc>
        <w:tc>
          <w:tcPr>
            <w:tcW w:w="80" w:type="dxa"/>
            <w:vAlign w:val="bottom"/>
            <w:shd w:val="clear" w:color="auto" w:fill="CCFFCC"/>
          </w:tcPr>
          <w:p>
            <w:pPr>
              <w:spacing w:after="0"/>
              <w:rPr>
                <w:sz w:val="16"/>
                <w:szCs w:val="16"/>
                <w:color w:val="auto"/>
              </w:rPr>
            </w:pPr>
          </w:p>
        </w:tc>
        <w:tc>
          <w:tcPr>
            <w:tcW w:w="8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96"/>
              </w:rPr>
              <w:t>(1,868,070)</w:t>
            </w:r>
          </w:p>
        </w:tc>
        <w:tc>
          <w:tcPr>
            <w:tcW w:w="220" w:type="dxa"/>
            <w:vAlign w:val="bottom"/>
            <w:tcBorders>
              <w:lef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(4,614,524)</w:t>
            </w:r>
          </w:p>
        </w:tc>
      </w:tr>
      <w:tr>
        <w:trPr>
          <w:trHeight w:val="200"/>
        </w:trPr>
        <w:tc>
          <w:tcPr>
            <w:tcW w:w="5340" w:type="dxa"/>
            <w:vAlign w:val="bottom"/>
          </w:tcPr>
          <w:p>
            <w:pPr>
              <w:spacing w:after="0"/>
              <w:rPr>
                <w:sz w:val="20"/>
                <w:szCs w:val="20"/>
                <w:color w:val="auto"/>
              </w:rPr>
            </w:pPr>
            <w:r>
              <w:rPr>
                <w:rFonts w:ascii="Arial" w:cs="Arial" w:eastAsia="Arial" w:hAnsi="Arial"/>
                <w:sz w:val="17"/>
                <w:szCs w:val="17"/>
                <w:color w:val="auto"/>
              </w:rPr>
              <w:t>Other Expense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5340" w:type="dxa"/>
            <w:vAlign w:val="bottom"/>
            <w:shd w:val="clear" w:color="auto" w:fill="CCFFCC"/>
          </w:tcPr>
          <w:p>
            <w:pPr>
              <w:ind w:left="160"/>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3,680</w:t>
            </w:r>
          </w:p>
        </w:tc>
        <w:tc>
          <w:tcPr>
            <w:tcW w:w="2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11,408</w:t>
            </w:r>
          </w:p>
        </w:tc>
      </w:tr>
      <w:tr>
        <w:trPr>
          <w:trHeight w:val="20"/>
        </w:trPr>
        <w:tc>
          <w:tcPr>
            <w:tcW w:w="53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40" w:type="dxa"/>
            <w:vAlign w:val="bottom"/>
          </w:tcPr>
          <w:p>
            <w:pPr>
              <w:ind w:left="500"/>
              <w:spacing w:after="0" w:line="193" w:lineRule="exact"/>
              <w:rPr>
                <w:sz w:val="20"/>
                <w:szCs w:val="20"/>
                <w:color w:val="auto"/>
              </w:rPr>
            </w:pPr>
            <w:r>
              <w:rPr>
                <w:rFonts w:ascii="Arial" w:cs="Arial" w:eastAsia="Arial" w:hAnsi="Arial"/>
                <w:sz w:val="17"/>
                <w:szCs w:val="17"/>
                <w:b w:val="1"/>
                <w:bCs w:val="1"/>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w w:val="96"/>
              </w:rPr>
              <w:t>(1,871,750)</w:t>
            </w:r>
          </w:p>
        </w:tc>
        <w:tc>
          <w:tcPr>
            <w:tcW w:w="320" w:type="dxa"/>
            <w:vAlign w:val="bottom"/>
            <w:gridSpan w:val="2"/>
          </w:tcPr>
          <w:p>
            <w:pPr>
              <w:jc w:val="right"/>
              <w:ind w:right="20"/>
              <w:spacing w:after="0" w:line="193" w:lineRule="exact"/>
              <w:rPr>
                <w:sz w:val="20"/>
                <w:szCs w:val="20"/>
                <w:color w:val="auto"/>
              </w:rPr>
            </w:pPr>
            <w:r>
              <w:rPr>
                <w:rFonts w:ascii="Arial" w:cs="Arial" w:eastAsia="Arial" w:hAnsi="Arial"/>
                <w:sz w:val="17"/>
                <w:szCs w:val="17"/>
                <w:b w:val="1"/>
                <w:bCs w:val="1"/>
                <w:color w:val="auto"/>
              </w:rPr>
              <w:t>$</w:t>
            </w:r>
          </w:p>
        </w:tc>
        <w:tc>
          <w:tcPr>
            <w:tcW w:w="10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(4,625,932)</w:t>
            </w:r>
          </w:p>
        </w:tc>
      </w:tr>
      <w:tr>
        <w:trPr>
          <w:trHeight w:val="20"/>
        </w:trPr>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5340" w:type="dxa"/>
            <w:vAlign w:val="bottom"/>
            <w:shd w:val="clear" w:color="auto" w:fill="CCFFCC"/>
          </w:tcPr>
          <w:p>
            <w:pPr>
              <w:spacing w:after="0" w:line="191" w:lineRule="exact"/>
              <w:rPr>
                <w:sz w:val="20"/>
                <w:szCs w:val="20"/>
                <w:color w:val="auto"/>
              </w:rPr>
            </w:pPr>
            <w:r>
              <w:rPr>
                <w:rFonts w:ascii="Arial" w:cs="Arial" w:eastAsia="Arial" w:hAnsi="Arial"/>
                <w:sz w:val="17"/>
                <w:szCs w:val="17"/>
                <w:color w:val="auto"/>
              </w:rPr>
              <w:t>Basic and diluted:</w:t>
            </w:r>
          </w:p>
        </w:tc>
        <w:tc>
          <w:tcPr>
            <w:tcW w:w="8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220" w:type="dxa"/>
            <w:vAlign w:val="bottom"/>
            <w:tcBorders>
              <w:lef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5340" w:type="dxa"/>
            <w:vAlign w:val="bottom"/>
          </w:tcPr>
          <w:p>
            <w:pPr>
              <w:ind w:left="160"/>
              <w:spacing w:after="0"/>
              <w:rPr>
                <w:sz w:val="20"/>
                <w:szCs w:val="20"/>
                <w:color w:val="auto"/>
              </w:rPr>
            </w:pPr>
            <w:r>
              <w:rPr>
                <w:rFonts w:ascii="Arial" w:cs="Arial" w:eastAsia="Arial" w:hAnsi="Arial"/>
                <w:sz w:val="17"/>
                <w:szCs w:val="17"/>
                <w:color w:val="auto"/>
              </w:rPr>
              <w:t>Weighted Average Common Shares Outstanding</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4,635,117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3,245,551</w:t>
            </w:r>
          </w:p>
        </w:tc>
      </w:tr>
      <w:tr>
        <w:trPr>
          <w:trHeight w:val="200"/>
        </w:trPr>
        <w:tc>
          <w:tcPr>
            <w:tcW w:w="5340" w:type="dxa"/>
            <w:vAlign w:val="bottom"/>
            <w:shd w:val="clear" w:color="auto" w:fill="CCFFCC"/>
          </w:tcPr>
          <w:p>
            <w:pPr>
              <w:ind w:left="160"/>
              <w:spacing w:after="0"/>
              <w:rPr>
                <w:sz w:val="20"/>
                <w:szCs w:val="20"/>
                <w:color w:val="auto"/>
              </w:rPr>
            </w:pPr>
            <w:r>
              <w:rPr>
                <w:rFonts w:ascii="Arial" w:cs="Arial" w:eastAsia="Arial" w:hAnsi="Arial"/>
                <w:sz w:val="17"/>
                <w:szCs w:val="17"/>
                <w:color w:val="auto"/>
              </w:rPr>
              <w:t>Loss per share</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(0.43)</w:t>
            </w:r>
          </w:p>
        </w:tc>
        <w:tc>
          <w:tcPr>
            <w:tcW w:w="32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-1845310</wp:posOffset>
            </wp:positionV>
            <wp:extent cx="4837430" cy="135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-1073785</wp:posOffset>
            </wp:positionV>
            <wp:extent cx="4837430" cy="1435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-548640</wp:posOffset>
            </wp:positionV>
            <wp:extent cx="4837430" cy="16700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2" w:name="page273"/>
    <w:bookmarkEnd w:id="2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194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9"/>
              </w:rPr>
              <w:t>Common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38"/>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5"/>
              </w:rPr>
              <w:t>During the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0"/>
              </w:rPr>
              <w:t>Development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8"/>
        </w:trPr>
        <w:tc>
          <w:tcPr>
            <w:tcW w:w="3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Stage</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93"/>
        </w:trPr>
        <w:tc>
          <w:tcPr>
            <w:tcW w:w="338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June 8, 2011 (Inception)</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w:t>
            </w:r>
          </w:p>
        </w:tc>
        <w:tc>
          <w:tcPr>
            <w:tcW w:w="26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w:t>
            </w:r>
          </w:p>
        </w:tc>
        <w:tc>
          <w:tcPr>
            <w:tcW w:w="24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w:t>
            </w:r>
          </w:p>
        </w:tc>
      </w:tr>
      <w:tr>
        <w:trPr>
          <w:trHeight w:val="200"/>
        </w:trPr>
        <w:tc>
          <w:tcPr>
            <w:tcW w:w="3380" w:type="dxa"/>
            <w:vAlign w:val="bottom"/>
          </w:tcPr>
          <w:p>
            <w:pPr>
              <w:ind w:left="160"/>
              <w:spacing w:after="0"/>
              <w:rPr>
                <w:sz w:val="20"/>
                <w:szCs w:val="20"/>
                <w:color w:val="auto"/>
              </w:rPr>
            </w:pPr>
            <w:r>
              <w:rPr>
                <w:rFonts w:ascii="Arial" w:cs="Arial" w:eastAsia="Arial" w:hAnsi="Arial"/>
                <w:sz w:val="17"/>
                <w:szCs w:val="17"/>
                <w:color w:val="auto"/>
              </w:rPr>
              <w:t>Issuance of common stock</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5"/>
              </w:rPr>
              <w:t>5,144,662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5,145,225</w:t>
            </w:r>
          </w:p>
        </w:tc>
      </w:tr>
      <w:tr>
        <w:trPr>
          <w:trHeight w:val="200"/>
        </w:trPr>
        <w:tc>
          <w:tcPr>
            <w:tcW w:w="3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474,118</w:t>
            </w: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474,118</w:t>
            </w:r>
          </w:p>
        </w:tc>
      </w:tr>
      <w:tr>
        <w:trPr>
          <w:trHeight w:val="200"/>
        </w:trPr>
        <w:tc>
          <w:tcPr>
            <w:tcW w:w="338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(2,754,182)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(2,754,182)</w:t>
            </w:r>
          </w:p>
        </w:tc>
      </w:tr>
      <w:tr>
        <w:trPr>
          <w:trHeight w:val="20"/>
        </w:trPr>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3"/>
        </w:trPr>
        <w:tc>
          <w:tcPr>
            <w:tcW w:w="338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December 31, 2011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563</w:t>
            </w:r>
          </w:p>
        </w:tc>
        <w:tc>
          <w:tcPr>
            <w:tcW w:w="26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b w:val="1"/>
                <w:bCs w:val="1"/>
                <w:color w:val="auto"/>
              </w:rPr>
              <w:t>$</w:t>
            </w:r>
          </w:p>
        </w:tc>
        <w:tc>
          <w:tcPr>
            <w:tcW w:w="8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w w:val="95"/>
              </w:rPr>
              <w:t>5,618,780</w:t>
            </w:r>
          </w:p>
        </w:tc>
        <w:tc>
          <w:tcPr>
            <w:tcW w:w="24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w w:val="87"/>
              </w:rPr>
              <w:t>(2,754,182)</w:t>
            </w:r>
          </w:p>
        </w:tc>
        <w:tc>
          <w:tcPr>
            <w:tcW w:w="28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b w:val="1"/>
                <w:bCs w:val="1"/>
                <w:color w:val="auto"/>
                <w:w w:val="97"/>
              </w:rPr>
              <w:t>2,865,161</w:t>
            </w:r>
          </w:p>
        </w:tc>
      </w:tr>
      <w:tr>
        <w:trPr>
          <w:trHeight w:val="188"/>
        </w:trPr>
        <w:tc>
          <w:tcPr>
            <w:tcW w:w="3380" w:type="dxa"/>
            <w:vAlign w:val="bottom"/>
          </w:tcPr>
          <w:p>
            <w:pPr>
              <w:ind w:left="160"/>
              <w:spacing w:after="0" w:line="188" w:lineRule="exact"/>
              <w:rPr>
                <w:sz w:val="20"/>
                <w:szCs w:val="20"/>
                <w:color w:val="auto"/>
              </w:rPr>
            </w:pPr>
            <w:r>
              <w:rPr>
                <w:rFonts w:ascii="Arial" w:cs="Arial" w:eastAsia="Arial" w:hAnsi="Arial"/>
                <w:sz w:val="17"/>
                <w:szCs w:val="17"/>
                <w:color w:val="auto"/>
              </w:rPr>
              <w:t>Conversion of Series A preferred stock to</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15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60"/>
              <w:spacing w:after="0" w:line="188" w:lineRule="exact"/>
              <w:rPr>
                <w:sz w:val="20"/>
                <w:szCs w:val="20"/>
                <w:color w:val="auto"/>
              </w:rPr>
            </w:pPr>
            <w:r>
              <w:rPr>
                <w:rFonts w:ascii="Arial" w:cs="Arial" w:eastAsia="Arial" w:hAnsi="Arial"/>
                <w:sz w:val="17"/>
                <w:szCs w:val="17"/>
                <w:color w:val="auto"/>
              </w:rPr>
              <w:t>38,734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38,749</w:t>
            </w:r>
          </w:p>
        </w:tc>
      </w:tr>
      <w:tr>
        <w:trPr>
          <w:trHeight w:val="213"/>
        </w:trPr>
        <w:tc>
          <w:tcPr>
            <w:tcW w:w="3380" w:type="dxa"/>
            <w:vAlign w:val="bottom"/>
          </w:tcPr>
          <w:p>
            <w:pPr>
              <w:ind w:left="340"/>
              <w:spacing w:after="0"/>
              <w:rPr>
                <w:sz w:val="20"/>
                <w:szCs w:val="20"/>
                <w:color w:val="auto"/>
              </w:rPr>
            </w:pPr>
            <w:r>
              <w:rPr>
                <w:rFonts w:ascii="Arial" w:cs="Arial" w:eastAsia="Arial" w:hAnsi="Arial"/>
                <w:sz w:val="17"/>
                <w:szCs w:val="17"/>
                <w:color w:val="auto"/>
              </w:rPr>
              <w:t>common stock</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1"/>
        </w:trPr>
        <w:tc>
          <w:tcPr>
            <w:tcW w:w="3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84,255</w:t>
            </w: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84,255</w:t>
            </w:r>
          </w:p>
        </w:tc>
      </w:tr>
      <w:tr>
        <w:trPr>
          <w:trHeight w:val="200"/>
        </w:trPr>
        <w:tc>
          <w:tcPr>
            <w:tcW w:w="338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(1,871,750)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(1,871,750)</w:t>
            </w:r>
          </w:p>
        </w:tc>
      </w:tr>
      <w:tr>
        <w:trPr>
          <w:trHeight w:val="20"/>
        </w:trPr>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338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March 31, 2012 (Unaudited)</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578</w:t>
            </w:r>
          </w:p>
        </w:tc>
        <w:tc>
          <w:tcPr>
            <w:tcW w:w="26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b w:val="1"/>
                <w:bCs w:val="1"/>
                <w:color w:val="auto"/>
              </w:rPr>
              <w:t>$</w:t>
            </w:r>
          </w:p>
        </w:tc>
        <w:tc>
          <w:tcPr>
            <w:tcW w:w="8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w w:val="95"/>
              </w:rPr>
              <w:t>5,741,769</w:t>
            </w:r>
          </w:p>
        </w:tc>
        <w:tc>
          <w:tcPr>
            <w:tcW w:w="24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b w:val="1"/>
                <w:bCs w:val="1"/>
                <w:u w:val="single" w:color="auto"/>
                <w:color w:val="auto"/>
              </w:rPr>
              <w:t>$</w:t>
            </w:r>
          </w:p>
        </w:tc>
        <w:tc>
          <w:tcPr>
            <w:tcW w:w="88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w w:val="87"/>
              </w:rPr>
              <w:t>(4,625,932)</w:t>
            </w:r>
          </w:p>
        </w:tc>
        <w:tc>
          <w:tcPr>
            <w:tcW w:w="28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b w:val="1"/>
                <w:bCs w:val="1"/>
                <w:color w:val="auto"/>
                <w:w w:val="97"/>
              </w:rPr>
              <w:t>1,116,415</w:t>
            </w:r>
          </w:p>
        </w:tc>
      </w:tr>
      <w:tr>
        <w:trPr>
          <w:trHeight w:val="20"/>
        </w:trPr>
        <w:tc>
          <w:tcPr>
            <w:tcW w:w="33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3" w:name="page274"/>
    <w:bookmarkEnd w:id="2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020"/>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For the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Period from</w:t>
            </w:r>
          </w:p>
        </w:tc>
      </w:tr>
      <w:tr>
        <w:trPr>
          <w:trHeight w:val="138"/>
        </w:trPr>
        <w:tc>
          <w:tcPr>
            <w:tcW w:w="5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Three Months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0"/>
              </w:rPr>
              <w:t>June 8, 2011</w:t>
            </w:r>
          </w:p>
        </w:tc>
      </w:tr>
      <w:tr>
        <w:trPr>
          <w:trHeight w:val="138"/>
        </w:trPr>
        <w:tc>
          <w:tcPr>
            <w:tcW w:w="5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Ended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4"/>
              </w:rPr>
              <w:t>(Inception) to</w:t>
            </w:r>
          </w:p>
        </w:tc>
      </w:tr>
      <w:tr>
        <w:trPr>
          <w:trHeight w:val="158"/>
        </w:trPr>
        <w:tc>
          <w:tcPr>
            <w:tcW w:w="536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March 31, 2012</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5"/>
              </w:rPr>
              <w:t>March 31, 2011</w:t>
            </w:r>
          </w:p>
        </w:tc>
      </w:tr>
      <w:tr>
        <w:trPr>
          <w:trHeight w:val="193"/>
        </w:trPr>
        <w:tc>
          <w:tcPr>
            <w:tcW w:w="53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2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w w:val="94"/>
              </w:rPr>
              <w:t>(1,871,750)</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(4,625,932)</w:t>
            </w:r>
          </w:p>
        </w:tc>
      </w:tr>
      <w:tr>
        <w:trPr>
          <w:trHeight w:val="188"/>
        </w:trPr>
        <w:tc>
          <w:tcPr>
            <w:tcW w:w="5360" w:type="dxa"/>
            <w:vAlign w:val="bottom"/>
            <w:shd w:val="clear" w:color="auto" w:fill="CCFFCC"/>
          </w:tcPr>
          <w:p>
            <w:pPr>
              <w:ind w:left="160"/>
              <w:spacing w:after="0" w:line="188" w:lineRule="exact"/>
              <w:rPr>
                <w:sz w:val="20"/>
                <w:szCs w:val="20"/>
                <w:color w:val="auto"/>
              </w:rPr>
            </w:pPr>
            <w:r>
              <w:rPr>
                <w:rFonts w:ascii="Arial" w:cs="Arial" w:eastAsia="Arial" w:hAnsi="Arial"/>
                <w:sz w:val="17"/>
                <w:szCs w:val="17"/>
                <w:color w:val="auto"/>
                <w:w w:val="93"/>
              </w:rPr>
              <w:t>Adjustments to reconcile net loss to net cash used in operating activities –</w:t>
            </w: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2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13"/>
        </w:trPr>
        <w:tc>
          <w:tcPr>
            <w:tcW w:w="5360" w:type="dxa"/>
            <w:vAlign w:val="bottom"/>
            <w:shd w:val="clear" w:color="auto" w:fill="CCFFCC"/>
          </w:tcPr>
          <w:p>
            <w:pPr>
              <w:ind w:left="380"/>
              <w:spacing w:after="0"/>
              <w:rPr>
                <w:sz w:val="20"/>
                <w:szCs w:val="20"/>
                <w:color w:val="auto"/>
              </w:rPr>
            </w:pPr>
            <w:r>
              <w:rPr>
                <w:rFonts w:ascii="Arial" w:cs="Arial" w:eastAsia="Arial" w:hAnsi="Arial"/>
                <w:sz w:val="17"/>
                <w:szCs w:val="17"/>
                <w:color w:val="auto"/>
              </w:rPr>
              <w:t>noncash expenses:</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0"/>
        </w:trPr>
        <w:tc>
          <w:tcPr>
            <w:tcW w:w="5360" w:type="dxa"/>
            <w:vAlign w:val="bottom"/>
          </w:tcPr>
          <w:p>
            <w:pPr>
              <w:ind w:left="340"/>
              <w:spacing w:after="0"/>
              <w:rPr>
                <w:sz w:val="20"/>
                <w:szCs w:val="20"/>
                <w:color w:val="auto"/>
              </w:rPr>
            </w:pPr>
            <w:r>
              <w:rPr>
                <w:rFonts w:ascii="Arial" w:cs="Arial" w:eastAsia="Arial" w:hAnsi="Arial"/>
                <w:sz w:val="17"/>
                <w:szCs w:val="17"/>
                <w:color w:val="auto"/>
              </w:rPr>
              <w:t>Amortization and depreciation</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156,137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484,415</w:t>
            </w:r>
          </w:p>
        </w:tc>
      </w:tr>
      <w:tr>
        <w:trPr>
          <w:trHeight w:val="200"/>
        </w:trPr>
        <w:tc>
          <w:tcPr>
            <w:tcW w:w="53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84,255</w:t>
            </w:r>
          </w:p>
        </w:tc>
        <w:tc>
          <w:tcPr>
            <w:tcW w:w="20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558,373</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Increase in prepaid assets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(9,958)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(35,844)</w:t>
            </w: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Increase in other current assets</w:t>
            </w: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(4,269)</w:t>
            </w:r>
          </w:p>
        </w:tc>
        <w:tc>
          <w:tcPr>
            <w:tcW w:w="20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(4,269)</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Increase in accounts payable and accrued liabilities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417,790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866,255</w:t>
            </w: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360" w:type="dxa"/>
            <w:vAlign w:val="bottom"/>
            <w:shd w:val="clear" w:color="auto" w:fill="CCFFCC"/>
          </w:tcPr>
          <w:p>
            <w:pPr>
              <w:ind w:left="340"/>
              <w:spacing w:after="0" w:line="193" w:lineRule="exact"/>
              <w:rPr>
                <w:sz w:val="20"/>
                <w:szCs w:val="20"/>
                <w:color w:val="auto"/>
              </w:rPr>
            </w:pPr>
            <w:r>
              <w:rPr>
                <w:rFonts w:ascii="Arial" w:cs="Arial" w:eastAsia="Arial" w:hAnsi="Arial"/>
                <w:sz w:val="17"/>
                <w:szCs w:val="17"/>
                <w:b w:val="1"/>
                <w:bCs w:val="1"/>
                <w:color w:val="auto"/>
              </w:rPr>
              <w:t>Net cash used in operating activities</w:t>
            </w: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94"/>
              </w:rPr>
              <w:t>(1,227,795)</w:t>
            </w:r>
          </w:p>
        </w:tc>
        <w:tc>
          <w:tcPr>
            <w:tcW w:w="2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(2,757,002)</w:t>
            </w:r>
          </w:p>
        </w:tc>
      </w:tr>
      <w:tr>
        <w:trPr>
          <w:trHeight w:val="193"/>
        </w:trPr>
        <w:tc>
          <w:tcPr>
            <w:tcW w:w="5360" w:type="dxa"/>
            <w:vAlign w:val="bottom"/>
            <w:tcBorders>
              <w:top w:val="single" w:sz="8" w:color="CCFFCC"/>
            </w:tcBorders>
          </w:tcPr>
          <w:p>
            <w:pPr>
              <w:spacing w:after="0" w:line="193" w:lineRule="exact"/>
              <w:rPr>
                <w:sz w:val="20"/>
                <w:szCs w:val="20"/>
                <w:color w:val="auto"/>
              </w:rPr>
            </w:pPr>
            <w:r>
              <w:rPr>
                <w:rFonts w:ascii="Arial" w:cs="Arial" w:eastAsia="Arial" w:hAnsi="Arial"/>
                <w:sz w:val="17"/>
                <w:szCs w:val="17"/>
                <w:color w:val="auto"/>
              </w:rPr>
              <w:t>Cash Flows From Investing Activities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Purchase of intangible assets</w:t>
            </w: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(3,395,187)</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Purchase of fixed assets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(4,676)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(13,365)</w:t>
            </w: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360" w:type="dxa"/>
            <w:vAlign w:val="bottom"/>
            <w:shd w:val="clear" w:color="auto" w:fill="CCFFCC"/>
          </w:tcPr>
          <w:p>
            <w:pPr>
              <w:ind w:left="340"/>
              <w:spacing w:after="0" w:line="193" w:lineRule="exact"/>
              <w:rPr>
                <w:sz w:val="20"/>
                <w:szCs w:val="20"/>
                <w:color w:val="auto"/>
              </w:rPr>
            </w:pPr>
            <w:r>
              <w:rPr>
                <w:rFonts w:ascii="Arial" w:cs="Arial" w:eastAsia="Arial" w:hAnsi="Arial"/>
                <w:sz w:val="17"/>
                <w:szCs w:val="17"/>
                <w:b w:val="1"/>
                <w:bCs w:val="1"/>
                <w:color w:val="auto"/>
              </w:rPr>
              <w:t>Net cash used in investing activities</w:t>
            </w: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(4,676)</w:t>
            </w:r>
          </w:p>
        </w:tc>
        <w:tc>
          <w:tcPr>
            <w:tcW w:w="2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(3,408,552)</w:t>
            </w:r>
          </w:p>
        </w:tc>
      </w:tr>
      <w:tr>
        <w:trPr>
          <w:trHeight w:val="193"/>
        </w:trPr>
        <w:tc>
          <w:tcPr>
            <w:tcW w:w="5360" w:type="dxa"/>
            <w:vAlign w:val="bottom"/>
            <w:tcBorders>
              <w:top w:val="single" w:sz="8" w:color="CCFFCC"/>
            </w:tcBorders>
          </w:tcPr>
          <w:p>
            <w:pPr>
              <w:spacing w:after="0" w:line="193" w:lineRule="exact"/>
              <w:rPr>
                <w:sz w:val="20"/>
                <w:szCs w:val="20"/>
                <w:color w:val="auto"/>
              </w:rPr>
            </w:pPr>
            <w:r>
              <w:rPr>
                <w:rFonts w:ascii="Arial" w:cs="Arial" w:eastAsia="Arial" w:hAnsi="Arial"/>
                <w:sz w:val="17"/>
                <w:szCs w:val="17"/>
                <w:color w:val="auto"/>
              </w:rPr>
              <w:t>Cash Flows From Financing Activities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Proceeds from note payable</w:t>
            </w: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3,200,000</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Proceeds from issuance of preferred stock</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1,800,000</w:t>
            </w: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Proceeds from issuance of common stock</w:t>
            </w: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5,145,225</w:t>
            </w:r>
          </w:p>
        </w:tc>
      </w:tr>
      <w:tr>
        <w:trPr>
          <w:trHeight w:val="20"/>
        </w:trPr>
        <w:tc>
          <w:tcPr>
            <w:tcW w:w="53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Net cash provided by financing activities</w:t>
            </w:r>
          </w:p>
        </w:tc>
        <w:tc>
          <w:tcPr>
            <w:tcW w:w="10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10,145,225</w:t>
            </w: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360" w:type="dxa"/>
            <w:vAlign w:val="bottom"/>
            <w:shd w:val="clear" w:color="auto" w:fill="CCFFCC"/>
          </w:tcPr>
          <w:p>
            <w:pPr>
              <w:ind w:left="340"/>
              <w:spacing w:after="0" w:line="193" w:lineRule="exact"/>
              <w:rPr>
                <w:sz w:val="20"/>
                <w:szCs w:val="20"/>
                <w:color w:val="auto"/>
              </w:rPr>
            </w:pPr>
            <w:r>
              <w:rPr>
                <w:rFonts w:ascii="Arial" w:cs="Arial" w:eastAsia="Arial" w:hAnsi="Arial"/>
                <w:sz w:val="17"/>
                <w:szCs w:val="17"/>
                <w:b w:val="1"/>
                <w:bCs w:val="1"/>
                <w:color w:val="auto"/>
              </w:rPr>
              <w:t>Increase (decrease) in cash and cash equivalents</w:t>
            </w: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94"/>
              </w:rPr>
              <w:t>(1,232,471)</w:t>
            </w:r>
          </w:p>
        </w:tc>
        <w:tc>
          <w:tcPr>
            <w:tcW w:w="2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3,979,671</w:t>
            </w: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Cash and Cash Equivalents Balance, beginning of period</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5,212,142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3"/>
        </w:trPr>
        <w:tc>
          <w:tcPr>
            <w:tcW w:w="53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Cash and Cash Equivalents Balance, end of period</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3,979,671</w:t>
            </w:r>
          </w:p>
        </w:tc>
        <w:tc>
          <w:tcPr>
            <w:tcW w:w="200" w:type="dxa"/>
            <w:vAlign w:val="bottom"/>
            <w:tcBorders>
              <w:left w:val="single" w:sz="8" w:color="CCFFCC"/>
            </w:tcBorders>
            <w:shd w:val="clear" w:color="auto" w:fill="CCFFCC"/>
          </w:tcPr>
          <w:p>
            <w:pPr>
              <w:spacing w:after="0"/>
              <w:rPr>
                <w:sz w:val="20"/>
                <w:szCs w:val="20"/>
                <w:color w:val="auto"/>
              </w:rPr>
            </w:pPr>
          </w:p>
        </w:tc>
        <w:tc>
          <w:tcPr>
            <w:tcW w:w="1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84"/>
              </w:rPr>
              <w:t>$</w:t>
            </w:r>
          </w:p>
        </w:tc>
        <w:tc>
          <w:tcPr>
            <w:tcW w:w="10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3,979,671</w:t>
            </w:r>
          </w:p>
        </w:tc>
      </w:tr>
      <w:tr>
        <w:trPr>
          <w:trHeight w:val="191"/>
        </w:trPr>
        <w:tc>
          <w:tcPr>
            <w:tcW w:w="5360" w:type="dxa"/>
            <w:vAlign w:val="bottom"/>
            <w:tcBorders>
              <w:top w:val="single" w:sz="8" w:color="CCFFCC"/>
            </w:tcBorders>
          </w:tcPr>
          <w:p>
            <w:pPr>
              <w:spacing w:after="0" w:line="191" w:lineRule="exact"/>
              <w:rPr>
                <w:sz w:val="20"/>
                <w:szCs w:val="20"/>
                <w:color w:val="auto"/>
              </w:rPr>
            </w:pPr>
            <w:r>
              <w:rPr>
                <w:rFonts w:ascii="Arial" w:cs="Arial" w:eastAsia="Arial" w:hAnsi="Arial"/>
                <w:sz w:val="17"/>
                <w:szCs w:val="17"/>
                <w:color w:val="auto"/>
              </w:rPr>
              <w:t>Supplemental Disclosure of Cash Flow Information</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r>
      <w:tr>
        <w:trPr>
          <w:trHeight w:val="24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Cash paid for interest</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3,680</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11,408</w:t>
            </w:r>
          </w:p>
        </w:tc>
      </w:tr>
      <w:tr>
        <w:trPr>
          <w:trHeight w:val="191"/>
        </w:trPr>
        <w:tc>
          <w:tcPr>
            <w:tcW w:w="5360" w:type="dxa"/>
            <w:vAlign w:val="bottom"/>
            <w:tcBorders>
              <w:top w:val="single" w:sz="8" w:color="CCFFCC"/>
            </w:tcBorders>
          </w:tcPr>
          <w:p>
            <w:pPr>
              <w:spacing w:after="0" w:line="191" w:lineRule="exact"/>
              <w:rPr>
                <w:sz w:val="20"/>
                <w:szCs w:val="20"/>
                <w:color w:val="auto"/>
              </w:rPr>
            </w:pPr>
            <w:r>
              <w:rPr>
                <w:rFonts w:ascii="Arial" w:cs="Arial" w:eastAsia="Arial" w:hAnsi="Arial"/>
                <w:sz w:val="17"/>
                <w:szCs w:val="17"/>
                <w:color w:val="auto"/>
              </w:rPr>
              <w:t>Noncash investing and financing activities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r>
      <w:tr>
        <w:trPr>
          <w:trHeight w:val="22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Coversion of Series A preferred stock to common stock</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38,749</w:t>
            </w:r>
          </w:p>
        </w:tc>
        <w:tc>
          <w:tcPr>
            <w:tcW w:w="200" w:type="dxa"/>
            <w:vAlign w:val="bottom"/>
            <w:tcBorders>
              <w:left w:val="single" w:sz="8" w:color="CCFFCC"/>
            </w:tcBorders>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38,749</w:t>
            </w:r>
          </w:p>
        </w:tc>
      </w:tr>
      <w:tr>
        <w:trPr>
          <w:trHeight w:val="20"/>
        </w:trPr>
        <w:tc>
          <w:tcPr>
            <w:tcW w:w="53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-2179320</wp:posOffset>
            </wp:positionV>
            <wp:extent cx="4837430" cy="135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-1654175</wp:posOffset>
            </wp:positionV>
            <wp:extent cx="4837430" cy="135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-1137285</wp:posOffset>
            </wp:positionV>
            <wp:extent cx="4837430" cy="1435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-603885</wp:posOffset>
            </wp:positionV>
            <wp:extent cx="4837430" cy="1593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83743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-317500</wp:posOffset>
            </wp:positionV>
            <wp:extent cx="4837430" cy="1593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83743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4" w:name="page275"/>
    <w:bookmarkEnd w:id="2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 Nature of Business and Basis of Presentation</w:t>
      </w:r>
    </w:p>
    <w:p>
      <w:pPr>
        <w:jc w:val="both"/>
        <w:ind w:left="40" w:right="1239" w:firstLine="251"/>
        <w:spacing w:after="0" w:line="266" w:lineRule="auto"/>
        <w:rPr>
          <w:sz w:val="20"/>
          <w:szCs w:val="20"/>
          <w:color w:val="auto"/>
        </w:rPr>
      </w:pPr>
      <w:r>
        <w:rPr>
          <w:rFonts w:ascii="Arial" w:cs="Arial" w:eastAsia="Arial" w:hAnsi="Arial"/>
          <w:sz w:val="16"/>
          <w:szCs w:val="16"/>
          <w:b w:val="1"/>
          <w:bCs w:val="1"/>
          <w:i w:val="1"/>
          <w:iCs w:val="1"/>
          <w:color w:val="auto"/>
        </w:rPr>
        <w:t xml:space="preserve">Nature of business: </w:t>
      </w:r>
      <w:r>
        <w:rPr>
          <w:rFonts w:ascii="Arial" w:cs="Arial" w:eastAsia="Arial" w:hAnsi="Arial"/>
          <w:sz w:val="16"/>
          <w:szCs w:val="16"/>
          <w:color w:val="auto"/>
        </w:rPr>
        <w:t>Innovate/Protect, Inc. (“I/P”) was incorporated under the laws of the state of Delaware on June 8,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(“Inception”), as Labrador Search Corporation. On September 6, 2011, Labrador Search Corporation changed its name to Innovate/Protect, Inc. I/P is a holding company, which, at March 31, 2012,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6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March 12, 2012, the Company, Vringo, Inc. (“Vringo”), and VIP Merger Sub, Inc., a wholly-owned subsidiary of Vringo (“Merger Sub”), entered into a Merger Agreement (as may be amended or modified, the “Merger Agreement”), pursuant to which the Company will merge with and into Merger Sub, with Merger Sub surviving the merger as a wholly-owned subsidiary of Vringo (the “Merger”). The board of directors of the Company unanimously approved the Merger Agreement and the Merger. In addition, the board of directors of Vringo unanimously approved the Merger Agreement and the Merger.</w:t>
      </w:r>
    </w:p>
    <w:p>
      <w:pPr>
        <w:spacing w:after="0" w:line="68"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Pursuant to the terms of the Merger Agreement, upon completion of the Merger, (i) each share of then-outstanding common stock of the Company (other than shares held by Vringo, the Company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the Company, or Company preferred stock (total 6,818 shares outstanding), (other than shares held by Vringo, the Company or any of their respective subsidiaries, which will be cancelled at the completion of the Merger) will be automatically converted into the right to receive the same number of shares of Vringo Series A Convertible Preferred Stock, or Vringo preferred stock, which 6,818 shares, as of April 5, 2012, shall be initially convertible into an aggregate of 20,573,998 shares of Vringo common stock (or at a current conversion rate of 3,017.6). The Common Stock Exchange Ratio initially is 3.0176, which is subject to adjustment in the event of a reverse stock split to provide the holders of shares of the Company’s capital stock with the same economic benefit as contemplated by the Merger Agreement prior to any such reverse stock split. In addition, at the effective time of the Merger, Vringo will issue to the holders of the Company capital stock and the holder of the Company’s issued and outstanding warrant to purchase 250,000 shares of the Company’s common stock (on a pro rata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the Company’s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the Company shall each be ratably adjusted to give effect to any partial exercise of such warrant prior to the effective time of the Merger. Finally, at the effective time of the Merger, all outstanding and unexercised options to purchase the Company’s common stock, whether vested or unvested, will be converted into options to purchase Vringo common stock with the number of shares subject to and the exercise price applicable to such options being appropriately adjusted based on the Common Stock Exchange Ratio.</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5" w:name="page276"/>
    <w:bookmarkEnd w:id="2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1. Nature of Business and Basis of Presentation – (continued)</w:t>
      </w:r>
    </w:p>
    <w:p>
      <w:pPr>
        <w:jc w:val="both"/>
        <w:ind w:left="40" w:right="1239" w:firstLine="251"/>
        <w:spacing w:after="0" w:line="285" w:lineRule="auto"/>
        <w:rPr>
          <w:sz w:val="20"/>
          <w:szCs w:val="20"/>
          <w:color w:val="auto"/>
        </w:rPr>
      </w:pPr>
      <w:r>
        <w:rPr>
          <w:rFonts w:ascii="Arial" w:cs="Arial" w:eastAsia="Arial" w:hAnsi="Arial"/>
          <w:sz w:val="15"/>
          <w:szCs w:val="15"/>
          <w:color w:val="auto"/>
        </w:rPr>
        <w:t>The accompanying consolidated financial statements and related notes should be read in conjunction with our consolidated financial statements and related notes for the year ended December 31, 2011 (“2011”) contained in this registration statement on Form S-4. The consolidated financial statements have been prepared in accordance with the rules and regulations of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 The results of operations for the three month period ended March 31, 2012 are not necessarily indicative of the results that may be expected for the full fiscal year.</w:t>
      </w:r>
    </w:p>
    <w:p>
      <w:pPr>
        <w:spacing w:after="0" w:line="6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The consolidated financial statements include the accounts of I/P and the Subsidiaries. Unless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context otherwise indicates, the terms “I/P” or the “Company” mean Innovate/Protect, Inc. and its consolidated subsidiaries. All intercompany balances and transactions have been eliminated in consolidation.</w:t>
      </w:r>
    </w:p>
    <w:p>
      <w:pPr>
        <w:spacing w:after="0" w:line="7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b w:val="1"/>
          <w:bCs w:val="1"/>
          <w:i w:val="1"/>
          <w:iCs w:val="1"/>
          <w:color w:val="auto"/>
        </w:rPr>
        <w:t xml:space="preserve">Estimates and assumptions: </w:t>
      </w:r>
      <w:r>
        <w:rPr>
          <w:rFonts w:ascii="Arial" w:cs="Arial" w:eastAsia="Arial" w:hAnsi="Arial"/>
          <w:sz w:val="16"/>
          <w:szCs w:val="16"/>
          <w:color w:val="auto"/>
        </w:rPr>
        <w:t>The preparation of financial statements in conformity with accounting principles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b w:val="1"/>
          <w:bCs w:val="1"/>
          <w:i w:val="1"/>
          <w:iCs w:val="1"/>
          <w:color w:val="auto"/>
        </w:rPr>
        <w:t xml:space="preserve">Development stage: </w:t>
      </w:r>
      <w:r>
        <w:rPr>
          <w:rFonts w:ascii="Arial" w:cs="Arial" w:eastAsia="Arial" w:hAnsi="Arial"/>
          <w:sz w:val="17"/>
          <w:szCs w:val="17"/>
          <w:color w:val="auto"/>
        </w:rPr>
        <w:t>The Company is in the development stage and had not generated revenue for the period from inception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2012.</w:t>
      </w:r>
    </w:p>
    <w:p>
      <w:pPr>
        <w:spacing w:after="0" w:line="66"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b w:val="1"/>
          <w:bCs w:val="1"/>
          <w:i w:val="1"/>
          <w:iCs w:val="1"/>
          <w:color w:val="auto"/>
        </w:rPr>
        <w:t xml:space="preserve">Earnings Per Share: </w:t>
      </w:r>
      <w:r>
        <w:rPr>
          <w:rFonts w:ascii="Arial" w:cs="Arial" w:eastAsia="Arial" w:hAnsi="Arial"/>
          <w:sz w:val="15"/>
          <w:szCs w:val="15"/>
          <w:color w:val="auto"/>
        </w:rPr>
        <w:t>Basic loss per share is based on the weighted number of common shares issued and outstanding, and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period ended March 31, 2012, the Company incurred net losses and therefore no common stock equivalents were utilized in the calculation of earnings per share.</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March 31, 2012, the Company excluded the following potentially dilutive securities:</w:t>
      </w:r>
    </w:p>
    <w:p>
      <w:pPr>
        <w:spacing w:after="0" w:line="105" w:lineRule="exact"/>
        <w:rPr>
          <w:sz w:val="20"/>
          <w:szCs w:val="20"/>
          <w:color w:val="auto"/>
        </w:rPr>
      </w:pPr>
    </w:p>
    <w:p>
      <w:pPr>
        <w:ind w:left="560" w:right="1239" w:hanging="300"/>
        <w:spacing w:after="0" w:line="267" w:lineRule="auto"/>
        <w:tabs>
          <w:tab w:leader="none" w:pos="5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Preferred Stock, Series A Convertible, $.0001 par value; liquidation value $1,250 per share; 6,968 shares authorized; 6,818 issued and outstanding.</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Warrants to purchase 250,000 shares of common stock.</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Options to purchase 13,646 shares of common stock.</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1,054,977 shares of common stock granted, but not vested.</w:t>
      </w:r>
    </w:p>
    <w:p>
      <w:pPr>
        <w:spacing w:after="0" w:line="200" w:lineRule="exact"/>
        <w:rPr>
          <w:sz w:val="20"/>
          <w:szCs w:val="20"/>
          <w:color w:val="auto"/>
        </w:rPr>
      </w:pPr>
    </w:p>
    <w:p>
      <w:pPr>
        <w:spacing w:after="0" w:line="33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6" w:name="page277"/>
    <w:bookmarkEnd w:id="27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2. Liquidity and Capital Resources, Going Concern</w:t>
      </w:r>
    </w:p>
    <w:p>
      <w:pPr>
        <w:jc w:val="both"/>
        <w:ind w:left="40" w:right="1239" w:firstLine="251"/>
        <w:spacing w:after="0" w:line="267" w:lineRule="auto"/>
        <w:rPr>
          <w:sz w:val="20"/>
          <w:szCs w:val="20"/>
          <w:color w:val="auto"/>
        </w:rPr>
      </w:pPr>
      <w:r>
        <w:rPr>
          <w:rFonts w:ascii="Arial" w:cs="Arial" w:eastAsia="Arial" w:hAnsi="Arial"/>
          <w:sz w:val="17"/>
          <w:szCs w:val="17"/>
          <w:color w:val="auto"/>
        </w:rPr>
        <w:t>As a development stage company, the Company requires significant amounts of capital to support its operations during the period prior to the commencement of a revenue stream or other liquidity events.</w:t>
      </w:r>
    </w:p>
    <w:p>
      <w:pPr>
        <w:spacing w:after="0" w:line="6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As of March 31, 2012 the Company had cash of $3,979,671 and working capital of $1,153,529. During the period from inception through March 31, 2012,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12 months.</w:t>
      </w:r>
    </w:p>
    <w:p>
      <w:pPr>
        <w:spacing w:after="0" w:line="6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the period from inception through March 31, 2012, the Company used $6,165,554 of net cash to fund operating activities and to invest in tangible personal and intangible intellectual property. During the period, the Company borrowed $3,200,000 through the issuance of a promissory note.</w:t>
      </w:r>
    </w:p>
    <w:p>
      <w:pPr>
        <w:spacing w:after="0" w:line="7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3. Note Payable — Related Party</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Company is obligated under a note payable to Hudson Bay Master Fund, LP (“Hudson Bay”) with an outstanding balance of $3,200,000 at March 31, 2012 (the “Hudson Bay Note”). At March 31, 2012, Hudson Bay owned 95%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Hudson Bay has the option of requiring the Company to redeem up to $2,000,000 aggregate principal of the Hudson Bay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w:t>
      </w:r>
    </w:p>
    <w:p>
      <w:pPr>
        <w:spacing w:after="0" w:line="200" w:lineRule="exact"/>
        <w:rPr>
          <w:sz w:val="20"/>
          <w:szCs w:val="20"/>
          <w:color w:val="auto"/>
        </w:rPr>
      </w:pPr>
    </w:p>
    <w:p>
      <w:pPr>
        <w:spacing w:after="0" w:line="27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7" w:name="page278"/>
    <w:bookmarkEnd w:id="27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3. Note Payable — Related Party – (continued)</w:t>
      </w:r>
    </w:p>
    <w:p>
      <w:pPr>
        <w:jc w:val="both"/>
        <w:ind w:left="40" w:right="1239"/>
        <w:spacing w:after="0" w:line="267" w:lineRule="auto"/>
        <w:rPr>
          <w:sz w:val="20"/>
          <w:szCs w:val="20"/>
          <w:color w:val="auto"/>
        </w:rPr>
      </w:pPr>
      <w:r>
        <w:rPr>
          <w:rFonts w:ascii="Arial" w:cs="Arial" w:eastAsia="Arial" w:hAnsi="Arial"/>
          <w:sz w:val="17"/>
          <w:szCs w:val="17"/>
          <w:color w:val="auto"/>
        </w:rPr>
        <w:t>Note in the event of a change of control or in event of default at a redemption price, pursuant to a formula, of up to 125% of the sum of the portion of the principal amount and any accrued and unpaid interest.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March 31, 2012, there were no known conditions of default.</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Company determined there was an embedded derivative since certain redemption options were determined not to be clearly and closely related to the debt host. The Company also determined that the fair value of the embedded derivative was zero at March 31, 2012 since the probability of change in control or event of default in the near future is remote. Hudson Bay has agreed that the Company’s execution and delivery of the Agreement and Plan of Merger, dated as of March 12, 2012, with Vringo, Inc., and VIP Merger Sub, Inc. does not constitute a Change of Control (as defined in the Note). The gross amount the Company would have to pay if this redemption option is exercised would be $800,000.</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will evaluate the fair value each reporting period and report changes in the fair value as other income (expense),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4. Series A Convertible Preferred Stock</w:t>
      </w:r>
    </w:p>
    <w:p>
      <w:pPr>
        <w:spacing w:after="0" w:line="109"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The Company is authorized to issue up to 10,000,000 shares of preferred stock, par value $0.0001, of which 6,968 shares of preferred stock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(as such terms are defined in the Certificate of Designations) at a redemption price, pursuant to a formula, of up to 125% of the Stated Value (i.e., $1,000 per share, subject to adjustment).</w:t>
      </w:r>
    </w:p>
    <w:p>
      <w:pPr>
        <w:spacing w:after="0" w:line="7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Series A Preferred Stock is classified as mezzanine because certain Triggering Events may occur outside the control of the Company.</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During the period ending March 31, 2012, Hudson Bay sold 494 shares of its Series A Preferred Stock to third party investors.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Subsequently, 150 shares of the Series A Preferred Stock were converted to 150,000 shares of common stock.</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Stock-Based Compensation</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March 31, 2012, 946,354 shares are available for future grant.</w:t>
      </w:r>
    </w:p>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8" w:name="page279"/>
    <w:bookmarkEnd w:id="27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5. Stock-Based Compensation – (continued)</w:t>
      </w:r>
    </w:p>
    <w:p>
      <w:pPr>
        <w:ind w:left="40" w:right="1239" w:firstLine="251"/>
        <w:spacing w:after="0" w:line="267" w:lineRule="auto"/>
        <w:rPr>
          <w:sz w:val="20"/>
          <w:szCs w:val="20"/>
          <w:color w:val="auto"/>
        </w:rPr>
      </w:pPr>
      <w:r>
        <w:rPr>
          <w:rFonts w:ascii="Arial" w:cs="Arial" w:eastAsia="Arial" w:hAnsi="Arial"/>
          <w:sz w:val="17"/>
          <w:szCs w:val="17"/>
          <w:color w:val="auto"/>
        </w:rPr>
        <w:t>The table below illustrates the grants of common stock and the sales of common stock at less than fair value made during the periods ended March 31, 2012.</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574484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7448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74484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74484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Grant,</w:t>
            </w:r>
          </w:p>
        </w:tc>
        <w:tc>
          <w:tcPr>
            <w:tcW w:w="60" w:type="dxa"/>
            <w:vAlign w:val="bottom"/>
          </w:tcPr>
          <w:p>
            <w:pPr>
              <w:spacing w:after="0"/>
              <w:rPr>
                <w:sz w:val="13"/>
                <w:szCs w:val="13"/>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b w:val="1"/>
                <w:bCs w:val="1"/>
                <w:color w:val="auto"/>
              </w:rPr>
              <w:t># Shares</w:t>
            </w:r>
          </w:p>
        </w:tc>
        <w:tc>
          <w:tcPr>
            <w:tcW w:w="4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7"/>
              </w:rPr>
              <w:t>Total Value</w:t>
            </w:r>
          </w:p>
        </w:tc>
        <w:tc>
          <w:tcPr>
            <w:tcW w:w="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1"/>
              </w:rPr>
              <w:t>Total Stock</w:t>
            </w:r>
          </w:p>
        </w:tc>
        <w:tc>
          <w:tcPr>
            <w:tcW w:w="40" w:type="dxa"/>
            <w:vAlign w:val="bottom"/>
          </w:tcPr>
          <w:p>
            <w:pPr>
              <w:spacing w:after="0"/>
              <w:rPr>
                <w:sz w:val="13"/>
                <w:szCs w:val="13"/>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60" w:type="dxa"/>
            <w:vAlign w:val="bottom"/>
          </w:tcPr>
          <w:p>
            <w:pPr>
              <w:spacing w:after="0"/>
              <w:rPr>
                <w:sz w:val="13"/>
                <w:szCs w:val="13"/>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40" w:type="dxa"/>
            <w:vAlign w:val="bottom"/>
          </w:tcPr>
          <w:p>
            <w:pPr>
              <w:spacing w:after="0"/>
              <w:rPr>
                <w:sz w:val="13"/>
                <w:szCs w:val="13"/>
                <w:color w:val="auto"/>
              </w:rPr>
            </w:pP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r>
      <w:tr>
        <w:trPr>
          <w:trHeight w:val="138"/>
        </w:trPr>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Purchase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
              <w:spacing w:after="0" w:line="138" w:lineRule="exact"/>
              <w:rPr>
                <w:sz w:val="20"/>
                <w:szCs w:val="20"/>
                <w:color w:val="auto"/>
              </w:rPr>
            </w:pPr>
            <w:r>
              <w:rPr>
                <w:rFonts w:ascii="Arial" w:cs="Arial" w:eastAsia="Arial" w:hAnsi="Arial"/>
                <w:sz w:val="13"/>
                <w:szCs w:val="13"/>
                <w:b w:val="1"/>
                <w:bCs w:val="1"/>
                <w:color w:val="auto"/>
                <w:w w:val="97"/>
              </w:rPr>
              <w:t>at Grant,</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9"/>
              </w:rPr>
              <w:t>Paid for</w:t>
            </w:r>
          </w:p>
        </w:tc>
        <w:tc>
          <w:tcPr>
            <w:tcW w:w="6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7"/>
              </w:rPr>
              <w:t>Based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7"/>
              </w:rPr>
              <w:t>Recognized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Recognized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1"/>
              </w:rPr>
              <w:t>Not Vested at</w:t>
            </w:r>
          </w:p>
        </w:tc>
      </w:tr>
      <w:tr>
        <w:trPr>
          <w:trHeight w:val="138"/>
        </w:trPr>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Vest Date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Purchase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20"/>
              <w:spacing w:after="0" w:line="138" w:lineRule="exact"/>
              <w:rPr>
                <w:sz w:val="20"/>
                <w:szCs w:val="20"/>
                <w:color w:val="auto"/>
              </w:rPr>
            </w:pPr>
            <w:r>
              <w:rPr>
                <w:rFonts w:ascii="Arial" w:cs="Arial" w:eastAsia="Arial" w:hAnsi="Arial"/>
                <w:sz w:val="13"/>
                <w:szCs w:val="13"/>
                <w:b w:val="1"/>
                <w:bCs w:val="1"/>
                <w:color w:val="auto"/>
                <w:w w:val="92"/>
              </w:rPr>
              <w:t>Shares</w:t>
            </w:r>
          </w:p>
        </w:tc>
        <w:tc>
          <w:tcPr>
            <w:tcW w:w="6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01/01/12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3"/>
              </w:rPr>
              <w:t>Inception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03/31/12</w:t>
            </w:r>
          </w:p>
        </w:tc>
        <w:tc>
          <w:tcPr>
            <w:tcW w:w="80" w:type="dxa"/>
            <w:vAlign w:val="bottom"/>
          </w:tcPr>
          <w:p>
            <w:pPr>
              <w:spacing w:after="0"/>
              <w:rPr>
                <w:sz w:val="11"/>
                <w:szCs w:val="11"/>
                <w:color w:val="auto"/>
              </w:rPr>
            </w:pPr>
          </w:p>
        </w:tc>
      </w:tr>
      <w:tr>
        <w:trPr>
          <w:trHeight w:val="138"/>
        </w:trPr>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Vest Date</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3"/>
              </w:rPr>
              <w:t>through</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3"/>
              </w:rPr>
              <w:t>through</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03/31/12</w:t>
            </w:r>
          </w:p>
        </w:tc>
        <w:tc>
          <w:tcPr>
            <w:tcW w:w="1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03/31/12</w:t>
            </w: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1"/>
        </w:trPr>
        <w:tc>
          <w:tcPr>
            <w:tcW w:w="1080" w:type="dxa"/>
            <w:vAlign w:val="bottom"/>
            <w:gridSpan w:val="2"/>
            <w:shd w:val="clear" w:color="auto" w:fill="CCFFCC"/>
          </w:tcPr>
          <w:p>
            <w:pPr>
              <w:spacing w:after="0" w:line="231" w:lineRule="exact"/>
              <w:rPr>
                <w:sz w:val="20"/>
                <w:szCs w:val="20"/>
                <w:color w:val="auto"/>
              </w:rPr>
            </w:pPr>
            <w:r>
              <w:rPr>
                <w:rFonts w:ascii="Arial" w:cs="Arial" w:eastAsia="Arial" w:hAnsi="Arial"/>
                <w:sz w:val="16"/>
                <w:szCs w:val="16"/>
                <w:color w:val="auto"/>
              </w:rPr>
              <w:t>Consultant</w:t>
            </w:r>
            <w:r>
              <w:rPr>
                <w:rFonts w:ascii="Arial" w:cs="Arial" w:eastAsia="Arial" w:hAnsi="Arial"/>
                <w:sz w:val="26"/>
                <w:szCs w:val="26"/>
                <w:color w:val="auto"/>
                <w:vertAlign w:val="superscript"/>
              </w:rPr>
              <w:t>(1)</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6/22/2011</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125,000</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7"/>
                <w:szCs w:val="17"/>
                <w:color w:val="auto"/>
                <w:w w:val="94"/>
              </w:rPr>
              <w:t>0.25832</w:t>
            </w:r>
          </w:p>
        </w:tc>
        <w:tc>
          <w:tcPr>
            <w:tcW w:w="6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N/A</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12</w:t>
            </w:r>
          </w:p>
        </w:tc>
        <w:tc>
          <w:tcPr>
            <w:tcW w:w="60" w:type="dxa"/>
            <w:vAlign w:val="bottom"/>
            <w:shd w:val="clear" w:color="auto" w:fill="CCFFCC"/>
          </w:tcPr>
          <w:p>
            <w:pPr>
              <w:spacing w:after="0"/>
              <w:rPr>
                <w:sz w:val="20"/>
                <w:szCs w:val="20"/>
                <w:color w:val="auto"/>
              </w:rPr>
            </w:pPr>
          </w:p>
        </w:tc>
        <w:tc>
          <w:tcPr>
            <w:tcW w:w="940" w:type="dxa"/>
            <w:vAlign w:val="bottom"/>
            <w:shd w:val="clear" w:color="auto" w:fill="CCFFCC"/>
          </w:tcPr>
          <w:p>
            <w:pPr>
              <w:jc w:val="right"/>
              <w:ind w:right="9"/>
              <w:spacing w:after="0"/>
              <w:rPr>
                <w:sz w:val="20"/>
                <w:szCs w:val="20"/>
                <w:color w:val="auto"/>
              </w:rPr>
            </w:pPr>
            <w:r>
              <w:rPr>
                <w:rFonts w:ascii="Arial" w:cs="Arial" w:eastAsia="Arial" w:hAnsi="Arial"/>
                <w:sz w:val="17"/>
                <w:szCs w:val="17"/>
                <w:color w:val="auto"/>
              </w:rPr>
              <w:t>N/A</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17,188</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66,257</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153,160</w:t>
            </w:r>
          </w:p>
        </w:tc>
      </w:tr>
      <w:tr>
        <w:trPr>
          <w:trHeight w:val="200"/>
        </w:trPr>
        <w:tc>
          <w:tcPr>
            <w:tcW w:w="1080" w:type="dxa"/>
            <w:vAlign w:val="bottom"/>
            <w:gridSpan w:val="2"/>
          </w:tcPr>
          <w:p>
            <w:pPr>
              <w:spacing w:after="0"/>
              <w:rPr>
                <w:sz w:val="20"/>
                <w:szCs w:val="20"/>
                <w:color w:val="auto"/>
              </w:rPr>
            </w:pPr>
            <w:r>
              <w:rPr>
                <w:rFonts w:ascii="Arial" w:cs="Arial" w:eastAsia="Arial" w:hAnsi="Arial"/>
                <w:sz w:val="17"/>
                <w:szCs w:val="17"/>
                <w:color w:val="auto"/>
              </w:rPr>
              <w:t>Exec. Officer</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6/22/2011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2,115,625</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4"/>
              </w:rPr>
              <w:t>0.25832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546,508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212</w:t>
            </w:r>
          </w:p>
        </w:tc>
        <w:tc>
          <w:tcPr>
            <w:tcW w:w="1000" w:type="dxa"/>
            <w:vAlign w:val="bottom"/>
            <w:gridSpan w:val="2"/>
          </w:tcPr>
          <w:p>
            <w:pPr>
              <w:jc w:val="right"/>
              <w:ind w:right="9"/>
              <w:spacing w:after="0"/>
              <w:rPr>
                <w:sz w:val="20"/>
                <w:szCs w:val="20"/>
                <w:color w:val="auto"/>
              </w:rPr>
            </w:pPr>
            <w:r>
              <w:rPr>
                <w:rFonts w:ascii="Arial" w:cs="Arial" w:eastAsia="Arial" w:hAnsi="Arial"/>
                <w:sz w:val="17"/>
                <w:szCs w:val="17"/>
                <w:color w:val="auto"/>
              </w:rPr>
              <w:t>546,254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20,172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366,501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179,753</w:t>
            </w:r>
          </w:p>
        </w:tc>
      </w:tr>
      <w:tr>
        <w:trPr>
          <w:trHeight w:val="200"/>
        </w:trPr>
        <w:tc>
          <w:tcPr>
            <w:tcW w:w="10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Exec. Officer</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8/10/2011</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625,000</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7"/>
                <w:szCs w:val="17"/>
                <w:color w:val="auto"/>
                <w:w w:val="94"/>
              </w:rPr>
              <w:t>0.25832</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161,450</w:t>
            </w: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FFCC"/>
          </w:tcPr>
          <w:p>
            <w:pPr>
              <w:jc w:val="right"/>
              <w:ind w:right="9"/>
              <w:spacing w:after="0"/>
              <w:rPr>
                <w:sz w:val="20"/>
                <w:szCs w:val="20"/>
                <w:color w:val="auto"/>
              </w:rPr>
            </w:pPr>
            <w:r>
              <w:rPr>
                <w:rFonts w:ascii="Arial" w:cs="Arial" w:eastAsia="Arial" w:hAnsi="Arial"/>
                <w:sz w:val="17"/>
                <w:szCs w:val="17"/>
                <w:color w:val="auto"/>
              </w:rPr>
              <w:t>161,450</w:t>
            </w: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26,896</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68,796</w:t>
            </w: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92,654</w:t>
            </w:r>
          </w:p>
        </w:tc>
      </w:tr>
      <w:tr>
        <w:trPr>
          <w:trHeight w:val="200"/>
        </w:trPr>
        <w:tc>
          <w:tcPr>
            <w:tcW w:w="108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w w:val="98"/>
              </w:rPr>
              <w:t>11/07/2011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40,000</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9"/>
              <w:spacing w:after="0"/>
              <w:rPr>
                <w:sz w:val="20"/>
                <w:szCs w:val="20"/>
                <w:color w:val="auto"/>
              </w:rPr>
            </w:pPr>
            <w:r>
              <w:rPr>
                <w:rFonts w:ascii="Arial" w:cs="Arial" w:eastAsia="Arial" w:hAnsi="Arial"/>
                <w:sz w:val="17"/>
                <w:szCs w:val="17"/>
                <w:color w:val="auto"/>
              </w:rPr>
              <w:t>120,000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19,999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31,781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88,219</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90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1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84,255</w:t>
            </w:r>
          </w:p>
        </w:tc>
        <w:tc>
          <w:tcPr>
            <w:tcW w:w="1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533,335</w:t>
            </w:r>
          </w:p>
        </w:tc>
        <w:tc>
          <w:tcPr>
            <w:tcW w:w="1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513,786</w:t>
            </w:r>
          </w:p>
        </w:tc>
      </w:tr>
      <w:tr>
        <w:trPr>
          <w:trHeight w:val="248"/>
        </w:trPr>
        <w:tc>
          <w:tcPr>
            <w:tcW w:w="900" w:type="dxa"/>
            <w:vAlign w:val="bottom"/>
            <w:tcBorders>
              <w:top w:val="single" w:sz="8" w:color="CCFFCC"/>
              <w:bottom w:val="single" w:sz="8" w:color="auto"/>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84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76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64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74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5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94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Borders>
              <w:top w:val="single" w:sz="8" w:color="CCFFCC"/>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574484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744845" cy="8255"/>
                    </a:xfrm>
                    <a:prstGeom prst="rect">
                      <a:avLst/>
                    </a:prstGeom>
                    <a:noFill/>
                  </pic:spPr>
                </pic:pic>
              </a:graphicData>
            </a:graphic>
          </wp:anchor>
        </w:drawing>
      </w:r>
    </w:p>
    <w:p>
      <w:pPr>
        <w:spacing w:after="0" w:line="218" w:lineRule="exact"/>
        <w:rPr>
          <w:sz w:val="20"/>
          <w:szCs w:val="20"/>
          <w:color w:val="auto"/>
        </w:rPr>
      </w:pPr>
    </w:p>
    <w:p>
      <w:pPr>
        <w:ind w:left="260" w:right="1239" w:hanging="250"/>
        <w:spacing w:after="0" w:line="267" w:lineRule="auto"/>
        <w:tabs>
          <w:tab w:leader="none" w:pos="2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Based on the fair value of common stock of $3.30 per share at March 31, 2012, non-vested consultant compensation of $153,160 will vest over approximately two years.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illustrates the common stock options granted during the periods ended March 31, 2012.</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3743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20"/>
                <w:szCs w:val="20"/>
                <w:color w:val="auto"/>
              </w:rPr>
            </w:pPr>
            <w:r>
              <w:rPr>
                <w:rFonts w:ascii="Arial" w:cs="Arial" w:eastAsia="Arial" w:hAnsi="Arial"/>
                <w:sz w:val="13"/>
                <w:szCs w:val="13"/>
                <w:b w:val="1"/>
                <w:bCs w:val="1"/>
                <w:color w:val="auto"/>
              </w:rPr>
              <w:t>Title</w:t>
            </w:r>
          </w:p>
        </w:tc>
        <w:tc>
          <w:tcPr>
            <w:tcW w:w="8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b w:val="1"/>
                <w:bCs w:val="1"/>
                <w:color w:val="auto"/>
              </w:rPr>
              <w:t>#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8"/>
              <w:spacing w:after="0"/>
              <w:rPr>
                <w:sz w:val="20"/>
                <w:szCs w:val="20"/>
                <w:color w:val="auto"/>
              </w:rPr>
            </w:pPr>
            <w:r>
              <w:rPr>
                <w:rFonts w:ascii="Arial" w:cs="Arial" w:eastAsia="Arial" w:hAnsi="Arial"/>
                <w:sz w:val="13"/>
                <w:szCs w:val="13"/>
                <w:b w:val="1"/>
                <w:bCs w:val="1"/>
                <w:color w:val="auto"/>
                <w:w w:val="89"/>
              </w:rPr>
              <w:t>Exercise</w:t>
            </w: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FMV at</w:t>
            </w:r>
          </w:p>
        </w:tc>
        <w:tc>
          <w:tcPr>
            <w:tcW w:w="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Total Option</w:t>
            </w:r>
          </w:p>
        </w:tc>
        <w:tc>
          <w:tcPr>
            <w:tcW w:w="100" w:type="dxa"/>
            <w:vAlign w:val="bottom"/>
          </w:tcPr>
          <w:p>
            <w:pPr>
              <w:spacing w:after="0"/>
              <w:rPr>
                <w:sz w:val="12"/>
                <w:szCs w:val="12"/>
                <w:color w:val="auto"/>
              </w:rPr>
            </w:pPr>
          </w:p>
        </w:tc>
        <w:tc>
          <w:tcPr>
            <w:tcW w:w="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80" w:type="dxa"/>
            <w:vAlign w:val="bottom"/>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Compensation</w:t>
            </w:r>
          </w:p>
        </w:tc>
      </w:tr>
      <w:tr>
        <w:trPr>
          <w:trHeight w:val="138"/>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28"/>
              <w:spacing w:after="0" w:line="138" w:lineRule="exact"/>
              <w:rPr>
                <w:sz w:val="20"/>
                <w:szCs w:val="20"/>
                <w:color w:val="auto"/>
              </w:rPr>
            </w:pPr>
            <w:r>
              <w:rPr>
                <w:rFonts w:ascii="Arial" w:cs="Arial" w:eastAsia="Arial" w:hAnsi="Arial"/>
                <w:sz w:val="13"/>
                <w:szCs w:val="13"/>
                <w:b w:val="1"/>
                <w:bCs w:val="1"/>
                <w:color w:val="auto"/>
                <w:w w:val="94"/>
              </w:rPr>
              <w:t>Price</w:t>
            </w:r>
          </w:p>
        </w:tc>
        <w:tc>
          <w:tcPr>
            <w:tcW w:w="100" w:type="dxa"/>
            <w:vAlign w:val="bottom"/>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Grant Date</w:t>
            </w:r>
          </w:p>
        </w:tc>
        <w:tc>
          <w:tcPr>
            <w:tcW w:w="80" w:type="dxa"/>
            <w:vAlign w:val="bottom"/>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Recognized</w:t>
            </w:r>
          </w:p>
        </w:tc>
        <w:tc>
          <w:tcPr>
            <w:tcW w:w="80" w:type="dxa"/>
            <w:vAlign w:val="bottom"/>
          </w:tcPr>
          <w:p>
            <w:pPr>
              <w:spacing w:after="0"/>
              <w:rPr>
                <w:sz w:val="11"/>
                <w:szCs w:val="11"/>
                <w:color w:val="auto"/>
              </w:rPr>
            </w:pPr>
          </w:p>
        </w:tc>
        <w:tc>
          <w:tcPr>
            <w:tcW w:w="10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Not Vested at</w:t>
            </w:r>
          </w:p>
        </w:tc>
      </w:tr>
      <w:tr>
        <w:trPr>
          <w:trHeight w:val="138"/>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Inception</w:t>
            </w:r>
          </w:p>
        </w:tc>
        <w:tc>
          <w:tcPr>
            <w:tcW w:w="900" w:type="dxa"/>
            <w:vAlign w:val="bottom"/>
            <w:gridSpan w:val="2"/>
          </w:tcPr>
          <w:p>
            <w:pPr>
              <w:jc w:val="center"/>
              <w:ind w:left="225"/>
              <w:spacing w:after="0" w:line="138" w:lineRule="exact"/>
              <w:rPr>
                <w:sz w:val="20"/>
                <w:szCs w:val="20"/>
                <w:color w:val="auto"/>
              </w:rPr>
            </w:pPr>
            <w:r>
              <w:rPr>
                <w:rFonts w:ascii="Arial" w:cs="Arial" w:eastAsia="Arial" w:hAnsi="Arial"/>
                <w:sz w:val="13"/>
                <w:szCs w:val="13"/>
                <w:b w:val="1"/>
                <w:bCs w:val="1"/>
                <w:color w:val="auto"/>
                <w:w w:val="94"/>
              </w:rPr>
              <w:t>03/31/12</w:t>
            </w:r>
          </w:p>
        </w:tc>
        <w:tc>
          <w:tcPr>
            <w:tcW w:w="200" w:type="dxa"/>
            <w:vAlign w:val="bottom"/>
          </w:tcPr>
          <w:p>
            <w:pPr>
              <w:spacing w:after="0"/>
              <w:rPr>
                <w:sz w:val="11"/>
                <w:szCs w:val="11"/>
                <w:color w:val="auto"/>
              </w:rPr>
            </w:pPr>
          </w:p>
        </w:tc>
      </w:tr>
      <w:tr>
        <w:trPr>
          <w:trHeight w:val="138"/>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through</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58"/>
        </w:trPr>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03/31/12</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213"/>
        </w:trPr>
        <w:tc>
          <w:tcPr>
            <w:tcW w:w="120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Director</w:t>
            </w:r>
          </w:p>
        </w:tc>
        <w:tc>
          <w:tcPr>
            <w:tcW w:w="860" w:type="dxa"/>
            <w:vAlign w:val="bottom"/>
            <w:gridSpan w:val="2"/>
            <w:shd w:val="clear" w:color="auto" w:fill="CCFFCC"/>
          </w:tcPr>
          <w:p>
            <w:pPr>
              <w:ind w:left="140"/>
              <w:spacing w:after="0" w:line="193" w:lineRule="exact"/>
              <w:rPr>
                <w:sz w:val="20"/>
                <w:szCs w:val="20"/>
                <w:color w:val="auto"/>
              </w:rPr>
            </w:pPr>
            <w:r>
              <w:rPr>
                <w:rFonts w:ascii="Arial" w:cs="Arial" w:eastAsia="Arial" w:hAnsi="Arial"/>
                <w:sz w:val="17"/>
                <w:szCs w:val="17"/>
                <w:color w:val="auto"/>
                <w:w w:val="92"/>
              </w:rPr>
              <w:t>11/6/2011</w:t>
            </w:r>
          </w:p>
        </w:tc>
        <w:tc>
          <w:tcPr>
            <w:tcW w:w="860" w:type="dxa"/>
            <w:vAlign w:val="bottom"/>
            <w:gridSpan w:val="2"/>
            <w:shd w:val="clear" w:color="auto" w:fill="CCFFCC"/>
          </w:tcPr>
          <w:p>
            <w:pPr>
              <w:jc w:val="right"/>
              <w:ind w:right="13"/>
              <w:spacing w:after="0" w:line="193" w:lineRule="exact"/>
              <w:rPr>
                <w:sz w:val="20"/>
                <w:szCs w:val="20"/>
                <w:color w:val="auto"/>
              </w:rPr>
            </w:pPr>
            <w:r>
              <w:rPr>
                <w:rFonts w:ascii="Arial" w:cs="Arial" w:eastAsia="Arial" w:hAnsi="Arial"/>
                <w:sz w:val="17"/>
                <w:szCs w:val="17"/>
                <w:color w:val="auto"/>
              </w:rPr>
              <w:t>13,646</w:t>
            </w:r>
          </w:p>
        </w:tc>
        <w:tc>
          <w:tcPr>
            <w:tcW w:w="20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w:t>
            </w:r>
          </w:p>
        </w:tc>
        <w:tc>
          <w:tcPr>
            <w:tcW w:w="640" w:type="dxa"/>
            <w:vAlign w:val="bottom"/>
            <w:shd w:val="clear" w:color="auto" w:fill="CCFFCC"/>
          </w:tcPr>
          <w:p>
            <w:pPr>
              <w:jc w:val="right"/>
              <w:ind w:right="188"/>
              <w:spacing w:after="0" w:line="193" w:lineRule="exact"/>
              <w:rPr>
                <w:sz w:val="20"/>
                <w:szCs w:val="20"/>
                <w:color w:val="auto"/>
              </w:rPr>
            </w:pPr>
            <w:r>
              <w:rPr>
                <w:rFonts w:ascii="Arial" w:cs="Arial" w:eastAsia="Arial" w:hAnsi="Arial"/>
                <w:sz w:val="17"/>
                <w:szCs w:val="17"/>
                <w:color w:val="auto"/>
              </w:rPr>
              <w:t>3</w:t>
            </w:r>
          </w:p>
        </w:tc>
        <w:tc>
          <w:tcPr>
            <w:tcW w:w="860" w:type="dxa"/>
            <w:vAlign w:val="bottom"/>
            <w:gridSpan w:val="2"/>
            <w:shd w:val="clear" w:color="auto" w:fill="CCFFCC"/>
          </w:tcPr>
          <w:p>
            <w:pPr>
              <w:jc w:val="right"/>
              <w:ind w:right="13"/>
              <w:spacing w:after="0" w:line="193" w:lineRule="exact"/>
              <w:rPr>
                <w:sz w:val="20"/>
                <w:szCs w:val="20"/>
                <w:color w:val="auto"/>
              </w:rPr>
            </w:pPr>
            <w:r>
              <w:rPr>
                <w:rFonts w:ascii="Arial" w:cs="Arial" w:eastAsia="Arial" w:hAnsi="Arial"/>
                <w:sz w:val="17"/>
                <w:szCs w:val="17"/>
                <w:color w:val="auto"/>
              </w:rPr>
              <w:t>$  1.8341</w:t>
            </w:r>
          </w:p>
        </w:tc>
        <w:tc>
          <w:tcPr>
            <w:tcW w:w="80" w:type="dxa"/>
            <w:vAlign w:val="bottom"/>
            <w:shd w:val="clear" w:color="auto" w:fill="CCFFCC"/>
          </w:tcPr>
          <w:p>
            <w:pPr>
              <w:spacing w:after="0"/>
              <w:rPr>
                <w:sz w:val="18"/>
                <w:szCs w:val="18"/>
                <w:color w:val="auto"/>
              </w:rPr>
            </w:pPr>
          </w:p>
        </w:tc>
        <w:tc>
          <w:tcPr>
            <w:tcW w:w="760" w:type="dxa"/>
            <w:vAlign w:val="bottom"/>
            <w:tcBorders>
              <w:right w:val="single" w:sz="8" w:color="CCFFCC"/>
            </w:tcBorders>
            <w:shd w:val="clear" w:color="auto" w:fill="CCFFCC"/>
          </w:tcPr>
          <w:p>
            <w:pPr>
              <w:jc w:val="right"/>
              <w:spacing w:after="0" w:line="193" w:lineRule="exact"/>
              <w:rPr>
                <w:sz w:val="20"/>
                <w:szCs w:val="20"/>
                <w:color w:val="auto"/>
              </w:rPr>
            </w:pPr>
            <w:r>
              <w:rPr>
                <w:rFonts w:ascii="Arial" w:cs="Arial" w:eastAsia="Arial" w:hAnsi="Arial"/>
                <w:sz w:val="17"/>
                <w:szCs w:val="17"/>
                <w:color w:val="auto"/>
                <w:w w:val="95"/>
              </w:rPr>
              <w:t>$  25,028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25,028</w:t>
            </w:r>
          </w:p>
        </w:tc>
        <w:tc>
          <w:tcPr>
            <w:tcW w:w="1100" w:type="dxa"/>
            <w:vAlign w:val="bottom"/>
            <w:gridSpan w:val="3"/>
            <w:shd w:val="clear" w:color="auto" w:fill="CCFFCC"/>
          </w:tcPr>
          <w:p>
            <w:pPr>
              <w:jc w:val="right"/>
              <w:ind w:right="200"/>
              <w:spacing w:after="0" w:line="193" w:lineRule="exact"/>
              <w:rPr>
                <w:sz w:val="20"/>
                <w:szCs w:val="20"/>
                <w:color w:val="auto"/>
              </w:rPr>
            </w:pPr>
            <w:r>
              <w:rPr>
                <w:rFonts w:ascii="Arial" w:cs="Arial" w:eastAsia="Arial" w:hAnsi="Arial"/>
                <w:sz w:val="17"/>
                <w:szCs w:val="17"/>
                <w:color w:val="auto"/>
              </w:rPr>
              <w:t>-0-</w:t>
            </w:r>
          </w:p>
        </w:tc>
      </w:tr>
      <w:tr>
        <w:trPr>
          <w:trHeight w:val="20"/>
        </w:trPr>
        <w:tc>
          <w:tcPr>
            <w:tcW w:w="1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6. Income Tax</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Company has determined that, based on objective evidence currently available, it is not likely that the deferred tax assets will be realized. Accordingly, the Company has provided a valuation allowance for the full amount of the deferred tax assets at March 31, 2012. There are no amounts of interest or penalties related to tax matters contained within the balance sheet at March 31, 2012. Under current tax law, net operating losses can be carried forward through the year to end December 31, 2031.</w:t>
      </w:r>
    </w:p>
    <w:p>
      <w:pPr>
        <w:spacing w:after="0" w:line="4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the next 12 months.</w:t>
      </w:r>
    </w:p>
    <w:p>
      <w:pPr>
        <w:spacing w:after="0" w:line="200" w:lineRule="exact"/>
        <w:rPr>
          <w:sz w:val="20"/>
          <w:szCs w:val="20"/>
          <w:color w:val="auto"/>
        </w:rPr>
      </w:pPr>
    </w:p>
    <w:p>
      <w:pPr>
        <w:spacing w:after="0" w:line="30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9" w:name="page280"/>
    <w:bookmarkEnd w:id="27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7. Lease Obligations</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4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March 2012, the Company entered into a second license agreement with a non-affiliated third party to lease an additional office adjacent to the space leased in the first license agreement. The second license agreement is for approximately two years with the first license agreement. Monthly payments are required in the amount of $1,450.</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Estimated occupancy expense for the remaining lease term based upon lease obligations at March 31, 2012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440817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gridSpan w:val="3"/>
          </w:tcPr>
          <w:p>
            <w:pPr>
              <w:spacing w:after="0"/>
              <w:rPr>
                <w:sz w:val="20"/>
                <w:szCs w:val="20"/>
                <w:color w:val="auto"/>
              </w:rPr>
            </w:pPr>
            <w:r>
              <w:rPr>
                <w:rFonts w:ascii="Arial" w:cs="Arial" w:eastAsia="Arial" w:hAnsi="Arial"/>
                <w:sz w:val="13"/>
                <w:szCs w:val="13"/>
                <w:b w:val="1"/>
                <w:bCs w:val="1"/>
                <w:color w:val="auto"/>
              </w:rPr>
              <w:t>Year</w:t>
            </w: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r>
      <w:tr>
        <w:trPr>
          <w:trHeight w:val="193"/>
        </w:trPr>
        <w:tc>
          <w:tcPr>
            <w:tcW w:w="5880" w:type="dxa"/>
            <w:vAlign w:val="bottom"/>
            <w:tcBorders>
              <w:top w:val="single" w:sz="8" w:color="auto"/>
            </w:tcBorders>
            <w:shd w:val="clear" w:color="auto" w:fill="CCFFCC"/>
          </w:tcPr>
          <w:p>
            <w:pPr>
              <w:spacing w:after="0" w:line="193" w:lineRule="exact"/>
              <w:rPr>
                <w:sz w:val="20"/>
                <w:szCs w:val="20"/>
                <w:color w:val="auto"/>
              </w:rPr>
            </w:pPr>
            <w:r>
              <w:rPr>
                <w:rFonts w:ascii="Arial" w:cs="Arial" w:eastAsia="Arial" w:hAnsi="Arial"/>
                <w:sz w:val="17"/>
                <w:szCs w:val="17"/>
                <w:color w:val="auto"/>
              </w:rPr>
              <w:t>2012</w:t>
            </w:r>
          </w:p>
        </w:tc>
        <w:tc>
          <w:tcPr>
            <w:tcW w:w="160" w:type="dxa"/>
            <w:vAlign w:val="bottom"/>
            <w:shd w:val="clear" w:color="auto" w:fill="CCFFCC"/>
          </w:tcPr>
          <w:p>
            <w:pPr>
              <w:spacing w:after="0"/>
              <w:rPr>
                <w:sz w:val="16"/>
                <w:szCs w:val="16"/>
                <w:color w:val="auto"/>
              </w:rPr>
            </w:pPr>
          </w:p>
        </w:tc>
        <w:tc>
          <w:tcPr>
            <w:tcW w:w="140" w:type="dxa"/>
            <w:vAlign w:val="bottom"/>
            <w:tcBorders>
              <w:top w:val="single" w:sz="8" w:color="auto"/>
            </w:tcBorders>
            <w:shd w:val="clear" w:color="auto" w:fill="CCFFCC"/>
          </w:tcPr>
          <w:p>
            <w:pPr>
              <w:spacing w:after="0"/>
              <w:rPr>
                <w:sz w:val="16"/>
                <w:szCs w:val="16"/>
                <w:color w:val="auto"/>
              </w:rPr>
            </w:pPr>
          </w:p>
        </w:tc>
        <w:tc>
          <w:tcPr>
            <w:tcW w:w="680" w:type="dxa"/>
            <w:vAlign w:val="bottom"/>
            <w:tcBorders>
              <w:top w:val="single" w:sz="8" w:color="auto"/>
              <w:right w:val="single" w:sz="8" w:color="CCFFCC"/>
            </w:tcBorders>
            <w:shd w:val="clear" w:color="auto" w:fill="CCFFCC"/>
          </w:tcPr>
          <w:p>
            <w:pPr>
              <w:jc w:val="right"/>
              <w:spacing w:after="0" w:line="193" w:lineRule="exact"/>
              <w:rPr>
                <w:sz w:val="20"/>
                <w:szCs w:val="20"/>
                <w:color w:val="auto"/>
              </w:rPr>
            </w:pPr>
            <w:r>
              <w:rPr>
                <w:rFonts w:ascii="Arial" w:cs="Arial" w:eastAsia="Arial" w:hAnsi="Arial"/>
                <w:sz w:val="17"/>
                <w:szCs w:val="17"/>
                <w:color w:val="auto"/>
              </w:rPr>
              <w:t>32,418</w:t>
            </w:r>
          </w:p>
        </w:tc>
        <w:tc>
          <w:tcPr>
            <w:tcW w:w="80" w:type="dxa"/>
            <w:vAlign w:val="bottom"/>
            <w:tcBorders>
              <w:top w:val="single" w:sz="8" w:color="auto"/>
            </w:tcBorders>
            <w:shd w:val="clear" w:color="auto" w:fill="CCFFCC"/>
          </w:tcPr>
          <w:p>
            <w:pPr>
              <w:spacing w:after="0"/>
              <w:rPr>
                <w:sz w:val="16"/>
                <w:szCs w:val="16"/>
                <w:color w:val="auto"/>
              </w:rPr>
            </w:pPr>
          </w:p>
        </w:tc>
      </w:tr>
      <w:tr>
        <w:trPr>
          <w:trHeight w:val="200"/>
        </w:trPr>
        <w:tc>
          <w:tcPr>
            <w:tcW w:w="5880" w:type="dxa"/>
            <w:vAlign w:val="bottom"/>
          </w:tcPr>
          <w:p>
            <w:pPr>
              <w:spacing w:after="0"/>
              <w:rPr>
                <w:sz w:val="20"/>
                <w:szCs w:val="20"/>
                <w:color w:val="auto"/>
              </w:rPr>
            </w:pPr>
            <w:r>
              <w:rPr>
                <w:rFonts w:ascii="Arial" w:cs="Arial" w:eastAsia="Arial" w:hAnsi="Arial"/>
                <w:sz w:val="17"/>
                <w:szCs w:val="17"/>
                <w:color w:val="auto"/>
              </w:rPr>
              <w:t>2013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43,224</w:t>
            </w:r>
          </w:p>
        </w:tc>
        <w:tc>
          <w:tcPr>
            <w:tcW w:w="80" w:type="dxa"/>
            <w:vAlign w:val="bottom"/>
          </w:tcPr>
          <w:p>
            <w:pPr>
              <w:spacing w:after="0"/>
              <w:rPr>
                <w:sz w:val="17"/>
                <w:szCs w:val="17"/>
                <w:color w:val="auto"/>
              </w:rPr>
            </w:pPr>
          </w:p>
        </w:tc>
      </w:tr>
      <w:tr>
        <w:trPr>
          <w:trHeight w:val="200"/>
        </w:trPr>
        <w:tc>
          <w:tcPr>
            <w:tcW w:w="5880" w:type="dxa"/>
            <w:vAlign w:val="bottom"/>
            <w:shd w:val="clear" w:color="auto" w:fill="CCFFCC"/>
          </w:tcPr>
          <w:p>
            <w:pPr>
              <w:spacing w:after="0"/>
              <w:rPr>
                <w:sz w:val="20"/>
                <w:szCs w:val="20"/>
                <w:color w:val="auto"/>
              </w:rPr>
            </w:pPr>
            <w:r>
              <w:rPr>
                <w:rFonts w:ascii="Arial" w:cs="Arial" w:eastAsia="Arial" w:hAnsi="Arial"/>
                <w:sz w:val="17"/>
                <w:szCs w:val="17"/>
                <w:color w:val="auto"/>
              </w:rPr>
              <w:t>2014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3,602</w:t>
            </w:r>
          </w:p>
        </w:tc>
        <w:tc>
          <w:tcPr>
            <w:tcW w:w="80" w:type="dxa"/>
            <w:vAlign w:val="bottom"/>
            <w:shd w:val="clear" w:color="auto" w:fill="CCFFCC"/>
          </w:tcPr>
          <w:p>
            <w:pPr>
              <w:spacing w:after="0"/>
              <w:rPr>
                <w:sz w:val="17"/>
                <w:szCs w:val="17"/>
                <w:color w:val="auto"/>
              </w:rPr>
            </w:pPr>
          </w:p>
        </w:tc>
      </w:tr>
      <w:tr>
        <w:trPr>
          <w:trHeight w:val="20"/>
        </w:trPr>
        <w:tc>
          <w:tcPr>
            <w:tcW w:w="58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6180" w:type="dxa"/>
            <w:vAlign w:val="bottom"/>
            <w:gridSpan w:val="3"/>
          </w:tcPr>
          <w:p>
            <w:pPr>
              <w:ind w:left="6040"/>
              <w:spacing w:after="0" w:line="193"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3" w:lineRule="exact"/>
              <w:rPr>
                <w:sz w:val="20"/>
                <w:szCs w:val="20"/>
                <w:color w:val="auto"/>
              </w:rPr>
            </w:pPr>
            <w:r>
              <w:rPr>
                <w:rFonts w:ascii="Arial" w:cs="Arial" w:eastAsia="Arial" w:hAnsi="Arial"/>
                <w:sz w:val="17"/>
                <w:szCs w:val="17"/>
                <w:color w:val="auto"/>
              </w:rPr>
              <w:t>79,244</w:t>
            </w:r>
          </w:p>
        </w:tc>
        <w:tc>
          <w:tcPr>
            <w:tcW w:w="80" w:type="dxa"/>
            <w:vAlign w:val="bottom"/>
          </w:tcPr>
          <w:p>
            <w:pPr>
              <w:spacing w:after="0"/>
              <w:rPr>
                <w:sz w:val="16"/>
                <w:szCs w:val="16"/>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408170" cy="167005"/>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Contingencies</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4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On February 15, 2012, the Court entered a scheduling order in the case setting the </w:t>
      </w:r>
      <w:r>
        <w:rPr>
          <w:rFonts w:ascii="Arial" w:cs="Arial" w:eastAsia="Arial" w:hAnsi="Arial"/>
          <w:sz w:val="15"/>
          <w:szCs w:val="15"/>
          <w:i w:val="1"/>
          <w:iCs w:val="1"/>
          <w:color w:val="auto"/>
        </w:rPr>
        <w:t>Markman</w:t>
      </w:r>
      <w:r>
        <w:rPr>
          <w:rFonts w:ascii="Arial" w:cs="Arial" w:eastAsia="Arial" w:hAnsi="Arial"/>
          <w:sz w:val="15"/>
          <w:szCs w:val="15"/>
          <w:color w:val="auto"/>
        </w:rPr>
        <w:t xml:space="preserve"> hearing for June 4, 2012 and trial for October 16, 2012. On March 15, 2012, Google submitted a request to the USPTO for </w:t>
      </w:r>
      <w:r>
        <w:rPr>
          <w:rFonts w:ascii="Arial" w:cs="Arial" w:eastAsia="Arial" w:hAnsi="Arial"/>
          <w:sz w:val="15"/>
          <w:szCs w:val="15"/>
          <w:i w:val="1"/>
          <w:iCs w:val="1"/>
          <w:color w:val="auto"/>
        </w:rPr>
        <w:t>ex parte</w:t>
      </w:r>
      <w:r>
        <w:rPr>
          <w:rFonts w:ascii="Arial" w:cs="Arial" w:eastAsia="Arial" w:hAnsi="Arial"/>
          <w:sz w:val="15"/>
          <w:szCs w:val="15"/>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w:t>
      </w:r>
      <w:r>
        <w:rPr>
          <w:rFonts w:ascii="Arial" w:cs="Arial" w:eastAsia="Arial" w:hAnsi="Arial"/>
          <w:sz w:val="15"/>
          <w:szCs w:val="15"/>
          <w:i w:val="1"/>
          <w:iCs w:val="1"/>
          <w:color w:val="auto"/>
        </w:rPr>
        <w:t>ex parte</w:t>
      </w:r>
      <w:r>
        <w:rPr>
          <w:rFonts w:ascii="Arial" w:cs="Arial" w:eastAsia="Arial" w:hAnsi="Arial"/>
          <w:sz w:val="15"/>
          <w:szCs w:val="15"/>
          <w:color w:val="auto"/>
        </w:rPr>
        <w:t xml:space="preserve"> reexamination for failing to follow to the requirements set forth in the USPTO’s regulations. On May 24, 2012, Google submitted their request to the USPTO. This resubmission purports to address the issues identified by the USPTO. Google’s request has not resulted in any delay of the dates set out in the Court’s scheduling order dated February 15, 2012. 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 At this stage of the litigation, the Company cannot assess the duration, cost or outcome of the infringement action.</w:t>
      </w:r>
    </w:p>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0" w:name="page281"/>
    <w:bookmarkEnd w:id="28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9. Subsequent Events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Subsequent events have been evaluated through May 16, 2012, the date the financial statements were available to be issued.</w:t>
      </w:r>
    </w:p>
    <w:p>
      <w:pPr>
        <w:spacing w:after="0" w:line="12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April 2012, Hudson Bay sold 148 shares of its Series A Preferred Stock to third party investors. As of May 16, 2012, those investors have not converted the Series A Preferred Stock to common stock.</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April 2012, Hudson Bay converted 145 shares of its Series A Preferred Stock to 145,000 shares of common stock. On the same day, Hudson Bay sold all 145,000 shares of converted common stock to a third party investor.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10. Subsequent Events (post May 16, 2012)</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May 24, 2012, Google submitted their request to the USPTO. This resubmission purports to address the issues identified by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USPTO.</w:t>
      </w:r>
    </w:p>
    <w:p>
      <w:pPr>
        <w:spacing w:after="0" w:line="93"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5"/>
          <w:szCs w:val="15"/>
          <w:color w:val="auto"/>
        </w:rPr>
        <w:t>On June 1, 2012, Hudson Bay committed, subject to the terms and conditions of a commitment letter agreement, that, at any time within 18 months following the closing of the Merger and upon the request of the Company, it or, at its election, one or more of its affiliated funds or entities shall provide debt financing to the Company in the aggregate principal amount of up to $6,000,000. Hudson Bay’s commitment shall be reduced, on a dollar for dollar basis, by (i) any cash or capital raised by Vringo, Innovate/Protect and/or any of their subsidiaries (each a “Vringo entity” and, together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the Company and the holder of the notes will be able to require redemption of all or any portion of the Notes at any time after 18 months following the consummation of the Merger, subject to an interest make-whole through maturity. In addition to other covenants to be mutually agreed between the Company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Hudson Bay’s commitment to provide such facility is subject to (a) the consummation of the Merger without any amendment or modification (unless consented to in writing by Hudson Bay), (b) 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the Company and Hudson Bay of all documents necessary for the consummation of the transaction contemplated by the commitment on terms and conditions in all respects acceptable and satisfactory to the company and Hudson Bay, (e) no Vringo entity shall have, pursuant to or within the meaning of Title 11, U.S. Code, or any similar Federal, foreign or state law for the relief of debtors (collectively, “Bankruptcy Law”), (A) 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date of</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1" w:name="page282"/>
    <w:bookmarkEnd w:id="28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10. Subsequent Events (post May 16, 2012) – (continued)</w:t>
      </w:r>
    </w:p>
    <w:p>
      <w:pPr>
        <w:jc w:val="both"/>
        <w:ind w:left="40" w:right="1239"/>
        <w:spacing w:after="0" w:line="265" w:lineRule="auto"/>
        <w:rPr>
          <w:sz w:val="20"/>
          <w:szCs w:val="20"/>
          <w:color w:val="auto"/>
        </w:rPr>
      </w:pPr>
      <w:r>
        <w:rPr>
          <w:rFonts w:ascii="Arial" w:cs="Arial" w:eastAsia="Arial" w:hAnsi="Arial"/>
          <w:sz w:val="16"/>
          <w:szCs w:val="16"/>
          <w:color w:val="auto"/>
        </w:rPr>
        <w:t>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the Company to Hudson Bay or (f) 18 months after the consummation of the Merger.</w:t>
      </w:r>
    </w:p>
    <w:p>
      <w:pPr>
        <w:spacing w:after="0" w:line="200" w:lineRule="exact"/>
        <w:rPr>
          <w:sz w:val="20"/>
          <w:szCs w:val="20"/>
          <w:color w:val="auto"/>
        </w:rPr>
      </w:pPr>
    </w:p>
    <w:p>
      <w:pPr>
        <w:spacing w:after="0" w:line="29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2" w:name="page283"/>
    <w:bookmarkEnd w:id="28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Management and the Board of Directors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Innovate/Protect, Inc (f/k/a Labrador Search Company)</w:t>
      </w:r>
    </w:p>
    <w:p>
      <w:pPr>
        <w:spacing w:after="0" w:line="93"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We have audited the accompanying consolidated balance sheets of Innovate/Protect Inc. (a Delaware corporation) and subsidiaries (the “Company”) as of December 31, 2011, and the related consolidated statements of operations, stockholders’ equity, and cash flows for the period from June 8, 2011 (inception) to December 31, 2011. These financial statements are the responsibility of the Company’s management. Our responsibility is to express an opinion on these financial statements based on our audit.</w:t>
      </w:r>
    </w:p>
    <w:p>
      <w:pPr>
        <w:spacing w:after="0" w:line="4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6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Innovate/Protect Inc. and subsidiaries as of December 31, 2011 and the results of their operations and their cash flows from June 8, 2011 (inception) to December 31, 2011, in conformity with accounting principles generally accepted in the United States of America.</w:t>
      </w:r>
    </w:p>
    <w:p>
      <w:pPr>
        <w:spacing w:after="0" w:line="7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2 to the financial statements, the Company incurred substantial losses from operations and used significant amount of cash to fund its operating activities. Additional capital is required to support the Company operations. These conditions raise substantial doubt about the Company ability to continue as a going concern. Management’s plans in regard to these matters are also described in Note 2. The financial statements do not include any adjustments that might result from the outcome of this uncertainty.</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GRANT THORNTON LLP</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New York, New York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March 2, 2012</w:t>
      </w:r>
    </w:p>
    <w:p>
      <w:pPr>
        <w:spacing w:after="0" w:line="200" w:lineRule="exact"/>
        <w:rPr>
          <w:sz w:val="20"/>
          <w:szCs w:val="20"/>
          <w:color w:val="auto"/>
        </w:rPr>
      </w:pPr>
    </w:p>
    <w:p>
      <w:pPr>
        <w:spacing w:after="0" w:line="30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49"/>
        </w:trPr>
        <w:tc>
          <w:tcPr>
            <w:tcW w:w="668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60" w:type="dxa"/>
            <w:vAlign w:val="bottom"/>
          </w:tcPr>
          <w:p>
            <w:pPr>
              <w:jc w:val="center"/>
              <w:ind w:left="696"/>
              <w:spacing w:after="0"/>
              <w:rPr>
                <w:sz w:val="20"/>
                <w:szCs w:val="20"/>
                <w:color w:val="auto"/>
              </w:rPr>
            </w:pPr>
            <w:r>
              <w:rPr>
                <w:rFonts w:ascii="Arial" w:cs="Arial" w:eastAsia="Arial" w:hAnsi="Arial"/>
                <w:sz w:val="17"/>
                <w:szCs w:val="17"/>
                <w:b w:val="1"/>
                <w:bCs w:val="1"/>
                <w:color w:val="auto"/>
                <w:w w:val="97"/>
              </w:rPr>
              <w:t>INNOVATE/PROTECT, INC. AND SUBSIDIARIES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60" w:type="dxa"/>
            <w:vAlign w:val="bottom"/>
          </w:tcPr>
          <w:p>
            <w:pPr>
              <w:jc w:val="center"/>
              <w:ind w:left="676"/>
              <w:spacing w:after="0"/>
              <w:rPr>
                <w:sz w:val="20"/>
                <w:szCs w:val="20"/>
                <w:color w:val="auto"/>
              </w:rPr>
            </w:pPr>
            <w:r>
              <w:rPr>
                <w:rFonts w:ascii="Arial" w:cs="Arial" w:eastAsia="Arial" w:hAnsi="Arial"/>
                <w:sz w:val="17"/>
                <w:szCs w:val="17"/>
                <w:b w:val="1"/>
                <w:bCs w:val="1"/>
                <w:color w:val="auto"/>
                <w:w w:val="88"/>
              </w:rPr>
              <w:t>(A Development Stage Company)</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tcPr>
          <w:p>
            <w:pPr>
              <w:jc w:val="center"/>
              <w:ind w:left="696"/>
              <w:spacing w:after="0"/>
              <w:rPr>
                <w:sz w:val="20"/>
                <w:szCs w:val="20"/>
                <w:color w:val="auto"/>
              </w:rPr>
            </w:pPr>
            <w:r>
              <w:rPr>
                <w:rFonts w:ascii="Arial" w:cs="Arial" w:eastAsia="Arial" w:hAnsi="Arial"/>
                <w:sz w:val="17"/>
                <w:szCs w:val="17"/>
                <w:b w:val="1"/>
                <w:bCs w:val="1"/>
                <w:color w:val="auto"/>
                <w:w w:val="98"/>
              </w:rPr>
              <w:t>CONSOLIDATED BALANCE SHEET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tcPr>
          <w:p>
            <w:pPr>
              <w:jc w:val="center"/>
              <w:ind w:left="676"/>
              <w:spacing w:after="0"/>
              <w:rPr>
                <w:sz w:val="20"/>
                <w:szCs w:val="20"/>
                <w:color w:val="auto"/>
              </w:rPr>
            </w:pPr>
            <w:r>
              <w:rPr>
                <w:rFonts w:ascii="Arial" w:cs="Arial" w:eastAsia="Arial" w:hAnsi="Arial"/>
                <w:sz w:val="17"/>
                <w:szCs w:val="17"/>
                <w:b w:val="1"/>
                <w:bCs w:val="1"/>
                <w:color w:val="auto"/>
                <w:w w:val="86"/>
              </w:rPr>
              <w:t>As of December 31, 2011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60" w:type="dxa"/>
            <w:vAlign w:val="bottom"/>
          </w:tcPr>
          <w:p>
            <w:pPr>
              <w:jc w:val="center"/>
              <w:ind w:right="1476"/>
              <w:spacing w:after="0"/>
              <w:rPr>
                <w:sz w:val="20"/>
                <w:szCs w:val="20"/>
                <w:color w:val="auto"/>
              </w:rPr>
            </w:pPr>
            <w:r>
              <w:rPr>
                <w:rFonts w:ascii="Arial" w:cs="Arial" w:eastAsia="Arial" w:hAnsi="Arial"/>
                <w:sz w:val="17"/>
                <w:szCs w:val="17"/>
                <w:b w:val="1"/>
                <w:bCs w:val="1"/>
                <w:color w:val="auto"/>
                <w:w w:val="91"/>
              </w:rPr>
              <w:t>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Current Assets</w:t>
            </w: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ind w:left="160"/>
              <w:spacing w:after="0"/>
              <w:rPr>
                <w:sz w:val="20"/>
                <w:szCs w:val="20"/>
                <w:color w:val="auto"/>
              </w:rPr>
            </w:pPr>
            <w:r>
              <w:rPr>
                <w:rFonts w:ascii="Arial" w:cs="Arial" w:eastAsia="Arial" w:hAnsi="Arial"/>
                <w:sz w:val="17"/>
                <w:szCs w:val="17"/>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5,212,142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Prepaid assets</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25,886</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8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Total current assets</w:t>
            </w:r>
          </w:p>
        </w:tc>
        <w:tc>
          <w:tcPr>
            <w:tcW w:w="80" w:type="dxa"/>
            <w:vAlign w:val="bottom"/>
          </w:tcPr>
          <w:p>
            <w:pPr>
              <w:spacing w:after="0"/>
              <w:rPr>
                <w:sz w:val="16"/>
                <w:szCs w:val="16"/>
                <w:color w:val="auto"/>
              </w:rPr>
            </w:pP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5,238,028</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Property and Equipment, net</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8,006</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spacing w:after="0"/>
              <w:rPr>
                <w:sz w:val="20"/>
                <w:szCs w:val="20"/>
                <w:color w:val="auto"/>
              </w:rPr>
            </w:pPr>
            <w:r>
              <w:rPr>
                <w:rFonts w:ascii="Arial" w:cs="Arial" w:eastAsia="Arial" w:hAnsi="Arial"/>
                <w:sz w:val="17"/>
                <w:szCs w:val="17"/>
                <w:color w:val="auto"/>
              </w:rPr>
              <w:t>Other Assets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Intangible assets, net</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3,067,592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8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8,313,626</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5260" w:type="dxa"/>
            <w:vAlign w:val="bottom"/>
            <w:shd w:val="clear" w:color="auto" w:fill="CCFFCC"/>
          </w:tcPr>
          <w:p>
            <w:pPr>
              <w:jc w:val="center"/>
              <w:ind w:right="1496"/>
              <w:spacing w:after="0" w:line="191" w:lineRule="exact"/>
              <w:rPr>
                <w:sz w:val="20"/>
                <w:szCs w:val="20"/>
                <w:color w:val="auto"/>
              </w:rPr>
            </w:pPr>
            <w:r>
              <w:rPr>
                <w:rFonts w:ascii="Arial" w:cs="Arial" w:eastAsia="Arial" w:hAnsi="Arial"/>
                <w:sz w:val="17"/>
                <w:szCs w:val="17"/>
                <w:b w:val="1"/>
                <w:bCs w:val="1"/>
                <w:color w:val="auto"/>
              </w:rPr>
              <w:t>LIABILITIES AND STOCKHOLDERS’ EQUITY</w:t>
            </w:r>
          </w:p>
        </w:tc>
        <w:tc>
          <w:tcPr>
            <w:tcW w:w="8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spacing w:after="0"/>
              <w:rPr>
                <w:sz w:val="20"/>
                <w:szCs w:val="20"/>
                <w:color w:val="auto"/>
              </w:rPr>
            </w:pPr>
            <w:r>
              <w:rPr>
                <w:rFonts w:ascii="Arial" w:cs="Arial" w:eastAsia="Arial" w:hAnsi="Arial"/>
                <w:sz w:val="17"/>
                <w:szCs w:val="17"/>
                <w:color w:val="auto"/>
              </w:rPr>
              <w:t>Current Liabilities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Accounts payable</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201</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ind w:left="160"/>
              <w:spacing w:after="0"/>
              <w:rPr>
                <w:sz w:val="20"/>
                <w:szCs w:val="20"/>
                <w:color w:val="auto"/>
              </w:rPr>
            </w:pPr>
            <w:r>
              <w:rPr>
                <w:rFonts w:ascii="Arial" w:cs="Arial" w:eastAsia="Arial" w:hAnsi="Arial"/>
                <w:sz w:val="17"/>
                <w:szCs w:val="17"/>
                <w:color w:val="auto"/>
              </w:rPr>
              <w:t>Accrued liabilities</w:t>
            </w: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448,264</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Current portion, note payable-related party</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2,000,000</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8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80" w:type="dxa"/>
            <w:vAlign w:val="bottom"/>
          </w:tcPr>
          <w:p>
            <w:pPr>
              <w:spacing w:after="0"/>
              <w:rPr>
                <w:sz w:val="16"/>
                <w:szCs w:val="16"/>
                <w:color w:val="auto"/>
              </w:rPr>
            </w:pP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2,448,465</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Note Payable-related party</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1,200,000</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8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Total liabilities</w:t>
            </w:r>
          </w:p>
        </w:tc>
        <w:tc>
          <w:tcPr>
            <w:tcW w:w="80" w:type="dxa"/>
            <w:vAlign w:val="bottom"/>
          </w:tcPr>
          <w:p>
            <w:pPr>
              <w:spacing w:after="0"/>
              <w:rPr>
                <w:sz w:val="16"/>
                <w:szCs w:val="16"/>
                <w:color w:val="auto"/>
              </w:rPr>
            </w:pP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3,648,465</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80" w:type="dxa"/>
            <w:vAlign w:val="bottom"/>
            <w:gridSpan w:val="3"/>
            <w:shd w:val="clear" w:color="auto" w:fill="CCFFCC"/>
          </w:tcPr>
          <w:p>
            <w:pPr>
              <w:spacing w:after="0" w:line="193" w:lineRule="exact"/>
              <w:rPr>
                <w:sz w:val="20"/>
                <w:szCs w:val="20"/>
                <w:color w:val="auto"/>
              </w:rPr>
            </w:pPr>
            <w:r>
              <w:rPr>
                <w:rFonts w:ascii="Arial" w:cs="Arial" w:eastAsia="Arial" w:hAnsi="Arial"/>
                <w:sz w:val="17"/>
                <w:szCs w:val="17"/>
                <w:color w:val="auto"/>
              </w:rPr>
              <w:t>Commitments and Contingencies (See note 11)</w:t>
            </w:r>
          </w:p>
        </w:tc>
        <w:tc>
          <w:tcPr>
            <w:tcW w:w="80" w:type="dxa"/>
            <w:vAlign w:val="bottom"/>
            <w:tcBorders>
              <w:top w:val="single" w:sz="8" w:color="auto"/>
            </w:tcBorders>
            <w:shd w:val="clear" w:color="auto" w:fill="CCFFCC"/>
          </w:tcPr>
          <w:p>
            <w:pPr>
              <w:spacing w:after="0"/>
              <w:rPr>
                <w:sz w:val="16"/>
                <w:szCs w:val="16"/>
                <w:color w:val="auto"/>
              </w:rPr>
            </w:pPr>
          </w:p>
        </w:tc>
        <w:tc>
          <w:tcPr>
            <w:tcW w:w="78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80" w:type="dxa"/>
            <w:vAlign w:val="bottom"/>
            <w:gridSpan w:val="3"/>
          </w:tcPr>
          <w:p>
            <w:pPr>
              <w:spacing w:after="0" w:line="188" w:lineRule="exact"/>
              <w:rPr>
                <w:sz w:val="20"/>
                <w:szCs w:val="20"/>
                <w:color w:val="auto"/>
              </w:rPr>
            </w:pPr>
            <w:r>
              <w:rPr>
                <w:rFonts w:ascii="Arial" w:cs="Arial" w:eastAsia="Arial" w:hAnsi="Arial"/>
                <w:sz w:val="17"/>
                <w:szCs w:val="17"/>
                <w:color w:val="auto"/>
              </w:rPr>
              <w:t>Preferred stock, Series A Convertible, $.0001 par value;</w:t>
            </w:r>
          </w:p>
        </w:tc>
        <w:tc>
          <w:tcPr>
            <w:tcW w:w="80" w:type="dxa"/>
            <w:vAlign w:val="bottom"/>
          </w:tcPr>
          <w:p>
            <w:pPr>
              <w:spacing w:after="0"/>
              <w:rPr>
                <w:sz w:val="16"/>
                <w:szCs w:val="16"/>
                <w:color w:val="auto"/>
              </w:rPr>
            </w:pPr>
          </w:p>
        </w:tc>
        <w:tc>
          <w:tcPr>
            <w:tcW w:w="860" w:type="dxa"/>
            <w:vAlign w:val="bottom"/>
            <w:gridSpan w:val="2"/>
          </w:tcPr>
          <w:p>
            <w:pPr>
              <w:jc w:val="right"/>
              <w:ind w:right="60"/>
              <w:spacing w:after="0" w:line="188" w:lineRule="exact"/>
              <w:rPr>
                <w:sz w:val="20"/>
                <w:szCs w:val="20"/>
                <w:color w:val="auto"/>
              </w:rPr>
            </w:pPr>
            <w:r>
              <w:rPr>
                <w:rFonts w:ascii="Arial" w:cs="Arial" w:eastAsia="Arial" w:hAnsi="Arial"/>
                <w:sz w:val="17"/>
                <w:szCs w:val="17"/>
                <w:b w:val="1"/>
                <w:bCs w:val="1"/>
                <w:color w:val="auto"/>
              </w:rPr>
              <w:t>1,800,000</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80" w:type="dxa"/>
            <w:vAlign w:val="bottom"/>
            <w:gridSpan w:val="3"/>
          </w:tcPr>
          <w:p>
            <w:pPr>
              <w:ind w:left="160"/>
              <w:spacing w:after="0"/>
              <w:rPr>
                <w:sz w:val="20"/>
                <w:szCs w:val="20"/>
                <w:color w:val="auto"/>
              </w:rPr>
            </w:pPr>
            <w:r>
              <w:rPr>
                <w:rFonts w:ascii="Arial" w:cs="Arial" w:eastAsia="Arial" w:hAnsi="Arial"/>
                <w:sz w:val="17"/>
                <w:szCs w:val="17"/>
                <w:color w:val="auto"/>
              </w:rPr>
              <w:t>liquidation value $1,250 per share; 6,968 shares authorized, issued and outstanding</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Stockholders’ Equity</w:t>
            </w: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680" w:type="dxa"/>
            <w:vAlign w:val="bottom"/>
            <w:gridSpan w:val="3"/>
          </w:tcPr>
          <w:p>
            <w:pPr>
              <w:ind w:left="160"/>
              <w:spacing w:after="0" w:line="188" w:lineRule="exact"/>
              <w:rPr>
                <w:sz w:val="20"/>
                <w:szCs w:val="20"/>
                <w:color w:val="auto"/>
              </w:rPr>
            </w:pPr>
            <w:r>
              <w:rPr>
                <w:rFonts w:ascii="Arial" w:cs="Arial" w:eastAsia="Arial" w:hAnsi="Arial"/>
                <w:sz w:val="17"/>
                <w:szCs w:val="17"/>
                <w:color w:val="auto"/>
              </w:rPr>
              <w:t>Common stock, $.0001 par value; 100,000,000 shares authorized;</w:t>
            </w:r>
          </w:p>
        </w:tc>
        <w:tc>
          <w:tcPr>
            <w:tcW w:w="80" w:type="dxa"/>
            <w:vAlign w:val="bottom"/>
          </w:tcPr>
          <w:p>
            <w:pPr>
              <w:spacing w:after="0"/>
              <w:rPr>
                <w:sz w:val="16"/>
                <w:szCs w:val="16"/>
                <w:color w:val="auto"/>
              </w:rPr>
            </w:pPr>
          </w:p>
        </w:tc>
        <w:tc>
          <w:tcPr>
            <w:tcW w:w="860" w:type="dxa"/>
            <w:vAlign w:val="bottom"/>
            <w:gridSpan w:val="2"/>
          </w:tcPr>
          <w:p>
            <w:pPr>
              <w:jc w:val="right"/>
              <w:ind w:right="60"/>
              <w:spacing w:after="0" w:line="188" w:lineRule="exact"/>
              <w:rPr>
                <w:sz w:val="20"/>
                <w:szCs w:val="20"/>
                <w:color w:val="auto"/>
              </w:rPr>
            </w:pPr>
            <w:r>
              <w:rPr>
                <w:rFonts w:ascii="Arial" w:cs="Arial" w:eastAsia="Arial" w:hAnsi="Arial"/>
                <w:sz w:val="17"/>
                <w:szCs w:val="17"/>
                <w:b w:val="1"/>
                <w:bCs w:val="1"/>
                <w:color w:val="auto"/>
              </w:rPr>
              <w:t>563</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80" w:type="dxa"/>
            <w:vAlign w:val="bottom"/>
            <w:gridSpan w:val="3"/>
          </w:tcPr>
          <w:p>
            <w:pPr>
              <w:ind w:left="340"/>
              <w:spacing w:after="0"/>
              <w:rPr>
                <w:sz w:val="20"/>
                <w:szCs w:val="20"/>
                <w:color w:val="auto"/>
              </w:rPr>
            </w:pPr>
            <w:r>
              <w:rPr>
                <w:rFonts w:ascii="Arial" w:cs="Arial" w:eastAsia="Arial" w:hAnsi="Arial"/>
                <w:sz w:val="17"/>
                <w:szCs w:val="17"/>
                <w:color w:val="auto"/>
              </w:rPr>
              <w:t>5,624,661 shares issued and outstanding</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68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Additional paid-in capital</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5,618,780</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ind w:left="160"/>
              <w:spacing w:after="0"/>
              <w:rPr>
                <w:sz w:val="20"/>
                <w:szCs w:val="20"/>
                <w:color w:val="auto"/>
              </w:rPr>
            </w:pPr>
            <w:r>
              <w:rPr>
                <w:rFonts w:ascii="Arial" w:cs="Arial" w:eastAsia="Arial" w:hAnsi="Arial"/>
                <w:sz w:val="17"/>
                <w:szCs w:val="17"/>
                <w:color w:val="auto"/>
              </w:rPr>
              <w:t>Deficit accumulated during the development stage</w:t>
            </w: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89"/>
              </w:rPr>
              <w:t>(2,754,182)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52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2,865,161</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8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8,313,626</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vMerge w:val="restart"/>
          </w:tcPr>
          <w:p>
            <w:pPr>
              <w:ind w:left="2740"/>
              <w:spacing w:after="0"/>
              <w:rPr>
                <w:sz w:val="20"/>
                <w:szCs w:val="20"/>
                <w:color w:val="auto"/>
              </w:rPr>
            </w:pPr>
            <w:r>
              <w:rPr>
                <w:rFonts w:ascii="Arial" w:cs="Arial" w:eastAsia="Arial" w:hAnsi="Arial"/>
                <w:sz w:val="17"/>
                <w:szCs w:val="17"/>
                <w:color w:val="auto"/>
              </w:rPr>
              <w:t>F-66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5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-3627755</wp:posOffset>
            </wp:positionV>
            <wp:extent cx="4837430" cy="135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-3110230</wp:posOffset>
            </wp:positionV>
            <wp:extent cx="4837430" cy="1670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-2306955</wp:posOffset>
            </wp:positionV>
            <wp:extent cx="4837430" cy="135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-2044065</wp:posOffset>
            </wp:positionV>
            <wp:extent cx="4837430" cy="14351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-747395</wp:posOffset>
            </wp:positionV>
            <wp:extent cx="4837430" cy="16700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-4208145</wp:posOffset>
            </wp:positionV>
            <wp:extent cx="481393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149"/>
        </w:trPr>
        <w:tc>
          <w:tcPr>
            <w:tcW w:w="650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465"/>
        </w:trPr>
        <w:tc>
          <w:tcPr>
            <w:tcW w:w="1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80" w:type="dxa"/>
            <w:vAlign w:val="bottom"/>
          </w:tcPr>
          <w:p>
            <w:pPr>
              <w:jc w:val="center"/>
              <w:ind w:left="876"/>
              <w:spacing w:after="0"/>
              <w:rPr>
                <w:sz w:val="20"/>
                <w:szCs w:val="20"/>
                <w:color w:val="auto"/>
              </w:rPr>
            </w:pPr>
            <w:r>
              <w:rPr>
                <w:rFonts w:ascii="Arial" w:cs="Arial" w:eastAsia="Arial" w:hAnsi="Arial"/>
                <w:sz w:val="17"/>
                <w:szCs w:val="17"/>
                <w:b w:val="1"/>
                <w:bCs w:val="1"/>
                <w:color w:val="auto"/>
                <w:w w:val="97"/>
              </w:rPr>
              <w:t>INNOVATE/PROTECT, INC. AND SUBSIDIARIES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80" w:type="dxa"/>
            <w:vAlign w:val="bottom"/>
          </w:tcPr>
          <w:p>
            <w:pPr>
              <w:jc w:val="center"/>
              <w:ind w:left="856"/>
              <w:spacing w:after="0"/>
              <w:rPr>
                <w:sz w:val="20"/>
                <w:szCs w:val="20"/>
                <w:color w:val="auto"/>
              </w:rPr>
            </w:pPr>
            <w:r>
              <w:rPr>
                <w:rFonts w:ascii="Arial" w:cs="Arial" w:eastAsia="Arial" w:hAnsi="Arial"/>
                <w:sz w:val="17"/>
                <w:szCs w:val="17"/>
                <w:b w:val="1"/>
                <w:bCs w:val="1"/>
                <w:color w:val="auto"/>
                <w:w w:val="88"/>
              </w:rPr>
              <w:t>(A Development Stage Company)</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85"/>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Pr>
          <w:p>
            <w:pPr>
              <w:jc w:val="center"/>
              <w:ind w:left="856"/>
              <w:spacing w:after="0"/>
              <w:rPr>
                <w:sz w:val="20"/>
                <w:szCs w:val="20"/>
                <w:color w:val="auto"/>
              </w:rPr>
            </w:pPr>
            <w:r>
              <w:rPr>
                <w:rFonts w:ascii="Arial" w:cs="Arial" w:eastAsia="Arial" w:hAnsi="Arial"/>
                <w:sz w:val="17"/>
                <w:szCs w:val="17"/>
                <w:b w:val="1"/>
                <w:bCs w:val="1"/>
                <w:color w:val="auto"/>
                <w:w w:val="97"/>
              </w:rPr>
              <w:t>CONSOLIDATED STATEMENT OF OPERATIONS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0"/>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gridSpan w:val="2"/>
          </w:tcPr>
          <w:p>
            <w:pPr>
              <w:jc w:val="center"/>
              <w:ind w:left="676"/>
              <w:spacing w:after="0"/>
              <w:rPr>
                <w:sz w:val="20"/>
                <w:szCs w:val="20"/>
                <w:color w:val="auto"/>
              </w:rPr>
            </w:pPr>
            <w:r>
              <w:rPr>
                <w:rFonts w:ascii="Arial" w:cs="Arial" w:eastAsia="Arial" w:hAnsi="Arial"/>
                <w:sz w:val="17"/>
                <w:szCs w:val="17"/>
                <w:b w:val="1"/>
                <w:bCs w:val="1"/>
                <w:color w:val="auto"/>
                <w:w w:val="88"/>
              </w:rPr>
              <w:t>Period from June 8, 2011 (Inception) to December 31, 2011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7"/>
        </w:trPr>
        <w:tc>
          <w:tcPr>
            <w:tcW w:w="6500" w:type="dxa"/>
            <w:vAlign w:val="bottom"/>
            <w:gridSpan w:val="3"/>
          </w:tcPr>
          <w:p>
            <w:pPr>
              <w:spacing w:after="0"/>
              <w:rPr>
                <w:sz w:val="20"/>
                <w:szCs w:val="20"/>
                <w:color w:val="auto"/>
              </w:rPr>
            </w:pPr>
            <w:r>
              <w:rPr>
                <w:rFonts w:ascii="Arial" w:cs="Arial" w:eastAsia="Arial" w:hAnsi="Arial"/>
                <w:sz w:val="17"/>
                <w:szCs w:val="17"/>
                <w:color w:val="auto"/>
              </w:rPr>
              <w:t>Revenue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2420" w:type="dxa"/>
            <w:vAlign w:val="bottom"/>
          </w:tcPr>
          <w:p>
            <w:pPr>
              <w:spacing w:after="0"/>
              <w:rPr>
                <w:sz w:val="18"/>
                <w:szCs w:val="18"/>
                <w:color w:val="auto"/>
              </w:rPr>
            </w:pPr>
          </w:p>
        </w:tc>
      </w:tr>
      <w:tr>
        <w:trPr>
          <w:trHeight w:val="193"/>
        </w:trPr>
        <w:tc>
          <w:tcPr>
            <w:tcW w:w="6500" w:type="dxa"/>
            <w:vAlign w:val="bottom"/>
            <w:gridSpan w:val="3"/>
            <w:shd w:val="clear" w:color="auto" w:fill="CCFFCC"/>
          </w:tcPr>
          <w:p>
            <w:pPr>
              <w:spacing w:after="0" w:line="194" w:lineRule="exact"/>
              <w:rPr>
                <w:sz w:val="20"/>
                <w:szCs w:val="20"/>
                <w:color w:val="auto"/>
              </w:rPr>
            </w:pPr>
            <w:r>
              <w:rPr>
                <w:rFonts w:ascii="Arial" w:cs="Arial" w:eastAsia="Arial" w:hAnsi="Arial"/>
                <w:sz w:val="17"/>
                <w:szCs w:val="17"/>
                <w:color w:val="auto"/>
              </w:rPr>
              <w:t>Operating Expenses</w:t>
            </w:r>
          </w:p>
        </w:tc>
        <w:tc>
          <w:tcPr>
            <w:tcW w:w="180" w:type="dxa"/>
            <w:vAlign w:val="bottom"/>
            <w:tcBorders>
              <w:top w:val="single" w:sz="8" w:color="auto"/>
            </w:tcBorders>
            <w:shd w:val="clear" w:color="auto" w:fill="CCFFCC"/>
          </w:tcPr>
          <w:p>
            <w:pPr>
              <w:spacing w:after="0"/>
              <w:rPr>
                <w:sz w:val="16"/>
                <w:szCs w:val="16"/>
                <w:color w:val="auto"/>
              </w:rPr>
            </w:pPr>
          </w:p>
        </w:tc>
        <w:tc>
          <w:tcPr>
            <w:tcW w:w="86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Legal</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1,102,100</w:t>
            </w: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Compensation</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996,913</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Amortization and depreciation</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328,278</w:t>
            </w: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213,192</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Startup and capital acquisition costs</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105,971</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11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50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2,746,454</w:t>
            </w:r>
          </w:p>
        </w:tc>
        <w:tc>
          <w:tcPr>
            <w:tcW w:w="2420" w:type="dxa"/>
            <w:vAlign w:val="bottom"/>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0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650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Loss from operations</w:t>
            </w:r>
          </w:p>
        </w:tc>
        <w:tc>
          <w:tcPr>
            <w:tcW w:w="180" w:type="dxa"/>
            <w:vAlign w:val="bottom"/>
          </w:tcPr>
          <w:p>
            <w:pPr>
              <w:spacing w:after="0"/>
              <w:rPr>
                <w:sz w:val="16"/>
                <w:szCs w:val="16"/>
                <w:color w:val="auto"/>
              </w:rPr>
            </w:pPr>
          </w:p>
        </w:tc>
        <w:tc>
          <w:tcPr>
            <w:tcW w:w="94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w w:val="98"/>
              </w:rPr>
              <w:t>(2,746,454)</w:t>
            </w:r>
          </w:p>
        </w:tc>
        <w:tc>
          <w:tcPr>
            <w:tcW w:w="2420" w:type="dxa"/>
            <w:vAlign w:val="bottom"/>
          </w:tcPr>
          <w:p>
            <w:pPr>
              <w:spacing w:after="0"/>
              <w:rPr>
                <w:sz w:val="16"/>
                <w:szCs w:val="16"/>
                <w:color w:val="auto"/>
              </w:rPr>
            </w:pPr>
          </w:p>
        </w:tc>
      </w:tr>
      <w:tr>
        <w:trPr>
          <w:trHeight w:val="200"/>
        </w:trPr>
        <w:tc>
          <w:tcPr>
            <w:tcW w:w="650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Other Expense</w:t>
            </w:r>
          </w:p>
        </w:tc>
        <w:tc>
          <w:tcPr>
            <w:tcW w:w="1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7,728</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33"/>
        </w:trPr>
        <w:tc>
          <w:tcPr>
            <w:tcW w:w="6500" w:type="dxa"/>
            <w:vAlign w:val="bottom"/>
            <w:gridSpan w:val="3"/>
            <w:shd w:val="clear" w:color="auto" w:fill="CCFFCC"/>
          </w:tcPr>
          <w:p>
            <w:pPr>
              <w:ind w:left="340"/>
              <w:spacing w:after="0" w:line="193" w:lineRule="exact"/>
              <w:rPr>
                <w:sz w:val="20"/>
                <w:szCs w:val="20"/>
                <w:color w:val="auto"/>
              </w:rPr>
            </w:pPr>
            <w:r>
              <w:rPr>
                <w:rFonts w:ascii="Arial" w:cs="Arial" w:eastAsia="Arial" w:hAnsi="Arial"/>
                <w:sz w:val="17"/>
                <w:szCs w:val="17"/>
                <w:b w:val="1"/>
                <w:bCs w:val="1"/>
                <w:color w:val="auto"/>
              </w:rPr>
              <w:t>Net loss</w:t>
            </w:r>
          </w:p>
        </w:tc>
        <w:tc>
          <w:tcPr>
            <w:tcW w:w="1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w w:val="98"/>
              </w:rPr>
              <w:t>(2,754,182)</w:t>
            </w:r>
          </w:p>
        </w:tc>
        <w:tc>
          <w:tcPr>
            <w:tcW w:w="2420" w:type="dxa"/>
            <w:vAlign w:val="bottom"/>
          </w:tcPr>
          <w:p>
            <w:pPr>
              <w:spacing w:after="0"/>
              <w:rPr>
                <w:sz w:val="20"/>
                <w:szCs w:val="20"/>
                <w:color w:val="auto"/>
              </w:rPr>
            </w:pPr>
          </w:p>
        </w:tc>
      </w:tr>
      <w:tr>
        <w:trPr>
          <w:trHeight w:val="191"/>
        </w:trPr>
        <w:tc>
          <w:tcPr>
            <w:tcW w:w="6500" w:type="dxa"/>
            <w:vAlign w:val="bottom"/>
            <w:tcBorders>
              <w:top w:val="single" w:sz="8" w:color="CCFFCC"/>
            </w:tcBorders>
            <w:gridSpan w:val="3"/>
          </w:tcPr>
          <w:p>
            <w:pPr>
              <w:spacing w:after="0" w:line="191" w:lineRule="exact"/>
              <w:rPr>
                <w:sz w:val="20"/>
                <w:szCs w:val="20"/>
                <w:color w:val="auto"/>
              </w:rPr>
            </w:pPr>
            <w:r>
              <w:rPr>
                <w:rFonts w:ascii="Arial" w:cs="Arial" w:eastAsia="Arial" w:hAnsi="Arial"/>
                <w:sz w:val="17"/>
                <w:szCs w:val="17"/>
                <w:color w:val="auto"/>
              </w:rPr>
              <w:t>Basic and diluted loss per share</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w w:val="98"/>
              </w:rPr>
              <w:t>(2,754,182)</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Weighted Average Common Shares Outstanding</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2,802,100</w:t>
            </w: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340"/>
              <w:spacing w:after="0"/>
              <w:rPr>
                <w:sz w:val="20"/>
                <w:szCs w:val="20"/>
                <w:color w:val="auto"/>
              </w:rPr>
            </w:pPr>
            <w:r>
              <w:rPr>
                <w:rFonts w:ascii="Arial" w:cs="Arial" w:eastAsia="Arial" w:hAnsi="Arial"/>
                <w:sz w:val="17"/>
                <w:szCs w:val="17"/>
                <w:color w:val="auto"/>
              </w:rPr>
              <w:t>Basic and diluted loss per share</w:t>
            </w:r>
          </w:p>
        </w:tc>
        <w:tc>
          <w:tcPr>
            <w:tcW w:w="18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(0.98)</w:t>
            </w:r>
          </w:p>
        </w:tc>
        <w:tc>
          <w:tcPr>
            <w:tcW w:w="2420" w:type="dxa"/>
            <w:vAlign w:val="bottom"/>
          </w:tcPr>
          <w:p>
            <w:pPr>
              <w:spacing w:after="0"/>
              <w:rPr>
                <w:sz w:val="17"/>
                <w:szCs w:val="17"/>
                <w:color w:val="auto"/>
              </w:rPr>
            </w:pPr>
          </w:p>
        </w:tc>
      </w:tr>
      <w:tr>
        <w:trPr>
          <w:trHeight w:val="714"/>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Pr>
          <w:p>
            <w:pPr>
              <w:ind w:left="2740"/>
              <w:spacing w:after="0"/>
              <w:rPr>
                <w:sz w:val="20"/>
                <w:szCs w:val="20"/>
                <w:color w:val="auto"/>
              </w:rPr>
            </w:pPr>
            <w:r>
              <w:rPr>
                <w:rFonts w:ascii="Arial" w:cs="Arial" w:eastAsia="Arial" w:hAnsi="Arial"/>
                <w:sz w:val="17"/>
                <w:szCs w:val="17"/>
                <w:color w:val="auto"/>
              </w:rPr>
              <w:t>F-67</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50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-1646555</wp:posOffset>
            </wp:positionV>
            <wp:extent cx="4837430" cy="135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-1121410</wp:posOffset>
            </wp:positionV>
            <wp:extent cx="4837430" cy="1593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837430" cy="15938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-2752090</wp:posOffset>
            </wp:positionV>
            <wp:extent cx="483743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85" w:name="page286"/>
    <w:bookmarkEnd w:id="28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2981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8298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4"/>
              </w:rPr>
              <w:t>Additional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2420" w:type="dxa"/>
            <w:vAlign w:val="bottom"/>
          </w:tcPr>
          <w:p>
            <w:pPr>
              <w:spacing w:after="0"/>
              <w:rPr>
                <w:sz w:val="13"/>
                <w:szCs w:val="13"/>
                <w:color w:val="auto"/>
              </w:rPr>
            </w:pPr>
          </w:p>
        </w:tc>
      </w:tr>
      <w:tr>
        <w:trPr>
          <w:trHeight w:val="138"/>
        </w:trPr>
        <w:tc>
          <w:tcPr>
            <w:tcW w:w="1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240"/>
              <w:spacing w:after="0" w:line="138" w:lineRule="exact"/>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Paid-in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Capital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5"/>
              </w:rPr>
              <w:t>During the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Development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58"/>
        </w:trPr>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Stage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20" w:type="dxa"/>
            <w:vAlign w:val="bottom"/>
          </w:tcPr>
          <w:p>
            <w:pPr>
              <w:spacing w:after="0"/>
              <w:rPr>
                <w:sz w:val="13"/>
                <w:szCs w:val="13"/>
                <w:color w:val="auto"/>
              </w:rPr>
            </w:pPr>
          </w:p>
        </w:tc>
      </w:tr>
      <w:tr>
        <w:trPr>
          <w:trHeight w:val="19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Balance, June 8, 2011 (inception)</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FFCC"/>
          </w:tcPr>
          <w:p>
            <w:pPr>
              <w:jc w:val="right"/>
              <w:ind w:right="280"/>
              <w:spacing w:after="0" w:line="193" w:lineRule="exact"/>
              <w:rPr>
                <w:sz w:val="20"/>
                <w:szCs w:val="20"/>
                <w:color w:val="auto"/>
              </w:rPr>
            </w:pPr>
            <w:r>
              <w:rPr>
                <w:rFonts w:ascii="Arial" w:cs="Arial" w:eastAsia="Arial" w:hAnsi="Arial"/>
                <w:sz w:val="17"/>
                <w:szCs w:val="17"/>
                <w:color w:val="auto"/>
              </w:rPr>
              <w:t>—</w:t>
            </w:r>
          </w:p>
        </w:tc>
        <w:tc>
          <w:tcPr>
            <w:tcW w:w="1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30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w:t>
            </w:r>
          </w:p>
        </w:tc>
        <w:tc>
          <w:tcPr>
            <w:tcW w:w="2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w:t>
            </w:r>
          </w:p>
        </w:tc>
        <w:tc>
          <w:tcPr>
            <w:tcW w:w="2420" w:type="dxa"/>
            <w:vAlign w:val="bottom"/>
          </w:tcPr>
          <w:p>
            <w:pPr>
              <w:spacing w:after="0"/>
              <w:rPr>
                <w:sz w:val="16"/>
                <w:szCs w:val="16"/>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Issuance of common stock</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7"/>
              </w:rPr>
              <w:t>5,144,662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5,145,225</w:t>
            </w:r>
          </w:p>
        </w:tc>
        <w:tc>
          <w:tcPr>
            <w:tcW w:w="242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FFCC"/>
          </w:tcPr>
          <w:p>
            <w:pPr>
              <w:spacing w:after="0"/>
              <w:rPr>
                <w:sz w:val="17"/>
                <w:szCs w:val="17"/>
                <w:color w:val="auto"/>
              </w:rPr>
            </w:pPr>
          </w:p>
        </w:tc>
        <w:tc>
          <w:tcPr>
            <w:tcW w:w="84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474,118</w:t>
            </w:r>
          </w:p>
        </w:tc>
        <w:tc>
          <w:tcPr>
            <w:tcW w:w="20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474,118</w:t>
            </w:r>
          </w:p>
        </w:tc>
        <w:tc>
          <w:tcPr>
            <w:tcW w:w="2420" w:type="dxa"/>
            <w:vAlign w:val="bottom"/>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(2,754,182)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(2,754,182)</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Balance, December 31, 2011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563</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u w:val="single" w:color="auto"/>
                <w:color w:val="auto"/>
                <w:w w:val="84"/>
              </w:rPr>
              <w:t>$</w:t>
            </w:r>
          </w:p>
        </w:tc>
        <w:tc>
          <w:tcPr>
            <w:tcW w:w="6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87"/>
              </w:rPr>
              <w:t>5,618,780</w:t>
            </w:r>
          </w:p>
        </w:tc>
        <w:tc>
          <w:tcPr>
            <w:tcW w:w="30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u w:val="single" w:color="auto"/>
                <w:color w:val="auto"/>
              </w:rPr>
              <w:t>$</w:t>
            </w:r>
          </w:p>
        </w:tc>
        <w:tc>
          <w:tcPr>
            <w:tcW w:w="8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w w:val="89"/>
              </w:rPr>
              <w:t>(2,754,182)</w:t>
            </w:r>
          </w:p>
        </w:tc>
        <w:tc>
          <w:tcPr>
            <w:tcW w:w="2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84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w w:val="95"/>
              </w:rPr>
              <w:t>2,865,161</w:t>
            </w:r>
          </w:p>
        </w:tc>
        <w:tc>
          <w:tcPr>
            <w:tcW w:w="2420" w:type="dxa"/>
            <w:vAlign w:val="bottom"/>
          </w:tcPr>
          <w:p>
            <w:pPr>
              <w:spacing w:after="0"/>
              <w:rPr>
                <w:sz w:val="18"/>
                <w:szCs w:val="18"/>
                <w:color w:val="auto"/>
              </w:rPr>
            </w:pPr>
          </w:p>
        </w:tc>
      </w:tr>
      <w:tr>
        <w:trPr>
          <w:trHeight w:val="20"/>
        </w:trPr>
        <w:tc>
          <w:tcPr>
            <w:tcW w:w="1140" w:type="dxa"/>
            <w:vAlign w:val="bottom"/>
            <w:tcBorders>
              <w:top w:val="single" w:sz="8" w:color="CCFFCC"/>
            </w:tcBorders>
            <w:shd w:val="clear" w:color="auto" w:fill="CCFFCC"/>
          </w:tcPr>
          <w:p>
            <w:pPr>
              <w:spacing w:after="0" w:line="20" w:lineRule="exact"/>
              <w:rPr>
                <w:sz w:val="1"/>
                <w:szCs w:val="1"/>
                <w:color w:val="auto"/>
              </w:rPr>
            </w:pPr>
          </w:p>
        </w:tc>
        <w:tc>
          <w:tcPr>
            <w:tcW w:w="25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704"/>
        </w:trPr>
        <w:tc>
          <w:tcPr>
            <w:tcW w:w="1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ind w:left="400"/>
              <w:spacing w:after="0"/>
              <w:rPr>
                <w:sz w:val="20"/>
                <w:szCs w:val="20"/>
                <w:color w:val="auto"/>
              </w:rPr>
            </w:pPr>
            <w:r>
              <w:rPr>
                <w:rFonts w:ascii="Arial" w:cs="Arial" w:eastAsia="Arial" w:hAnsi="Arial"/>
                <w:sz w:val="17"/>
                <w:szCs w:val="17"/>
                <w:color w:val="auto"/>
              </w:rPr>
              <w:t>F-68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5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-612140</wp:posOffset>
            </wp:positionV>
            <wp:extent cx="4837430" cy="317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83743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149"/>
        </w:trPr>
        <w:tc>
          <w:tcPr>
            <w:tcW w:w="650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465"/>
        </w:trPr>
        <w:tc>
          <w:tcPr>
            <w:tcW w:w="1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80" w:type="dxa"/>
            <w:vAlign w:val="bottom"/>
          </w:tcPr>
          <w:p>
            <w:pPr>
              <w:jc w:val="center"/>
              <w:ind w:left="876"/>
              <w:spacing w:after="0"/>
              <w:rPr>
                <w:sz w:val="20"/>
                <w:szCs w:val="20"/>
                <w:color w:val="auto"/>
              </w:rPr>
            </w:pPr>
            <w:r>
              <w:rPr>
                <w:rFonts w:ascii="Arial" w:cs="Arial" w:eastAsia="Arial" w:hAnsi="Arial"/>
                <w:sz w:val="17"/>
                <w:szCs w:val="17"/>
                <w:b w:val="1"/>
                <w:bCs w:val="1"/>
                <w:color w:val="auto"/>
                <w:w w:val="97"/>
              </w:rPr>
              <w:t>INNOVATE/PROTECT, INC. AND SUBSIDIARIES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80" w:type="dxa"/>
            <w:vAlign w:val="bottom"/>
          </w:tcPr>
          <w:p>
            <w:pPr>
              <w:jc w:val="center"/>
              <w:ind w:left="856"/>
              <w:spacing w:after="0"/>
              <w:rPr>
                <w:sz w:val="20"/>
                <w:szCs w:val="20"/>
                <w:color w:val="auto"/>
              </w:rPr>
            </w:pPr>
            <w:r>
              <w:rPr>
                <w:rFonts w:ascii="Arial" w:cs="Arial" w:eastAsia="Arial" w:hAnsi="Arial"/>
                <w:sz w:val="17"/>
                <w:szCs w:val="17"/>
                <w:b w:val="1"/>
                <w:bCs w:val="1"/>
                <w:color w:val="auto"/>
                <w:w w:val="88"/>
              </w:rPr>
              <w:t>(A Development Stage Company)</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85"/>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Pr>
          <w:p>
            <w:pPr>
              <w:jc w:val="center"/>
              <w:ind w:left="856"/>
              <w:spacing w:after="0"/>
              <w:rPr>
                <w:sz w:val="20"/>
                <w:szCs w:val="20"/>
                <w:color w:val="auto"/>
              </w:rPr>
            </w:pPr>
            <w:r>
              <w:rPr>
                <w:rFonts w:ascii="Arial" w:cs="Arial" w:eastAsia="Arial" w:hAnsi="Arial"/>
                <w:sz w:val="17"/>
                <w:szCs w:val="17"/>
                <w:b w:val="1"/>
                <w:bCs w:val="1"/>
                <w:color w:val="auto"/>
                <w:w w:val="97"/>
              </w:rPr>
              <w:t>CONSOLIDATED STATEMENT OF CASH FLOWS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4"/>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gridSpan w:val="2"/>
          </w:tcPr>
          <w:p>
            <w:pPr>
              <w:jc w:val="center"/>
              <w:ind w:left="676"/>
              <w:spacing w:after="0"/>
              <w:rPr>
                <w:sz w:val="20"/>
                <w:szCs w:val="20"/>
                <w:color w:val="auto"/>
              </w:rPr>
            </w:pPr>
            <w:r>
              <w:rPr>
                <w:rFonts w:ascii="Arial" w:cs="Arial" w:eastAsia="Arial" w:hAnsi="Arial"/>
                <w:sz w:val="17"/>
                <w:szCs w:val="17"/>
                <w:b w:val="1"/>
                <w:bCs w:val="1"/>
                <w:color w:val="auto"/>
                <w:w w:val="88"/>
              </w:rPr>
              <w:t>Period from June 8, 2011 (Inception) to December 31, 2011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6500" w:type="dxa"/>
            <w:vAlign w:val="bottom"/>
            <w:gridSpan w:val="3"/>
          </w:tcPr>
          <w:p>
            <w:pPr>
              <w:spacing w:after="0"/>
              <w:rPr>
                <w:sz w:val="20"/>
                <w:szCs w:val="20"/>
                <w:color w:val="auto"/>
              </w:rPr>
            </w:pPr>
            <w:r>
              <w:rPr>
                <w:rFonts w:ascii="Arial" w:cs="Arial" w:eastAsia="Arial" w:hAnsi="Arial"/>
                <w:sz w:val="17"/>
                <w:szCs w:val="17"/>
                <w:color w:val="auto"/>
              </w:rPr>
              <w:t>Cash Flows From Operating Activities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01"/>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w w:val="98"/>
              </w:rPr>
              <w:t>(2,754,182)</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340"/>
              <w:spacing w:after="0"/>
              <w:rPr>
                <w:sz w:val="20"/>
                <w:szCs w:val="20"/>
                <w:color w:val="auto"/>
              </w:rPr>
            </w:pPr>
            <w:r>
              <w:rPr>
                <w:rFonts w:ascii="Arial" w:cs="Arial" w:eastAsia="Arial" w:hAnsi="Arial"/>
                <w:sz w:val="17"/>
                <w:szCs w:val="17"/>
                <w:color w:val="auto"/>
              </w:rPr>
              <w:t>Amortization and depreciation</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328,277</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340"/>
              <w:spacing w:after="0"/>
              <w:rPr>
                <w:sz w:val="20"/>
                <w:szCs w:val="20"/>
                <w:color w:val="auto"/>
              </w:rPr>
            </w:pPr>
            <w:r>
              <w:rPr>
                <w:rFonts w:ascii="Arial" w:cs="Arial" w:eastAsia="Arial" w:hAnsi="Arial"/>
                <w:sz w:val="17"/>
                <w:szCs w:val="17"/>
                <w:color w:val="auto"/>
              </w:rPr>
              <w:t>Stock-based compensation expense</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474,118</w:t>
            </w: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Increase in prepaid assets</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(25,886)</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Increase in accounts payable and accrued liabilities</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448,465</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6500" w:type="dxa"/>
            <w:vAlign w:val="bottom"/>
            <w:gridSpan w:val="3"/>
            <w:shd w:val="clear" w:color="auto" w:fill="CCFFCC"/>
          </w:tcPr>
          <w:p>
            <w:pPr>
              <w:ind w:left="500"/>
              <w:spacing w:after="0" w:line="193" w:lineRule="exact"/>
              <w:rPr>
                <w:sz w:val="20"/>
                <w:szCs w:val="20"/>
                <w:color w:val="auto"/>
              </w:rPr>
            </w:pPr>
            <w:r>
              <w:rPr>
                <w:rFonts w:ascii="Arial" w:cs="Arial" w:eastAsia="Arial" w:hAnsi="Arial"/>
                <w:sz w:val="17"/>
                <w:szCs w:val="17"/>
                <w:b w:val="1"/>
                <w:bCs w:val="1"/>
                <w:color w:val="auto"/>
              </w:rPr>
              <w:t>Net cash used in operating activities</w:t>
            </w: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w w:val="98"/>
              </w:rPr>
              <w:t>(1,529,208)</w:t>
            </w:r>
          </w:p>
        </w:tc>
        <w:tc>
          <w:tcPr>
            <w:tcW w:w="2420" w:type="dxa"/>
            <w:vAlign w:val="bottom"/>
          </w:tcPr>
          <w:p>
            <w:pPr>
              <w:spacing w:after="0"/>
              <w:rPr>
                <w:sz w:val="16"/>
                <w:szCs w:val="16"/>
                <w:color w:val="auto"/>
              </w:rPr>
            </w:pPr>
          </w:p>
        </w:tc>
      </w:tr>
      <w:tr>
        <w:trPr>
          <w:trHeight w:val="193"/>
        </w:trPr>
        <w:tc>
          <w:tcPr>
            <w:tcW w:w="6500" w:type="dxa"/>
            <w:vAlign w:val="bottom"/>
            <w:tcBorders>
              <w:top w:val="single" w:sz="8" w:color="CCFFCC"/>
            </w:tcBorders>
            <w:gridSpan w:val="3"/>
          </w:tcPr>
          <w:p>
            <w:pPr>
              <w:spacing w:after="0" w:line="193" w:lineRule="exact"/>
              <w:rPr>
                <w:sz w:val="20"/>
                <w:szCs w:val="20"/>
                <w:color w:val="auto"/>
              </w:rPr>
            </w:pPr>
            <w:r>
              <w:rPr>
                <w:rFonts w:ascii="Arial" w:cs="Arial" w:eastAsia="Arial" w:hAnsi="Arial"/>
                <w:sz w:val="17"/>
                <w:szCs w:val="17"/>
                <w:color w:val="auto"/>
              </w:rPr>
              <w:t>Cash Flows From Investing Activities</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Purchase of intangible assets</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w w:val="98"/>
              </w:rPr>
              <w:t>(3,395,187)</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Purchase of fixed assets</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(8,688)</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6500" w:type="dxa"/>
            <w:vAlign w:val="bottom"/>
            <w:gridSpan w:val="3"/>
            <w:shd w:val="clear" w:color="auto" w:fill="CCFFCC"/>
          </w:tcPr>
          <w:p>
            <w:pPr>
              <w:ind w:left="500"/>
              <w:spacing w:after="0" w:line="193" w:lineRule="exact"/>
              <w:rPr>
                <w:sz w:val="20"/>
                <w:szCs w:val="20"/>
                <w:color w:val="auto"/>
              </w:rPr>
            </w:pPr>
            <w:r>
              <w:rPr>
                <w:rFonts w:ascii="Arial" w:cs="Arial" w:eastAsia="Arial" w:hAnsi="Arial"/>
                <w:sz w:val="17"/>
                <w:szCs w:val="17"/>
                <w:b w:val="1"/>
                <w:bCs w:val="1"/>
                <w:color w:val="auto"/>
              </w:rPr>
              <w:t>Net cash used in investing activities</w:t>
            </w: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w w:val="98"/>
              </w:rPr>
              <w:t>(3,403,875)</w:t>
            </w:r>
          </w:p>
        </w:tc>
        <w:tc>
          <w:tcPr>
            <w:tcW w:w="2420" w:type="dxa"/>
            <w:vAlign w:val="bottom"/>
          </w:tcPr>
          <w:p>
            <w:pPr>
              <w:spacing w:after="0"/>
              <w:rPr>
                <w:sz w:val="16"/>
                <w:szCs w:val="16"/>
                <w:color w:val="auto"/>
              </w:rPr>
            </w:pPr>
          </w:p>
        </w:tc>
      </w:tr>
      <w:tr>
        <w:trPr>
          <w:trHeight w:val="193"/>
        </w:trPr>
        <w:tc>
          <w:tcPr>
            <w:tcW w:w="6500" w:type="dxa"/>
            <w:vAlign w:val="bottom"/>
            <w:tcBorders>
              <w:top w:val="single" w:sz="8" w:color="CCFFCC"/>
            </w:tcBorders>
            <w:gridSpan w:val="3"/>
          </w:tcPr>
          <w:p>
            <w:pPr>
              <w:spacing w:after="0" w:line="193" w:lineRule="exact"/>
              <w:rPr>
                <w:sz w:val="20"/>
                <w:szCs w:val="20"/>
                <w:color w:val="auto"/>
              </w:rPr>
            </w:pPr>
            <w:r>
              <w:rPr>
                <w:rFonts w:ascii="Arial" w:cs="Arial" w:eastAsia="Arial" w:hAnsi="Arial"/>
                <w:sz w:val="17"/>
                <w:szCs w:val="17"/>
                <w:color w:val="auto"/>
              </w:rPr>
              <w:t>Cash Flows From Financing Activities</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Proceeds from note payable</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3,200,000</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Proceeds from issuance of preferred stock</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1,800,000</w:t>
            </w: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Proceeds from issuance of common stock</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5,145,225</w:t>
            </w:r>
          </w:p>
        </w:tc>
        <w:tc>
          <w:tcPr>
            <w:tcW w:w="2420" w:type="dxa"/>
            <w:vAlign w:val="bottom"/>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0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6500" w:type="dxa"/>
            <w:vAlign w:val="bottom"/>
            <w:gridSpan w:val="3"/>
          </w:tcPr>
          <w:p>
            <w:pPr>
              <w:ind w:left="500"/>
              <w:spacing w:after="0" w:line="193" w:lineRule="exact"/>
              <w:rPr>
                <w:sz w:val="20"/>
                <w:szCs w:val="20"/>
                <w:color w:val="auto"/>
              </w:rPr>
            </w:pPr>
            <w:r>
              <w:rPr>
                <w:rFonts w:ascii="Arial" w:cs="Arial" w:eastAsia="Arial" w:hAnsi="Arial"/>
                <w:sz w:val="17"/>
                <w:szCs w:val="17"/>
                <w:b w:val="1"/>
                <w:bCs w:val="1"/>
                <w:color w:val="auto"/>
              </w:rPr>
              <w:t>Net cash provided by financing activities</w:t>
            </w:r>
          </w:p>
        </w:tc>
        <w:tc>
          <w:tcPr>
            <w:tcW w:w="180" w:type="dxa"/>
            <w:vAlign w:val="bottom"/>
          </w:tcPr>
          <w:p>
            <w:pPr>
              <w:spacing w:after="0"/>
              <w:rPr>
                <w:sz w:val="16"/>
                <w:szCs w:val="16"/>
                <w:color w:val="auto"/>
              </w:rPr>
            </w:pPr>
          </w:p>
        </w:tc>
        <w:tc>
          <w:tcPr>
            <w:tcW w:w="94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10,145,225</w:t>
            </w:r>
          </w:p>
        </w:tc>
        <w:tc>
          <w:tcPr>
            <w:tcW w:w="24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6500" w:type="dxa"/>
            <w:vAlign w:val="bottom"/>
            <w:gridSpan w:val="3"/>
            <w:shd w:val="clear" w:color="auto" w:fill="CCFFCC"/>
          </w:tcPr>
          <w:p>
            <w:pPr>
              <w:ind w:left="500"/>
              <w:spacing w:after="0" w:line="193" w:lineRule="exact"/>
              <w:rPr>
                <w:sz w:val="20"/>
                <w:szCs w:val="20"/>
                <w:color w:val="auto"/>
              </w:rPr>
            </w:pPr>
            <w:r>
              <w:rPr>
                <w:rFonts w:ascii="Arial" w:cs="Arial" w:eastAsia="Arial" w:hAnsi="Arial"/>
                <w:sz w:val="17"/>
                <w:szCs w:val="17"/>
                <w:b w:val="1"/>
                <w:bCs w:val="1"/>
                <w:color w:val="auto"/>
              </w:rPr>
              <w:t>Increase in cash</w:t>
            </w: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5,212,142</w:t>
            </w:r>
          </w:p>
        </w:tc>
        <w:tc>
          <w:tcPr>
            <w:tcW w:w="2420" w:type="dxa"/>
            <w:vAlign w:val="bottom"/>
          </w:tcPr>
          <w:p>
            <w:pPr>
              <w:spacing w:after="0"/>
              <w:rPr>
                <w:sz w:val="16"/>
                <w:szCs w:val="16"/>
                <w:color w:val="auto"/>
              </w:rPr>
            </w:pPr>
          </w:p>
        </w:tc>
      </w:tr>
      <w:tr>
        <w:trPr>
          <w:trHeight w:val="200"/>
        </w:trPr>
        <w:tc>
          <w:tcPr>
            <w:tcW w:w="6500" w:type="dxa"/>
            <w:vAlign w:val="bottom"/>
            <w:gridSpan w:val="3"/>
          </w:tcPr>
          <w:p>
            <w:pPr>
              <w:spacing w:after="0"/>
              <w:rPr>
                <w:sz w:val="20"/>
                <w:szCs w:val="20"/>
                <w:color w:val="auto"/>
              </w:rPr>
            </w:pPr>
            <w:r>
              <w:rPr>
                <w:rFonts w:ascii="Arial" w:cs="Arial" w:eastAsia="Arial" w:hAnsi="Arial"/>
                <w:sz w:val="17"/>
                <w:szCs w:val="17"/>
                <w:color w:val="auto"/>
              </w:rPr>
              <w:t>Cash Balance, beginning of period</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33"/>
        </w:trPr>
        <w:tc>
          <w:tcPr>
            <w:tcW w:w="6500" w:type="dxa"/>
            <w:vAlign w:val="bottom"/>
            <w:gridSpan w:val="3"/>
            <w:shd w:val="clear" w:color="auto" w:fill="CCFFCC"/>
          </w:tcPr>
          <w:p>
            <w:pPr>
              <w:spacing w:after="0" w:line="193" w:lineRule="exact"/>
              <w:rPr>
                <w:sz w:val="20"/>
                <w:szCs w:val="20"/>
                <w:color w:val="auto"/>
              </w:rPr>
            </w:pPr>
            <w:r>
              <w:rPr>
                <w:rFonts w:ascii="Arial" w:cs="Arial" w:eastAsia="Arial" w:hAnsi="Arial"/>
                <w:sz w:val="17"/>
                <w:szCs w:val="17"/>
                <w:color w:val="auto"/>
              </w:rPr>
              <w:t>Cash Balance, ending of period</w:t>
            </w:r>
          </w:p>
        </w:tc>
        <w:tc>
          <w:tcPr>
            <w:tcW w:w="1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5,212,142</w:t>
            </w:r>
          </w:p>
        </w:tc>
        <w:tc>
          <w:tcPr>
            <w:tcW w:w="2420" w:type="dxa"/>
            <w:vAlign w:val="bottom"/>
          </w:tcPr>
          <w:p>
            <w:pPr>
              <w:spacing w:after="0"/>
              <w:rPr>
                <w:sz w:val="20"/>
                <w:szCs w:val="20"/>
                <w:color w:val="auto"/>
              </w:rPr>
            </w:pPr>
          </w:p>
        </w:tc>
      </w:tr>
      <w:tr>
        <w:trPr>
          <w:trHeight w:val="191"/>
        </w:trPr>
        <w:tc>
          <w:tcPr>
            <w:tcW w:w="6500" w:type="dxa"/>
            <w:vAlign w:val="bottom"/>
            <w:tcBorders>
              <w:top w:val="single" w:sz="8" w:color="CCFFCC"/>
            </w:tcBorders>
            <w:gridSpan w:val="3"/>
          </w:tcPr>
          <w:p>
            <w:pPr>
              <w:spacing w:after="0" w:line="191" w:lineRule="exact"/>
              <w:rPr>
                <w:sz w:val="20"/>
                <w:szCs w:val="20"/>
                <w:color w:val="auto"/>
              </w:rPr>
            </w:pPr>
            <w:r>
              <w:rPr>
                <w:rFonts w:ascii="Arial" w:cs="Arial" w:eastAsia="Arial" w:hAnsi="Arial"/>
                <w:sz w:val="17"/>
                <w:szCs w:val="17"/>
                <w:color w:val="auto"/>
              </w:rPr>
              <w:t>Supplemental Disclosures of Cash Flow Information</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20" w:type="dxa"/>
            <w:vAlign w:val="bottom"/>
          </w:tcPr>
          <w:p>
            <w:pPr>
              <w:spacing w:after="0"/>
              <w:rPr>
                <w:sz w:val="16"/>
                <w:szCs w:val="16"/>
                <w:color w:val="auto"/>
              </w:rPr>
            </w:pPr>
          </w:p>
        </w:tc>
      </w:tr>
      <w:tr>
        <w:trPr>
          <w:trHeight w:val="24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Cash paid for interest</w:t>
            </w:r>
          </w:p>
        </w:tc>
        <w:tc>
          <w:tcPr>
            <w:tcW w:w="18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7,728</w:t>
            </w:r>
          </w:p>
        </w:tc>
        <w:tc>
          <w:tcPr>
            <w:tcW w:w="2420" w:type="dxa"/>
            <w:vAlign w:val="bottom"/>
          </w:tcPr>
          <w:p>
            <w:pPr>
              <w:spacing w:after="0"/>
              <w:rPr>
                <w:sz w:val="20"/>
                <w:szCs w:val="20"/>
                <w:color w:val="auto"/>
              </w:rPr>
            </w:pPr>
          </w:p>
        </w:tc>
      </w:tr>
      <w:tr>
        <w:trPr>
          <w:trHeight w:val="704"/>
        </w:trPr>
        <w:tc>
          <w:tcPr>
            <w:tcW w:w="1140" w:type="dxa"/>
            <w:vAlign w:val="bottom"/>
            <w:tcBorders>
              <w:top w:val="single" w:sz="8" w:color="CCFFCC"/>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5080" w:type="dxa"/>
            <w:vAlign w:val="bottom"/>
            <w:tcBorders>
              <w:top w:val="single" w:sz="8" w:color="CCFFCC"/>
            </w:tcBorders>
          </w:tcPr>
          <w:p>
            <w:pPr>
              <w:ind w:left="2740"/>
              <w:spacing w:after="0"/>
              <w:rPr>
                <w:sz w:val="20"/>
                <w:szCs w:val="20"/>
                <w:color w:val="auto"/>
              </w:rPr>
            </w:pPr>
            <w:r>
              <w:rPr>
                <w:rFonts w:ascii="Arial" w:cs="Arial" w:eastAsia="Arial" w:hAnsi="Arial"/>
                <w:sz w:val="17"/>
                <w:szCs w:val="17"/>
                <w:color w:val="auto"/>
              </w:rPr>
              <w:t>F-69</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50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-2473960</wp:posOffset>
            </wp:positionV>
            <wp:extent cx="4837430" cy="135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-1948815</wp:posOffset>
            </wp:positionV>
            <wp:extent cx="4837430" cy="135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-1431290</wp:posOffset>
            </wp:positionV>
            <wp:extent cx="4837430" cy="1435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-898525</wp:posOffset>
            </wp:positionV>
            <wp:extent cx="4837430" cy="1593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83743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837430" cy="317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483743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-3571875</wp:posOffset>
            </wp:positionV>
            <wp:extent cx="483743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87" w:name="page288"/>
    <w:bookmarkEnd w:id="28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 Nature of Business and Significant Accounting Policies</w:t>
      </w:r>
    </w:p>
    <w:p>
      <w:pPr>
        <w:jc w:val="both"/>
        <w:ind w:left="40" w:right="1239" w:firstLine="251"/>
        <w:spacing w:after="0" w:line="266" w:lineRule="auto"/>
        <w:rPr>
          <w:sz w:val="20"/>
          <w:szCs w:val="20"/>
          <w:color w:val="auto"/>
        </w:rPr>
      </w:pPr>
      <w:r>
        <w:rPr>
          <w:rFonts w:ascii="Arial" w:cs="Arial" w:eastAsia="Arial" w:hAnsi="Arial"/>
          <w:sz w:val="16"/>
          <w:szCs w:val="16"/>
          <w:b w:val="1"/>
          <w:bCs w:val="1"/>
          <w:i w:val="1"/>
          <w:iCs w:val="1"/>
          <w:color w:val="auto"/>
        </w:rPr>
        <w:t xml:space="preserve">Nature of business: </w:t>
      </w:r>
      <w:r>
        <w:rPr>
          <w:rFonts w:ascii="Arial" w:cs="Arial" w:eastAsia="Arial" w:hAnsi="Arial"/>
          <w:sz w:val="16"/>
          <w:szCs w:val="16"/>
          <w:color w:val="auto"/>
        </w:rPr>
        <w:t>Innovate/Protect, Inc. (“I/P”) was incorporated under the laws of the state of Delaware on June 8,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(“Inception”), as Labrador Search Corporation. On September 6, 2011, Labrador Search Corporation changed its name to Innovate/Protect, Inc. I/P is a holding company, which, at December 31, 2011,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The consolidated financial statements include the accounts of I/P and the Subsidiaries. Unless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context otherwise indicates, the terms “I/P” or the “Company” mean Innovate/Protect, Inc. and its consolidated subsidiaries. All intercompany balances and transactions have been eliminated in consolidation.</w:t>
      </w:r>
    </w:p>
    <w:p>
      <w:pPr>
        <w:spacing w:after="0" w:line="7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b w:val="1"/>
          <w:bCs w:val="1"/>
          <w:i w:val="1"/>
          <w:iCs w:val="1"/>
          <w:color w:val="auto"/>
        </w:rPr>
        <w:t xml:space="preserve">Estimates and assumptions: </w:t>
      </w:r>
      <w:r>
        <w:rPr>
          <w:rFonts w:ascii="Arial" w:cs="Arial" w:eastAsia="Arial" w:hAnsi="Arial"/>
          <w:sz w:val="16"/>
          <w:szCs w:val="16"/>
          <w:color w:val="auto"/>
        </w:rPr>
        <w:t>The preparation of financial statements in conformity with accounting principles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b w:val="1"/>
          <w:bCs w:val="1"/>
          <w:i w:val="1"/>
          <w:iCs w:val="1"/>
          <w:color w:val="auto"/>
        </w:rPr>
        <w:t xml:space="preserve">Development stage: </w:t>
      </w:r>
      <w:r>
        <w:rPr>
          <w:rFonts w:ascii="Arial" w:cs="Arial" w:eastAsia="Arial" w:hAnsi="Arial"/>
          <w:sz w:val="17"/>
          <w:szCs w:val="17"/>
          <w:color w:val="auto"/>
        </w:rPr>
        <w:t>The Company is in the development stage and had not yet generated revenue for the period from inception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December 31, 2011.</w:t>
      </w:r>
    </w:p>
    <w:p>
      <w:pPr>
        <w:spacing w:after="0" w:line="6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Cash and cash equivalents include cash and highly liquid investments with original maturities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or less. The Company maintains its cash in a non-interest bearing account at a commercial bank, which account balances at times may exceed federally insured limits. The Company has not experienced any losses in such accounts and believes it is not exposed to any significant credit risk on cash and cash equivalents.</w:t>
      </w:r>
    </w:p>
    <w:p>
      <w:pPr>
        <w:spacing w:after="0" w:line="62"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b w:val="1"/>
          <w:bCs w:val="1"/>
          <w:i w:val="1"/>
          <w:iCs w:val="1"/>
          <w:color w:val="auto"/>
        </w:rPr>
        <w:t xml:space="preserve">Intangible assets: </w:t>
      </w:r>
      <w:r>
        <w:rPr>
          <w:rFonts w:ascii="Arial" w:cs="Arial" w:eastAsia="Arial" w:hAnsi="Arial"/>
          <w:sz w:val="15"/>
          <w:szCs w:val="15"/>
          <w:color w:val="auto"/>
        </w:rPr>
        <w:t>Intangible assets consist of patents that were purchased and the costs to acquire them. They are amortized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over 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 Subsequent to acquisition, legal and associated costs incurred in prosecuting alleged infringements of the patents are recognized as expense when incurred.</w:t>
      </w:r>
    </w:p>
    <w:p>
      <w:pPr>
        <w:spacing w:after="0" w:line="5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Property and equipment purchases are recorded at cost. Depreciation is computed using the straight-line method over estimated useful lives of 5 years.</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The Company has made the following types of stock-based awards, valued and reflected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statements as follows:</w:t>
      </w:r>
    </w:p>
    <w:p>
      <w:pPr>
        <w:spacing w:after="0" w:line="62" w:lineRule="exact"/>
        <w:rPr>
          <w:sz w:val="20"/>
          <w:szCs w:val="20"/>
          <w:color w:val="auto"/>
        </w:rPr>
      </w:pPr>
    </w:p>
    <w:p>
      <w:pPr>
        <w:jc w:val="both"/>
        <w:ind w:left="300" w:right="1239" w:firstLine="251"/>
        <w:spacing w:after="0" w:line="259" w:lineRule="auto"/>
        <w:rPr>
          <w:sz w:val="20"/>
          <w:szCs w:val="20"/>
          <w:color w:val="auto"/>
        </w:rPr>
      </w:pPr>
      <w:r>
        <w:rPr>
          <w:rFonts w:ascii="Arial" w:cs="Arial" w:eastAsia="Arial" w:hAnsi="Arial"/>
          <w:sz w:val="17"/>
          <w:szCs w:val="17"/>
          <w:b w:val="1"/>
          <w:bCs w:val="1"/>
          <w:color w:val="auto"/>
        </w:rPr>
        <w:t xml:space="preserve">Common Stock Grants: </w:t>
      </w:r>
      <w:r>
        <w:rPr>
          <w:rFonts w:ascii="Arial" w:cs="Arial" w:eastAsia="Arial" w:hAnsi="Arial"/>
          <w:sz w:val="17"/>
          <w:szCs w:val="17"/>
          <w:color w:val="auto"/>
        </w:rPr>
        <w:t>Common stock grants are valued at their fair market value at the date of the grant, multiplied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number of shares granted. These grants are reflected as compensation expense in the period during which the respective awards vest, ranging from immediate to 36 months from the grant dates.</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8" w:name="page289"/>
    <w:bookmarkEnd w:id="28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08" w:lineRule="auto"/>
        <w:rPr>
          <w:sz w:val="20"/>
          <w:szCs w:val="20"/>
          <w:color w:val="auto"/>
        </w:rPr>
      </w:pPr>
      <w:r>
        <w:rPr>
          <w:rFonts w:ascii="Arial" w:cs="Arial" w:eastAsia="Arial" w:hAnsi="Arial"/>
          <w:sz w:val="16"/>
          <w:szCs w:val="16"/>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300" w:right="1239" w:firstLine="251"/>
        <w:spacing w:after="0" w:line="289" w:lineRule="auto"/>
        <w:rPr>
          <w:sz w:val="20"/>
          <w:szCs w:val="20"/>
          <w:color w:val="auto"/>
        </w:rPr>
      </w:pPr>
      <w:r>
        <w:rPr>
          <w:rFonts w:ascii="Arial" w:cs="Arial" w:eastAsia="Arial" w:hAnsi="Arial"/>
          <w:sz w:val="15"/>
          <w:szCs w:val="15"/>
          <w:b w:val="1"/>
          <w:bCs w:val="1"/>
          <w:color w:val="auto"/>
        </w:rPr>
        <w:t xml:space="preserve">Sales of Common Stock at Less than Fair Market Value: </w:t>
      </w:r>
      <w:r>
        <w:rPr>
          <w:rFonts w:ascii="Arial" w:cs="Arial" w:eastAsia="Arial" w:hAnsi="Arial"/>
          <w:sz w:val="15"/>
          <w:szCs w:val="15"/>
          <w:color w:val="auto"/>
        </w:rPr>
        <w:t>Common stock sales at less than fair market value to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50" w:lineRule="exact"/>
        <w:rPr>
          <w:sz w:val="20"/>
          <w:szCs w:val="20"/>
          <w:color w:val="auto"/>
        </w:rPr>
      </w:pPr>
    </w:p>
    <w:p>
      <w:pPr>
        <w:jc w:val="both"/>
        <w:ind w:left="300" w:right="1239" w:firstLine="251"/>
        <w:spacing w:after="0" w:line="259" w:lineRule="auto"/>
        <w:rPr>
          <w:sz w:val="20"/>
          <w:szCs w:val="20"/>
          <w:color w:val="auto"/>
        </w:rPr>
      </w:pPr>
      <w:r>
        <w:rPr>
          <w:rFonts w:ascii="Arial" w:cs="Arial" w:eastAsia="Arial" w:hAnsi="Arial"/>
          <w:sz w:val="17"/>
          <w:szCs w:val="17"/>
          <w:b w:val="1"/>
          <w:bCs w:val="1"/>
          <w:color w:val="auto"/>
        </w:rPr>
        <w:t xml:space="preserve">Common Stock Options: </w:t>
      </w:r>
      <w:r>
        <w:rPr>
          <w:rFonts w:ascii="Arial" w:cs="Arial" w:eastAsia="Arial" w:hAnsi="Arial"/>
          <w:sz w:val="17"/>
          <w:szCs w:val="17"/>
          <w:color w:val="auto"/>
        </w:rPr>
        <w:t>Common stock options are valued at their fair market value at the time the options are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using the Black-Scholes option pricing model for valuing stock-based compensation awards. Common stock options are reflected as compensation expense in the period during which they vest.</w:t>
      </w:r>
    </w:p>
    <w:p>
      <w:pPr>
        <w:spacing w:after="0" w:line="73"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b w:val="1"/>
          <w:bCs w:val="1"/>
          <w:i w:val="1"/>
          <w:iCs w:val="1"/>
          <w:color w:val="auto"/>
        </w:rPr>
        <w:t xml:space="preserve">Fair value of common stock: </w:t>
      </w:r>
      <w:r>
        <w:rPr>
          <w:rFonts w:ascii="Arial" w:cs="Arial" w:eastAsia="Arial" w:hAnsi="Arial"/>
          <w:sz w:val="16"/>
          <w:szCs w:val="16"/>
          <w:color w:val="auto"/>
        </w:rPr>
        <w:t>At inception, the Company determined the fair value of each common share to be $.25832.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determined the amount of capital it estimated would be required ($1,800,000) to carry the Company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the Company’s Series A Preferred Stock sold would convert upon demand, in accordance with the terms of the Series A Preferred Stock.</w:t>
      </w:r>
    </w:p>
    <w:p>
      <w:pPr>
        <w:spacing w:after="0" w:line="6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Subsequent to inception, the Company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62"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b w:val="1"/>
          <w:bCs w:val="1"/>
          <w:i w:val="1"/>
          <w:iCs w:val="1"/>
          <w:color w:val="auto"/>
        </w:rPr>
        <w:t xml:space="preserve">Fair value of financial instruments: </w:t>
      </w:r>
      <w:r>
        <w:rPr>
          <w:rFonts w:ascii="Arial" w:cs="Arial" w:eastAsia="Arial" w:hAnsi="Arial"/>
          <w:sz w:val="15"/>
          <w:szCs w:val="15"/>
          <w:color w:val="auto"/>
        </w:rPr>
        <w:t>Fair value of financial assets and liabilities is defined as the exchange price that would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40" w:lineRule="exact"/>
        <w:rPr>
          <w:sz w:val="20"/>
          <w:szCs w:val="20"/>
          <w:color w:val="auto"/>
        </w:rPr>
      </w:pPr>
    </w:p>
    <w:p>
      <w:pPr>
        <w:jc w:val="both"/>
        <w:ind w:left="300" w:right="1239" w:firstLine="251"/>
        <w:spacing w:after="0" w:line="267" w:lineRule="auto"/>
        <w:rPr>
          <w:sz w:val="20"/>
          <w:szCs w:val="20"/>
          <w:color w:val="auto"/>
        </w:rPr>
      </w:pPr>
      <w:r>
        <w:rPr>
          <w:rFonts w:ascii="Arial" w:cs="Arial" w:eastAsia="Arial" w:hAnsi="Arial"/>
          <w:sz w:val="17"/>
          <w:szCs w:val="17"/>
          <w:color w:val="auto"/>
        </w:rPr>
        <w:t>Level 1 inputs which are defined as quoted prices (unadjusted) in active markets for identical assets or liabilities that the reporting entity has the ability to access at the measurement date.</w:t>
      </w:r>
    </w:p>
    <w:p>
      <w:pPr>
        <w:spacing w:after="0" w:line="66" w:lineRule="exact"/>
        <w:rPr>
          <w:sz w:val="20"/>
          <w:szCs w:val="20"/>
          <w:color w:val="auto"/>
        </w:rPr>
      </w:pPr>
    </w:p>
    <w:p>
      <w:pPr>
        <w:jc w:val="both"/>
        <w:ind w:left="300" w:right="1239" w:firstLine="251"/>
        <w:spacing w:after="0" w:line="267" w:lineRule="auto"/>
        <w:rPr>
          <w:sz w:val="20"/>
          <w:szCs w:val="20"/>
          <w:color w:val="auto"/>
        </w:rPr>
      </w:pPr>
      <w:r>
        <w:rPr>
          <w:rFonts w:ascii="Arial" w:cs="Arial" w:eastAsia="Arial" w:hAnsi="Arial"/>
          <w:sz w:val="17"/>
          <w:szCs w:val="17"/>
          <w:color w:val="auto"/>
        </w:rPr>
        <w:t>Level 2 inputs which are defined as inputs other than quoted prices included within Level 1 that are observable for the assets or liabilities, either directly or indirectly.</w:t>
      </w:r>
    </w:p>
    <w:p>
      <w:pPr>
        <w:spacing w:after="0" w:line="66" w:lineRule="exact"/>
        <w:rPr>
          <w:sz w:val="20"/>
          <w:szCs w:val="20"/>
          <w:color w:val="auto"/>
        </w:rPr>
      </w:pPr>
    </w:p>
    <w:p>
      <w:pPr>
        <w:jc w:val="both"/>
        <w:ind w:left="300" w:right="1239" w:firstLine="251"/>
        <w:spacing w:after="0" w:line="274"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62"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determined the fair value of the embedded derivative liability to be level 3 inputs. These inputs require material subjectivity because value is derived through the use of probability weighted discounted cash flows. As further discussed in Note 5, the Company has determined that the probability of the holder exercising its options is remote and that any value allocated the embedded derivative at December 31, 2011 would be trivial.</w:t>
      </w:r>
    </w:p>
    <w:p>
      <w:pPr>
        <w:spacing w:after="0" w:line="200" w:lineRule="exact"/>
        <w:rPr>
          <w:sz w:val="20"/>
          <w:szCs w:val="20"/>
          <w:color w:val="auto"/>
        </w:rPr>
      </w:pPr>
    </w:p>
    <w:p>
      <w:pPr>
        <w:spacing w:after="0" w:line="30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9" w:name="page290"/>
    <w:bookmarkEnd w:id="28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1. Nature of Business and Significant Accounting Policies – (continued)</w:t>
      </w:r>
    </w:p>
    <w:p>
      <w:pPr>
        <w:jc w:val="both"/>
        <w:ind w:left="40" w:right="1239" w:firstLine="251"/>
        <w:spacing w:after="0" w:line="256" w:lineRule="auto"/>
        <w:rPr>
          <w:sz w:val="20"/>
          <w:szCs w:val="20"/>
          <w:color w:val="auto"/>
        </w:rPr>
      </w:pPr>
      <w:r>
        <w:rPr>
          <w:rFonts w:ascii="Arial" w:cs="Arial" w:eastAsia="Arial" w:hAnsi="Arial"/>
          <w:sz w:val="17"/>
          <w:szCs w:val="17"/>
          <w:color w:val="auto"/>
        </w:rPr>
        <w:t>Due to the Company being in its development stage, it is not practical to value our notes payable at December 31, 2011. The carrying amounts of cash and cash equivalents, accounts payable and accrued liabilities approximate fair value due to the short term maturity of the instruments.</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Deferred income tax assets and liabilities are determined using the asset and liability method.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7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 valuation allowance is recorded when it is more likely than not that some portion or all of the deferred tax assets will not be realized.</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the Company’s policy to classify interest and penalties related to uncertain income tax matters as income tax expense.</w:t>
      </w:r>
    </w:p>
    <w:p>
      <w:pPr>
        <w:spacing w:after="0" w:line="78"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b w:val="1"/>
          <w:bCs w:val="1"/>
          <w:i w:val="1"/>
          <w:iCs w:val="1"/>
          <w:color w:val="auto"/>
        </w:rPr>
        <w:t xml:space="preserve">Earnings Per Share: </w:t>
      </w:r>
      <w:r>
        <w:rPr>
          <w:rFonts w:ascii="Arial" w:cs="Arial" w:eastAsia="Arial" w:hAnsi="Arial"/>
          <w:sz w:val="15"/>
          <w:szCs w:val="15"/>
          <w:color w:val="auto"/>
        </w:rPr>
        <w:t>Basic loss per share is based on the weighted number of common shares issued and outstanding, and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year ended December 31, 2011 the Company incurred net losses and therefore no common stock equivalents were utilized in the calculation of earnings per share.</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December 31, 2011, the Company excluded the following potentially dilutive securities:</w:t>
      </w:r>
    </w:p>
    <w:p>
      <w:pPr>
        <w:spacing w:after="0" w:line="105" w:lineRule="exact"/>
        <w:rPr>
          <w:sz w:val="20"/>
          <w:szCs w:val="20"/>
          <w:color w:val="auto"/>
        </w:rPr>
      </w:pPr>
    </w:p>
    <w:p>
      <w:pPr>
        <w:ind w:left="560" w:hanging="300"/>
        <w:spacing w:after="0"/>
        <w:tabs>
          <w:tab w:leader="none" w:pos="5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Series A Preferred Stock convertible into 6,968,000 shares of common stock.</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Warrants to purchase 250,000 shares of common stock.</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Options to purchase 13,646 shares of common stock.</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1,237,270 shares of common stock granted but not vested.</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is effective for us prospectively beginning January 1, 2012. We expect the adoption of this new guidance will result in an increase of certain of our financial statement disclosures, but the adoption will not have any impact on our financial position or results of operations.</w:t>
      </w:r>
    </w:p>
    <w:p>
      <w:pPr>
        <w:spacing w:after="0" w:line="200" w:lineRule="exact"/>
        <w:rPr>
          <w:sz w:val="20"/>
          <w:szCs w:val="20"/>
          <w:color w:val="auto"/>
        </w:rPr>
      </w:pPr>
    </w:p>
    <w:p>
      <w:pPr>
        <w:spacing w:after="0" w:line="28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0" w:name="page291"/>
    <w:bookmarkEnd w:id="29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1. Nature of Business and Significant Accounting Policies – (continued)</w:t>
      </w:r>
    </w:p>
    <w:p>
      <w:pPr>
        <w:jc w:val="both"/>
        <w:ind w:left="40" w:right="1239" w:firstLine="251"/>
        <w:spacing w:after="0" w:line="269" w:lineRule="auto"/>
        <w:rPr>
          <w:sz w:val="20"/>
          <w:szCs w:val="20"/>
          <w:color w:val="auto"/>
        </w:rPr>
      </w:pPr>
      <w:r>
        <w:rPr>
          <w:rFonts w:ascii="Arial" w:cs="Arial" w:eastAsia="Arial" w:hAnsi="Arial"/>
          <w:sz w:val="16"/>
          <w:szCs w:val="16"/>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is effective for fiscal years and interim periods within those years, beginning after December 15, 2011; however, early adoption is permitted. We currently do not have any components of other comprehensive income within our consolidated financial statements thus adoption of this new guidance does not impact us.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Liquidity and Capital Resources, Going Concern</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As a development stage company, the Company requires significant amounts of capital to support its operations during the period prior to the commencement of a revenue stream or other liquidity events.</w:t>
      </w:r>
    </w:p>
    <w:p>
      <w:pPr>
        <w:spacing w:after="0" w:line="66"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As of December 31, 2011 the Company had cash of $5,212,142 and working capital of $2,789,563. During the period from inception through December 31, 2011,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twelve (12) months.</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For the period from inception through December 31, 2011, the Company used $4,933,083 of net cash to fund operating activities and to invest in tangible personal and intangible intellectual property. During the period, the Company borrowed $3,200,000 through the issuance of a promissory note and raised $5,145,225 and $1,800,000 through common and preferred stock issuances, respectively.</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40" w:type="dxa"/>
            <w:vAlign w:val="bottom"/>
          </w:tcPr>
          <w:p>
            <w:pPr>
              <w:ind w:left="40"/>
              <w:spacing w:after="0"/>
              <w:rPr>
                <w:sz w:val="20"/>
                <w:szCs w:val="20"/>
                <w:color w:val="auto"/>
              </w:rPr>
            </w:pPr>
            <w:r>
              <w:rPr>
                <w:rFonts w:ascii="Arial" w:cs="Arial" w:eastAsia="Arial" w:hAnsi="Arial"/>
                <w:sz w:val="17"/>
                <w:szCs w:val="17"/>
                <w:b w:val="1"/>
                <w:bCs w:val="1"/>
                <w:color w:val="auto"/>
              </w:rPr>
              <w:t>Note 3. Property and Equipment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88"/>
        </w:trPr>
        <w:tc>
          <w:tcPr>
            <w:tcW w:w="6140" w:type="dxa"/>
            <w:vAlign w:val="bottom"/>
          </w:tcPr>
          <w:p>
            <w:pPr>
              <w:ind w:left="300"/>
              <w:spacing w:after="0"/>
              <w:rPr>
                <w:sz w:val="20"/>
                <w:szCs w:val="20"/>
                <w:color w:val="auto"/>
              </w:rPr>
            </w:pPr>
            <w:r>
              <w:rPr>
                <w:rFonts w:ascii="Arial" w:cs="Arial" w:eastAsia="Arial" w:hAnsi="Arial"/>
                <w:sz w:val="17"/>
                <w:szCs w:val="17"/>
                <w:color w:val="auto"/>
              </w:rPr>
              <w:t>Property and equipment consisted of the following as of December 31, 2011:</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7"/>
                <w:szCs w:val="17"/>
                <w:color w:val="auto"/>
              </w:rPr>
              <w:t>Computer equipment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8,688</w:t>
            </w:r>
          </w:p>
        </w:tc>
        <w:tc>
          <w:tcPr>
            <w:tcW w:w="160" w:type="dxa"/>
            <w:vAlign w:val="bottom"/>
          </w:tcPr>
          <w:p>
            <w:pPr>
              <w:spacing w:after="0"/>
              <w:rPr>
                <w:sz w:val="18"/>
                <w:szCs w:val="18"/>
                <w:color w:val="auto"/>
              </w:rPr>
            </w:pPr>
          </w:p>
        </w:tc>
      </w:tr>
      <w:tr>
        <w:trPr>
          <w:trHeight w:val="201"/>
        </w:trPr>
        <w:tc>
          <w:tcPr>
            <w:tcW w:w="6140" w:type="dxa"/>
            <w:vAlign w:val="bottom"/>
            <w:shd w:val="clear" w:color="auto" w:fill="CCFFCC"/>
          </w:tcPr>
          <w:p>
            <w:pPr>
              <w:spacing w:after="0"/>
              <w:rPr>
                <w:sz w:val="20"/>
                <w:szCs w:val="20"/>
                <w:color w:val="auto"/>
              </w:rPr>
            </w:pPr>
            <w:r>
              <w:rPr>
                <w:rFonts w:ascii="Arial" w:cs="Arial" w:eastAsia="Arial" w:hAnsi="Arial"/>
                <w:sz w:val="17"/>
                <w:szCs w:val="17"/>
                <w:color w:val="auto"/>
              </w:rPr>
              <w:t>Less accumulated depreciation</w:t>
            </w:r>
          </w:p>
        </w:tc>
        <w:tc>
          <w:tcPr>
            <w:tcW w:w="18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(682)</w:t>
            </w:r>
          </w:p>
        </w:tc>
      </w:tr>
      <w:tr>
        <w:trPr>
          <w:trHeight w:val="193"/>
        </w:trPr>
        <w:tc>
          <w:tcPr>
            <w:tcW w:w="6140" w:type="dxa"/>
            <w:vAlign w:val="bottom"/>
            <w:tcBorders>
              <w:top w:val="single" w:sz="8" w:color="CCFFCC"/>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8,006</w:t>
            </w:r>
          </w:p>
        </w:tc>
        <w:tc>
          <w:tcPr>
            <w:tcW w:w="160" w:type="dxa"/>
            <w:vAlign w:val="bottom"/>
            <w:tcBorders>
              <w:top w:val="single" w:sz="8" w:color="CCFFCC"/>
            </w:tcBorders>
          </w:tcPr>
          <w:p>
            <w:pPr>
              <w:spacing w:after="0"/>
              <w:rPr>
                <w:sz w:val="16"/>
                <w:szCs w:val="16"/>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440817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-492760</wp:posOffset>
            </wp:positionV>
            <wp:extent cx="44081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Property and equipment are being depreciated over their expected useful lives.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1" w:name="page292"/>
    <w:bookmarkEnd w:id="29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80" w:type="dxa"/>
            <w:vAlign w:val="bottom"/>
          </w:tcPr>
          <w:p>
            <w:pPr>
              <w:ind w:left="40"/>
              <w:spacing w:after="0"/>
              <w:rPr>
                <w:sz w:val="20"/>
                <w:szCs w:val="20"/>
                <w:color w:val="auto"/>
              </w:rPr>
            </w:pPr>
            <w:r>
              <w:rPr>
                <w:rFonts w:ascii="Arial" w:cs="Arial" w:eastAsia="Arial" w:hAnsi="Arial"/>
                <w:sz w:val="17"/>
                <w:szCs w:val="17"/>
                <w:b w:val="1"/>
                <w:bCs w:val="1"/>
                <w:color w:val="auto"/>
              </w:rPr>
              <w:t>Note 4. Intangible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8"/>
        </w:trPr>
        <w:tc>
          <w:tcPr>
            <w:tcW w:w="6080" w:type="dxa"/>
            <w:vAlign w:val="bottom"/>
          </w:tcPr>
          <w:p>
            <w:pPr>
              <w:ind w:left="300"/>
              <w:spacing w:after="0"/>
              <w:rPr>
                <w:sz w:val="20"/>
                <w:szCs w:val="20"/>
                <w:color w:val="auto"/>
              </w:rPr>
            </w:pPr>
            <w:r>
              <w:rPr>
                <w:rFonts w:ascii="Arial" w:cs="Arial" w:eastAsia="Arial" w:hAnsi="Arial"/>
                <w:sz w:val="17"/>
                <w:szCs w:val="17"/>
                <w:color w:val="auto"/>
              </w:rPr>
              <w:t>Intangible assets consisted of the following as of December 31, 2011: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7"/>
                <w:szCs w:val="17"/>
                <w:color w:val="auto"/>
              </w:rPr>
              <w:t>Patents</w:t>
            </w:r>
          </w:p>
        </w:tc>
        <w:tc>
          <w:tcPr>
            <w:tcW w:w="760" w:type="dxa"/>
            <w:vAlign w:val="bottom"/>
          </w:tcPr>
          <w:p>
            <w:pPr>
              <w:jc w:val="right"/>
              <w:spacing w:after="0"/>
              <w:rPr>
                <w:sz w:val="20"/>
                <w:szCs w:val="20"/>
                <w:color w:val="auto"/>
              </w:rPr>
            </w:pPr>
            <w:r>
              <w:rPr>
                <w:rFonts w:ascii="Arial" w:cs="Arial" w:eastAsia="Arial" w:hAnsi="Arial"/>
                <w:sz w:val="17"/>
                <w:szCs w:val="17"/>
                <w:color w:val="auto"/>
                <w:w w:val="86"/>
              </w:rPr>
              <w:t>$3,395,188</w:t>
            </w:r>
          </w:p>
        </w:tc>
        <w:tc>
          <w:tcPr>
            <w:tcW w:w="100" w:type="dxa"/>
            <w:vAlign w:val="bottom"/>
          </w:tcPr>
          <w:p>
            <w:pPr>
              <w:spacing w:after="0"/>
              <w:rPr>
                <w:sz w:val="18"/>
                <w:szCs w:val="18"/>
                <w:color w:val="auto"/>
              </w:rPr>
            </w:pPr>
          </w:p>
        </w:tc>
      </w:tr>
      <w:tr>
        <w:trPr>
          <w:trHeight w:val="201"/>
        </w:trPr>
        <w:tc>
          <w:tcPr>
            <w:tcW w:w="6080" w:type="dxa"/>
            <w:vAlign w:val="bottom"/>
            <w:shd w:val="clear" w:color="auto" w:fill="CCFFCC"/>
          </w:tcPr>
          <w:p>
            <w:pPr>
              <w:spacing w:after="0"/>
              <w:rPr>
                <w:sz w:val="20"/>
                <w:szCs w:val="20"/>
                <w:color w:val="auto"/>
              </w:rPr>
            </w:pPr>
            <w:r>
              <w:rPr>
                <w:rFonts w:ascii="Arial" w:cs="Arial" w:eastAsia="Arial" w:hAnsi="Arial"/>
                <w:sz w:val="17"/>
                <w:szCs w:val="17"/>
                <w:color w:val="auto"/>
              </w:rPr>
              <w:t>Less accumulated amortization</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(327,596)</w:t>
            </w:r>
          </w:p>
        </w:tc>
      </w:tr>
      <w:tr>
        <w:trPr>
          <w:trHeight w:val="193"/>
        </w:trPr>
        <w:tc>
          <w:tcPr>
            <w:tcW w:w="6080" w:type="dxa"/>
            <w:vAlign w:val="bottom"/>
            <w:tcBorders>
              <w:top w:val="single" w:sz="8" w:color="CCFFCC"/>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3,067,592</w:t>
            </w:r>
          </w:p>
        </w:tc>
        <w:tc>
          <w:tcPr>
            <w:tcW w:w="100" w:type="dxa"/>
            <w:vAlign w:val="bottom"/>
            <w:tcBorders>
              <w:top w:val="single" w:sz="8" w:color="CCFFCC"/>
            </w:tcBorders>
          </w:tcPr>
          <w:p>
            <w:pPr>
              <w:spacing w:after="0"/>
              <w:rPr>
                <w:sz w:val="16"/>
                <w:szCs w:val="16"/>
                <w:color w:val="auto"/>
              </w:rPr>
            </w:pPr>
          </w:p>
        </w:tc>
      </w:tr>
      <w:tr>
        <w:trPr>
          <w:trHeight w:val="20"/>
        </w:trPr>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40817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-492760</wp:posOffset>
            </wp:positionV>
            <wp:extent cx="436816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368165" cy="825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The gross carrying amount of patents is comprised of the original purchase price of $3,200,000 and $195,188 of associated patent acquisition costs. Patents are being amortized over their individual legal lives which expire between 2016 and 2021. The weighted average amortization period for these patents is five years and eleven months.</w:t>
      </w:r>
    </w:p>
    <w:p>
      <w:pPr>
        <w:spacing w:after="0" w:line="58"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Estimated amortization expense for each of the five succeeding years based upon intangible assets owned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Amount</w:t>
            </w:r>
          </w:p>
        </w:tc>
      </w:tr>
      <w:tr>
        <w:trPr>
          <w:trHeight w:val="193"/>
        </w:trPr>
        <w:tc>
          <w:tcPr>
            <w:tcW w:w="598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December 31, 2012</w:t>
            </w:r>
          </w:p>
        </w:tc>
        <w:tc>
          <w:tcPr>
            <w:tcW w:w="96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  622,775</w:t>
            </w:r>
          </w:p>
        </w:tc>
      </w:tr>
      <w:tr>
        <w:trPr>
          <w:trHeight w:val="200"/>
        </w:trPr>
        <w:tc>
          <w:tcPr>
            <w:tcW w:w="5980" w:type="dxa"/>
            <w:vAlign w:val="bottom"/>
          </w:tcPr>
          <w:p>
            <w:pPr>
              <w:spacing w:after="0"/>
              <w:rPr>
                <w:sz w:val="20"/>
                <w:szCs w:val="20"/>
                <w:color w:val="auto"/>
              </w:rPr>
            </w:pPr>
            <w:r>
              <w:rPr>
                <w:rFonts w:ascii="Arial" w:cs="Arial" w:eastAsia="Arial" w:hAnsi="Arial"/>
                <w:sz w:val="17"/>
                <w:szCs w:val="17"/>
                <w:color w:val="auto"/>
              </w:rPr>
              <w:t>December 31, 2013</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622,775</w:t>
            </w:r>
          </w:p>
        </w:tc>
      </w:tr>
      <w:tr>
        <w:trPr>
          <w:trHeight w:val="200"/>
        </w:trPr>
        <w:tc>
          <w:tcPr>
            <w:tcW w:w="5980" w:type="dxa"/>
            <w:vAlign w:val="bottom"/>
            <w:shd w:val="clear" w:color="auto" w:fill="CCFFCC"/>
          </w:tcPr>
          <w:p>
            <w:pPr>
              <w:spacing w:after="0"/>
              <w:rPr>
                <w:sz w:val="20"/>
                <w:szCs w:val="20"/>
                <w:color w:val="auto"/>
              </w:rPr>
            </w:pPr>
            <w:r>
              <w:rPr>
                <w:rFonts w:ascii="Arial" w:cs="Arial" w:eastAsia="Arial" w:hAnsi="Arial"/>
                <w:sz w:val="17"/>
                <w:szCs w:val="17"/>
                <w:color w:val="auto"/>
              </w:rPr>
              <w:t>December 31, 2014</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622,775</w:t>
            </w:r>
          </w:p>
        </w:tc>
      </w:tr>
      <w:tr>
        <w:trPr>
          <w:trHeight w:val="200"/>
        </w:trPr>
        <w:tc>
          <w:tcPr>
            <w:tcW w:w="5980" w:type="dxa"/>
            <w:vAlign w:val="bottom"/>
          </w:tcPr>
          <w:p>
            <w:pPr>
              <w:spacing w:after="0"/>
              <w:rPr>
                <w:sz w:val="20"/>
                <w:szCs w:val="20"/>
                <w:color w:val="auto"/>
              </w:rPr>
            </w:pPr>
            <w:r>
              <w:rPr>
                <w:rFonts w:ascii="Arial" w:cs="Arial" w:eastAsia="Arial" w:hAnsi="Arial"/>
                <w:sz w:val="17"/>
                <w:szCs w:val="17"/>
                <w:color w:val="auto"/>
              </w:rPr>
              <w:t>December 31, 2015</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622,775</w:t>
            </w:r>
          </w:p>
        </w:tc>
      </w:tr>
      <w:tr>
        <w:trPr>
          <w:trHeight w:val="200"/>
        </w:trPr>
        <w:tc>
          <w:tcPr>
            <w:tcW w:w="5980" w:type="dxa"/>
            <w:vAlign w:val="bottom"/>
            <w:shd w:val="clear" w:color="auto" w:fill="CCFFCC"/>
          </w:tcPr>
          <w:p>
            <w:pPr>
              <w:spacing w:after="0"/>
              <w:rPr>
                <w:sz w:val="20"/>
                <w:szCs w:val="20"/>
                <w:color w:val="auto"/>
              </w:rPr>
            </w:pPr>
            <w:r>
              <w:rPr>
                <w:rFonts w:ascii="Arial" w:cs="Arial" w:eastAsia="Arial" w:hAnsi="Arial"/>
                <w:sz w:val="17"/>
                <w:szCs w:val="17"/>
                <w:color w:val="auto"/>
              </w:rPr>
              <w:t>December 31, 2016 and thereafter</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576,492</w:t>
            </w:r>
          </w:p>
        </w:tc>
      </w:tr>
    </w:tbl>
    <w:p>
      <w:pPr>
        <w:spacing w:after="0" w:line="1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Note Payable — Related Party</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Company is obligated under a note payable to Hudson Bay Master Fund Ltd. (“Hudson Bay”) with an outstanding balance of $3,200,000 at December 31, 2011 (the “Hudson Bay Note”). At December 31, 2011, Hudson Bay owned all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Hudson Bay has the option of requiring the Company to redeem up to $2,000,000 aggregate principal of the Hudson Bay Note beginning March 22, 2012.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 Note in the event of a change of control or in event of default at a redemption price, pursuant to a formula, of up to 125% of the sum of the portion of the principal amount and any accrued and unpaid interest.</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December 31, 2011, there were no known conditions of default.</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Company determined there was an embedded derivative since certain redemption options were determined not to be clearly and closely related to the debt host. The Company also determined that the fair value of the embedded derivative was zero at December 31, 2011 since the probability of change in control or event of default in the near future is remote. The gross amount the Company would have to pay if this redemption option is exercised would be $800,000.</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Company will evaluate the fair value of the derivative each reporting period and report changes in the fair value as other income (expense), net.</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2" w:name="page293"/>
    <w:bookmarkEnd w:id="29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6. Series A Convertible Preferred Stock</w:t>
      </w:r>
    </w:p>
    <w:p>
      <w:pPr>
        <w:jc w:val="both"/>
        <w:ind w:left="40" w:right="1239" w:firstLine="251"/>
        <w:spacing w:after="0" w:line="264" w:lineRule="auto"/>
        <w:rPr>
          <w:sz w:val="20"/>
          <w:szCs w:val="20"/>
          <w:color w:val="auto"/>
        </w:rPr>
      </w:pPr>
      <w:r>
        <w:rPr>
          <w:rFonts w:ascii="Arial" w:cs="Arial" w:eastAsia="Arial" w:hAnsi="Arial"/>
          <w:sz w:val="16"/>
          <w:szCs w:val="16"/>
          <w:color w:val="auto"/>
        </w:rPr>
        <w:t>The Company is authorized to issue up to 10,000,000 shares of preferred stock, par value $0.0001, of which 6,968 shares of preferred stick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(including, without limitation, an event of default or change of control) at a redemption price, pursuant to a formula, of up to 125% of the stated value of $1,000 per share, subject to adjustment.</w:t>
      </w:r>
    </w:p>
    <w:p>
      <w:pPr>
        <w:spacing w:after="0" w:line="7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Series A Preferred Stock is classified as mezzanine because certain Triggering Events may occur outside the control of the Company.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7. Warrants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August 30, 2011, the Company issued 250,000 warrants to Hudson Bay. Each warrant entitles Hudson Bay to purchase one</w:t>
      </w:r>
    </w:p>
    <w:p>
      <w:pPr>
        <w:spacing w:after="0" w:line="40" w:lineRule="exact"/>
        <w:rPr>
          <w:sz w:val="20"/>
          <w:szCs w:val="20"/>
          <w:color w:val="auto"/>
        </w:rPr>
      </w:pPr>
    </w:p>
    <w:p>
      <w:pPr>
        <w:jc w:val="both"/>
        <w:ind w:left="40" w:right="1239" w:firstLine="7"/>
        <w:spacing w:after="0" w:line="249" w:lineRule="auto"/>
        <w:tabs>
          <w:tab w:leader="none" w:pos="29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share of common stock in the Company at a price of $1. The warrants expire sixty (60) months after the issue date, and are subject to adjustment for certain corporate events under the terms and conditions contained in the Warrant Agreement between the Company and Hudson Bay dated August 30, 2011.</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Stock-Based Compensation</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June 2011, the Company sold 2,115,625 shares of common stock to an executive officer at par value. The excess of the fair value of the shares sold over the purchase price of the shares at the time of purchase is treated as compensation and is recognized at such times as the shares vest to the benefit of the executive officer. 1,178,125 shares vested immediately upon grant and 937,500 shares vest over a three (3) year period.</w:t>
      </w:r>
    </w:p>
    <w:p>
      <w:pPr>
        <w:spacing w:after="0" w:line="7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June 2011, the Company sold 125,000 shares of common stock to a consultant at par value. The excess of the fair value of the shares sold over the purchase price of the shares is treated as compensation and is recognized at such times as the shares vest to the benefit of the consultant. 62,500 shares vested immediately upon purchase and 62,500 shares vest over a three (3) year period. Compensation related to unvested shares will be recognized in the period the shares vest and will be calculated using the fair value of the common stock at that time.</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August 2011, the Company granted 625,000 shares of common stock to an executive officer of the Company at no cost. The fair value of these shares at the time of grant is treated as compensation and is recognized at such times as the shares vest over an eighteen (18) month period.</w:t>
      </w:r>
    </w:p>
    <w:p>
      <w:pPr>
        <w:spacing w:after="0" w:line="76"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December 31, 2011, 946,354 shares are available for future grant.</w:t>
      </w:r>
    </w:p>
    <w:p>
      <w:pPr>
        <w:spacing w:after="0" w:line="4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November 2011, pursuant to the Plan, the Company granted 40,000 shares of common stock to an independent director of the Company at no cost. The fair value of these shares at the time of grant is treated as compensation and is recognized at such times as the shares vest over an eighteen (18) month period.</w:t>
      </w: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3" w:name="page294"/>
    <w:bookmarkEnd w:id="29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8. Stock-Based Compensation – (continued)</w:t>
      </w:r>
    </w:p>
    <w:p>
      <w:pPr>
        <w:jc w:val="both"/>
        <w:ind w:left="40" w:right="1239" w:firstLine="251"/>
        <w:spacing w:after="0" w:line="307" w:lineRule="auto"/>
        <w:rPr>
          <w:sz w:val="20"/>
          <w:szCs w:val="20"/>
          <w:color w:val="auto"/>
        </w:rPr>
      </w:pPr>
      <w:r>
        <w:rPr>
          <w:rFonts w:ascii="Arial" w:cs="Arial" w:eastAsia="Arial" w:hAnsi="Arial"/>
          <w:sz w:val="15"/>
          <w:szCs w:val="15"/>
          <w:color w:val="auto"/>
        </w:rPr>
        <w:t>In November 2011, pursuant to the Plan, the Company issued stock options to an independent director of the Company at no cost. The options became fully vested and exercisable at the date of grant. The options allows the director to purchase up to 13,646 shares of common stock at an exercise price of $3.00 per share at any time prior to expiration of the options on November 6, 2016.</w:t>
      </w:r>
    </w:p>
    <w:p>
      <w:pPr>
        <w:spacing w:after="0" w:line="4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table below illustrates the grants of common stock and the sales of common stock at less than fair value made during the period from inception through December 31 2011.</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563308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6330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63308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63308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Grant,</w:t>
            </w:r>
          </w:p>
        </w:tc>
        <w:tc>
          <w:tcPr>
            <w:tcW w:w="40" w:type="dxa"/>
            <w:vAlign w:val="bottom"/>
          </w:tcPr>
          <w:p>
            <w:pPr>
              <w:spacing w:after="0"/>
              <w:rPr>
                <w:sz w:val="13"/>
                <w:szCs w:val="13"/>
                <w:color w:val="auto"/>
              </w:rPr>
            </w:pPr>
          </w:p>
        </w:tc>
        <w:tc>
          <w:tcPr>
            <w:tcW w:w="920" w:type="dxa"/>
            <w:vAlign w:val="bottom"/>
          </w:tcPr>
          <w:p>
            <w:pPr>
              <w:jc w:val="right"/>
              <w:ind w:right="153"/>
              <w:spacing w:after="0"/>
              <w:rPr>
                <w:sz w:val="20"/>
                <w:szCs w:val="20"/>
                <w:color w:val="auto"/>
              </w:rPr>
            </w:pPr>
            <w:r>
              <w:rPr>
                <w:rFonts w:ascii="Arial" w:cs="Arial" w:eastAsia="Arial" w:hAnsi="Arial"/>
                <w:sz w:val="13"/>
                <w:szCs w:val="13"/>
                <w:b w:val="1"/>
                <w:bCs w:val="1"/>
                <w:color w:val="auto"/>
              </w:rPr>
              <w:t># Shares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5"/>
              <w:spacing w:after="0"/>
              <w:rPr>
                <w:sz w:val="20"/>
                <w:szCs w:val="20"/>
                <w:color w:val="auto"/>
              </w:rPr>
            </w:pPr>
            <w:r>
              <w:rPr>
                <w:rFonts w:ascii="Arial" w:cs="Arial" w:eastAsia="Arial" w:hAnsi="Arial"/>
                <w:sz w:val="13"/>
                <w:szCs w:val="13"/>
                <w:b w:val="1"/>
                <w:bCs w:val="1"/>
                <w:color w:val="auto"/>
                <w:w w:val="96"/>
              </w:rPr>
              <w:t>Fair Value</w:t>
            </w:r>
          </w:p>
        </w:tc>
        <w:tc>
          <w:tcPr>
            <w:tcW w:w="60" w:type="dxa"/>
            <w:vAlign w:val="bottom"/>
          </w:tcPr>
          <w:p>
            <w:pPr>
              <w:spacing w:after="0"/>
              <w:rPr>
                <w:sz w:val="13"/>
                <w:szCs w:val="13"/>
                <w:color w:val="auto"/>
              </w:rPr>
            </w:pPr>
          </w:p>
        </w:tc>
        <w:tc>
          <w:tcPr>
            <w:tcW w:w="900" w:type="dxa"/>
            <w:vAlign w:val="bottom"/>
          </w:tcPr>
          <w:p>
            <w:pPr>
              <w:jc w:val="right"/>
              <w:ind w:right="45"/>
              <w:spacing w:after="0"/>
              <w:rPr>
                <w:sz w:val="20"/>
                <w:szCs w:val="20"/>
                <w:color w:val="auto"/>
              </w:rPr>
            </w:pPr>
            <w:r>
              <w:rPr>
                <w:rFonts w:ascii="Arial" w:cs="Arial" w:eastAsia="Arial" w:hAnsi="Arial"/>
                <w:sz w:val="13"/>
                <w:szCs w:val="13"/>
                <w:b w:val="1"/>
                <w:bCs w:val="1"/>
                <w:color w:val="auto"/>
              </w:rPr>
              <w:t>Total Value</w:t>
            </w:r>
          </w:p>
        </w:tc>
        <w:tc>
          <w:tcPr>
            <w:tcW w:w="6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 Paid</w:t>
            </w:r>
          </w:p>
        </w:tc>
        <w:tc>
          <w:tcPr>
            <w:tcW w:w="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80" w:type="dxa"/>
            <w:vAlign w:val="bottom"/>
          </w:tcPr>
          <w:p>
            <w:pPr>
              <w:spacing w:after="0"/>
              <w:rPr>
                <w:sz w:val="13"/>
                <w:szCs w:val="13"/>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r>
      <w:tr>
        <w:trPr>
          <w:trHeight w:val="138"/>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Purchase or</w:t>
            </w: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
              <w:spacing w:after="0" w:line="138" w:lineRule="exact"/>
              <w:rPr>
                <w:sz w:val="20"/>
                <w:szCs w:val="20"/>
                <w:color w:val="auto"/>
              </w:rPr>
            </w:pPr>
            <w:r>
              <w:rPr>
                <w:rFonts w:ascii="Arial" w:cs="Arial" w:eastAsia="Arial" w:hAnsi="Arial"/>
                <w:sz w:val="13"/>
                <w:szCs w:val="13"/>
                <w:b w:val="1"/>
                <w:bCs w:val="1"/>
                <w:color w:val="auto"/>
                <w:w w:val="97"/>
              </w:rPr>
              <w:t>at Grant,</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80"/>
              <w:spacing w:after="0" w:line="138" w:lineRule="exact"/>
              <w:rPr>
                <w:sz w:val="20"/>
                <w:szCs w:val="20"/>
                <w:color w:val="auto"/>
              </w:rPr>
            </w:pPr>
            <w:r>
              <w:rPr>
                <w:rFonts w:ascii="Arial" w:cs="Arial" w:eastAsia="Arial" w:hAnsi="Arial"/>
                <w:sz w:val="13"/>
                <w:szCs w:val="13"/>
                <w:b w:val="1"/>
                <w:bCs w:val="1"/>
                <w:color w:val="auto"/>
                <w:w w:val="93"/>
              </w:rPr>
              <w:t>for Shares</w:t>
            </w:r>
          </w:p>
        </w:tc>
        <w:tc>
          <w:tcPr>
            <w:tcW w:w="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7"/>
              </w:rPr>
              <w:t>Stock Based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7"/>
              </w:rPr>
              <w:t>Recognized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1"/>
              </w:rPr>
              <w:t>Not Vested at</w:t>
            </w:r>
          </w:p>
        </w:tc>
      </w:tr>
      <w:tr>
        <w:trPr>
          <w:trHeight w:val="138"/>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Vest Date</w:t>
            </w: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
              <w:spacing w:after="0" w:line="138" w:lineRule="exact"/>
              <w:rPr>
                <w:sz w:val="20"/>
                <w:szCs w:val="20"/>
                <w:color w:val="auto"/>
              </w:rPr>
            </w:pPr>
            <w:r>
              <w:rPr>
                <w:rFonts w:ascii="Arial" w:cs="Arial" w:eastAsia="Arial" w:hAnsi="Arial"/>
                <w:sz w:val="13"/>
                <w:szCs w:val="13"/>
                <w:b w:val="1"/>
                <w:bCs w:val="1"/>
                <w:color w:val="auto"/>
                <w:w w:val="90"/>
              </w:rPr>
              <w:t>Purchase or</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Inception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12/31/11</w:t>
            </w:r>
          </w:p>
        </w:tc>
        <w:tc>
          <w:tcPr>
            <w:tcW w:w="80" w:type="dxa"/>
            <w:vAlign w:val="bottom"/>
          </w:tcPr>
          <w:p>
            <w:pPr>
              <w:spacing w:after="0"/>
              <w:rPr>
                <w:sz w:val="11"/>
                <w:szCs w:val="11"/>
                <w:color w:val="auto"/>
              </w:rPr>
            </w:pPr>
          </w:p>
        </w:tc>
      </w:tr>
      <w:tr>
        <w:trPr>
          <w:trHeight w:val="138"/>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5"/>
              <w:spacing w:after="0" w:line="138" w:lineRule="exact"/>
              <w:rPr>
                <w:sz w:val="20"/>
                <w:szCs w:val="20"/>
                <w:color w:val="auto"/>
              </w:rPr>
            </w:pPr>
            <w:r>
              <w:rPr>
                <w:rFonts w:ascii="Arial" w:cs="Arial" w:eastAsia="Arial" w:hAnsi="Arial"/>
                <w:sz w:val="13"/>
                <w:szCs w:val="13"/>
                <w:b w:val="1"/>
                <w:bCs w:val="1"/>
                <w:color w:val="auto"/>
                <w:w w:val="91"/>
              </w:rPr>
              <w:t>Vest Date</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through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12/31/11</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193"/>
        </w:trPr>
        <w:tc>
          <w:tcPr>
            <w:tcW w:w="114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Consultant</w:t>
            </w:r>
          </w:p>
        </w:tc>
        <w:tc>
          <w:tcPr>
            <w:tcW w:w="96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6/22/2011</w:t>
            </w:r>
          </w:p>
        </w:tc>
        <w:tc>
          <w:tcPr>
            <w:tcW w:w="96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125,000</w:t>
            </w:r>
          </w:p>
        </w:tc>
        <w:tc>
          <w:tcPr>
            <w:tcW w:w="14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color w:val="auto"/>
              </w:rPr>
              <w:t>$</w:t>
            </w: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0.25832</w:t>
            </w:r>
          </w:p>
        </w:tc>
        <w:tc>
          <w:tcPr>
            <w:tcW w:w="60" w:type="dxa"/>
            <w:vAlign w:val="bottom"/>
            <w:shd w:val="clear" w:color="auto" w:fill="CCFFCC"/>
          </w:tcPr>
          <w:p>
            <w:pPr>
              <w:spacing w:after="0"/>
              <w:rPr>
                <w:sz w:val="16"/>
                <w:szCs w:val="16"/>
                <w:color w:val="auto"/>
              </w:rPr>
            </w:pPr>
          </w:p>
        </w:tc>
        <w:tc>
          <w:tcPr>
            <w:tcW w:w="900" w:type="dxa"/>
            <w:vAlign w:val="bottom"/>
            <w:shd w:val="clear" w:color="auto" w:fill="CCFFCC"/>
          </w:tcPr>
          <w:p>
            <w:pPr>
              <w:jc w:val="right"/>
              <w:ind w:right="5"/>
              <w:spacing w:after="0" w:line="193" w:lineRule="exact"/>
              <w:rPr>
                <w:sz w:val="20"/>
                <w:szCs w:val="20"/>
                <w:color w:val="auto"/>
              </w:rPr>
            </w:pPr>
            <w:r>
              <w:rPr>
                <w:rFonts w:ascii="Arial" w:cs="Arial" w:eastAsia="Arial" w:hAnsi="Arial"/>
                <w:sz w:val="17"/>
                <w:szCs w:val="17"/>
                <w:color w:val="auto"/>
              </w:rPr>
              <w:t>N/A</w:t>
            </w:r>
          </w:p>
        </w:tc>
        <w:tc>
          <w:tcPr>
            <w:tcW w:w="1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780" w:type="dxa"/>
            <w:vAlign w:val="bottom"/>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12</w:t>
            </w:r>
          </w:p>
        </w:tc>
        <w:tc>
          <w:tcPr>
            <w:tcW w:w="60" w:type="dxa"/>
            <w:vAlign w:val="bottom"/>
            <w:shd w:val="clear" w:color="auto" w:fill="CCFFCC"/>
          </w:tcPr>
          <w:p>
            <w:pPr>
              <w:spacing w:after="0"/>
              <w:rPr>
                <w:sz w:val="16"/>
                <w:szCs w:val="16"/>
                <w:color w:val="auto"/>
              </w:rPr>
            </w:pP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N/A</w:t>
            </w:r>
          </w:p>
        </w:tc>
        <w:tc>
          <w:tcPr>
            <w:tcW w:w="1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49,070</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170,346*</w:t>
            </w:r>
          </w:p>
        </w:tc>
      </w:tr>
      <w:tr>
        <w:trPr>
          <w:trHeight w:val="200"/>
        </w:trPr>
        <w:tc>
          <w:tcPr>
            <w:tcW w:w="1140" w:type="dxa"/>
            <w:vAlign w:val="bottom"/>
            <w:gridSpan w:val="2"/>
          </w:tcPr>
          <w:p>
            <w:pPr>
              <w:spacing w:after="0"/>
              <w:rPr>
                <w:sz w:val="20"/>
                <w:szCs w:val="20"/>
                <w:color w:val="auto"/>
              </w:rPr>
            </w:pPr>
            <w:r>
              <w:rPr>
                <w:rFonts w:ascii="Arial" w:cs="Arial" w:eastAsia="Arial" w:hAnsi="Arial"/>
                <w:sz w:val="17"/>
                <w:szCs w:val="17"/>
                <w:color w:val="auto"/>
              </w:rPr>
              <w:t>Exec. Officer</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6/22/2011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2,115,625</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0.25832</w:t>
            </w:r>
          </w:p>
        </w:tc>
        <w:tc>
          <w:tcPr>
            <w:tcW w:w="960" w:type="dxa"/>
            <w:vAlign w:val="bottom"/>
            <w:gridSpan w:val="2"/>
          </w:tcPr>
          <w:p>
            <w:pPr>
              <w:jc w:val="right"/>
              <w:ind w:right="5"/>
              <w:spacing w:after="0"/>
              <w:rPr>
                <w:sz w:val="20"/>
                <w:szCs w:val="20"/>
                <w:color w:val="auto"/>
              </w:rPr>
            </w:pPr>
            <w:r>
              <w:rPr>
                <w:rFonts w:ascii="Arial" w:cs="Arial" w:eastAsia="Arial" w:hAnsi="Arial"/>
                <w:sz w:val="17"/>
                <w:szCs w:val="17"/>
                <w:color w:val="auto"/>
              </w:rPr>
              <w:t>546,508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7"/>
                <w:szCs w:val="17"/>
                <w:color w:val="auto"/>
              </w:rPr>
              <w:t>212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546,296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346,329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199,955</w:t>
            </w:r>
          </w:p>
        </w:tc>
      </w:tr>
      <w:tr>
        <w:trPr>
          <w:trHeight w:val="200"/>
        </w:trPr>
        <w:tc>
          <w:tcPr>
            <w:tcW w:w="11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Exec. Officer</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8/10/2011</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625,000</w:t>
            </w:r>
          </w:p>
        </w:tc>
        <w:tc>
          <w:tcPr>
            <w:tcW w:w="140" w:type="dxa"/>
            <w:vAlign w:val="bottom"/>
            <w:gridSpan w:val="2"/>
            <w:shd w:val="clear" w:color="auto" w:fill="CCFFCC"/>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0.25832</w:t>
            </w:r>
          </w:p>
        </w:tc>
        <w:tc>
          <w:tcPr>
            <w:tcW w:w="960" w:type="dxa"/>
            <w:vAlign w:val="bottom"/>
            <w:gridSpan w:val="2"/>
            <w:shd w:val="clear" w:color="auto" w:fill="CCFFCC"/>
          </w:tcPr>
          <w:p>
            <w:pPr>
              <w:jc w:val="right"/>
              <w:ind w:right="5"/>
              <w:spacing w:after="0"/>
              <w:rPr>
                <w:sz w:val="20"/>
                <w:szCs w:val="20"/>
                <w:color w:val="auto"/>
              </w:rPr>
            </w:pPr>
            <w:r>
              <w:rPr>
                <w:rFonts w:ascii="Arial" w:cs="Arial" w:eastAsia="Arial" w:hAnsi="Arial"/>
                <w:sz w:val="17"/>
                <w:szCs w:val="17"/>
                <w:color w:val="auto"/>
              </w:rPr>
              <w:t>161,450</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161,450</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41,900</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119,550</w:t>
            </w:r>
          </w:p>
        </w:tc>
      </w:tr>
      <w:tr>
        <w:trPr>
          <w:trHeight w:val="200"/>
        </w:trPr>
        <w:tc>
          <w:tcPr>
            <w:tcW w:w="11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11/07/2011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40,000</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3.00</w:t>
            </w:r>
          </w:p>
        </w:tc>
        <w:tc>
          <w:tcPr>
            <w:tcW w:w="960" w:type="dxa"/>
            <w:vAlign w:val="bottom"/>
            <w:gridSpan w:val="2"/>
          </w:tcPr>
          <w:p>
            <w:pPr>
              <w:jc w:val="right"/>
              <w:ind w:right="5"/>
              <w:spacing w:after="0"/>
              <w:rPr>
                <w:sz w:val="20"/>
                <w:szCs w:val="20"/>
                <w:color w:val="auto"/>
              </w:rPr>
            </w:pPr>
            <w:r>
              <w:rPr>
                <w:rFonts w:ascii="Arial" w:cs="Arial" w:eastAsia="Arial" w:hAnsi="Arial"/>
                <w:sz w:val="17"/>
                <w:szCs w:val="17"/>
                <w:color w:val="auto"/>
              </w:rPr>
              <w:t>120,000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120,000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11,781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108,219</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3"/>
        </w:trPr>
        <w:tc>
          <w:tcPr>
            <w:tcW w:w="9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449,080</w:t>
            </w:r>
          </w:p>
        </w:tc>
        <w:tc>
          <w:tcPr>
            <w:tcW w:w="60" w:type="dxa"/>
            <w:vAlign w:val="bottom"/>
            <w:shd w:val="clear" w:color="auto" w:fill="CCFFCC"/>
          </w:tcPr>
          <w:p>
            <w:pPr>
              <w:spacing w:after="0"/>
              <w:rPr>
                <w:sz w:val="20"/>
                <w:szCs w:val="20"/>
                <w:color w:val="auto"/>
              </w:rPr>
            </w:pPr>
          </w:p>
        </w:tc>
        <w:tc>
          <w:tcPr>
            <w:tcW w:w="16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598,070</w:t>
            </w:r>
          </w:p>
        </w:tc>
      </w:tr>
      <w:tr>
        <w:trPr>
          <w:trHeight w:val="246"/>
        </w:trPr>
        <w:tc>
          <w:tcPr>
            <w:tcW w:w="900" w:type="dxa"/>
            <w:vAlign w:val="bottom"/>
            <w:tcBorders>
              <w:top w:val="single" w:sz="8" w:color="CCFFCC"/>
              <w:bottom w:val="single" w:sz="8" w:color="auto"/>
            </w:tcBorders>
          </w:tcPr>
          <w:p>
            <w:pPr>
              <w:spacing w:after="0"/>
              <w:rPr>
                <w:sz w:val="21"/>
                <w:szCs w:val="21"/>
                <w:color w:val="auto"/>
              </w:rPr>
            </w:pPr>
          </w:p>
        </w:tc>
        <w:tc>
          <w:tcPr>
            <w:tcW w:w="24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90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92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8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9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9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80" w:type="dxa"/>
            <w:vAlign w:val="bottom"/>
            <w:tcBorders>
              <w:top w:val="single" w:sz="8" w:color="CCFFCC"/>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Borders>
              <w:top w:val="single" w:sz="8" w:color="CCFFCC"/>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5633085" cy="317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633085" cy="31750"/>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Based on the fair value of common stock of $3.30 per share, at December 31, 2011</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Nonvested compensation of $598,070 will vest over approximately 2.5 years.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illustrates the common stock options granted during the period from inception through December 31 2011.</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3743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Pr>
          <w:p>
            <w:pPr>
              <w:spacing w:after="0"/>
              <w:rPr>
                <w:sz w:val="20"/>
                <w:szCs w:val="20"/>
                <w:color w:val="auto"/>
              </w:rPr>
            </w:pPr>
            <w:r>
              <w:rPr>
                <w:rFonts w:ascii="Arial" w:cs="Arial" w:eastAsia="Arial" w:hAnsi="Arial"/>
                <w:sz w:val="13"/>
                <w:szCs w:val="13"/>
                <w:b w:val="1"/>
                <w:bCs w:val="1"/>
                <w:color w:val="auto"/>
              </w:rPr>
              <w:t>Title</w:t>
            </w:r>
          </w:p>
        </w:tc>
        <w:tc>
          <w:tcPr>
            <w:tcW w:w="80" w:type="dxa"/>
            <w:vAlign w:val="bottom"/>
          </w:tcPr>
          <w:p>
            <w:pPr>
              <w:spacing w:after="0"/>
              <w:rPr>
                <w:sz w:val="12"/>
                <w:szCs w:val="12"/>
                <w:color w:val="auto"/>
              </w:rPr>
            </w:pPr>
          </w:p>
        </w:tc>
        <w:tc>
          <w:tcPr>
            <w:tcW w:w="800" w:type="dxa"/>
            <w:vAlign w:val="bottom"/>
          </w:tcPr>
          <w:p>
            <w:pPr>
              <w:ind w:left="80"/>
              <w:spacing w:after="0"/>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2"/>
                <w:szCs w:val="12"/>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b w:val="1"/>
                <w:bCs w:val="1"/>
                <w:color w:val="auto"/>
              </w:rPr>
              <w:t>#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8"/>
              <w:spacing w:after="0"/>
              <w:rPr>
                <w:sz w:val="20"/>
                <w:szCs w:val="20"/>
                <w:color w:val="auto"/>
              </w:rPr>
            </w:pPr>
            <w:r>
              <w:rPr>
                <w:rFonts w:ascii="Arial" w:cs="Arial" w:eastAsia="Arial" w:hAnsi="Arial"/>
                <w:sz w:val="13"/>
                <w:szCs w:val="13"/>
                <w:b w:val="1"/>
                <w:bCs w:val="1"/>
                <w:color w:val="auto"/>
                <w:w w:val="89"/>
              </w:rPr>
              <w:t>Exercise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FMV at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10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Compensation</w:t>
            </w:r>
          </w:p>
        </w:tc>
      </w:tr>
      <w:tr>
        <w:trPr>
          <w:trHeight w:val="138"/>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Price</w:t>
            </w:r>
          </w:p>
        </w:tc>
        <w:tc>
          <w:tcPr>
            <w:tcW w:w="10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9"/>
              </w:rPr>
              <w:t>Grant Date</w:t>
            </w:r>
          </w:p>
        </w:tc>
        <w:tc>
          <w:tcPr>
            <w:tcW w:w="80" w:type="dxa"/>
            <w:vAlign w:val="bottom"/>
          </w:tcPr>
          <w:p>
            <w:pPr>
              <w:spacing w:after="0"/>
              <w:rPr>
                <w:sz w:val="11"/>
                <w:szCs w:val="11"/>
                <w:color w:val="auto"/>
              </w:rPr>
            </w:pPr>
          </w:p>
        </w:tc>
        <w:tc>
          <w:tcPr>
            <w:tcW w:w="90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4"/>
              </w:rPr>
              <w:t>Option 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0"/>
              </w:rPr>
              <w:t>Recognized</w:t>
            </w:r>
          </w:p>
        </w:tc>
        <w:tc>
          <w:tcPr>
            <w:tcW w:w="10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Not Vested at</w:t>
            </w:r>
          </w:p>
        </w:tc>
      </w:tr>
      <w:tr>
        <w:trPr>
          <w:trHeight w:val="138"/>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Inception</w:t>
            </w:r>
          </w:p>
        </w:tc>
        <w:tc>
          <w:tcPr>
            <w:tcW w:w="860" w:type="dxa"/>
            <w:vAlign w:val="bottom"/>
            <w:gridSpan w:val="2"/>
          </w:tcPr>
          <w:p>
            <w:pPr>
              <w:jc w:val="center"/>
              <w:ind w:left="225"/>
              <w:spacing w:after="0" w:line="138" w:lineRule="exact"/>
              <w:rPr>
                <w:sz w:val="20"/>
                <w:szCs w:val="20"/>
                <w:color w:val="auto"/>
              </w:rPr>
            </w:pPr>
            <w:r>
              <w:rPr>
                <w:rFonts w:ascii="Arial" w:cs="Arial" w:eastAsia="Arial" w:hAnsi="Arial"/>
                <w:sz w:val="13"/>
                <w:szCs w:val="13"/>
                <w:b w:val="1"/>
                <w:bCs w:val="1"/>
                <w:color w:val="auto"/>
                <w:w w:val="94"/>
              </w:rPr>
              <w:t>12/31/11</w:t>
            </w:r>
          </w:p>
        </w:tc>
        <w:tc>
          <w:tcPr>
            <w:tcW w:w="200" w:type="dxa"/>
            <w:vAlign w:val="bottom"/>
          </w:tcPr>
          <w:p>
            <w:pPr>
              <w:spacing w:after="0"/>
              <w:rPr>
                <w:sz w:val="11"/>
                <w:szCs w:val="11"/>
                <w:color w:val="auto"/>
              </w:rPr>
            </w:pPr>
          </w:p>
        </w:tc>
      </w:tr>
      <w:tr>
        <w:trPr>
          <w:trHeight w:val="138"/>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through</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58"/>
        </w:trPr>
        <w:tc>
          <w:tcPr>
            <w:tcW w:w="1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12/31/11</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213"/>
        </w:trPr>
        <w:tc>
          <w:tcPr>
            <w:tcW w:w="134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Director</w:t>
            </w:r>
          </w:p>
        </w:tc>
        <w:tc>
          <w:tcPr>
            <w:tcW w:w="880" w:type="dxa"/>
            <w:vAlign w:val="bottom"/>
            <w:gridSpan w:val="2"/>
            <w:shd w:val="clear" w:color="auto" w:fill="CCFFCC"/>
          </w:tcPr>
          <w:p>
            <w:pPr>
              <w:ind w:left="160"/>
              <w:spacing w:after="0" w:line="193" w:lineRule="exact"/>
              <w:rPr>
                <w:sz w:val="20"/>
                <w:szCs w:val="20"/>
                <w:color w:val="auto"/>
              </w:rPr>
            </w:pPr>
            <w:r>
              <w:rPr>
                <w:rFonts w:ascii="Arial" w:cs="Arial" w:eastAsia="Arial" w:hAnsi="Arial"/>
                <w:sz w:val="17"/>
                <w:szCs w:val="17"/>
                <w:color w:val="auto"/>
                <w:w w:val="92"/>
              </w:rPr>
              <w:t>11/6/2011</w:t>
            </w:r>
          </w:p>
        </w:tc>
        <w:tc>
          <w:tcPr>
            <w:tcW w:w="7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13,646</w:t>
            </w:r>
          </w:p>
        </w:tc>
        <w:tc>
          <w:tcPr>
            <w:tcW w:w="1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600" w:type="dxa"/>
            <w:vAlign w:val="bottom"/>
            <w:shd w:val="clear" w:color="auto" w:fill="CCFFCC"/>
          </w:tcPr>
          <w:p>
            <w:pPr>
              <w:jc w:val="right"/>
              <w:ind w:right="148"/>
              <w:spacing w:after="0" w:line="193" w:lineRule="exact"/>
              <w:rPr>
                <w:sz w:val="20"/>
                <w:szCs w:val="20"/>
                <w:color w:val="auto"/>
              </w:rPr>
            </w:pPr>
            <w:r>
              <w:rPr>
                <w:rFonts w:ascii="Arial" w:cs="Arial" w:eastAsia="Arial" w:hAnsi="Arial"/>
                <w:sz w:val="17"/>
                <w:szCs w:val="17"/>
                <w:color w:val="auto"/>
              </w:rPr>
              <w:t>3</w:t>
            </w:r>
          </w:p>
        </w:tc>
        <w:tc>
          <w:tcPr>
            <w:tcW w:w="800" w:type="dxa"/>
            <w:vAlign w:val="bottom"/>
            <w:gridSpan w:val="2"/>
            <w:shd w:val="clear" w:color="auto" w:fill="CCFFCC"/>
          </w:tcPr>
          <w:p>
            <w:pPr>
              <w:jc w:val="right"/>
              <w:ind w:right="13"/>
              <w:spacing w:after="0" w:line="193" w:lineRule="exact"/>
              <w:rPr>
                <w:sz w:val="20"/>
                <w:szCs w:val="20"/>
                <w:color w:val="auto"/>
              </w:rPr>
            </w:pPr>
            <w:r>
              <w:rPr>
                <w:rFonts w:ascii="Arial" w:cs="Arial" w:eastAsia="Arial" w:hAnsi="Arial"/>
                <w:sz w:val="17"/>
                <w:szCs w:val="17"/>
                <w:color w:val="auto"/>
              </w:rPr>
              <w:t>$ 1.8341</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25"/>
              <w:spacing w:after="0" w:line="193"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25,028</w:t>
            </w:r>
          </w:p>
        </w:tc>
        <w:tc>
          <w:tcPr>
            <w:tcW w:w="20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25,028</w:t>
            </w:r>
          </w:p>
        </w:tc>
        <w:tc>
          <w:tcPr>
            <w:tcW w:w="1060" w:type="dxa"/>
            <w:vAlign w:val="bottom"/>
            <w:gridSpan w:val="3"/>
            <w:shd w:val="clear" w:color="auto" w:fill="CCFFCC"/>
          </w:tcPr>
          <w:p>
            <w:pPr>
              <w:jc w:val="right"/>
              <w:ind w:right="200"/>
              <w:spacing w:after="0" w:line="193" w:lineRule="exact"/>
              <w:rPr>
                <w:sz w:val="20"/>
                <w:szCs w:val="20"/>
                <w:color w:val="auto"/>
              </w:rPr>
            </w:pPr>
            <w:r>
              <w:rPr>
                <w:rFonts w:ascii="Arial" w:cs="Arial" w:eastAsia="Arial" w:hAnsi="Arial"/>
                <w:sz w:val="17"/>
                <w:szCs w:val="17"/>
                <w:color w:val="auto"/>
              </w:rPr>
              <w:t>-0-</w:t>
            </w:r>
          </w:p>
        </w:tc>
      </w:tr>
      <w:tr>
        <w:trPr>
          <w:trHeight w:val="20"/>
        </w:trPr>
        <w:tc>
          <w:tcPr>
            <w:tcW w:w="13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The fair value of options granted is estimated on the date of grant using the Black-Scholes option pricing model based on the assumptions in the table below for the years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40817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2860" w:type="dxa"/>
            <w:vAlign w:val="bottom"/>
            <w:gridSpan w:val="2"/>
          </w:tcPr>
          <w:p>
            <w:pPr>
              <w:spacing w:after="0"/>
              <w:rPr>
                <w:sz w:val="20"/>
                <w:szCs w:val="20"/>
                <w:color w:val="auto"/>
              </w:rPr>
            </w:pPr>
            <w:r>
              <w:rPr>
                <w:rFonts w:ascii="Arial" w:cs="Arial" w:eastAsia="Arial" w:hAnsi="Arial"/>
                <w:sz w:val="17"/>
                <w:szCs w:val="17"/>
                <w:color w:val="auto"/>
              </w:rPr>
              <w:t>Expected life (in years)</w:t>
            </w:r>
          </w:p>
        </w:tc>
        <w:tc>
          <w:tcPr>
            <w:tcW w:w="4080" w:type="dxa"/>
            <w:vAlign w:val="bottom"/>
          </w:tcPr>
          <w:p>
            <w:pPr>
              <w:jc w:val="right"/>
              <w:ind w:right="196"/>
              <w:spacing w:after="0"/>
              <w:rPr>
                <w:sz w:val="20"/>
                <w:szCs w:val="20"/>
                <w:color w:val="auto"/>
              </w:rPr>
            </w:pPr>
            <w:r>
              <w:rPr>
                <w:rFonts w:ascii="Arial" w:cs="Arial" w:eastAsia="Arial" w:hAnsi="Arial"/>
                <w:sz w:val="17"/>
                <w:szCs w:val="17"/>
                <w:color w:val="auto"/>
              </w:rPr>
              <w:t>5</w:t>
            </w:r>
          </w:p>
        </w:tc>
        <w:tc>
          <w:tcPr>
            <w:tcW w:w="3100" w:type="dxa"/>
            <w:vAlign w:val="bottom"/>
          </w:tcPr>
          <w:p>
            <w:pPr>
              <w:spacing w:after="0"/>
              <w:rPr>
                <w:sz w:val="17"/>
                <w:szCs w:val="17"/>
                <w:color w:val="auto"/>
              </w:rPr>
            </w:pPr>
          </w:p>
        </w:tc>
      </w:tr>
      <w:tr>
        <w:trPr>
          <w:trHeight w:val="200"/>
        </w:trPr>
        <w:tc>
          <w:tcPr>
            <w:tcW w:w="28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Risk-free interest rate</w:t>
            </w:r>
          </w:p>
        </w:tc>
        <w:tc>
          <w:tcPr>
            <w:tcW w:w="4080" w:type="dxa"/>
            <w:vAlign w:val="bottom"/>
            <w:shd w:val="clear" w:color="auto" w:fill="CCFFCC"/>
          </w:tcPr>
          <w:p>
            <w:pPr>
              <w:jc w:val="right"/>
              <w:ind w:right="76"/>
              <w:spacing w:after="0"/>
              <w:rPr>
                <w:sz w:val="20"/>
                <w:szCs w:val="20"/>
                <w:color w:val="auto"/>
              </w:rPr>
            </w:pPr>
            <w:r>
              <w:rPr>
                <w:rFonts w:ascii="Arial" w:cs="Arial" w:eastAsia="Arial" w:hAnsi="Arial"/>
                <w:sz w:val="17"/>
                <w:szCs w:val="17"/>
                <w:color w:val="auto"/>
              </w:rPr>
              <w:t>0.88%</w:t>
            </w:r>
          </w:p>
        </w:tc>
        <w:tc>
          <w:tcPr>
            <w:tcW w:w="3100" w:type="dxa"/>
            <w:vAlign w:val="bottom"/>
          </w:tcPr>
          <w:p>
            <w:pPr>
              <w:spacing w:after="0"/>
              <w:rPr>
                <w:sz w:val="17"/>
                <w:szCs w:val="17"/>
                <w:color w:val="auto"/>
              </w:rPr>
            </w:pPr>
          </w:p>
        </w:tc>
      </w:tr>
      <w:tr>
        <w:trPr>
          <w:trHeight w:val="200"/>
        </w:trPr>
        <w:tc>
          <w:tcPr>
            <w:tcW w:w="2860" w:type="dxa"/>
            <w:vAlign w:val="bottom"/>
            <w:gridSpan w:val="2"/>
          </w:tcPr>
          <w:p>
            <w:pPr>
              <w:spacing w:after="0"/>
              <w:rPr>
                <w:sz w:val="20"/>
                <w:szCs w:val="20"/>
                <w:color w:val="auto"/>
              </w:rPr>
            </w:pPr>
            <w:r>
              <w:rPr>
                <w:rFonts w:ascii="Arial" w:cs="Arial" w:eastAsia="Arial" w:hAnsi="Arial"/>
                <w:sz w:val="17"/>
                <w:szCs w:val="17"/>
                <w:color w:val="auto"/>
              </w:rPr>
              <w:t>Volatility</w:t>
            </w:r>
          </w:p>
        </w:tc>
        <w:tc>
          <w:tcPr>
            <w:tcW w:w="4080" w:type="dxa"/>
            <w:vAlign w:val="bottom"/>
          </w:tcPr>
          <w:p>
            <w:pPr>
              <w:jc w:val="right"/>
              <w:ind w:right="76"/>
              <w:spacing w:after="0"/>
              <w:rPr>
                <w:sz w:val="20"/>
                <w:szCs w:val="20"/>
                <w:color w:val="auto"/>
              </w:rPr>
            </w:pPr>
            <w:r>
              <w:rPr>
                <w:rFonts w:ascii="Arial" w:cs="Arial" w:eastAsia="Arial" w:hAnsi="Arial"/>
                <w:sz w:val="17"/>
                <w:szCs w:val="17"/>
                <w:color w:val="auto"/>
              </w:rPr>
              <w:t>75%</w:t>
            </w:r>
          </w:p>
        </w:tc>
        <w:tc>
          <w:tcPr>
            <w:tcW w:w="3100" w:type="dxa"/>
            <w:vAlign w:val="bottom"/>
          </w:tcPr>
          <w:p>
            <w:pPr>
              <w:spacing w:after="0"/>
              <w:rPr>
                <w:sz w:val="17"/>
                <w:szCs w:val="17"/>
                <w:color w:val="auto"/>
              </w:rPr>
            </w:pPr>
          </w:p>
        </w:tc>
      </w:tr>
      <w:tr>
        <w:trPr>
          <w:trHeight w:val="200"/>
        </w:trPr>
        <w:tc>
          <w:tcPr>
            <w:tcW w:w="28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Dividend yield</w:t>
            </w:r>
          </w:p>
        </w:tc>
        <w:tc>
          <w:tcPr>
            <w:tcW w:w="4080" w:type="dxa"/>
            <w:vAlign w:val="bottom"/>
            <w:shd w:val="clear" w:color="auto" w:fill="CCFFCC"/>
          </w:tcPr>
          <w:p>
            <w:pPr>
              <w:jc w:val="right"/>
              <w:ind w:right="196"/>
              <w:spacing w:after="0"/>
              <w:rPr>
                <w:sz w:val="20"/>
                <w:szCs w:val="20"/>
                <w:color w:val="auto"/>
              </w:rPr>
            </w:pPr>
            <w:r>
              <w:rPr>
                <w:rFonts w:ascii="Arial" w:cs="Arial" w:eastAsia="Arial" w:hAnsi="Arial"/>
                <w:sz w:val="17"/>
                <w:szCs w:val="17"/>
                <w:color w:val="auto"/>
              </w:rPr>
              <w:t>—</w:t>
            </w:r>
          </w:p>
        </w:tc>
        <w:tc>
          <w:tcPr>
            <w:tcW w:w="3100" w:type="dxa"/>
            <w:vAlign w:val="bottom"/>
          </w:tcPr>
          <w:p>
            <w:pPr>
              <w:spacing w:after="0"/>
              <w:rPr>
                <w:sz w:val="17"/>
                <w:szCs w:val="17"/>
                <w:color w:val="auto"/>
              </w:rPr>
            </w:pPr>
          </w:p>
        </w:tc>
      </w:tr>
      <w:tr>
        <w:trPr>
          <w:trHeight w:val="714"/>
        </w:trPr>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80" w:type="dxa"/>
            <w:vAlign w:val="bottom"/>
          </w:tcPr>
          <w:p>
            <w:pPr>
              <w:jc w:val="right"/>
              <w:ind w:right="2376"/>
              <w:spacing w:after="0"/>
              <w:rPr>
                <w:sz w:val="20"/>
                <w:szCs w:val="20"/>
                <w:color w:val="auto"/>
              </w:rPr>
            </w:pPr>
            <w:r>
              <w:rPr>
                <w:rFonts w:ascii="Arial" w:cs="Arial" w:eastAsia="Arial" w:hAnsi="Arial"/>
                <w:sz w:val="17"/>
                <w:szCs w:val="17"/>
                <w:color w:val="auto"/>
              </w:rPr>
              <w:t>F-76</w:t>
            </w: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408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408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4" w:name="page295"/>
    <w:bookmarkEnd w:id="29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9. Income Taxes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differences between income tax computed using the statutory federal (35%) and state (10% net of federal deduction)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income tax rates and the income tax provision for the period from inception through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36816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3681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Federal income tax benefit at statutory rate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(957,000)</w:t>
            </w:r>
          </w:p>
        </w:tc>
      </w:tr>
      <w:tr>
        <w:trPr>
          <w:trHeight w:val="200"/>
        </w:trPr>
        <w:tc>
          <w:tcPr>
            <w:tcW w:w="6080" w:type="dxa"/>
            <w:vAlign w:val="bottom"/>
            <w:shd w:val="clear" w:color="auto" w:fill="CCFFCC"/>
          </w:tcPr>
          <w:p>
            <w:pPr>
              <w:spacing w:after="0"/>
              <w:rPr>
                <w:sz w:val="20"/>
                <w:szCs w:val="20"/>
                <w:color w:val="auto"/>
              </w:rPr>
            </w:pPr>
            <w:r>
              <w:rPr>
                <w:rFonts w:ascii="Arial" w:cs="Arial" w:eastAsia="Arial" w:hAnsi="Arial"/>
                <w:sz w:val="17"/>
                <w:szCs w:val="17"/>
                <w:color w:val="auto"/>
              </w:rPr>
              <w:t>State tax benefit, net of federal income tax benefit</w:t>
            </w:r>
          </w:p>
        </w:tc>
        <w:tc>
          <w:tcPr>
            <w:tcW w:w="8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w w:val="98"/>
              </w:rPr>
              <w:t>(274,000)</w:t>
            </w:r>
          </w:p>
        </w:tc>
      </w:tr>
      <w:tr>
        <w:trPr>
          <w:trHeight w:val="200"/>
        </w:trPr>
        <w:tc>
          <w:tcPr>
            <w:tcW w:w="6080" w:type="dxa"/>
            <w:vAlign w:val="bottom"/>
          </w:tcPr>
          <w:p>
            <w:pPr>
              <w:spacing w:after="0"/>
              <w:rPr>
                <w:sz w:val="20"/>
                <w:szCs w:val="20"/>
                <w:color w:val="auto"/>
              </w:rPr>
            </w:pPr>
            <w:r>
              <w:rPr>
                <w:rFonts w:ascii="Arial" w:cs="Arial" w:eastAsia="Arial" w:hAnsi="Arial"/>
                <w:sz w:val="17"/>
                <w:szCs w:val="17"/>
                <w:color w:val="auto"/>
              </w:rPr>
              <w:t>Increase in valuation allowance</w:t>
            </w: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1,231,000</w:t>
            </w:r>
          </w:p>
        </w:tc>
        <w:tc>
          <w:tcPr>
            <w:tcW w:w="100" w:type="dxa"/>
            <w:vAlign w:val="bottom"/>
          </w:tcPr>
          <w:p>
            <w:pPr>
              <w:spacing w:after="0"/>
              <w:rPr>
                <w:sz w:val="17"/>
                <w:szCs w:val="17"/>
                <w:color w:val="auto"/>
              </w:rPr>
            </w:pPr>
          </w:p>
        </w:tc>
      </w:tr>
      <w:tr>
        <w:trPr>
          <w:trHeight w:val="233"/>
        </w:trPr>
        <w:tc>
          <w:tcPr>
            <w:tcW w:w="6080" w:type="dxa"/>
            <w:vAlign w:val="bottom"/>
            <w:tcBorders>
              <w:bottom w:val="single" w:sz="8" w:color="CCFFCC"/>
            </w:tcBorders>
            <w:shd w:val="clear" w:color="auto" w:fill="CCFFCC"/>
          </w:tcPr>
          <w:p>
            <w:pPr>
              <w:ind w:left="160"/>
              <w:spacing w:after="0" w:line="193" w:lineRule="exact"/>
              <w:rPr>
                <w:sz w:val="20"/>
                <w:szCs w:val="20"/>
                <w:color w:val="auto"/>
              </w:rPr>
            </w:pPr>
            <w:r>
              <w:rPr>
                <w:rFonts w:ascii="Arial" w:cs="Arial" w:eastAsia="Arial" w:hAnsi="Arial"/>
                <w:sz w:val="17"/>
                <w:szCs w:val="17"/>
                <w:color w:val="auto"/>
              </w:rPr>
              <w:t>Income tax expense</w:t>
            </w:r>
          </w:p>
        </w:tc>
        <w:tc>
          <w:tcPr>
            <w:tcW w:w="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CFFCC"/>
            </w:tcBorders>
            <w:shd w:val="clear" w:color="auto" w:fill="CCFFC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December 31, 2011, the temporary differences resulted in net deferred tax assets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3641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3364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Deferred tax assets resulting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shd w:val="clear" w:color="auto" w:fill="CCFFCC"/>
          </w:tcPr>
          <w:p>
            <w:pPr>
              <w:ind w:left="340"/>
              <w:spacing w:after="0"/>
              <w:rPr>
                <w:sz w:val="20"/>
                <w:szCs w:val="20"/>
                <w:color w:val="auto"/>
              </w:rPr>
            </w:pPr>
            <w:r>
              <w:rPr>
                <w:rFonts w:ascii="Arial" w:cs="Arial" w:eastAsia="Arial" w:hAnsi="Arial"/>
                <w:sz w:val="17"/>
                <w:szCs w:val="17"/>
                <w:color w:val="auto"/>
              </w:rPr>
              <w:t>Startup costs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46,000</w:t>
            </w:r>
          </w:p>
        </w:tc>
      </w:tr>
      <w:tr>
        <w:trPr>
          <w:trHeight w:val="200"/>
        </w:trPr>
        <w:tc>
          <w:tcPr>
            <w:tcW w:w="6020" w:type="dxa"/>
            <w:vAlign w:val="bottom"/>
          </w:tcPr>
          <w:p>
            <w:pPr>
              <w:ind w:left="160"/>
              <w:spacing w:after="0"/>
              <w:rPr>
                <w:sz w:val="20"/>
                <w:szCs w:val="20"/>
                <w:color w:val="auto"/>
              </w:rPr>
            </w:pPr>
            <w:r>
              <w:rPr>
                <w:rFonts w:ascii="Arial" w:cs="Arial" w:eastAsia="Arial" w:hAnsi="Arial"/>
                <w:sz w:val="17"/>
                <w:szCs w:val="17"/>
                <w:color w:val="auto"/>
              </w:rPr>
              <w:t>Estimated net operating loss carryforwards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1,185,000</w:t>
            </w:r>
          </w:p>
        </w:tc>
        <w:tc>
          <w:tcPr>
            <w:tcW w:w="100" w:type="dxa"/>
            <w:vAlign w:val="bottom"/>
          </w:tcPr>
          <w:p>
            <w:pPr>
              <w:spacing w:after="0"/>
              <w:rPr>
                <w:sz w:val="17"/>
                <w:szCs w:val="17"/>
                <w:color w:val="auto"/>
              </w:rPr>
            </w:pPr>
          </w:p>
        </w:tc>
      </w:tr>
      <w:tr>
        <w:trPr>
          <w:trHeight w:val="193"/>
        </w:trPr>
        <w:tc>
          <w:tcPr>
            <w:tcW w:w="60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w w:val="92"/>
              </w:rPr>
              <w:t>1,231,000</w:t>
            </w:r>
          </w:p>
        </w:tc>
      </w:tr>
      <w:tr>
        <w:trPr>
          <w:trHeight w:val="200"/>
        </w:trPr>
        <w:tc>
          <w:tcPr>
            <w:tcW w:w="602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w w:val="87"/>
              </w:rPr>
              <w:t>(1,231,000)</w:t>
            </w:r>
          </w:p>
        </w:tc>
      </w:tr>
      <w:tr>
        <w:trPr>
          <w:trHeight w:val="233"/>
        </w:trPr>
        <w:tc>
          <w:tcPr>
            <w:tcW w:w="6020" w:type="dxa"/>
            <w:vAlign w:val="bottom"/>
            <w:tcBorders>
              <w:bottom w:val="single" w:sz="8" w:color="CCFFCC"/>
            </w:tcBorders>
            <w:shd w:val="clear" w:color="auto" w:fill="CCFFCC"/>
          </w:tcPr>
          <w:p>
            <w:pPr>
              <w:ind w:left="500"/>
              <w:spacing w:after="0" w:line="193" w:lineRule="exact"/>
              <w:rPr>
                <w:sz w:val="20"/>
                <w:szCs w:val="20"/>
                <w:color w:val="auto"/>
              </w:rPr>
            </w:pPr>
            <w:r>
              <w:rPr>
                <w:rFonts w:ascii="Arial" w:cs="Arial" w:eastAsia="Arial" w:hAnsi="Arial"/>
                <w:sz w:val="17"/>
                <w:szCs w:val="17"/>
                <w:color w:val="auto"/>
              </w:rPr>
              <w:t>Net deferred tax</w:t>
            </w: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CFFCC"/>
            </w:tcBorders>
            <w:shd w:val="clear" w:color="auto" w:fill="CCFFC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Company has determined that, based on objective evidence currently available, it is not likely that the deferred tax assets will be realized. Accordingly, the Company has provided a valuation allowance for the full amount of the deferred tax assets at December 31, 2011. There are no amounts of interest or penalties related to tax matters contained within the balance sheet at December 31, 2011. Under current tax law, net operating losses can be carried forward through the year to end December 31, 2031.</w:t>
      </w:r>
    </w:p>
    <w:p>
      <w:pPr>
        <w:spacing w:after="0" w:line="4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12 months of December 31, 2011. The Company will be required to file income tax returns with the United States federal jurisdiction and the State and City of New York beginning with the year ending December 31, 2011. Only tax returns for the tax year 2011 are open and, once filed, will be subject to examination by relevant tax jurisdictions.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10. Lease Obligations</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Estimated occupancy expense for the remaining lease term based upon lease obligations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Amount</w:t>
            </w:r>
          </w:p>
        </w:tc>
        <w:tc>
          <w:tcPr>
            <w:tcW w:w="3100" w:type="dxa"/>
            <w:vAlign w:val="bottom"/>
          </w:tcPr>
          <w:p>
            <w:pPr>
              <w:spacing w:after="0"/>
              <w:rPr>
                <w:sz w:val="14"/>
                <w:szCs w:val="14"/>
                <w:color w:val="auto"/>
              </w:rPr>
            </w:pPr>
          </w:p>
        </w:tc>
      </w:tr>
      <w:tr>
        <w:trPr>
          <w:trHeight w:val="193"/>
        </w:trPr>
        <w:tc>
          <w:tcPr>
            <w:tcW w:w="1140" w:type="dxa"/>
            <w:vAlign w:val="bottom"/>
            <w:tcBorders>
              <w:top w:val="single" w:sz="8" w:color="auto"/>
            </w:tcBorders>
            <w:shd w:val="clear" w:color="auto" w:fill="CCFFCC"/>
          </w:tcPr>
          <w:p>
            <w:pPr>
              <w:spacing w:after="0" w:line="193" w:lineRule="exact"/>
              <w:rPr>
                <w:sz w:val="20"/>
                <w:szCs w:val="20"/>
                <w:color w:val="auto"/>
              </w:rPr>
            </w:pPr>
            <w:r>
              <w:rPr>
                <w:rFonts w:ascii="Arial" w:cs="Arial" w:eastAsia="Arial" w:hAnsi="Arial"/>
                <w:sz w:val="17"/>
                <w:szCs w:val="17"/>
                <w:color w:val="auto"/>
              </w:rPr>
              <w:t>2012</w:t>
            </w:r>
          </w:p>
        </w:tc>
        <w:tc>
          <w:tcPr>
            <w:tcW w:w="4840" w:type="dxa"/>
            <w:vAlign w:val="bottom"/>
            <w:tcBorders>
              <w:top w:val="single" w:sz="8" w:color="auto"/>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680" w:type="dxa"/>
            <w:vAlign w:val="bottom"/>
            <w:tcBorders>
              <w:top w:val="single" w:sz="8" w:color="auto"/>
            </w:tcBorders>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25,824</w:t>
            </w:r>
          </w:p>
        </w:tc>
        <w:tc>
          <w:tcPr>
            <w:tcW w:w="3100" w:type="dxa"/>
            <w:vAlign w:val="bottom"/>
          </w:tcPr>
          <w:p>
            <w:pPr>
              <w:spacing w:after="0"/>
              <w:rPr>
                <w:sz w:val="16"/>
                <w:szCs w:val="16"/>
                <w:color w:val="auto"/>
              </w:rPr>
            </w:pP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2013</w:t>
            </w:r>
          </w:p>
        </w:tc>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25,824</w:t>
            </w:r>
          </w:p>
        </w:tc>
        <w:tc>
          <w:tcPr>
            <w:tcW w:w="3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3"/>
        </w:trPr>
        <w:tc>
          <w:tcPr>
            <w:tcW w:w="6260" w:type="dxa"/>
            <w:vAlign w:val="bottom"/>
            <w:gridSpan w:val="4"/>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51,648</w:t>
            </w:r>
          </w:p>
        </w:tc>
        <w:tc>
          <w:tcPr>
            <w:tcW w:w="3100" w:type="dxa"/>
            <w:vAlign w:val="bottom"/>
          </w:tcPr>
          <w:p>
            <w:pPr>
              <w:spacing w:after="0"/>
              <w:rPr>
                <w:sz w:val="20"/>
                <w:szCs w:val="20"/>
                <w:color w:val="auto"/>
              </w:rPr>
            </w:pPr>
          </w:p>
        </w:tc>
      </w:tr>
      <w:tr>
        <w:trPr>
          <w:trHeight w:val="704"/>
        </w:trPr>
        <w:tc>
          <w:tcPr>
            <w:tcW w:w="1140" w:type="dxa"/>
            <w:vAlign w:val="bottom"/>
            <w:tcBorders>
              <w:top w:val="single" w:sz="8" w:color="CCFFCC"/>
            </w:tcBorders>
          </w:tcPr>
          <w:p>
            <w:pPr>
              <w:spacing w:after="0"/>
              <w:rPr>
                <w:sz w:val="24"/>
                <w:szCs w:val="24"/>
                <w:color w:val="auto"/>
              </w:rPr>
            </w:pPr>
          </w:p>
        </w:tc>
        <w:tc>
          <w:tcPr>
            <w:tcW w:w="5000" w:type="dxa"/>
            <w:vAlign w:val="bottom"/>
            <w:tcBorders>
              <w:top w:val="single" w:sz="8" w:color="CCFFCC"/>
            </w:tcBorders>
            <w:gridSpan w:val="2"/>
          </w:tcPr>
          <w:p>
            <w:pPr>
              <w:ind w:left="3020"/>
              <w:spacing w:after="0"/>
              <w:rPr>
                <w:sz w:val="20"/>
                <w:szCs w:val="20"/>
                <w:color w:val="auto"/>
              </w:rPr>
            </w:pPr>
            <w:r>
              <w:rPr>
                <w:rFonts w:ascii="Arial" w:cs="Arial" w:eastAsia="Arial" w:hAnsi="Arial"/>
                <w:sz w:val="17"/>
                <w:szCs w:val="17"/>
                <w:color w:val="auto"/>
              </w:rPr>
              <w:t>F-77</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48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-612140</wp:posOffset>
            </wp:positionV>
            <wp:extent cx="4408170" cy="317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5" w:name="page296"/>
    <w:bookmarkEnd w:id="29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11. Contingencies</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48"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At this stage of the litigation, the Company cannot assess the duration, cost or outcome of the infringement action.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12. Subsequent Events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Subsequent events have been evaluated through March 2, 2012, the date the financial statements were available to be issued.</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6" w:name="page297"/>
    <w:bookmarkEnd w:id="29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A</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AGREEMENT AND PLAN OF MERGER</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BY AND AMONG</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VIP MERGER SUB,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AND</w:t>
      </w: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INNOVATE/PROTECT, INC.</w:t>
      </w:r>
    </w:p>
    <w:p>
      <w:pPr>
        <w:spacing w:after="0" w:line="109"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Dated as of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420370</wp:posOffset>
            </wp:positionV>
            <wp:extent cx="5674360" cy="571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7" w:name="page298"/>
    <w:bookmarkEnd w:id="29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40" w:type="dxa"/>
            <w:vAlign w:val="bottom"/>
          </w:tcPr>
          <w:p>
            <w:pPr>
              <w:ind w:left="40"/>
              <w:spacing w:after="0"/>
              <w:rPr>
                <w:sz w:val="20"/>
                <w:szCs w:val="20"/>
                <w:color w:val="auto"/>
              </w:rPr>
            </w:pPr>
            <w:r>
              <w:rPr>
                <w:rFonts w:ascii="Arial" w:cs="Arial" w:eastAsia="Arial" w:hAnsi="Arial"/>
                <w:sz w:val="17"/>
                <w:szCs w:val="17"/>
                <w:color w:val="auto"/>
              </w:rPr>
              <w:t>EXHIBITS</w:t>
            </w:r>
          </w:p>
        </w:tc>
        <w:tc>
          <w:tcPr>
            <w:tcW w:w="890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A</w:t>
            </w:r>
          </w:p>
        </w:tc>
        <w:tc>
          <w:tcPr>
            <w:tcW w:w="8900" w:type="dxa"/>
            <w:vAlign w:val="bottom"/>
          </w:tcPr>
          <w:p>
            <w:pPr>
              <w:ind w:left="120"/>
              <w:spacing w:after="0"/>
              <w:rPr>
                <w:sz w:val="20"/>
                <w:szCs w:val="20"/>
                <w:color w:val="auto"/>
              </w:rPr>
            </w:pPr>
            <w:r>
              <w:rPr>
                <w:rFonts w:ascii="Arial" w:cs="Arial" w:eastAsia="Arial" w:hAnsi="Arial"/>
                <w:sz w:val="17"/>
                <w:szCs w:val="17"/>
                <w:color w:val="auto"/>
              </w:rPr>
              <w:t>Reserved</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B</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Certificate of Merger</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C</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Certificate of Designations [attached as Annex E]</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D</w:t>
            </w:r>
          </w:p>
        </w:tc>
        <w:tc>
          <w:tcPr>
            <w:tcW w:w="8900" w:type="dxa"/>
            <w:vAlign w:val="bottom"/>
          </w:tcPr>
          <w:p>
            <w:pPr>
              <w:ind w:left="120"/>
              <w:spacing w:after="0"/>
              <w:rPr>
                <w:sz w:val="20"/>
                <w:szCs w:val="20"/>
                <w:color w:val="auto"/>
              </w:rPr>
            </w:pPr>
            <w:r>
              <w:rPr>
                <w:rFonts w:ascii="Arial" w:cs="Arial" w:eastAsia="Arial" w:hAnsi="Arial"/>
                <w:sz w:val="17"/>
                <w:szCs w:val="17"/>
                <w:color w:val="auto"/>
              </w:rPr>
              <w:t>Reserved</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E</w:t>
            </w:r>
          </w:p>
        </w:tc>
        <w:tc>
          <w:tcPr>
            <w:tcW w:w="8900" w:type="dxa"/>
            <w:vAlign w:val="bottom"/>
          </w:tcPr>
          <w:p>
            <w:pPr>
              <w:ind w:left="120"/>
              <w:spacing w:after="0"/>
              <w:rPr>
                <w:sz w:val="20"/>
                <w:szCs w:val="20"/>
                <w:color w:val="auto"/>
              </w:rPr>
            </w:pPr>
            <w:r>
              <w:rPr>
                <w:rFonts w:ascii="Arial" w:cs="Arial" w:eastAsia="Arial" w:hAnsi="Arial"/>
                <w:sz w:val="17"/>
                <w:szCs w:val="17"/>
                <w:color w:val="auto"/>
              </w:rPr>
              <w:t>Reserved</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F</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Series 1 Warrant [attached as Annex F]</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G</w:t>
            </w:r>
          </w:p>
        </w:tc>
        <w:tc>
          <w:tcPr>
            <w:tcW w:w="8900" w:type="dxa"/>
            <w:vAlign w:val="bottom"/>
          </w:tcPr>
          <w:p>
            <w:pPr>
              <w:ind w:left="120"/>
              <w:spacing w:after="0"/>
              <w:rPr>
                <w:sz w:val="20"/>
                <w:szCs w:val="20"/>
                <w:color w:val="auto"/>
              </w:rPr>
            </w:pPr>
            <w:r>
              <w:rPr>
                <w:rFonts w:ascii="Arial" w:cs="Arial" w:eastAsia="Arial" w:hAnsi="Arial"/>
                <w:sz w:val="17"/>
                <w:szCs w:val="17"/>
                <w:color w:val="auto"/>
              </w:rPr>
              <w:t>Form Series 2 Warrant [attached as Annex G]</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H</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Amended and Restated Senior Secured Promissory Note</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I</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Amended and Restated Pledge and Security Agreement</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J</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Amended and Restated Guaranty</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K</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Certificate of Incorporation of Surviving Corporation</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L</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Bylaws of Surviving Corporation</w:t>
            </w:r>
          </w:p>
        </w:tc>
      </w:tr>
      <w:tr>
        <w:trPr>
          <w:trHeight w:val="213"/>
        </w:trPr>
        <w:tc>
          <w:tcPr>
            <w:tcW w:w="1140" w:type="dxa"/>
            <w:vAlign w:val="bottom"/>
          </w:tcPr>
          <w:p>
            <w:pPr>
              <w:spacing w:after="0"/>
              <w:rPr>
                <w:sz w:val="20"/>
                <w:szCs w:val="20"/>
                <w:color w:val="auto"/>
              </w:rPr>
            </w:pPr>
            <w:r>
              <w:rPr>
                <w:rFonts w:ascii="Arial" w:cs="Arial" w:eastAsia="Arial" w:hAnsi="Arial"/>
                <w:sz w:val="17"/>
                <w:szCs w:val="17"/>
                <w:color w:val="auto"/>
              </w:rPr>
              <w:t>EXHIBIT M</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Hudson Bay Letter Agreement</w:t>
            </w:r>
          </w:p>
        </w:tc>
      </w:tr>
      <w:tr>
        <w:trPr>
          <w:trHeight w:val="714"/>
        </w:trPr>
        <w:tc>
          <w:tcPr>
            <w:tcW w:w="1140" w:type="dxa"/>
            <w:vAlign w:val="bottom"/>
          </w:tcPr>
          <w:p>
            <w:pPr>
              <w:spacing w:after="0"/>
              <w:rPr>
                <w:sz w:val="24"/>
                <w:szCs w:val="24"/>
                <w:color w:val="auto"/>
              </w:rPr>
            </w:pPr>
          </w:p>
        </w:tc>
        <w:tc>
          <w:tcPr>
            <w:tcW w:w="8900" w:type="dxa"/>
            <w:vAlign w:val="bottom"/>
          </w:tcPr>
          <w:p>
            <w:pPr>
              <w:ind w:left="3160"/>
              <w:spacing w:after="0"/>
              <w:rPr>
                <w:sz w:val="20"/>
                <w:szCs w:val="20"/>
                <w:color w:val="auto"/>
              </w:rPr>
            </w:pPr>
            <w:r>
              <w:rPr>
                <w:rFonts w:ascii="Arial" w:cs="Arial" w:eastAsia="Arial" w:hAnsi="Arial"/>
                <w:sz w:val="17"/>
                <w:szCs w:val="17"/>
                <w:color w:val="auto"/>
              </w:rPr>
              <w:t>i</w:t>
            </w:r>
          </w:p>
        </w:tc>
      </w:tr>
      <w:tr>
        <w:trPr>
          <w:trHeight w:val="150"/>
        </w:trPr>
        <w:tc>
          <w:tcPr>
            <w:tcW w:w="1140" w:type="dxa"/>
            <w:vAlign w:val="bottom"/>
          </w:tcPr>
          <w:p>
            <w:pPr>
              <w:spacing w:after="0"/>
              <w:rPr>
                <w:sz w:val="13"/>
                <w:szCs w:val="13"/>
                <w:color w:val="auto"/>
              </w:rPr>
            </w:pPr>
          </w:p>
        </w:tc>
        <w:tc>
          <w:tcPr>
            <w:tcW w:w="89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-2306955</wp:posOffset>
            </wp:positionV>
            <wp:extent cx="480568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8" w:name="page299"/>
    <w:bookmarkEnd w:id="29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235521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Business Day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Merger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Closing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Closing Date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Code</w:t>
      </w:r>
    </w:p>
    <w:p>
      <w:pPr>
        <w:spacing w:after="0" w:line="5" w:lineRule="exact"/>
        <w:rPr>
          <w:sz w:val="20"/>
          <w:szCs w:val="20"/>
          <w:color w:val="auto"/>
        </w:rPr>
      </w:pPr>
    </w:p>
    <w:p>
      <w:pPr>
        <w:ind w:right="920"/>
        <w:spacing w:after="0" w:line="246" w:lineRule="auto"/>
        <w:rPr>
          <w:sz w:val="20"/>
          <w:szCs w:val="20"/>
          <w:color w:val="auto"/>
        </w:rPr>
      </w:pPr>
      <w:r>
        <w:rPr>
          <w:rFonts w:ascii="Arial" w:cs="Arial" w:eastAsia="Arial" w:hAnsi="Arial"/>
          <w:sz w:val="17"/>
          <w:szCs w:val="17"/>
          <w:color w:val="auto"/>
        </w:rPr>
        <w:t>Common Stock Exchange Ratio Company</w:t>
      </w:r>
    </w:p>
    <w:p>
      <w:pPr>
        <w:ind w:right="760"/>
        <w:spacing w:after="0" w:line="246" w:lineRule="auto"/>
        <w:rPr>
          <w:sz w:val="20"/>
          <w:szCs w:val="20"/>
          <w:color w:val="auto"/>
        </w:rPr>
      </w:pPr>
      <w:r>
        <w:rPr>
          <w:rFonts w:ascii="Arial" w:cs="Arial" w:eastAsia="Arial" w:hAnsi="Arial"/>
          <w:sz w:val="17"/>
          <w:szCs w:val="17"/>
          <w:color w:val="auto"/>
        </w:rPr>
        <w:t>Company Capital Stock Company Certificate Company Certificates Company Common Stock Company Disclosure Schedule Company Employee Plans Company Intellectual Property Company Material Adverse Effect Company Material Contracts Company Option Plan Company Stock Options Company Warrant DGCL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Effective Time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Equitable Exceptions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ERISA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ERISA Affiliate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Governmental Authority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Insurance Policies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Interim Period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knowledge of the Company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Liens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Material Permits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Merger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Merger Consideration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Merger Shares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Merger Sub</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Merger Sub Common Stock</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Most Recent Balance Sheet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Most Recent Balance Sheet Date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Other Filings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 Common Stock</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 Disclosure Schedule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 Material Contracts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 SEC Reports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Parent’s Most Recent Balance Sheet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Parent’s Most Recent Balance Sheet Date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Parties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Personal Property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Returns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Securities 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Series A Stock</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Subsidiary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Surviving Corporation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Takeover Laws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Tax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Termination Fee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Defined terms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-109220</wp:posOffset>
            </wp:positionV>
            <wp:extent cx="235521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93980</wp:posOffset>
            </wp:positionV>
            <wp:extent cx="5674360" cy="571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40"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1.2</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1.3</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1.2</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1.2</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1.7(c)</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1.7(c)</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1.7(c)</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Article II</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2.16(a)</w:t>
      </w:r>
    </w:p>
    <w:p>
      <w:pPr>
        <w:spacing w:after="0" w:line="5" w:lineRule="exact"/>
        <w:rPr>
          <w:sz w:val="20"/>
          <w:szCs w:val="20"/>
          <w:color w:val="auto"/>
        </w:rPr>
      </w:pPr>
    </w:p>
    <w:p>
      <w:pPr>
        <w:jc w:val="center"/>
        <w:ind w:right="2279"/>
        <w:spacing w:after="0"/>
        <w:rPr>
          <w:sz w:val="20"/>
          <w:szCs w:val="20"/>
          <w:color w:val="auto"/>
        </w:rPr>
      </w:pPr>
      <w:r>
        <w:rPr>
          <w:rFonts w:ascii="Arial" w:cs="Arial" w:eastAsia="Arial" w:hAnsi="Arial"/>
          <w:sz w:val="15"/>
          <w:szCs w:val="15"/>
          <w:color w:val="auto"/>
        </w:rPr>
        <w:t>2.20(a)</w:t>
      </w:r>
    </w:p>
    <w:p>
      <w:pPr>
        <w:spacing w:after="0" w:line="28" w:lineRule="exact"/>
        <w:rPr>
          <w:sz w:val="20"/>
          <w:szCs w:val="20"/>
          <w:color w:val="auto"/>
        </w:rPr>
      </w:pPr>
    </w:p>
    <w:p>
      <w:pPr>
        <w:jc w:val="center"/>
        <w:ind w:right="2299"/>
        <w:spacing w:after="0"/>
        <w:rPr>
          <w:sz w:val="20"/>
          <w:szCs w:val="20"/>
          <w:color w:val="auto"/>
        </w:rPr>
      </w:pPr>
      <w:r>
        <w:rPr>
          <w:rFonts w:ascii="Arial" w:cs="Arial" w:eastAsia="Arial" w:hAnsi="Arial"/>
          <w:sz w:val="16"/>
          <w:szCs w:val="16"/>
          <w:color w:val="auto"/>
        </w:rPr>
        <w:t>rticle II</w:t>
      </w:r>
    </w:p>
    <w:p>
      <w:pPr>
        <w:spacing w:after="0" w:line="16" w:lineRule="exact"/>
        <w:rPr>
          <w:sz w:val="20"/>
          <w:szCs w:val="20"/>
          <w:color w:val="auto"/>
        </w:rPr>
      </w:pPr>
    </w:p>
    <w:p>
      <w:pPr>
        <w:jc w:val="center"/>
        <w:ind w:right="2199"/>
        <w:spacing w:after="0"/>
        <w:rPr>
          <w:sz w:val="20"/>
          <w:szCs w:val="20"/>
          <w:color w:val="auto"/>
        </w:rPr>
      </w:pPr>
      <w:r>
        <w:rPr>
          <w:rFonts w:ascii="Arial" w:cs="Arial" w:eastAsia="Arial" w:hAnsi="Arial"/>
          <w:sz w:val="15"/>
          <w:szCs w:val="15"/>
          <w:color w:val="auto"/>
        </w:rPr>
        <w:t>2.9(a)</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1.10(a)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2.3(b)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2.3(b)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1.3</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2.4(b)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2.16(a)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2.16(a)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2.4(d)</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2.19(a)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4.1(a)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Article II</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2.2(d)</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2.11(a)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1.7(c)</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1.7(c)</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1.11</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2.6</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2.6</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5.1(b)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Article III</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3.9(a)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3.5(a)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3.6</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3.6</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3.24(b)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2.15(b)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2.2(d)</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2.2(f)</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1.1</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4.2(a)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2.15(a)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7.3(b)</w:t>
      </w:r>
    </w:p>
    <w:p>
      <w:pPr>
        <w:sectPr>
          <w:pgSz w:w="11900" w:h="16838" w:orient="portrait"/>
          <w:cols w:equalWidth="0" w:num="3">
            <w:col w:w="3060" w:space="720"/>
            <w:col w:w="2440" w:space="720"/>
            <w:col w:w="3159"/>
          </w:cols>
          <w:pgMar w:left="360" w:top="746" w:right="1440" w:bottom="1440" w:gutter="0" w:footer="0" w:header="0"/>
        </w:sectPr>
      </w:pPr>
    </w:p>
    <w:bookmarkStart w:id="299" w:name="page300"/>
    <w:bookmarkEnd w:id="29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AGREEMENT AND PLAN OF MERGER</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BY AND AMONG</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VIP MERGER SUB,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AND</w:t>
      </w: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INNOVATE/PROTECT, INC.</w:t>
      </w:r>
    </w:p>
    <w:p>
      <w:pPr>
        <w:spacing w:after="0" w:line="109"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Dated as of March 12, 2012</w:t>
      </w:r>
    </w:p>
    <w:p>
      <w:pPr>
        <w:spacing w:after="0" w:line="101"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5"/>
          <w:szCs w:val="15"/>
          <w:color w:val="auto"/>
        </w:rPr>
        <w:t>AGREEMENT AND PLAN OF MERGER (this “</w:t>
      </w:r>
      <w:r>
        <w:rPr>
          <w:rFonts w:ascii="Arial" w:cs="Arial" w:eastAsia="Arial" w:hAnsi="Arial"/>
          <w:sz w:val="15"/>
          <w:szCs w:val="15"/>
          <w:b w:val="1"/>
          <w:bCs w:val="1"/>
          <w:color w:val="auto"/>
        </w:rPr>
        <w:t>Agreement</w:t>
      </w:r>
      <w:r>
        <w:rPr>
          <w:rFonts w:ascii="Arial" w:cs="Arial" w:eastAsia="Arial" w:hAnsi="Arial"/>
          <w:sz w:val="15"/>
          <w:szCs w:val="15"/>
          <w:color w:val="auto"/>
        </w:rPr>
        <w:t>”), made and entered into as of March 12, 2012 by and among VRINGO, INC., a Delaware corporation (“</w:t>
      </w:r>
      <w:r>
        <w:rPr>
          <w:rFonts w:ascii="Arial" w:cs="Arial" w:eastAsia="Arial" w:hAnsi="Arial"/>
          <w:sz w:val="15"/>
          <w:szCs w:val="15"/>
          <w:b w:val="1"/>
          <w:bCs w:val="1"/>
          <w:color w:val="auto"/>
        </w:rPr>
        <w:t>Parent</w:t>
      </w:r>
      <w:r>
        <w:rPr>
          <w:rFonts w:ascii="Arial" w:cs="Arial" w:eastAsia="Arial" w:hAnsi="Arial"/>
          <w:sz w:val="15"/>
          <w:szCs w:val="15"/>
          <w:color w:val="auto"/>
        </w:rPr>
        <w:t>”), VIP MERGER SUB, INC., a Delaware corporation and wholly owned Subsidiary of Parent (“</w:t>
      </w:r>
      <w:r>
        <w:rPr>
          <w:rFonts w:ascii="Arial" w:cs="Arial" w:eastAsia="Arial" w:hAnsi="Arial"/>
          <w:sz w:val="15"/>
          <w:szCs w:val="15"/>
          <w:b w:val="1"/>
          <w:bCs w:val="1"/>
          <w:color w:val="auto"/>
        </w:rPr>
        <w:t>Merger Sub</w:t>
      </w:r>
      <w:r>
        <w:rPr>
          <w:rFonts w:ascii="Arial" w:cs="Arial" w:eastAsia="Arial" w:hAnsi="Arial"/>
          <w:sz w:val="15"/>
          <w:szCs w:val="15"/>
          <w:color w:val="auto"/>
        </w:rPr>
        <w:t>”), and INNOVATE/PROTECT,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Parent, Merger Sub and the Company are sometimes referred to herein each individually as a “</w:t>
      </w:r>
      <w:r>
        <w:rPr>
          <w:rFonts w:ascii="Arial" w:cs="Arial" w:eastAsia="Arial" w:hAnsi="Arial"/>
          <w:sz w:val="15"/>
          <w:szCs w:val="15"/>
          <w:b w:val="1"/>
          <w:bCs w:val="1"/>
          <w:color w:val="auto"/>
        </w:rPr>
        <w:t>Party</w:t>
      </w:r>
      <w:r>
        <w:rPr>
          <w:rFonts w:ascii="Arial" w:cs="Arial" w:eastAsia="Arial" w:hAnsi="Arial"/>
          <w:sz w:val="15"/>
          <w:szCs w:val="15"/>
          <w:color w:val="auto"/>
        </w:rPr>
        <w:t>” and, collectively, as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47"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WHEREAS, the Boards of Directors of Parent, Merger Sub and the Company have each declared it to be advisable and in the best interests of each corporation and their respective stockholders that Parent and the Company combine in order to advance their long-term business interests;</w:t>
      </w:r>
    </w:p>
    <w:p>
      <w:pPr>
        <w:spacing w:after="0" w:line="7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WHEREAS, the Boards of Directors of Parent, Merger Sub and the Company have each approved this Agreement and the merger of the Company with and into Merger Sub (the “</w:t>
      </w:r>
      <w:r>
        <w:rPr>
          <w:rFonts w:ascii="Arial" w:cs="Arial" w:eastAsia="Arial" w:hAnsi="Arial"/>
          <w:sz w:val="17"/>
          <w:szCs w:val="17"/>
          <w:b w:val="1"/>
          <w:bCs w:val="1"/>
          <w:color w:val="auto"/>
        </w:rPr>
        <w:t>Merger</w:t>
      </w:r>
      <w:r>
        <w:rPr>
          <w:rFonts w:ascii="Arial" w:cs="Arial" w:eastAsia="Arial" w:hAnsi="Arial"/>
          <w:sz w:val="17"/>
          <w:szCs w:val="17"/>
          <w:color w:val="auto"/>
        </w:rPr>
        <w:t>”), in accordance with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and the terms and conditions set forth herein, which Merger will result in, among other things, the surviving company becoming a wholly owned subsidiary of Parent and the Company stockholders becoming stockholders of Parent; and</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WHEREAS, for federal income tax purposes, it is intended that the Merger qualify as a tax-free reorganization within the meaning of Section 368(a)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the regulations promulgated thereunder.</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NOW, THEREFORE, in consideration of the foregoing and the mutual representations, warranties, covenants and agreements herein contained, and other good and valuable consideration, the receipt and sufficiency of which is hereby acknowledged, the Parties hereby agree as follows:</w:t>
      </w:r>
    </w:p>
    <w:p>
      <w:pPr>
        <w:spacing w:after="0" w:line="172"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I</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MERGER</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The Merger</w:t>
      </w:r>
      <w:r>
        <w:rPr>
          <w:rFonts w:ascii="Arial" w:cs="Arial" w:eastAsia="Arial" w:hAnsi="Arial"/>
          <w:sz w:val="16"/>
          <w:szCs w:val="16"/>
          <w:color w:val="auto"/>
        </w:rPr>
        <w:t>. At the Effective Time (as defined in Section 1.3), in accordance with the DGCL and the terms and conditions of this Agreement, the Company shall be merged with and into Merger Sub. From and after the Effective Time, the separate corporate existence of the Company shall cease and Merger Sub, as the surviving corporation in the Merger, shall continue its existence under the DGCL as a wholly owned subsidiary of Parent. Merger Sub as the surviving corporation after the Merger is hereinafter sometimes referred to as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w:t>
      </w:r>
    </w:p>
    <w:p>
      <w:pPr>
        <w:spacing w:after="0" w:line="6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Closing</w:t>
      </w:r>
      <w:r>
        <w:rPr>
          <w:rFonts w:ascii="Arial" w:cs="Arial" w:eastAsia="Arial" w:hAnsi="Arial"/>
          <w:sz w:val="15"/>
          <w:szCs w:val="15"/>
          <w:color w:val="auto"/>
        </w:rPr>
        <w:t>. Unless this Agreement shall have been terminated and the transactions contemplated by this Agreement abandoned pursuant to the provisions of Article VIII, and subject to the satisfaction or waiver, as the case may be, of the conditions set forth in Article VI, the closing of the Merger and other transactions contemplated by this Agreement (the “</w:t>
      </w:r>
      <w:r>
        <w:rPr>
          <w:rFonts w:ascii="Arial" w:cs="Arial" w:eastAsia="Arial" w:hAnsi="Arial"/>
          <w:sz w:val="15"/>
          <w:szCs w:val="15"/>
          <w:b w:val="1"/>
          <w:bCs w:val="1"/>
          <w:color w:val="auto"/>
        </w:rPr>
        <w:t>Closing</w:t>
      </w:r>
      <w:r>
        <w:rPr>
          <w:rFonts w:ascii="Arial" w:cs="Arial" w:eastAsia="Arial" w:hAnsi="Arial"/>
          <w:sz w:val="15"/>
          <w:szCs w:val="15"/>
          <w:color w:val="auto"/>
        </w:rPr>
        <w:t>”) shall take place at 10:00 a.m. (eastern standard time) on a date to be mutually agreed upon by the Parties (the “</w:t>
      </w:r>
      <w:r>
        <w:rPr>
          <w:rFonts w:ascii="Arial" w:cs="Arial" w:eastAsia="Arial" w:hAnsi="Arial"/>
          <w:sz w:val="15"/>
          <w:szCs w:val="15"/>
          <w:b w:val="1"/>
          <w:bCs w:val="1"/>
          <w:color w:val="auto"/>
        </w:rPr>
        <w:t>Closing Date</w:t>
      </w:r>
      <w:r>
        <w:rPr>
          <w:rFonts w:ascii="Arial" w:cs="Arial" w:eastAsia="Arial" w:hAnsi="Arial"/>
          <w:sz w:val="15"/>
          <w:szCs w:val="15"/>
          <w:color w:val="auto"/>
        </w:rPr>
        <w:t>”), which date shall be no later than the second Business Day (as defined below) after all the conditions set forth in Article VI (excluding conditions that, by their nature, cannot be satisfied until the Closing) shall have been satisfied or waived in accordance with Section 7.5, unless another time and/or date is agreed to in writing by the Parties. The Closing shall take place at the offices of Mintz, Levin, Cohn, Ferris, Glovsky and Popeo, P.C., 666 Third Avenue, New York, New York 10017. For purposes of this Agreement, “</w:t>
      </w:r>
      <w:r>
        <w:rPr>
          <w:rFonts w:ascii="Arial" w:cs="Arial" w:eastAsia="Arial" w:hAnsi="Arial"/>
          <w:sz w:val="15"/>
          <w:szCs w:val="15"/>
          <w:b w:val="1"/>
          <w:bCs w:val="1"/>
          <w:color w:val="auto"/>
        </w:rPr>
        <w:t>Business Day</w:t>
      </w:r>
      <w:r>
        <w:rPr>
          <w:rFonts w:ascii="Arial" w:cs="Arial" w:eastAsia="Arial" w:hAnsi="Arial"/>
          <w:sz w:val="15"/>
          <w:szCs w:val="15"/>
          <w:color w:val="auto"/>
        </w:rPr>
        <w:t>” shall mean any day on which banks are permitted to be open in New York, New York.</w:t>
      </w:r>
    </w:p>
    <w:p>
      <w:pPr>
        <w:spacing w:after="0" w:line="200" w:lineRule="exact"/>
        <w:rPr>
          <w:sz w:val="20"/>
          <w:szCs w:val="20"/>
          <w:color w:val="auto"/>
        </w:rPr>
      </w:pPr>
    </w:p>
    <w:p>
      <w:pPr>
        <w:spacing w:after="0" w:line="275"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0" w:name="page301"/>
    <w:bookmarkEnd w:id="30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Subject to the provisions of this Agreement, on the Closing Date or as soon thereafter as is practicable the Parties shall cause the Merger to become effective by executing and filing in accordance with the DGCL a certificate of merger with the Secretary of State of the State of Delaware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Certificate of</w:t>
      </w:r>
      <w:r>
        <w:rPr>
          <w:rFonts w:ascii="Arial" w:cs="Arial" w:eastAsia="Arial" w:hAnsi="Arial"/>
          <w:sz w:val="17"/>
          <w:szCs w:val="17"/>
          <w:color w:val="auto"/>
        </w:rPr>
        <w:t xml:space="preserve"> </w:t>
      </w:r>
      <w:r>
        <w:rPr>
          <w:rFonts w:ascii="Arial" w:cs="Arial" w:eastAsia="Arial" w:hAnsi="Arial"/>
          <w:sz w:val="17"/>
          <w:szCs w:val="17"/>
          <w:b w:val="1"/>
          <w:bCs w:val="1"/>
          <w:color w:val="auto"/>
        </w:rPr>
        <w:t>Merger</w:t>
      </w:r>
      <w:r>
        <w:rPr>
          <w:rFonts w:ascii="Arial" w:cs="Arial" w:eastAsia="Arial" w:hAnsi="Arial"/>
          <w:sz w:val="17"/>
          <w:szCs w:val="17"/>
          <w:color w:val="auto"/>
        </w:rPr>
        <w:t>”), the date and time of such filing, or such later date and time as may be agreed upon by the Parties and specified therein,</w:t>
      </w:r>
      <w:r>
        <w:rPr>
          <w:rFonts w:ascii="Arial" w:cs="Arial" w:eastAsia="Arial" w:hAnsi="Arial"/>
          <w:sz w:val="17"/>
          <w:szCs w:val="17"/>
          <w:b w:val="1"/>
          <w:bCs w:val="1"/>
          <w:color w:val="auto"/>
        </w:rPr>
        <w:t xml:space="preserve"> </w:t>
      </w:r>
      <w:r>
        <w:rPr>
          <w:rFonts w:ascii="Arial" w:cs="Arial" w:eastAsia="Arial" w:hAnsi="Arial"/>
          <w:sz w:val="17"/>
          <w:szCs w:val="17"/>
          <w:color w:val="auto"/>
        </w:rPr>
        <w:t>being hereinafter referred to as the “</w:t>
      </w:r>
      <w:r>
        <w:rPr>
          <w:rFonts w:ascii="Arial" w:cs="Arial" w:eastAsia="Arial" w:hAnsi="Arial"/>
          <w:sz w:val="17"/>
          <w:szCs w:val="17"/>
          <w:b w:val="1"/>
          <w:bCs w:val="1"/>
          <w:color w:val="auto"/>
        </w:rPr>
        <w:t>Effective Time</w:t>
      </w:r>
      <w:r>
        <w:rPr>
          <w:rFonts w:ascii="Arial" w:cs="Arial" w:eastAsia="Arial" w:hAnsi="Arial"/>
          <w:sz w:val="17"/>
          <w:szCs w:val="17"/>
          <w:color w:val="auto"/>
        </w:rPr>
        <w:t>.”</w:t>
      </w:r>
    </w:p>
    <w:p>
      <w:pPr>
        <w:spacing w:after="0" w:line="8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Effect of the Merger</w:t>
      </w:r>
      <w:r>
        <w:rPr>
          <w:rFonts w:ascii="Arial" w:cs="Arial" w:eastAsia="Arial" w:hAnsi="Arial"/>
          <w:sz w:val="17"/>
          <w:szCs w:val="17"/>
          <w:color w:val="auto"/>
        </w:rPr>
        <w:t>. At the Effective Time, the Merger shall have the effects set forth in this Agreement and in the applicable provisions of the DGCL. Without limiting the generality of the foregoing, and subject thereto, at the Effective Time all the assets, properties,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8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Certificate of Incorporation and Bylaws of the Surviving Corporation</w:t>
      </w:r>
      <w:r>
        <w:rPr>
          <w:rFonts w:ascii="Arial" w:cs="Arial" w:eastAsia="Arial" w:hAnsi="Arial"/>
          <w:sz w:val="16"/>
          <w:szCs w:val="16"/>
          <w:color w:val="auto"/>
        </w:rPr>
        <w:t xml:space="preserve">. From and after the Effective Time and without further action on the part of the Parties, the Certificate of Incorporation and Bylaws of Merger Sub immediately prior to the Effective Time shall be the Certificate of Incorporation and Bylaws of the Surviving Corporation, in the forms attached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hereto, respectively, until amended in accordance with the respective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the parties shall take all action necessary to amend the Certificate of Incorporation of the Surviving Corporation so that Article First of the Certificate of Incorporation of the Surviving Corporation shall be amended to read as follows: “The name of the corporation is Innovate/Protect, Inc.”</w:t>
      </w:r>
    </w:p>
    <w:p>
      <w:pPr>
        <w:spacing w:after="0" w:line="71"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Directors and Officers</w:t>
      </w:r>
      <w:r>
        <w:rPr>
          <w:rFonts w:ascii="Arial" w:cs="Arial" w:eastAsia="Arial" w:hAnsi="Arial"/>
          <w:sz w:val="15"/>
          <w:szCs w:val="15"/>
          <w:color w:val="auto"/>
        </w:rPr>
        <w:t>. The initial directors and officers of the Surviving Corporation, each to hold office in accordance with the Certificate of Incorporation and the Bylaws of the Surviving Corporation shall be as set forth in Section 5.11 hereto.</w:t>
      </w:r>
    </w:p>
    <w:p>
      <w:pPr>
        <w:spacing w:after="0" w:line="2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Conversion of Company Common Stock, Etc</w:t>
      </w:r>
      <w:r>
        <w:rPr>
          <w:rFonts w:ascii="Arial" w:cs="Arial" w:eastAsia="Arial" w:hAnsi="Arial"/>
          <w:sz w:val="17"/>
          <w:szCs w:val="17"/>
          <w:color w:val="auto"/>
        </w:rPr>
        <w:t>. At the Effective Time, by virtue of the Merger and without any action on the part of the Parties or the holders of the following securities:</w:t>
      </w:r>
    </w:p>
    <w:p>
      <w:pPr>
        <w:spacing w:after="0" w:line="62" w:lineRule="exact"/>
        <w:rPr>
          <w:sz w:val="20"/>
          <w:szCs w:val="20"/>
          <w:color w:val="auto"/>
        </w:rPr>
      </w:pPr>
    </w:p>
    <w:p>
      <w:pPr>
        <w:jc w:val="both"/>
        <w:ind w:left="300" w:right="1239" w:firstLine="248"/>
        <w:spacing w:after="0" w:line="270" w:lineRule="auto"/>
        <w:tabs>
          <w:tab w:leader="none" w:pos="84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Each share of the Company’s common stock, par value $0.0001 per share (“</w:t>
      </w:r>
      <w:r>
        <w:rPr>
          <w:rFonts w:ascii="Arial" w:cs="Arial" w:eastAsia="Arial" w:hAnsi="Arial"/>
          <w:sz w:val="16"/>
          <w:szCs w:val="16"/>
          <w:b w:val="1"/>
          <w:bCs w:val="1"/>
          <w:color w:val="auto"/>
        </w:rPr>
        <w:t>Company Common Stock</w:t>
      </w:r>
      <w:r>
        <w:rPr>
          <w:rFonts w:ascii="Arial" w:cs="Arial" w:eastAsia="Arial" w:hAnsi="Arial"/>
          <w:sz w:val="16"/>
          <w:szCs w:val="16"/>
          <w:color w:val="auto"/>
        </w:rPr>
        <w:t>”) issued and outstanding immediately prior to the Effective Time (other than any shares of Company Common Stock to be canceled and retired pursuant to Section 1.8) shall be converted automatically into the right to receive that number (expressed as a decimal) of fully paid and non-assessable shares of common stock of Parent, par value $0.01 per share (the “</w:t>
      </w:r>
      <w:r>
        <w:rPr>
          <w:rFonts w:ascii="Arial" w:cs="Arial" w:eastAsia="Arial" w:hAnsi="Arial"/>
          <w:sz w:val="16"/>
          <w:szCs w:val="16"/>
          <w:b w:val="1"/>
          <w:bCs w:val="1"/>
          <w:color w:val="auto"/>
        </w:rPr>
        <w:t>Parent Common Stock</w:t>
      </w:r>
      <w:r>
        <w:rPr>
          <w:rFonts w:ascii="Arial" w:cs="Arial" w:eastAsia="Arial" w:hAnsi="Arial"/>
          <w:sz w:val="16"/>
          <w:szCs w:val="16"/>
          <w:color w:val="auto"/>
        </w:rPr>
        <w:t>”) equal to the Common Stock Exchange Ratio. For purposes of this Agreement, the “Common Stock Exchange Ratio” shall initially be 3.0176, subject to adjustment as set forth in Section 1.13.</w:t>
      </w:r>
    </w:p>
    <w:p>
      <w:pPr>
        <w:spacing w:after="0" w:line="61" w:lineRule="exact"/>
        <w:rPr>
          <w:rFonts w:ascii="Arial" w:cs="Arial" w:eastAsia="Arial" w:hAnsi="Arial"/>
          <w:sz w:val="16"/>
          <w:szCs w:val="16"/>
          <w:color w:val="auto"/>
        </w:rPr>
      </w:pPr>
    </w:p>
    <w:p>
      <w:pPr>
        <w:jc w:val="both"/>
        <w:ind w:left="300" w:right="1239" w:firstLine="248"/>
        <w:spacing w:after="0" w:line="287" w:lineRule="auto"/>
        <w:tabs>
          <w:tab w:leader="none" w:pos="82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Each share of the Company’s Series A Convertible Preferred Stock, par value $0.0001 per share (the “</w:t>
      </w:r>
      <w:r>
        <w:rPr>
          <w:rFonts w:ascii="Arial" w:cs="Arial" w:eastAsia="Arial" w:hAnsi="Arial"/>
          <w:sz w:val="15"/>
          <w:szCs w:val="15"/>
          <w:b w:val="1"/>
          <w:bCs w:val="1"/>
          <w:color w:val="auto"/>
        </w:rPr>
        <w:t>Series A Stock</w:t>
      </w:r>
      <w:r>
        <w:rPr>
          <w:rFonts w:ascii="Arial" w:cs="Arial" w:eastAsia="Arial" w:hAnsi="Arial"/>
          <w:sz w:val="15"/>
          <w:szCs w:val="15"/>
          <w:color w:val="auto"/>
        </w:rPr>
        <w:t>”), issued and outstanding immediately prior to the Effective Time (other than any shares of Series A Stock to be canceled and retired pursuant to Section 1.8) shall be converted automatically into the right to receive that number (expressed as a decimal) of fully paid and non-assessable shares of Parent Series A Convertible Preferred Stock (“</w:t>
      </w:r>
      <w:r>
        <w:rPr>
          <w:rFonts w:ascii="Arial" w:cs="Arial" w:eastAsia="Arial" w:hAnsi="Arial"/>
          <w:sz w:val="15"/>
          <w:szCs w:val="15"/>
          <w:b w:val="1"/>
          <w:bCs w:val="1"/>
          <w:color w:val="auto"/>
        </w:rPr>
        <w:t>Parent Preferred Stock</w:t>
      </w:r>
      <w:r>
        <w:rPr>
          <w:rFonts w:ascii="Arial" w:cs="Arial" w:eastAsia="Arial" w:hAnsi="Arial"/>
          <w:sz w:val="15"/>
          <w:szCs w:val="15"/>
          <w:color w:val="auto"/>
        </w:rPr>
        <w:t>”) equal to the Series A Exchange Ratio. For purposes of this Agreement, the “Series A Exchange Ratio” shall be 1.0. The Parent Preferred Stock to be issued to the holders of the Company Series A Stock shall be convertible into an aggregate of 21,026,637 shares of Parent Common Stock (the “</w:t>
      </w:r>
      <w:r>
        <w:rPr>
          <w:rFonts w:ascii="Arial" w:cs="Arial" w:eastAsia="Arial" w:hAnsi="Arial"/>
          <w:sz w:val="15"/>
          <w:szCs w:val="15"/>
          <w:b w:val="1"/>
          <w:bCs w:val="1"/>
          <w:color w:val="auto"/>
        </w:rPr>
        <w:t>Conversion Shares</w:t>
      </w:r>
      <w:r>
        <w:rPr>
          <w:rFonts w:ascii="Arial" w:cs="Arial" w:eastAsia="Arial" w:hAnsi="Arial"/>
          <w:sz w:val="15"/>
          <w:szCs w:val="15"/>
          <w:color w:val="auto"/>
        </w:rPr>
        <w:t xml:space="preserve">”) (subject to adjustment as set forth in Section 1.13) and shall have the rights, preferences and privileges as set forth in the Certificate of Designations as set forth in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w:t>
      </w:r>
    </w:p>
    <w:p>
      <w:pPr>
        <w:spacing w:after="0" w:line="54" w:lineRule="exact"/>
        <w:rPr>
          <w:rFonts w:ascii="Arial" w:cs="Arial" w:eastAsia="Arial" w:hAnsi="Arial"/>
          <w:sz w:val="15"/>
          <w:szCs w:val="15"/>
          <w:color w:val="auto"/>
        </w:rPr>
      </w:pPr>
    </w:p>
    <w:p>
      <w:pPr>
        <w:jc w:val="both"/>
        <w:ind w:left="300" w:right="1239" w:firstLine="248"/>
        <w:spacing w:after="0" w:line="268" w:lineRule="auto"/>
        <w:tabs>
          <w:tab w:leader="none" w:pos="85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From and after the Effective Time, all shares of Company Common Stock and Series A Stock (together,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Capital Stock</w:t>
      </w:r>
      <w:r>
        <w:rPr>
          <w:rFonts w:ascii="Arial" w:cs="Arial" w:eastAsia="Arial" w:hAnsi="Arial"/>
          <w:sz w:val="16"/>
          <w:szCs w:val="16"/>
          <w:color w:val="auto"/>
        </w:rPr>
        <w:t>”) (other than any shares of Company Capital Stock to be canceled and retired pursuant to Section 1.8)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canceled and shall cease to exist, and each holder (each, a “</w:t>
      </w:r>
      <w:r>
        <w:rPr>
          <w:rFonts w:ascii="Arial" w:cs="Arial" w:eastAsia="Arial" w:hAnsi="Arial"/>
          <w:sz w:val="16"/>
          <w:szCs w:val="16"/>
          <w:b w:val="1"/>
          <w:bCs w:val="1"/>
          <w:color w:val="auto"/>
        </w:rPr>
        <w:t>Company Stockholder</w:t>
      </w:r>
      <w:r>
        <w:rPr>
          <w:rFonts w:ascii="Arial" w:cs="Arial" w:eastAsia="Arial" w:hAnsi="Arial"/>
          <w:sz w:val="16"/>
          <w:szCs w:val="16"/>
          <w:color w:val="auto"/>
        </w:rPr>
        <w:t>”) of a certificate which previously represented any such share of Company Capital Stock (each, a “Company Certificate” and, collectively,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Certificates</w:t>
      </w:r>
      <w:r>
        <w:rPr>
          <w:rFonts w:ascii="Arial" w:cs="Arial" w:eastAsia="Arial" w:hAnsi="Arial"/>
          <w:sz w:val="16"/>
          <w:szCs w:val="16"/>
          <w:color w:val="auto"/>
        </w:rPr>
        <w:t>”) shall cease to have any rights with respect thereto except for the right to receive the Merger Consideration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 1.15 or as otherwise set forth herein or under applicable law. The holders of Company Capital Stock immediately prior to the Effective Time shall be entitled to</w:t>
      </w:r>
    </w:p>
    <w:p>
      <w:pPr>
        <w:spacing w:after="0" w:line="200" w:lineRule="exact"/>
        <w:rPr>
          <w:sz w:val="20"/>
          <w:szCs w:val="20"/>
          <w:color w:val="auto"/>
        </w:rPr>
      </w:pPr>
    </w:p>
    <w:p>
      <w:pPr>
        <w:spacing w:after="0" w:line="283"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1" w:name="page302"/>
    <w:bookmarkEnd w:id="30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1" w:lineRule="auto"/>
        <w:rPr>
          <w:sz w:val="20"/>
          <w:szCs w:val="20"/>
          <w:color w:val="auto"/>
        </w:rPr>
      </w:pPr>
      <w:r>
        <w:rPr>
          <w:rFonts w:ascii="Arial" w:cs="Arial" w:eastAsia="Arial" w:hAnsi="Arial"/>
          <w:sz w:val="17"/>
          <w:szCs w:val="17"/>
          <w:color w:val="auto"/>
        </w:rPr>
        <w:t>receive the shares of Parent Common Stock and Parent Preferred Stock into which the shares of Company Capital Stock held by each of them were converted pursuant to this Section 1.7 upon delivery of the certificates representing such shares of Company Capital Stock to Parent, such shares of Parent Common Stock and Parent Preferred Stock are collectively referred to herein as the “</w:t>
      </w:r>
      <w:r>
        <w:rPr>
          <w:rFonts w:ascii="Arial" w:cs="Arial" w:eastAsia="Arial" w:hAnsi="Arial"/>
          <w:sz w:val="17"/>
          <w:szCs w:val="17"/>
          <w:b w:val="1"/>
          <w:bCs w:val="1"/>
          <w:color w:val="auto"/>
        </w:rPr>
        <w:t>Merger Shares</w:t>
      </w:r>
      <w:r>
        <w:rPr>
          <w:rFonts w:ascii="Arial" w:cs="Arial" w:eastAsia="Arial" w:hAnsi="Arial"/>
          <w:sz w:val="17"/>
          <w:szCs w:val="17"/>
          <w:color w:val="auto"/>
        </w:rPr>
        <w:t>.” The Merger Shares, together with the Series 1 Warrants and Series 2 Warrants are collectively referred to herein as the “</w:t>
      </w:r>
      <w:r>
        <w:rPr>
          <w:rFonts w:ascii="Arial" w:cs="Arial" w:eastAsia="Arial" w:hAnsi="Arial"/>
          <w:sz w:val="17"/>
          <w:szCs w:val="17"/>
          <w:b w:val="1"/>
          <w:bCs w:val="1"/>
          <w:color w:val="auto"/>
        </w:rPr>
        <w:t>Merger Consideration</w:t>
      </w:r>
      <w:r>
        <w:rPr>
          <w:rFonts w:ascii="Arial" w:cs="Arial" w:eastAsia="Arial" w:hAnsi="Arial"/>
          <w:sz w:val="17"/>
          <w:szCs w:val="17"/>
          <w:color w:val="auto"/>
        </w:rPr>
        <w:t>.”</w:t>
      </w:r>
    </w:p>
    <w:p>
      <w:pPr>
        <w:spacing w:after="0" w:line="8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Cancellation of Shares</w:t>
      </w:r>
      <w:r>
        <w:rPr>
          <w:rFonts w:ascii="Arial" w:cs="Arial" w:eastAsia="Arial" w:hAnsi="Arial"/>
          <w:sz w:val="17"/>
          <w:szCs w:val="17"/>
          <w:color w:val="auto"/>
        </w:rPr>
        <w:t>. At the Effective Time, each share of Company Capital Stock either held in the Company’s treasury or owned by Parent or any direct or indirect wholly owned Subsidiary (as defined in Section 2.2(f)) of Parent or the Company, in each case, immediately prior to the Effective Time, if any, shall be canceled and extinguished without any conversion thereof or payment therefor.</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No Further Ownership Rights in Company Stock</w:t>
      </w:r>
      <w:r>
        <w:rPr>
          <w:rFonts w:ascii="Arial" w:cs="Arial" w:eastAsia="Arial" w:hAnsi="Arial"/>
          <w:sz w:val="16"/>
          <w:szCs w:val="16"/>
          <w:color w:val="auto"/>
        </w:rPr>
        <w:t>. The Merger Consideration to be issued upon the surrender for exchange of Company Capital Stock in accordance with the terms of this Article I (together with any cash in lieu of fractional shares paid in respect thereof) shall be deemed to have been issued in full satisfaction of all rights pertaining to such Company Capital Stock under this Article I. If, after the Effective Time, Company Certificates are presented to Parent or Surviving Corporation for any reason, they shall be canceled and exchanged as provided in this Article I.</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u w:val="single" w:color="auto"/>
          <w:color w:val="auto"/>
        </w:rPr>
        <w:t>Company Stock Options And Warrants</w:t>
      </w:r>
      <w:r>
        <w:rPr>
          <w:rFonts w:ascii="Arial" w:cs="Arial" w:eastAsia="Arial" w:hAnsi="Arial"/>
          <w:sz w:val="17"/>
          <w:szCs w:val="17"/>
          <w:color w:val="auto"/>
        </w:rPr>
        <w:t>. At the Effective Time:</w:t>
      </w:r>
    </w:p>
    <w:p>
      <w:pPr>
        <w:spacing w:after="0" w:line="105" w:lineRule="exact"/>
        <w:rPr>
          <w:sz w:val="20"/>
          <w:szCs w:val="20"/>
          <w:color w:val="auto"/>
        </w:rPr>
      </w:pPr>
    </w:p>
    <w:p>
      <w:pPr>
        <w:jc w:val="both"/>
        <w:ind w:left="300" w:right="1239" w:firstLine="248"/>
        <w:spacing w:after="0" w:line="281" w:lineRule="auto"/>
        <w:tabs>
          <w:tab w:leader="none" w:pos="842" w:val="left"/>
        </w:tabs>
        <w:numPr>
          <w:ilvl w:val="0"/>
          <w:numId w:val="173"/>
        </w:numPr>
        <w:rPr>
          <w:rFonts w:ascii="Arial" w:cs="Arial" w:eastAsia="Arial" w:hAnsi="Arial"/>
          <w:sz w:val="15"/>
          <w:szCs w:val="15"/>
          <w:color w:val="auto"/>
        </w:rPr>
      </w:pPr>
      <w:r>
        <w:rPr>
          <w:rFonts w:ascii="Arial" w:cs="Arial" w:eastAsia="Arial" w:hAnsi="Arial"/>
          <w:sz w:val="15"/>
          <w:szCs w:val="15"/>
          <w:color w:val="auto"/>
        </w:rPr>
        <w:t>Each Company Stock Option that is outstanding and unexercised immediately prior to the Effective Time, whether or not vested, shall be converted into and become an option to purchase Parent Common Stock (a “</w:t>
      </w:r>
      <w:r>
        <w:rPr>
          <w:rFonts w:ascii="Arial" w:cs="Arial" w:eastAsia="Arial" w:hAnsi="Arial"/>
          <w:sz w:val="15"/>
          <w:szCs w:val="15"/>
          <w:b w:val="1"/>
          <w:bCs w:val="1"/>
          <w:color w:val="auto"/>
        </w:rPr>
        <w:t>New Company Option</w:t>
      </w:r>
      <w:r>
        <w:rPr>
          <w:rFonts w:ascii="Arial" w:cs="Arial" w:eastAsia="Arial" w:hAnsi="Arial"/>
          <w:sz w:val="15"/>
          <w:szCs w:val="15"/>
          <w:color w:val="auto"/>
        </w:rPr>
        <w:t>”) as set forth in this Section 1.10, and Parent shall assume such Company Stock Option in accordance with the terms of the Company’s 2011 Equity Incentive Plan (the “</w:t>
      </w:r>
      <w:r>
        <w:rPr>
          <w:rFonts w:ascii="Arial" w:cs="Arial" w:eastAsia="Arial" w:hAnsi="Arial"/>
          <w:sz w:val="15"/>
          <w:szCs w:val="15"/>
          <w:b w:val="1"/>
          <w:bCs w:val="1"/>
          <w:color w:val="auto"/>
        </w:rPr>
        <w:t>Company Option Plan</w:t>
      </w:r>
      <w:r>
        <w:rPr>
          <w:rFonts w:ascii="Arial" w:cs="Arial" w:eastAsia="Arial" w:hAnsi="Arial"/>
          <w:sz w:val="15"/>
          <w:szCs w:val="15"/>
          <w:color w:val="auto"/>
        </w:rPr>
        <w:t xml:space="preserve">”) and the terms of the agreement under which such Company Stock Option was issued (except that the call feature of such Company Stock Option shall cease to be of any force and effect), except that the form of the New Company Option shall be substantially similar to the Series 2 Warrant (as defined below). All rights with respect to Company Common Stock under Company Stock Options assumed by Parent shall thereupon be converted into rights with respect to Parent Common Stock. Accordingly, from and after the Effective Time: (i) each Company Stock Option assumed by Parent may be exercised solely for shares of Parent Common Stock; (ii) the number of shares of Parent Common Stock subject to each Company Stock Option assumed by Parent shall be determined by multiplying the number of shares of Company Common Stock that were subject to such Company Stock Option immediately prior to the Effective Time by the Common Stock Exchange Ratio, and rounding the resulting number in accordance with Section 1.14 hereof; (iii) the per share exercise price for the Parent Common Stock issuable upon exercise of each Company Stock Option assumed by Parent shall be determined by dividing the per share exercise price of Company Common Stock subject to such Company Stock Option, as in effect immediately prior to the Effective Time, by the Common Stock Exchange Ratio, and rounding the resulting exercise price up to the nearest whole cent; and (iv) any restriction on the exercise of any Company Stock Option assumed by Parent shall continue in full force and effect and the term, exercisability, vesting schedule and other provisions of such Company Stock Option shall otherwise remain unchanged as a result of the assumption of such Company Stock Option;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board of directors of Parent or a committee thereof shall succeed to the authority and responsibility of the board of directors of the Company or any committee thereof with respect to each Company Stock Option assumed by Parent. Prior to the Effective Time, the Company and Parent shall take all action that may be necessary (under the Company Stock Plans and otherwise) to effectuate the provisions of this Section 1.10(a) and to ensure that, from and after the Effective Time, holders of Company Stock Options have no rights with respect thereto other than those specifically provided in this Section 1.10(a).</w:t>
      </w:r>
    </w:p>
    <w:p>
      <w:pPr>
        <w:spacing w:after="0" w:line="266" w:lineRule="exact"/>
        <w:rPr>
          <w:rFonts w:ascii="Arial" w:cs="Arial" w:eastAsia="Arial" w:hAnsi="Arial"/>
          <w:sz w:val="15"/>
          <w:szCs w:val="15"/>
          <w:color w:val="auto"/>
        </w:rPr>
      </w:pPr>
    </w:p>
    <w:p>
      <w:pPr>
        <w:jc w:val="both"/>
        <w:ind w:left="300" w:right="1239" w:firstLine="248"/>
        <w:spacing w:after="0" w:line="253" w:lineRule="auto"/>
        <w:tabs>
          <w:tab w:leader="none" w:pos="83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Company Warrant that is outstanding and unexercised immediately prior to the Effective Time, shall be exchanged for 250,000 shares of Parent Common Stock and 850,000 warrants to purchase 850,000 shares of Parent Common Stock with an exercise price of $1.76 per share (“</w:t>
      </w:r>
      <w:r>
        <w:rPr>
          <w:rFonts w:ascii="Arial" w:cs="Arial" w:eastAsia="Arial" w:hAnsi="Arial"/>
          <w:sz w:val="17"/>
          <w:szCs w:val="17"/>
          <w:b w:val="1"/>
          <w:bCs w:val="1"/>
          <w:color w:val="auto"/>
        </w:rPr>
        <w:t>New Company Warrant</w:t>
      </w:r>
      <w:r>
        <w:rPr>
          <w:rFonts w:ascii="Arial" w:cs="Arial" w:eastAsia="Arial" w:hAnsi="Arial"/>
          <w:sz w:val="17"/>
          <w:szCs w:val="17"/>
          <w:color w:val="auto"/>
        </w:rPr>
        <w:t>”), with the form of the New Company Warrant to be in the form of the Series 2 Warrant. Prior</w:t>
      </w:r>
    </w:p>
    <w:p>
      <w:pPr>
        <w:spacing w:after="0" w:line="200" w:lineRule="exact"/>
        <w:rPr>
          <w:sz w:val="20"/>
          <w:szCs w:val="20"/>
          <w:color w:val="auto"/>
        </w:rPr>
      </w:pPr>
    </w:p>
    <w:p>
      <w:pPr>
        <w:spacing w:after="0" w:line="29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2" w:name="page303"/>
    <w:bookmarkEnd w:id="30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to the Effective Time, the Company shall take all actions necessary or reasonably requested by Parent (including obtaining any necessary consents) to effectuate the provisions of this Section 1.10(b).</w:t>
      </w:r>
    </w:p>
    <w:p>
      <w:pPr>
        <w:spacing w:after="0" w:line="6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Capital Stock of Company</w:t>
      </w:r>
      <w:r>
        <w:rPr>
          <w:rFonts w:ascii="Arial" w:cs="Arial" w:eastAsia="Arial" w:hAnsi="Arial"/>
          <w:sz w:val="16"/>
          <w:szCs w:val="16"/>
          <w:color w:val="auto"/>
        </w:rPr>
        <w:t>. Each share of common stock of Merger Sub, par value $0.01 per share (the “</w:t>
      </w:r>
      <w:r>
        <w:rPr>
          <w:rFonts w:ascii="Arial" w:cs="Arial" w:eastAsia="Arial" w:hAnsi="Arial"/>
          <w:sz w:val="16"/>
          <w:szCs w:val="16"/>
          <w:b w:val="1"/>
          <w:bCs w:val="1"/>
          <w:color w:val="auto"/>
        </w:rPr>
        <w:t>Merger Sub</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w:t>
      </w:r>
      <w:r>
        <w:rPr>
          <w:rFonts w:ascii="Arial" w:cs="Arial" w:eastAsia="Arial" w:hAnsi="Arial"/>
          <w:sz w:val="16"/>
          <w:szCs w:val="16"/>
          <w:color w:val="auto"/>
        </w:rPr>
        <w:t>”) issued and outstanding immediately prior to the Effective Time shall, from and after the Effective Time, remain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and shall constitute the only outstanding shares of common stock of the Surviving Corporation.</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Issuance of Parent Warrants</w:t>
      </w:r>
      <w:r>
        <w:rPr>
          <w:rFonts w:ascii="Arial" w:cs="Arial" w:eastAsia="Arial" w:hAnsi="Arial"/>
          <w:sz w:val="17"/>
          <w:szCs w:val="17"/>
          <w:color w:val="auto"/>
        </w:rPr>
        <w:t xml:space="preserve">. At the Effective Time, Parent will issue to the Company stockholders including the holder of the Company Warrants,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as-converted basis) the following:</w:t>
      </w:r>
    </w:p>
    <w:p>
      <w:pPr>
        <w:spacing w:after="0" w:line="66" w:lineRule="exact"/>
        <w:rPr>
          <w:sz w:val="20"/>
          <w:szCs w:val="20"/>
          <w:color w:val="auto"/>
        </w:rPr>
      </w:pPr>
    </w:p>
    <w:p>
      <w:pPr>
        <w:ind w:left="300" w:right="1239" w:firstLine="248"/>
        <w:spacing w:after="0" w:line="299" w:lineRule="auto"/>
        <w:tabs>
          <w:tab w:leader="none" w:pos="85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an aggregate of 8,299,116 warrants to purchase an aggregate of 8,299,116 shares of Parent Common Stock with an exercise price of $1.76 per share,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(the “</w:t>
      </w:r>
      <w:r>
        <w:rPr>
          <w:rFonts w:ascii="Arial" w:cs="Arial" w:eastAsia="Arial" w:hAnsi="Arial"/>
          <w:sz w:val="16"/>
          <w:szCs w:val="16"/>
          <w:b w:val="1"/>
          <w:bCs w:val="1"/>
          <w:color w:val="auto"/>
        </w:rPr>
        <w:t>Series 1 Warrants</w:t>
      </w:r>
      <w:r>
        <w:rPr>
          <w:rFonts w:ascii="Arial" w:cs="Arial" w:eastAsia="Arial" w:hAnsi="Arial"/>
          <w:sz w:val="16"/>
          <w:szCs w:val="16"/>
          <w:color w:val="auto"/>
        </w:rPr>
        <w:t>”); and</w:t>
      </w:r>
    </w:p>
    <w:p>
      <w:pPr>
        <w:spacing w:after="0" w:line="42" w:lineRule="exact"/>
        <w:rPr>
          <w:rFonts w:ascii="Arial" w:cs="Arial" w:eastAsia="Arial" w:hAnsi="Arial"/>
          <w:sz w:val="16"/>
          <w:szCs w:val="16"/>
          <w:color w:val="auto"/>
        </w:rPr>
      </w:pPr>
    </w:p>
    <w:p>
      <w:pPr>
        <w:ind w:left="300" w:right="1239" w:firstLine="248"/>
        <w:spacing w:after="0" w:line="299" w:lineRule="auto"/>
        <w:tabs>
          <w:tab w:leader="none" w:pos="86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an aggregate of 7,660,722 warrants to purchase an aggregate of 7,660,722 shares of Parent Common Stock with an exercise price of $1.76 per share, in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(the “</w:t>
      </w:r>
      <w:r>
        <w:rPr>
          <w:rFonts w:ascii="Arial" w:cs="Arial" w:eastAsia="Arial" w:hAnsi="Arial"/>
          <w:sz w:val="16"/>
          <w:szCs w:val="16"/>
          <w:b w:val="1"/>
          <w:bCs w:val="1"/>
          <w:color w:val="auto"/>
        </w:rPr>
        <w:t>Series 2 Warrants</w:t>
      </w:r>
      <w:r>
        <w:rPr>
          <w:rFonts w:ascii="Arial" w:cs="Arial" w:eastAsia="Arial" w:hAnsi="Arial"/>
          <w:sz w:val="16"/>
          <w:szCs w:val="16"/>
          <w:color w:val="auto"/>
        </w:rPr>
        <w:t>”).</w:t>
      </w:r>
    </w:p>
    <w:p>
      <w:pPr>
        <w:spacing w:after="0" w:line="4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Adjustments to Exchange Ratios</w:t>
      </w:r>
      <w:r>
        <w:rPr>
          <w:rFonts w:ascii="Arial" w:cs="Arial" w:eastAsia="Arial" w:hAnsi="Arial"/>
          <w:sz w:val="17"/>
          <w:szCs w:val="17"/>
          <w:color w:val="auto"/>
        </w:rPr>
        <w:t xml:space="preserve">. Notwithstanding any other provision of this Agreement, the Common Stock Exchange Ratio and the number of Conversion Shares shall not be adjusted, without the prior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prior written consent shall not be unreasonably conditioned, withheld or delayed with regard to any such adjustments being made with respect to a reverse split of the equity securities of the Parent undertaken for the purpose of maintaining Parent’s listing on NYSE Amex or as contemplated by Section 3.4.</w:t>
      </w:r>
    </w:p>
    <w:p>
      <w:pPr>
        <w:spacing w:after="0" w:line="80"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No Fractional Shares</w:t>
      </w:r>
      <w:r>
        <w:rPr>
          <w:rFonts w:ascii="Arial" w:cs="Arial" w:eastAsia="Arial" w:hAnsi="Arial"/>
          <w:sz w:val="17"/>
          <w:szCs w:val="17"/>
          <w:color w:val="auto"/>
        </w:rPr>
        <w:t>. No certificate or scrip representing fractional shares of Parent Common Stock or Parent Preferred Stock shall be issued upon the surrender of Company Certificates for exchange, and such fractional share interests will not entitle the owner thereof to vote or to any other rights of a stockholder of Parent. Notwithstanding any other provision of this Agreement, each holder of shares of Company Capital Stock who would otherwise be entitled to receive a fraction of a share of Parent Common Stock or Parent Preferred Stock (after taking into account all Company Certificates delivered by such holder) shall receive from Parent, in lieu thereof, the next highest number of whole shares of Parent Common Stock or Parent Preferred Stock, as applicable.</w:t>
      </w:r>
    </w:p>
    <w:p>
      <w:pPr>
        <w:spacing w:after="0" w:line="84"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 xml:space="preserve">1.15 </w:t>
      </w:r>
      <w:r>
        <w:rPr>
          <w:rFonts w:ascii="Arial" w:cs="Arial" w:eastAsia="Arial" w:hAnsi="Arial"/>
          <w:sz w:val="15"/>
          <w:szCs w:val="15"/>
          <w:u w:val="single" w:color="auto"/>
          <w:color w:val="auto"/>
        </w:rPr>
        <w:t>Exchange of Certificates</w:t>
      </w:r>
      <w:r>
        <w:rPr>
          <w:rFonts w:ascii="Arial" w:cs="Arial" w:eastAsia="Arial" w:hAnsi="Arial"/>
          <w:sz w:val="15"/>
          <w:szCs w:val="15"/>
          <w:color w:val="auto"/>
        </w:rPr>
        <w:t>. As promptly as practicable before or after the Effective Time, Parent (or its designee or exchange agent, if reasonably determined by the parties to be necessary) will send to each Company Stockholder a letter of transmittal (the form of which shall be mutually agreed by and between the Parent and the Company, each acting reasonably) for use in enabling Parent to issue one or more certificates representing the prescribed number of shares of Parent Common Stock or Parent Preferred Stock to which such Company Stockholder may be entitled as determined in accordance with the provisions of this Agreement. Upon delivery of a duly executed letter of transmittal, such Company Stockholder will be entitled to receive the portion of the Merger Consideration to which such Company Stockholder may be entitled (as determined in accordance with the provisions of this Agreement). It is intended that such letter of transmittal will contain provisions requiring each executing Company Stockholder thereof to (a) acknowledge and agree to be bound by the terms and conditions applicable to the Company Stockholders, including, without limitation Section 1.7 of this Agreement, (b) make representations and warranties with respect to ownership of the Company Capital Stock owned or held by such Company Stockholder at that time, and (c) waive all appraisal or dissenter’s rights, in each case, in a form reasonably satisfactory to Parent and as a condition precedent to Parent’s obligation to issue shares of Parent Common Stock to such Company Stockholder.</w:t>
      </w:r>
    </w:p>
    <w:p>
      <w:pPr>
        <w:spacing w:after="0" w:line="62"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 Liability</w:t>
      </w:r>
      <w:r>
        <w:rPr>
          <w:rFonts w:ascii="Arial" w:cs="Arial" w:eastAsia="Arial" w:hAnsi="Arial"/>
          <w:sz w:val="16"/>
          <w:szCs w:val="16"/>
          <w:color w:val="auto"/>
        </w:rPr>
        <w:t>. Notwithstanding any other provision of this Agreement, none of the Parent or the Surviving Corporation shall be liable to a holder of shares of Company Capital Stock for any shares of Parent Common Stock or any amount of cash properly paid to a public official pursuant to any applicable abandoned property, escheat or similar law.</w:t>
      </w:r>
    </w:p>
    <w:p>
      <w:pPr>
        <w:spacing w:after="0" w:line="200" w:lineRule="exact"/>
        <w:rPr>
          <w:sz w:val="20"/>
          <w:szCs w:val="20"/>
          <w:color w:val="auto"/>
        </w:rPr>
      </w:pPr>
    </w:p>
    <w:p>
      <w:pPr>
        <w:spacing w:after="0" w:line="27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3" w:name="page304"/>
    <w:bookmarkEnd w:id="30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Lost Certificates</w:t>
      </w:r>
      <w:r>
        <w:rPr>
          <w:rFonts w:ascii="Arial" w:cs="Arial" w:eastAsia="Arial" w:hAnsi="Arial"/>
          <w:sz w:val="17"/>
          <w:szCs w:val="17"/>
          <w:color w:val="auto"/>
        </w:rPr>
        <w:t>. If any Company Certificate shall have been lost, stolen or destroyed, upon the making of an affidavit (in form and substance reasonably acceptable to Parent) of that fact by the Person claiming such Company Certificate to be lost, stolen or destroyed and, if reasonably required by Parent, the posting by such Person of a bond, in such reasonable amount as Parent may direct, as indemnity against any claim that may be made against it with respect to such Company Certificate, the Parent will issue, in exchange for such lost, stolen or destroyed Company Certificate, the applicable portion of the Merger Consideration as contemplated by this Article I. For purposes of this Agreement, “</w:t>
      </w:r>
      <w:r>
        <w:rPr>
          <w:rFonts w:ascii="Arial" w:cs="Arial" w:eastAsia="Arial" w:hAnsi="Arial"/>
          <w:sz w:val="17"/>
          <w:szCs w:val="17"/>
          <w:b w:val="1"/>
          <w:bCs w:val="1"/>
          <w:color w:val="auto"/>
        </w:rPr>
        <w:t>Person</w:t>
      </w:r>
      <w:r>
        <w:rPr>
          <w:rFonts w:ascii="Arial" w:cs="Arial" w:eastAsia="Arial" w:hAnsi="Arial"/>
          <w:sz w:val="17"/>
          <w:szCs w:val="17"/>
          <w:color w:val="auto"/>
        </w:rPr>
        <w:t>” means any natural person, Governmental Authority, corporation, general or limited partnership, limited liability company, joint venture, trust, association or unincorporated entity of any kind.</w:t>
      </w:r>
    </w:p>
    <w:p>
      <w:pPr>
        <w:spacing w:after="0" w:line="82"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Taking of Necessary Action; Further Action</w:t>
      </w:r>
      <w:r>
        <w:rPr>
          <w:rFonts w:ascii="Arial" w:cs="Arial" w:eastAsia="Arial" w:hAnsi="Arial"/>
          <w:sz w:val="15"/>
          <w:szCs w:val="15"/>
          <w:color w:val="auto"/>
        </w:rPr>
        <w:t>. If, at any time and from time to time after the Effective Time, any further action is necessary or desirable to carry out the purposes of this Agreement and to vest in the Surviving Corporation full right, title and possession of all assets, properties, rights, privileges, powers and franchises of the Company and Merger Sub, the officers and directors of the Surviving Corporation shall be and are fully authorized and directed, in the name of and on behalf of the Company and Merger Sub, to take, or cause to be taken, all such lawful and necessary action as is not inconsistent with this Agreement.</w:t>
      </w:r>
    </w:p>
    <w:p>
      <w:pPr>
        <w:spacing w:after="0" w:line="15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II</w:t>
      </w:r>
    </w:p>
    <w:p>
      <w:pPr>
        <w:spacing w:after="0" w:line="205"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REPRESENTATIONS AND WARRANTIES OF THE COMPANY</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Except as set forth in the disclosure schedule provided by the Company to Parent on the date hereof and accepted in writing by Parent (the “</w:t>
      </w:r>
      <w:r>
        <w:rPr>
          <w:rFonts w:ascii="Arial" w:cs="Arial" w:eastAsia="Arial" w:hAnsi="Arial"/>
          <w:sz w:val="15"/>
          <w:szCs w:val="15"/>
          <w:b w:val="1"/>
          <w:bCs w:val="1"/>
          <w:color w:val="auto"/>
        </w:rPr>
        <w:t>Company Disclosure Schedule</w:t>
      </w:r>
      <w:r>
        <w:rPr>
          <w:rFonts w:ascii="Arial" w:cs="Arial" w:eastAsia="Arial" w:hAnsi="Arial"/>
          <w:sz w:val="15"/>
          <w:szCs w:val="15"/>
          <w:color w:val="auto"/>
        </w:rPr>
        <w:t>”), the Company, on behalf of itself and its Subsidiaries (as defined in Section 2.2(f)) represents and warrants to Parent that the statements contained in this Article II are true, complete and correct. The Company Disclosure Schedule shall be arranged in paragraphs corresponding to the numbered and lettered paragraphs contained in this Article II, and the disclosure in any paragraph shall be deemed to qualify only the corresponding paragraph of this Article II, unless a reasonable person would determine that the disclosure contained in such paragraph contains enough information to qualify or otherwise apply to other paragraphs of this Article II. As used in this Agreement, a “</w:t>
      </w:r>
      <w:r>
        <w:rPr>
          <w:rFonts w:ascii="Arial" w:cs="Arial" w:eastAsia="Arial" w:hAnsi="Arial"/>
          <w:sz w:val="15"/>
          <w:szCs w:val="15"/>
          <w:b w:val="1"/>
          <w:bCs w:val="1"/>
          <w:color w:val="auto"/>
        </w:rPr>
        <w:t>Company Material Adverse Effect</w:t>
      </w:r>
      <w:r>
        <w:rPr>
          <w:rFonts w:ascii="Arial" w:cs="Arial" w:eastAsia="Arial" w:hAnsi="Arial"/>
          <w:sz w:val="15"/>
          <w:szCs w:val="15"/>
          <w:color w:val="auto"/>
        </w:rPr>
        <w:t>” means any change, event or occurrence that has a material adverse effect on the condition (financial or otherwise), business, operations, properties, assets or liabilities of the Company and its Subsidiaries, taken as a whole; provided, that, none of the following, in and of itself or themselves, nor any effect arising out of or resulting from the following shall constitute or be taken into account in determining whether a Company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Company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Company or its Subsidiaries that is required by this Agreement or taken at Parent’s written request, or the failure to take any action by the Company or its Subsidiaries if that action is prohibited by this Agreement; or (G) any change resulting or arising from the identity of, or any facts or circumstances relating to, Parent, Merger Sub or their respective Affiliates. Whenever a representation or warranty made by the Company herein refers to the “knowledge of the Company,” or words to such effect, such knowledge shall be deemed to consist only of the actual knowledge of the executive officers of the Company.</w:t>
      </w: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4" w:name="page305"/>
    <w:bookmarkEnd w:id="30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7" w:lineRule="auto"/>
        <w:tabs>
          <w:tab w:leader="none" w:pos="81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Company is a corporation duly organized, validly existing and in corporate and tax good standing under the laws of the State of Delaware. The Company is duly qualified or licensed as a foreign corporation to conduct business, and is in corporate and tax good standing in each jurisdiction is listed in Section 2.1(a)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have a Company Material Adverse Effect. Each such jurisdiction is listed in Section 2.1(a) of the Company Disclosure Schedule.</w:t>
      </w:r>
    </w:p>
    <w:p>
      <w:pPr>
        <w:spacing w:after="0" w:line="70" w:lineRule="exact"/>
        <w:rPr>
          <w:rFonts w:ascii="Arial" w:cs="Arial" w:eastAsia="Arial" w:hAnsi="Arial"/>
          <w:sz w:val="16"/>
          <w:szCs w:val="16"/>
          <w:color w:val="auto"/>
        </w:rPr>
      </w:pPr>
    </w:p>
    <w:p>
      <w:pPr>
        <w:jc w:val="both"/>
        <w:ind w:left="300" w:right="1239" w:firstLine="248"/>
        <w:spacing w:after="0" w:line="253" w:lineRule="auto"/>
        <w:tabs>
          <w:tab w:leader="none" w:pos="84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Company has all requisite corporate power and authority to carry on the businesses in which it is engaged and to own and use the properties owned and used by it. The Company has made available to Parent true, complete and correct copies of its Certificate of Incorporation and Bylaws, each as amended to date. The Company is not in default under or in violation of any provision of its Certificate of Incorporation or Bylaws.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Subsidiaries</w:t>
      </w:r>
      <w:r>
        <w:rPr>
          <w:rFonts w:ascii="Arial" w:cs="Arial" w:eastAsia="Arial" w:hAnsi="Arial"/>
          <w:sz w:val="17"/>
          <w:szCs w:val="17"/>
          <w:color w:val="auto"/>
        </w:rPr>
        <w:t>.</w:t>
      </w:r>
    </w:p>
    <w:p>
      <w:pPr>
        <w:spacing w:after="0" w:line="105" w:lineRule="exact"/>
        <w:rPr>
          <w:sz w:val="20"/>
          <w:szCs w:val="20"/>
          <w:color w:val="auto"/>
        </w:rPr>
      </w:pPr>
    </w:p>
    <w:p>
      <w:pPr>
        <w:ind w:left="300" w:right="1239" w:firstLine="248"/>
        <w:spacing w:after="0" w:line="267" w:lineRule="auto"/>
        <w:tabs>
          <w:tab w:leader="none" w:pos="82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Section 2.2(a) of the Company Disclosure Schedule sets forth a true, complete and correct list of each Subsidiary of the Company.</w:t>
      </w:r>
    </w:p>
    <w:p>
      <w:pPr>
        <w:spacing w:after="0" w:line="66" w:lineRule="exact"/>
        <w:rPr>
          <w:rFonts w:ascii="Arial" w:cs="Arial" w:eastAsia="Arial" w:hAnsi="Arial"/>
          <w:sz w:val="17"/>
          <w:szCs w:val="17"/>
          <w:color w:val="auto"/>
        </w:rPr>
      </w:pPr>
    </w:p>
    <w:p>
      <w:pPr>
        <w:jc w:val="both"/>
        <w:ind w:left="300" w:right="1239" w:firstLine="248"/>
        <w:spacing w:after="0" w:line="267" w:lineRule="auto"/>
        <w:tabs>
          <w:tab w:leader="none" w:pos="88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Subsidiary of the Company is a corporation duly organized, validly existing and in corporate and tax good standing under the laws of the jurisdiction of its incorporation, and is duly qualified or licensed as a foreign corporation to conduct business, and is in corporate and tax good standing, in each jurisdiction listed in Section 2.2(b)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reasonably be expected to have a Company Material Adverse Effect.</w:t>
      </w:r>
    </w:p>
    <w:p>
      <w:pPr>
        <w:spacing w:after="0" w:line="70" w:lineRule="exact"/>
        <w:rPr>
          <w:rFonts w:ascii="Arial" w:cs="Arial" w:eastAsia="Arial" w:hAnsi="Arial"/>
          <w:sz w:val="16"/>
          <w:szCs w:val="16"/>
          <w:color w:val="auto"/>
        </w:rPr>
      </w:pPr>
    </w:p>
    <w:p>
      <w:pPr>
        <w:jc w:val="both"/>
        <w:ind w:left="300" w:right="1239" w:firstLine="248"/>
        <w:spacing w:after="0" w:line="251" w:lineRule="auto"/>
        <w:tabs>
          <w:tab w:leader="none" w:pos="822"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Each Subsidiary of the Company has all requisite corporate power and authority to carry on the businesses in which it is engaged and to own and use the properties owned and used by it. The Company has made available to Parent true, complete and correct copies of the Certificate of Incorporation and Bylaws or similar organizational documents of each Subsidiary, each as amended to date. No Subsidiary is in default under or in violation of any provision of its Certificate of Incorporation or Bylaws or similar organizational documents.</w:t>
      </w:r>
    </w:p>
    <w:p>
      <w:pPr>
        <w:spacing w:after="0" w:line="80" w:lineRule="exact"/>
        <w:rPr>
          <w:rFonts w:ascii="Arial" w:cs="Arial" w:eastAsia="Arial" w:hAnsi="Arial"/>
          <w:sz w:val="17"/>
          <w:szCs w:val="17"/>
          <w:color w:val="auto"/>
        </w:rPr>
      </w:pPr>
    </w:p>
    <w:p>
      <w:pPr>
        <w:jc w:val="both"/>
        <w:ind w:left="300" w:right="1239" w:firstLine="248"/>
        <w:spacing w:after="0" w:line="264" w:lineRule="auto"/>
        <w:tabs>
          <w:tab w:leader="none" w:pos="84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Except as set forth on Section 2.2(d) of the Company Disclosure Schedule, all of the issued and outstanding shares of capital stock of, or other equity interests in, each Subsidiary of the Company are: (i) duly authorized, validly issued, fully paid, non-assessable; (ii) owned, directly or indirectly, by the Company free and clear of all liens, claims, security interests, pledges and encumbrances of any kind or nature whatsoever (collectively, “</w:t>
      </w:r>
      <w:r>
        <w:rPr>
          <w:rFonts w:ascii="Arial" w:cs="Arial" w:eastAsia="Arial" w:hAnsi="Arial"/>
          <w:sz w:val="16"/>
          <w:szCs w:val="16"/>
          <w:b w:val="1"/>
          <w:bCs w:val="1"/>
          <w:color w:val="auto"/>
        </w:rPr>
        <w:t>Liens</w:t>
      </w:r>
      <w:r>
        <w:rPr>
          <w:rFonts w:ascii="Arial" w:cs="Arial" w:eastAsia="Arial" w:hAnsi="Arial"/>
          <w:sz w:val="16"/>
          <w:szCs w:val="16"/>
          <w:color w:val="auto"/>
        </w:rPr>
        <w:t>”); and (iii) free of any restriction, including, without limitation, any restriction which prevents the payment of dividends to the Company or any other Subsidiary of the Company, or which otherwise restricts the right to vote, sell or otherwise dispose of such capital stock or other ownership interest, other than restrictions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state securities laws. There are no outstanding or authorized options, warrants, rights, agreements or commitments to which the Company or its Subsidiaries is a party or which are binding on any of them providing for the issuance, disposition or acquisition of any capital stock of any Subsidiary of the Company. There are no outstanding stock appreciation, phantom stock or similar rights with respect to any Subsidiary of the Company. Except as set forth on Section 2.2(d) of the Company Disclosure Schedule, there are no voting trusts, proxies or other agreements or understandings with respect to the voting of any capital stock of any Subsidiary of the Company.</w:t>
      </w:r>
    </w:p>
    <w:p>
      <w:pPr>
        <w:spacing w:after="0" w:line="200" w:lineRule="exact"/>
        <w:rPr>
          <w:sz w:val="20"/>
          <w:szCs w:val="20"/>
          <w:color w:val="auto"/>
        </w:rPr>
      </w:pPr>
    </w:p>
    <w:p>
      <w:pPr>
        <w:spacing w:after="0" w:line="28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5" w:name="page306"/>
    <w:bookmarkEnd w:id="30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6" w:lineRule="auto"/>
        <w:tabs>
          <w:tab w:leader="none" w:pos="86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Company does not control, directly or indirectly, or have any direct or indirect equity participation or similar interest in any corporation, partnership, limited liability company, joint venture, trust or other business association which is not set forth on Section 2.2(e) of the Company Disclosure Schedule.</w:t>
      </w:r>
    </w:p>
    <w:p>
      <w:pPr>
        <w:spacing w:after="0" w:line="72" w:lineRule="exact"/>
        <w:rPr>
          <w:rFonts w:ascii="Arial" w:cs="Arial" w:eastAsia="Arial" w:hAnsi="Arial"/>
          <w:sz w:val="17"/>
          <w:szCs w:val="17"/>
          <w:color w:val="auto"/>
        </w:rPr>
      </w:pPr>
    </w:p>
    <w:p>
      <w:pPr>
        <w:jc w:val="both"/>
        <w:ind w:left="300" w:right="1239" w:firstLine="248"/>
        <w:spacing w:after="0" w:line="289" w:lineRule="auto"/>
        <w:tabs>
          <w:tab w:leader="none" w:pos="834" w:val="left"/>
        </w:tabs>
        <w:numPr>
          <w:ilvl w:val="0"/>
          <w:numId w:val="177"/>
        </w:numPr>
        <w:rPr>
          <w:rFonts w:ascii="Arial" w:cs="Arial" w:eastAsia="Arial" w:hAnsi="Arial"/>
          <w:sz w:val="15"/>
          <w:szCs w:val="15"/>
          <w:color w:val="auto"/>
        </w:rPr>
      </w:pPr>
      <w:r>
        <w:rPr>
          <w:rFonts w:ascii="Arial" w:cs="Arial" w:eastAsia="Arial" w:hAnsi="Arial"/>
          <w:sz w:val="15"/>
          <w:szCs w:val="15"/>
          <w:color w:val="auto"/>
        </w:rPr>
        <w:t>For purposes of this Agreement, the term “</w:t>
      </w:r>
      <w:r>
        <w:rPr>
          <w:rFonts w:ascii="Arial" w:cs="Arial" w:eastAsia="Arial" w:hAnsi="Arial"/>
          <w:sz w:val="15"/>
          <w:szCs w:val="15"/>
          <w:b w:val="1"/>
          <w:bCs w:val="1"/>
          <w:color w:val="auto"/>
        </w:rPr>
        <w:t>Subsidiary</w:t>
      </w:r>
      <w:r>
        <w:rPr>
          <w:rFonts w:ascii="Arial" w:cs="Arial" w:eastAsia="Arial" w:hAnsi="Arial"/>
          <w:sz w:val="15"/>
          <w:szCs w:val="15"/>
          <w:color w:val="auto"/>
        </w:rPr>
        <w:t>” means, with respect to any Person, any corporation or other organization, whether incorporated or unincorporated, of which: (i) such Person (or any other Subsidiary of such Person) is a general partner (excluding partnerships, the general partnerships of which held by such Person or Subsidiary of such Person do not have a majority of the voting interest of such partnership); or (ii) at least a majority of the securities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Capital Structure</w:t>
      </w:r>
      <w:r>
        <w:rPr>
          <w:rFonts w:ascii="Arial" w:cs="Arial" w:eastAsia="Arial" w:hAnsi="Arial"/>
          <w:sz w:val="17"/>
          <w:szCs w:val="17"/>
          <w:color w:val="auto"/>
        </w:rPr>
        <w:t>.</w:t>
      </w:r>
    </w:p>
    <w:p>
      <w:pPr>
        <w:spacing w:after="0" w:line="105" w:lineRule="exact"/>
        <w:rPr>
          <w:sz w:val="20"/>
          <w:szCs w:val="20"/>
          <w:color w:val="auto"/>
        </w:rPr>
      </w:pPr>
    </w:p>
    <w:p>
      <w:pPr>
        <w:ind w:left="300" w:right="1239" w:firstLine="248"/>
        <w:spacing w:after="0" w:line="267" w:lineRule="auto"/>
        <w:tabs>
          <w:tab w:leader="none" w:pos="88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authorized Company Capital Stock consists of (i) 100,000,000 shares of Company Common Stock; and (ii) 10,000,000 shares of Series A Stock.</w:t>
      </w:r>
    </w:p>
    <w:p>
      <w:pPr>
        <w:spacing w:after="0" w:line="66" w:lineRule="exact"/>
        <w:rPr>
          <w:rFonts w:ascii="Arial" w:cs="Arial" w:eastAsia="Arial" w:hAnsi="Arial"/>
          <w:sz w:val="17"/>
          <w:szCs w:val="17"/>
          <w:color w:val="auto"/>
        </w:rPr>
      </w:pPr>
    </w:p>
    <w:p>
      <w:pPr>
        <w:jc w:val="both"/>
        <w:ind w:left="300" w:right="1239" w:firstLine="248"/>
        <w:spacing w:after="0" w:line="284" w:lineRule="auto"/>
        <w:tabs>
          <w:tab w:leader="none" w:pos="85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As of the date hereof: (i) 5,624,661 shares of Company Common Stock are issued and outstanding; (ii) 6,968 shares have been designated as Series A Stock, of which 6,968 shares are issued and outstanding, and 9,058,400 shares of Company Common Stock are duly reserved for future issuance pursuant to conversions thereunder; (iii) no shares of Company Common Stock are held in the treasury of the Company; (iv) 13,646 shares of Company Common Stock are duly reserved for future issuance pursuant to stock options granted pursuant to the Company Option Plan or otherwise (the “</w:t>
      </w:r>
      <w:r>
        <w:rPr>
          <w:rFonts w:ascii="Arial" w:cs="Arial" w:eastAsia="Arial" w:hAnsi="Arial"/>
          <w:sz w:val="15"/>
          <w:szCs w:val="15"/>
          <w:b w:val="1"/>
          <w:bCs w:val="1"/>
          <w:color w:val="auto"/>
        </w:rPr>
        <w:t>Company Stock</w:t>
      </w:r>
      <w:r>
        <w:rPr>
          <w:rFonts w:ascii="Arial" w:cs="Arial" w:eastAsia="Arial" w:hAnsi="Arial"/>
          <w:sz w:val="15"/>
          <w:szCs w:val="15"/>
          <w:color w:val="auto"/>
        </w:rPr>
        <w:t xml:space="preserve"> </w:t>
      </w:r>
      <w:r>
        <w:rPr>
          <w:rFonts w:ascii="Arial" w:cs="Arial" w:eastAsia="Arial" w:hAnsi="Arial"/>
          <w:sz w:val="15"/>
          <w:szCs w:val="15"/>
          <w:b w:val="1"/>
          <w:bCs w:val="1"/>
          <w:color w:val="auto"/>
        </w:rPr>
        <w:t>Options</w:t>
      </w:r>
      <w:r>
        <w:rPr>
          <w:rFonts w:ascii="Arial" w:cs="Arial" w:eastAsia="Arial" w:hAnsi="Arial"/>
          <w:sz w:val="15"/>
          <w:szCs w:val="15"/>
          <w:color w:val="auto"/>
        </w:rPr>
        <w:t>”); and (v) 250,000 shares of Company Common Stock are duly reserved for future issuance upon exercise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to purchase shares of the Company Capital Stock (the “</w:t>
      </w:r>
      <w:r>
        <w:rPr>
          <w:rFonts w:ascii="Arial" w:cs="Arial" w:eastAsia="Arial" w:hAnsi="Arial"/>
          <w:sz w:val="15"/>
          <w:szCs w:val="15"/>
          <w:b w:val="1"/>
          <w:bCs w:val="1"/>
          <w:color w:val="auto"/>
        </w:rPr>
        <w:t>Company Warrants</w:t>
      </w:r>
      <w:r>
        <w:rPr>
          <w:rFonts w:ascii="Arial" w:cs="Arial" w:eastAsia="Arial" w:hAnsi="Arial"/>
          <w:sz w:val="15"/>
          <w:szCs w:val="15"/>
          <w:color w:val="auto"/>
        </w:rPr>
        <w:t>”). Except as described above, as of the date hereof, there are no shares of voting or non-voting capital stock, equity interests or other securities of the Company authorized, issued, reserved for issuance or otherwise outstanding. Section 2.3(b) of the Company Disclosure Schedule sets forth a true, complete and correct list of all holders of Company Capital Stock indicating the number and class or series of Company Capital Stock held by each of them and, for holders of Series A Stock, the number of shares of Company Common Stock (if any) into which such Series A Stock is convertible.</w:t>
      </w:r>
    </w:p>
    <w:p>
      <w:pPr>
        <w:spacing w:after="0" w:line="56" w:lineRule="exact"/>
        <w:rPr>
          <w:rFonts w:ascii="Arial" w:cs="Arial" w:eastAsia="Arial" w:hAnsi="Arial"/>
          <w:sz w:val="15"/>
          <w:szCs w:val="15"/>
          <w:color w:val="auto"/>
        </w:rPr>
      </w:pPr>
    </w:p>
    <w:p>
      <w:pPr>
        <w:jc w:val="both"/>
        <w:ind w:left="300" w:right="1239" w:firstLine="248"/>
        <w:spacing w:after="0" w:line="251" w:lineRule="auto"/>
        <w:tabs>
          <w:tab w:leader="none" w:pos="84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All outstanding shares of Company Capital Stock are, and all shares which may be issued pursuant to the Company Stock Options and Company Warrants, will be, when issued against payment therefore in accordance with the terms thereof, duly authorized, validly issued, fully paid and non-assessable, and not subject to, or issued in violation of, any kind of preemptive, subscription or of similar rights, and were or will be issued in compliance in all material respects with all applicable federal and state securities laws.</w:t>
      </w:r>
    </w:p>
    <w:p>
      <w:pPr>
        <w:spacing w:after="0" w:line="80" w:lineRule="exact"/>
        <w:rPr>
          <w:rFonts w:ascii="Arial" w:cs="Arial" w:eastAsia="Arial" w:hAnsi="Arial"/>
          <w:sz w:val="17"/>
          <w:szCs w:val="17"/>
          <w:color w:val="auto"/>
        </w:rPr>
      </w:pPr>
    </w:p>
    <w:p>
      <w:pPr>
        <w:jc w:val="both"/>
        <w:ind w:left="300" w:right="1239" w:firstLine="248"/>
        <w:spacing w:after="0" w:line="285" w:lineRule="auto"/>
        <w:tabs>
          <w:tab w:leader="none" w:pos="855"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There are no bonds, debentures, notes or other indebtedness of the Company having the right to vote (or convertible into securities having the right to vote) on any matters on which the Company stockholders may vote. Except as described in subsection (b) above, there are no outstanding securities, options, warrants, calls, rights, commitments, agreements, arrangements or undertakings of any kind (contingent or otherwise) to which the Company is a party or bound obligating the Company to issue, deliver or sell, or cause to be issued, delivered or sold, additional shares of capital stock or other voting securities of the Company or obligating the Company to issue, grant, extend or enter into any agreement to issue, grant or extend any security, option, warrant, call, right, commitment, agreement, arrangement or undertaking. Except as set forth on Section 2.3(d) of the Company Disclosure Schedule, neither the Company nor its Subsidiaries is subject to any obligation or requirement to provide funds for or to make any investment (in the form of a loan or capital contribution) to or in any Person.</w:t>
      </w:r>
    </w:p>
    <w:p>
      <w:pPr>
        <w:spacing w:after="0" w:line="61" w:lineRule="exact"/>
        <w:rPr>
          <w:rFonts w:ascii="Arial" w:cs="Arial" w:eastAsia="Arial" w:hAnsi="Arial"/>
          <w:sz w:val="15"/>
          <w:szCs w:val="15"/>
          <w:color w:val="auto"/>
        </w:rPr>
      </w:pPr>
    </w:p>
    <w:p>
      <w:pPr>
        <w:jc w:val="both"/>
        <w:ind w:left="300" w:right="1239" w:firstLine="248"/>
        <w:spacing w:after="0" w:line="256" w:lineRule="auto"/>
        <w:tabs>
          <w:tab w:leader="none" w:pos="8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Section 2.3(e) of the Company Disclosure Schedule sets forth a true, complete and correct list of the holders of all Company Stock Options and Company Warrants, including: (i) the number and class of Company Capital Stock subject to each such Company Stock Option or Company Warrant; (ii) the</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6" w:name="page307"/>
    <w:bookmarkEnd w:id="30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99" w:lineRule="auto"/>
        <w:rPr>
          <w:sz w:val="20"/>
          <w:szCs w:val="20"/>
          <w:color w:val="auto"/>
        </w:rPr>
      </w:pPr>
      <w:r>
        <w:rPr>
          <w:rFonts w:ascii="Arial" w:cs="Arial" w:eastAsia="Arial" w:hAnsi="Arial"/>
          <w:sz w:val="16"/>
          <w:szCs w:val="16"/>
          <w:color w:val="auto"/>
        </w:rPr>
        <w:t>date of grant; (iii) the exercise price; (iv) the date of grant, the vesting schedule, as applicable, and expiration date; and (v) any other material terms, including, without limitation, any terms regarding the acceleration of vesting.</w:t>
      </w:r>
    </w:p>
    <w:p>
      <w:pPr>
        <w:spacing w:after="0" w:line="43" w:lineRule="exact"/>
        <w:rPr>
          <w:sz w:val="20"/>
          <w:szCs w:val="20"/>
          <w:color w:val="auto"/>
        </w:rPr>
      </w:pPr>
    </w:p>
    <w:p>
      <w:pPr>
        <w:jc w:val="both"/>
        <w:ind w:left="300" w:right="1239" w:firstLine="248"/>
        <w:spacing w:after="0" w:line="286" w:lineRule="auto"/>
        <w:tabs>
          <w:tab w:leader="none" w:pos="805"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There are no outstanding contractual obligations of the Company to repurchase, redeem or otherwise acquire any shares of capital stock (or options to acquire any such shares) or other security or equity interest of the Company. Except as set forth in Section 2.3(f) of the Company Disclosure Schedule, there are no stock-appreciation rights, security-based performance units, phantom stock or other security rights or other agreements, arrangements, commitments or understandings of any character (contingent or otherwise) pursuant to which any Person is or may be entitled to receive any payment or other value based on the revenues, earnings or financial performance, stock price performance or other attribute of the Company or its Subsidiaries or assets or calculated in accordance therewith or to cause the Company or its Subsidiaries to file a registration statement under the Securities Act, or which otherwise relate to the registration of any securities of the Company or its Subsidiaries.</w:t>
      </w:r>
    </w:p>
    <w:p>
      <w:pPr>
        <w:spacing w:after="0" w:line="59" w:lineRule="exact"/>
        <w:rPr>
          <w:rFonts w:ascii="Arial" w:cs="Arial" w:eastAsia="Arial" w:hAnsi="Arial"/>
          <w:sz w:val="15"/>
          <w:szCs w:val="15"/>
          <w:color w:val="auto"/>
        </w:rPr>
      </w:pPr>
    </w:p>
    <w:p>
      <w:pPr>
        <w:jc w:val="both"/>
        <w:ind w:left="300" w:right="1239" w:firstLine="248"/>
        <w:spacing w:after="0" w:line="297" w:lineRule="auto"/>
        <w:tabs>
          <w:tab w:leader="none" w:pos="85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Except as set forth in Section 2.3(g) of the Company Disclosure Schedule, there are no voting trusts, proxies or other agreements, arrangements, commitments or understandings of any character to which the Company or its Subsidiaries or, to the knowledge of the Company, is a party or by which the Company is bound with respect to the issuance, holding, acquisition, voting or disposition of any shares of capital stock or other security or equity interest of the Company or its Subsidiaries.</w:t>
      </w:r>
    </w:p>
    <w:p>
      <w:pPr>
        <w:spacing w:after="0" w:line="4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Authority; No Conflict; Required Filings</w:t>
      </w:r>
      <w:r>
        <w:rPr>
          <w:rFonts w:ascii="Arial" w:cs="Arial" w:eastAsia="Arial" w:hAnsi="Arial"/>
          <w:sz w:val="15"/>
          <w:szCs w:val="15"/>
          <w:color w:val="auto"/>
        </w:rPr>
        <w:t>. (a) The Company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corporate action on the part of the Company and no other corporate proceedings are necessary other than, with respect to this Agreement and the Merger, the approval and adoption by by the affirmative vote each of (i) the holders of a majority of the outstanding Company Common Stock together with the holders of a majority of the outstanding shares of Series A Stock, voting as a single class; and (ii) the holders of a majority of the outstanding shares of Series A Stock, voting separately as a class in accordance with the DGCL and the Company’s Certificate of Incorporation (collectively, the “</w:t>
      </w:r>
      <w:r>
        <w:rPr>
          <w:rFonts w:ascii="Arial" w:cs="Arial" w:eastAsia="Arial" w:hAnsi="Arial"/>
          <w:sz w:val="15"/>
          <w:szCs w:val="15"/>
          <w:b w:val="1"/>
          <w:bCs w:val="1"/>
          <w:color w:val="auto"/>
        </w:rPr>
        <w:t>Company Stockholder Approval</w:t>
      </w:r>
      <w:r>
        <w:rPr>
          <w:rFonts w:ascii="Arial" w:cs="Arial" w:eastAsia="Arial" w:hAnsi="Arial"/>
          <w:sz w:val="15"/>
          <w:szCs w:val="15"/>
          <w:color w:val="auto"/>
        </w:rPr>
        <w:t>”).</w:t>
      </w:r>
    </w:p>
    <w:p>
      <w:pPr>
        <w:spacing w:after="0" w:line="61" w:lineRule="exact"/>
        <w:rPr>
          <w:sz w:val="20"/>
          <w:szCs w:val="20"/>
          <w:color w:val="auto"/>
        </w:rPr>
      </w:pPr>
    </w:p>
    <w:p>
      <w:pPr>
        <w:jc w:val="both"/>
        <w:ind w:left="300" w:right="1239" w:firstLine="248"/>
        <w:spacing w:after="0" w:line="249" w:lineRule="auto"/>
        <w:tabs>
          <w:tab w:leader="none" w:pos="826"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This Agreement has been duly executed and delivered by the Company and constitutes a valid and binding obligation of the Company, enforceable against it in accordance with its terms, subject only to: (i) the effects of bankruptcy, insolvency, fraudulent conveyance, reorganization, moratorium and other similar laws relating to or affecting the enforcement of creditors’ rights generally; (ii) general equitable principles (whether considered in a proceeding in equity or at law); (iii) an implied covenant of good faith and fair dealing; and (iv) the extent that any provision relating to indemnity and/or contribution is contrary to law or public policy as interpreted or applied by any court or governmental agency (collectively, the “</w:t>
      </w:r>
      <w:r>
        <w:rPr>
          <w:rFonts w:ascii="Arial" w:cs="Arial" w:eastAsia="Arial" w:hAnsi="Arial"/>
          <w:sz w:val="17"/>
          <w:szCs w:val="17"/>
          <w:b w:val="1"/>
          <w:bCs w:val="1"/>
          <w:color w:val="auto"/>
        </w:rPr>
        <w:t>Equitable</w:t>
      </w:r>
      <w:r>
        <w:rPr>
          <w:rFonts w:ascii="Arial" w:cs="Arial" w:eastAsia="Arial" w:hAnsi="Arial"/>
          <w:sz w:val="17"/>
          <w:szCs w:val="17"/>
          <w:color w:val="auto"/>
        </w:rPr>
        <w:t xml:space="preserve"> </w:t>
      </w:r>
      <w:r>
        <w:rPr>
          <w:rFonts w:ascii="Arial" w:cs="Arial" w:eastAsia="Arial" w:hAnsi="Arial"/>
          <w:sz w:val="17"/>
          <w:szCs w:val="17"/>
          <w:b w:val="1"/>
          <w:bCs w:val="1"/>
          <w:color w:val="auto"/>
        </w:rPr>
        <w:t>Exceptions</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jc w:val="both"/>
        <w:ind w:left="300" w:right="1239" w:firstLine="248"/>
        <w:spacing w:after="0" w:line="282" w:lineRule="auto"/>
        <w:tabs>
          <w:tab w:leader="none" w:pos="820" w:val="left"/>
        </w:tabs>
        <w:numPr>
          <w:ilvl w:val="1"/>
          <w:numId w:val="180"/>
        </w:numPr>
        <w:rPr>
          <w:rFonts w:ascii="Arial" w:cs="Arial" w:eastAsia="Arial" w:hAnsi="Arial"/>
          <w:sz w:val="15"/>
          <w:szCs w:val="15"/>
          <w:color w:val="auto"/>
        </w:rPr>
      </w:pPr>
      <w:r>
        <w:rPr>
          <w:rFonts w:ascii="Arial" w:cs="Arial" w:eastAsia="Arial" w:hAnsi="Arial"/>
          <w:sz w:val="15"/>
          <w:szCs w:val="15"/>
          <w:color w:val="auto"/>
        </w:rPr>
        <w:t>The execution and delivery of this Agreement do not, and the performance by the Company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to, or result in the creation of any Liens in or upon any of the properties or other assets of the Company or its Subsidiaries under any provision of:</w:t>
      </w:r>
    </w:p>
    <w:p>
      <w:pPr>
        <w:spacing w:after="0" w:line="1" w:lineRule="exact"/>
        <w:rPr>
          <w:rFonts w:ascii="Arial" w:cs="Arial" w:eastAsia="Arial" w:hAnsi="Arial"/>
          <w:sz w:val="15"/>
          <w:szCs w:val="15"/>
          <w:color w:val="auto"/>
        </w:rPr>
      </w:pPr>
    </w:p>
    <w:p>
      <w:pPr>
        <w:jc w:val="both"/>
        <w:ind w:left="300" w:right="1239" w:hanging="2"/>
        <w:spacing w:after="0" w:line="247" w:lineRule="auto"/>
        <w:tabs>
          <w:tab w:leader="none" w:pos="53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Certificate of Incorporation, Bylaws of the Company or other equivalent organizational documents of any of its Subsidiaries; (ii) subject to the governmental filings and other matters referred to in paragraph (d) below, any (A) permit, license, franchise, statute, law, ordinance or regulation or (B) judgment, decree or order, in each case applicable to the Company or its Subsidiaries, or by which any of their respective properties or assets may be bound or affected; or (iii) any loan or credit agreement, note, bond, mortgage, indenture, contract, agreement, lease or other instrument or obligation to which the Company or its Subsidiaries is a party or by which any of their respective properties or assets may be bound or affected, except, in the case of clauses (ii) or (iii) above, for any</w:t>
      </w:r>
    </w:p>
    <w:p>
      <w:pPr>
        <w:spacing w:after="0" w:line="200" w:lineRule="exact"/>
        <w:rPr>
          <w:sz w:val="20"/>
          <w:szCs w:val="20"/>
          <w:color w:val="auto"/>
        </w:rPr>
      </w:pPr>
    </w:p>
    <w:p>
      <w:pPr>
        <w:spacing w:after="0" w:line="29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7" w:name="page308"/>
    <w:bookmarkEnd w:id="30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0" w:lineRule="auto"/>
        <w:rPr>
          <w:sz w:val="20"/>
          <w:szCs w:val="20"/>
          <w:color w:val="auto"/>
        </w:rPr>
      </w:pPr>
      <w:r>
        <w:rPr>
          <w:rFonts w:ascii="Arial" w:cs="Arial" w:eastAsia="Arial" w:hAnsi="Arial"/>
          <w:sz w:val="16"/>
          <w:szCs w:val="16"/>
          <w:color w:val="auto"/>
        </w:rPr>
        <w:t>such conflicts, violations, defaults or other occurrences, if any, that could not, individually or in the aggregate, reasonably be expected to (x) result in a Company Material Adverse Effect or (y) impair in any material respect the ability of the Parties to consummate the Merger and the other transactions contemplated hereby on a timely basis.</w:t>
      </w:r>
    </w:p>
    <w:p>
      <w:pPr>
        <w:spacing w:after="0" w:line="58" w:lineRule="exact"/>
        <w:rPr>
          <w:sz w:val="20"/>
          <w:szCs w:val="20"/>
          <w:color w:val="auto"/>
        </w:rPr>
      </w:pPr>
    </w:p>
    <w:p>
      <w:pPr>
        <w:jc w:val="both"/>
        <w:ind w:left="300" w:right="1239" w:firstLine="248"/>
        <w:spacing w:after="0" w:line="266" w:lineRule="auto"/>
        <w:tabs>
          <w:tab w:leader="none" w:pos="94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or filing with, any government, governmental, statutory, regulatory or administrative authority, agency, body or commission or any court, tribunal or judicial body, whether federal, state, local or foreign (each, a “</w:t>
      </w:r>
      <w:r>
        <w:rPr>
          <w:rFonts w:ascii="Arial" w:cs="Arial" w:eastAsia="Arial" w:hAnsi="Arial"/>
          <w:sz w:val="16"/>
          <w:szCs w:val="16"/>
          <w:b w:val="1"/>
          <w:bCs w:val="1"/>
          <w:color w:val="auto"/>
        </w:rPr>
        <w:t>Governmental Authority</w:t>
      </w:r>
      <w:r>
        <w:rPr>
          <w:rFonts w:ascii="Arial" w:cs="Arial" w:eastAsia="Arial" w:hAnsi="Arial"/>
          <w:sz w:val="16"/>
          <w:szCs w:val="16"/>
          <w:color w:val="auto"/>
        </w:rPr>
        <w:t>”) is required by or with respect to the Company or its Subsidiaries in connection with the execution and delivery of this Agreement or the consummation of the Merger and other transactions contemplated hereby except for: (i) the filing of the Certificate of Merger with the Secretary of State of the State of Delaware in accordance with the DGCL; and (ii) such consents, approvals, orders or authorizations, or registrations, declarations or filings which if not obtained or made, could not reasonably be expected to (A) result in a Company Material Adverse Effect or (B) impair in any material respect the ability of the Parties to consummate the Merger and the other transactions contemplated hereby on a timely basis.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Board Approval; Required Vote</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0" w:lineRule="auto"/>
        <w:tabs>
          <w:tab w:leader="none" w:pos="82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Board of Directors of the Company has, at a meeting duly called and held, by a unanimous vote of all directors: (i) approved and declared advisable this Agreement; (ii) determined that the Merger and other transactions contemplated by this Agreement are advisable, fair to and in the best interests of the Company and its stockholders; (iii) recommended to the Company stockholders (A) the approval of the Merger and the other transactions contemplated hereby and (B) the approval and adoption of this Agreement; and (iv) directed that this Agreement be submitted to the Company stockholders for their approval and adoption.</w:t>
      </w:r>
    </w:p>
    <w:p>
      <w:pPr>
        <w:spacing w:after="0" w:line="81" w:lineRule="exact"/>
        <w:rPr>
          <w:rFonts w:ascii="Arial" w:cs="Arial" w:eastAsia="Arial" w:hAnsi="Arial"/>
          <w:sz w:val="17"/>
          <w:szCs w:val="17"/>
          <w:color w:val="auto"/>
        </w:rPr>
      </w:pPr>
    </w:p>
    <w:p>
      <w:pPr>
        <w:ind w:left="300" w:right="1239" w:firstLine="248"/>
        <w:spacing w:after="0" w:line="299" w:lineRule="auto"/>
        <w:tabs>
          <w:tab w:leader="none" w:pos="82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Company Stockholder Approval is the only vote of the holders of any class or series of the Company Capital Stock necessary to approve and adopt this Agreement, the Merger or the other transactions contemplated hereby.</w:t>
      </w:r>
    </w:p>
    <w:p>
      <w:pPr>
        <w:spacing w:after="0" w:line="43"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Financial Statements and Information</w:t>
      </w:r>
      <w:r>
        <w:rPr>
          <w:rFonts w:ascii="Arial" w:cs="Arial" w:eastAsia="Arial" w:hAnsi="Arial"/>
          <w:sz w:val="16"/>
          <w:szCs w:val="16"/>
          <w:color w:val="auto"/>
        </w:rPr>
        <w:t>. The Company has previously delivered to Parent true, complete and correct copies of its (i) audited balance sheet and the related audited consolidated statements of income, changes in stockholders’ equity, and cash flow for the fiscal year ended December 31, 2011 (the “</w:t>
      </w:r>
      <w:r>
        <w:rPr>
          <w:rFonts w:ascii="Arial" w:cs="Arial" w:eastAsia="Arial" w:hAnsi="Arial"/>
          <w:sz w:val="16"/>
          <w:szCs w:val="16"/>
          <w:b w:val="1"/>
          <w:bCs w:val="1"/>
          <w:color w:val="auto"/>
        </w:rPr>
        <w:t>Most Recent Balance Sheet Date</w:t>
      </w:r>
      <w:r>
        <w:rPr>
          <w:rFonts w:ascii="Arial" w:cs="Arial" w:eastAsia="Arial" w:hAnsi="Arial"/>
          <w:sz w:val="16"/>
          <w:szCs w:val="16"/>
          <w:color w:val="auto"/>
        </w:rPr>
        <w:t>”) (including the notes thereto, the “</w:t>
      </w:r>
      <w:r>
        <w:rPr>
          <w:rFonts w:ascii="Arial" w:cs="Arial" w:eastAsia="Arial" w:hAnsi="Arial"/>
          <w:sz w:val="16"/>
          <w:szCs w:val="16"/>
          <w:b w:val="1"/>
          <w:bCs w:val="1"/>
          <w:color w:val="auto"/>
        </w:rPr>
        <w:t>Most</w:t>
      </w:r>
      <w:r>
        <w:rPr>
          <w:rFonts w:ascii="Arial" w:cs="Arial" w:eastAsia="Arial" w:hAnsi="Arial"/>
          <w:sz w:val="16"/>
          <w:szCs w:val="16"/>
          <w:color w:val="auto"/>
        </w:rPr>
        <w:t xml:space="preserve"> </w:t>
      </w:r>
      <w:r>
        <w:rPr>
          <w:rFonts w:ascii="Arial" w:cs="Arial" w:eastAsia="Arial" w:hAnsi="Arial"/>
          <w:sz w:val="16"/>
          <w:szCs w:val="16"/>
          <w:b w:val="1"/>
          <w:bCs w:val="1"/>
          <w:color w:val="auto"/>
        </w:rPr>
        <w:t>Recent Balance Sheet</w:t>
      </w:r>
      <w:r>
        <w:rPr>
          <w:rFonts w:ascii="Arial" w:cs="Arial" w:eastAsia="Arial" w:hAnsi="Arial"/>
          <w:sz w:val="16"/>
          <w:szCs w:val="16"/>
          <w:color w:val="auto"/>
        </w:rPr>
        <w:t>”), and the related consolidated statements of income, changes in stockholders’ equity, and cash flow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Most Recent Balance Sheet Date, including in each case the notes thereto, together with the report thereon of Grant Thornton LLP, independent certified public accountants. Such financial statements and notes (i) fairly present the consolidated financial condition and the results of operations, changes in stockholders’ equity and cash flow of the Company and its Subsidiaries as of the respective dates of and for the periods referred to in such financial statements, all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subject, in the case of interim financial statements, to normal recurring and non-material year-end adjustments; (ii) contain and reflect all necessary adjustments, accruals, provisions and allowances for a fair presentation of its financial condition and the results of its operations for the periods covered by such financial statement; and (iii) to the extent applicable, contain and reflect adequate provisions for all reasonably anticipated liabilities for all Taxes (as defined in Section 2.15) with respect to the periods then ended and all prior periods. The financial statements referred to in this Section 2.6 reflect the consistent application of such accounting principles throughout the periods involved, except as disclosed in the notes to such financial statements.</w:t>
      </w:r>
    </w:p>
    <w:p>
      <w:pPr>
        <w:spacing w:after="0" w:line="72"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Absence of Undisclosed Liabilities; Cash</w:t>
      </w:r>
      <w:r>
        <w:rPr>
          <w:rFonts w:ascii="Arial" w:cs="Arial" w:eastAsia="Arial" w:hAnsi="Arial"/>
          <w:sz w:val="15"/>
          <w:szCs w:val="15"/>
          <w:color w:val="auto"/>
        </w:rPr>
        <w:t>. The Company and its Subsidiaries do not have any liabilities or obligations, whether fixed, contingent, accrued or otherwise, liquidated or unliquidated and whether due or to become due, other than: (i) liabilities reflected or reserved against on the Most Recent Balance Sheet; (ii) obligations under any agreement disclosed in Section 2.9 of the Company Disclosure Schedule; (iii) liabilities or obligations incurred since the Most Recent Balance Sheet Date in the ordinary course of business, consistent with past practice in both type and amount; and (iv) liabilities or obligations not required to be reported by GAAP. As of the date hereof the Company has at least $4,000,000 in cash on hand</w:t>
      </w:r>
    </w:p>
    <w:p>
      <w:pPr>
        <w:spacing w:after="0" w:line="200" w:lineRule="exact"/>
        <w:rPr>
          <w:sz w:val="20"/>
          <w:szCs w:val="20"/>
          <w:color w:val="auto"/>
        </w:rPr>
      </w:pPr>
    </w:p>
    <w:p>
      <w:pPr>
        <w:spacing w:after="0" w:line="266"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8" w:name="page309"/>
    <w:bookmarkEnd w:id="30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99" w:lineRule="auto"/>
        <w:rPr>
          <w:sz w:val="20"/>
          <w:szCs w:val="20"/>
          <w:color w:val="auto"/>
        </w:rPr>
      </w:pPr>
      <w:r>
        <w:rPr>
          <w:rFonts w:ascii="Arial" w:cs="Arial" w:eastAsia="Arial" w:hAnsi="Arial"/>
          <w:sz w:val="16"/>
          <w:szCs w:val="16"/>
          <w:color w:val="auto"/>
        </w:rPr>
        <w:t>and at the Effective Time will have at least $2,500,000 in cash on hand and the Company and its Subsidiaries (taken as a whole) are solvent, able to pay their indebtedness as it matures and has capital sufficient to carry on its business.</w:t>
      </w:r>
    </w:p>
    <w:p>
      <w:pPr>
        <w:spacing w:after="0" w:line="43"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color w:val="auto"/>
        </w:rPr>
        <w:t xml:space="preserve">2.8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Since the Most Recent Balance Sheet Date, the Company and its Subsidiaries have conducted their respective businesses only in the ordinary course of business consistent with past practice, and there has not been:</w:t>
      </w:r>
    </w:p>
    <w:p>
      <w:pPr>
        <w:spacing w:after="0" w:line="1" w:lineRule="exact"/>
        <w:rPr>
          <w:sz w:val="20"/>
          <w:szCs w:val="20"/>
          <w:color w:val="auto"/>
        </w:rPr>
      </w:pPr>
    </w:p>
    <w:p>
      <w:pPr>
        <w:jc w:val="both"/>
        <w:ind w:left="40" w:right="1239" w:firstLine="7"/>
        <w:spacing w:after="0" w:line="248" w:lineRule="auto"/>
        <w:tabs>
          <w:tab w:leader="none" w:pos="26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action, event or occurrence which has had, or could reasonably be expected to result in, a Company Material Adverse Effect; (ii) any action, event or occurrence which has had a loss or liability to the Company in excess of $500,000 or (iii) any other action, event or occurrence that would have required the consent of Parent pursuant to Section 4.1 had such action, event or occurrence taken place after the execution and delivery of this Agreement.</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Agreements, Contracts and Commitments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4" w:lineRule="auto"/>
        <w:tabs>
          <w:tab w:leader="none" w:pos="829" w:val="left"/>
        </w:tabs>
        <w:numPr>
          <w:ilvl w:val="0"/>
          <w:numId w:val="185"/>
        </w:numPr>
        <w:rPr>
          <w:rFonts w:ascii="Arial" w:cs="Arial" w:eastAsia="Arial" w:hAnsi="Arial"/>
          <w:sz w:val="15"/>
          <w:szCs w:val="15"/>
          <w:color w:val="auto"/>
        </w:rPr>
      </w:pPr>
      <w:r>
        <w:rPr>
          <w:rFonts w:ascii="Arial" w:cs="Arial" w:eastAsia="Arial" w:hAnsi="Arial"/>
          <w:sz w:val="15"/>
          <w:szCs w:val="15"/>
          <w:color w:val="auto"/>
        </w:rPr>
        <w:t>Section 2.9(a) of the Company Disclosure Schedule set forth each agreement (or series of related agreements), contract or commitment (whether written or oral) to which the Company or its Subsidiaries is a party that (i) provides for payments to third parties which cannot be terminated by the Company without penalty or payment upon notice of thirty (30) days or less; (ii) grants any third party rights to license, market or sell any of the Company’s or its Subsidiaries products or services; (iii) grants any third party “most favored nation” pricing status; (iv) establishes a partnership or joint venture; (vi) creates, incurs, assumes or guarantees any obligation or indebtedness; (v) creates a security interest in, or allows for the transfer of, any assets of the Company or its Subsidiaries, whether tangible or intangible; (vii) provides for employment or consulting; (viii) involves any officer, director, stockholder or Affiliate (as defined in Section 2.21(a)) of the Company; (ix) imposes upon the Company or its Subsidiaries any obligation of confidentiality, non-competition or non-solicitation; (x) requires the Company or its Subsidiaries to indemnify any party thereto; (xi) could reasonably be expected to result in a Company Material Adverse Effect in the event of default or termination of such agreement; and (xii) any other agreement which was not entered into in the ordinary course of business (collectively, the “</w:t>
      </w:r>
      <w:r>
        <w:rPr>
          <w:rFonts w:ascii="Arial" w:cs="Arial" w:eastAsia="Arial" w:hAnsi="Arial"/>
          <w:sz w:val="15"/>
          <w:szCs w:val="15"/>
          <w:b w:val="1"/>
          <w:bCs w:val="1"/>
          <w:color w:val="auto"/>
        </w:rPr>
        <w:t>Company Material Contracts</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jc w:val="both"/>
        <w:ind w:left="300" w:right="1239" w:firstLine="248"/>
        <w:spacing w:after="0" w:line="280" w:lineRule="auto"/>
        <w:tabs>
          <w:tab w:leader="none" w:pos="84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Neither the Company nor its Subsidiaries has breached, or received in writing any claim or threat that it has breached, any of the terms or conditions of any Company Material Contract in such a manner as would permit any other party thereto to cancel or terminate the same or to collect material damages from the Company or its Subsidiaries.</w:t>
      </w:r>
    </w:p>
    <w:p>
      <w:pPr>
        <w:spacing w:after="0" w:line="57" w:lineRule="exact"/>
        <w:rPr>
          <w:rFonts w:ascii="Arial" w:cs="Arial" w:eastAsia="Arial" w:hAnsi="Arial"/>
          <w:sz w:val="16"/>
          <w:szCs w:val="16"/>
          <w:color w:val="auto"/>
        </w:rPr>
      </w:pPr>
    </w:p>
    <w:p>
      <w:pPr>
        <w:jc w:val="both"/>
        <w:ind w:left="300" w:right="1239" w:firstLine="248"/>
        <w:spacing w:after="0" w:line="256" w:lineRule="auto"/>
        <w:tabs>
          <w:tab w:leader="none" w:pos="8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Company Material Contract that has not expired or otherwise been terminated in accordance with its terms is valid, binding, enforceable and in full force and effect and, to the knowledge of the Company, no other party to such contract is in default in any material respect.</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2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Company has delivered to Parent a true, complete and correct copy of each agreement listed in Section 2.9(a) of the Company Disclosure Schedule.</w:t>
      </w:r>
    </w:p>
    <w:p>
      <w:pPr>
        <w:spacing w:after="0" w:line="6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of the Company and its Subsidiaries has at all times complied with all federal, state, local and foreign statutes, laws and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Company Material Adverse Effect.</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Material Permits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6" w:lineRule="auto"/>
        <w:tabs>
          <w:tab w:leader="none" w:pos="8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Section 2.11(a) of the Company Disclosure Schedule sets forth a true, complete and correct list of all federal, state, local and foreign governmental licenses, permits, franchises and authorizations issued to or held by the Company or its Subsidiaries (collectively, the “</w:t>
      </w:r>
      <w:r>
        <w:rPr>
          <w:rFonts w:ascii="Arial" w:cs="Arial" w:eastAsia="Arial" w:hAnsi="Arial"/>
          <w:sz w:val="17"/>
          <w:szCs w:val="17"/>
          <w:b w:val="1"/>
          <w:bCs w:val="1"/>
          <w:color w:val="auto"/>
        </w:rPr>
        <w:t>Material Permits</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39"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Each of the Company and its Subsidiaries is in compliance in all material respects with the terms and conditions of the Material Permits.</w:t>
      </w:r>
    </w:p>
    <w:p>
      <w:pPr>
        <w:spacing w:after="0" w:line="200" w:lineRule="exact"/>
        <w:rPr>
          <w:sz w:val="20"/>
          <w:szCs w:val="20"/>
          <w:color w:val="auto"/>
        </w:rPr>
      </w:pPr>
    </w:p>
    <w:p>
      <w:pPr>
        <w:spacing w:after="0" w:line="28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9" w:name="page310"/>
    <w:bookmarkEnd w:id="30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6" w:lineRule="auto"/>
        <w:tabs>
          <w:tab w:leader="none" w:pos="90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Each Material Permit is in full force and effect and no action, proceeding, revocation proceeding, amendment procedure, writ, injunction or claim is pending or, to the knowledge of the Company, threatened, which seeks to revoke or limit any Material Permit.</w:t>
      </w:r>
    </w:p>
    <w:p>
      <w:pPr>
        <w:spacing w:after="0" w:line="76" w:lineRule="exact"/>
        <w:rPr>
          <w:rFonts w:ascii="Arial" w:cs="Arial" w:eastAsia="Arial" w:hAnsi="Arial"/>
          <w:sz w:val="17"/>
          <w:szCs w:val="17"/>
          <w:color w:val="auto"/>
        </w:rPr>
      </w:pPr>
    </w:p>
    <w:p>
      <w:pPr>
        <w:jc w:val="both"/>
        <w:ind w:left="300" w:right="1239" w:firstLine="248"/>
        <w:spacing w:after="0" w:line="256" w:lineRule="auto"/>
        <w:tabs>
          <w:tab w:leader="none" w:pos="87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rights and benefits of each Material Permit will be available to the Surviving Corporation and its Subsidiaries immediately after the Effective Time on terms substantially identical to those enjoyed by the Company and its Subsidiaries immediately prior to the Effective Time.</w:t>
      </w:r>
    </w:p>
    <w:p>
      <w:pPr>
        <w:spacing w:after="0" w:line="76"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Litigation</w:t>
      </w:r>
      <w:r>
        <w:rPr>
          <w:rFonts w:ascii="Arial" w:cs="Arial" w:eastAsia="Arial" w:hAnsi="Arial"/>
          <w:sz w:val="16"/>
          <w:szCs w:val="16"/>
          <w:color w:val="auto"/>
        </w:rPr>
        <w:t>. Except as set forth in Section 2.12 of the Company Disclosure Schedule, there is no suit, action, arbitration, claim, governmental or other proceeding (collectively, “</w:t>
      </w:r>
      <w:r>
        <w:rPr>
          <w:rFonts w:ascii="Arial" w:cs="Arial" w:eastAsia="Arial" w:hAnsi="Arial"/>
          <w:sz w:val="16"/>
          <w:szCs w:val="16"/>
          <w:b w:val="1"/>
          <w:bCs w:val="1"/>
          <w:color w:val="auto"/>
        </w:rPr>
        <w:t>Action</w:t>
      </w:r>
      <w:r>
        <w:rPr>
          <w:rFonts w:ascii="Arial" w:cs="Arial" w:eastAsia="Arial" w:hAnsi="Arial"/>
          <w:sz w:val="16"/>
          <w:szCs w:val="16"/>
          <w:color w:val="auto"/>
        </w:rPr>
        <w:t>”) pending or, to the knowledge of the Company, threatened, against the Company or any of its Subsidiaries which, if decided adversely would (i) be considered reasonably likely to result in (A) a Company Material Adverse Effect or (B) damages payable by the Company or any of its Subsidiaries in excess of $500,000 in the aggregate; or (ii) otherwise impair in any material respect the ability of the Parties to consummate the Merger and other transactions contemplated by this Agreement on a timely basis.</w:t>
      </w:r>
    </w:p>
    <w:p>
      <w:pPr>
        <w:spacing w:after="0" w:line="66"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u w:val="single" w:color="auto"/>
          <w:color w:val="auto"/>
        </w:rPr>
        <w:t>Restrictions on Business Activities</w:t>
      </w:r>
      <w:r>
        <w:rPr>
          <w:rFonts w:ascii="Arial" w:cs="Arial" w:eastAsia="Arial" w:hAnsi="Arial"/>
          <w:sz w:val="15"/>
          <w:szCs w:val="15"/>
          <w:color w:val="auto"/>
        </w:rPr>
        <w:t>. Other than as contemplated by this Agreement, there is no agreement, judgment, injunction, order or decree binding upon or otherwise applicable to the Company or its Subsidiaries which has, or could reasonably be expected to have, the effect of prohibiting or materially impairing (i) any current or reasonably foreseeable business practice of the Company or its Subsidiaries; or (ii) any acquisition of any Person or property by the Company or its Subsidiaries.</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Employees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70" w:lineRule="auto"/>
        <w:tabs>
          <w:tab w:leader="none" w:pos="831" w:val="left"/>
        </w:tabs>
        <w:numPr>
          <w:ilvl w:val="1"/>
          <w:numId w:val="188"/>
        </w:numPr>
        <w:rPr>
          <w:rFonts w:ascii="Arial" w:cs="Arial" w:eastAsia="Arial" w:hAnsi="Arial"/>
          <w:sz w:val="16"/>
          <w:szCs w:val="16"/>
          <w:color w:val="auto"/>
        </w:rPr>
      </w:pPr>
      <w:r>
        <w:rPr>
          <w:rFonts w:ascii="Arial" w:cs="Arial" w:eastAsia="Arial" w:hAnsi="Arial"/>
          <w:sz w:val="16"/>
          <w:szCs w:val="16"/>
          <w:color w:val="auto"/>
        </w:rPr>
        <w:t>Section 2.14(a) of the Company Disclosure Schedule sets forth a true, complete and correct list of all employees of the Company and its Subsidiaries, along with their position and actual rate of compensation. All full-time employees have entered into nondisclosure/assignment of inventions agreements with the Company or its Subsidiaries, true, complete and correct copies of which have previously been delivered to Parent. To the knowledge of the Company, no key employee or group of employees has any plans to terminate employment with the Company or its Subsidiaries.</w:t>
      </w:r>
    </w:p>
    <w:p>
      <w:pPr>
        <w:spacing w:after="0" w:line="67" w:lineRule="exact"/>
        <w:rPr>
          <w:rFonts w:ascii="Arial" w:cs="Arial" w:eastAsia="Arial" w:hAnsi="Arial"/>
          <w:sz w:val="16"/>
          <w:szCs w:val="16"/>
          <w:color w:val="auto"/>
        </w:rPr>
      </w:pPr>
    </w:p>
    <w:p>
      <w:pPr>
        <w:ind w:left="300" w:right="1239" w:firstLine="248"/>
        <w:spacing w:after="0" w:line="299" w:lineRule="auto"/>
        <w:tabs>
          <w:tab w:leader="none" w:pos="838" w:val="left"/>
        </w:tabs>
        <w:numPr>
          <w:ilvl w:val="1"/>
          <w:numId w:val="188"/>
        </w:numPr>
        <w:rPr>
          <w:rFonts w:ascii="Arial" w:cs="Arial" w:eastAsia="Arial" w:hAnsi="Arial"/>
          <w:sz w:val="16"/>
          <w:szCs w:val="16"/>
          <w:color w:val="auto"/>
        </w:rPr>
      </w:pPr>
      <w:r>
        <w:rPr>
          <w:rFonts w:ascii="Arial" w:cs="Arial" w:eastAsia="Arial" w:hAnsi="Arial"/>
          <w:sz w:val="16"/>
          <w:szCs w:val="16"/>
          <w:color w:val="auto"/>
        </w:rPr>
        <w:t>Neither the Company nor its Subsidiaries is a party to or bound by any collective bargaining agreement, nor has any of them experienced any strikes, grievances, claims of unfair labor practices or other collective bargaining disputes.</w:t>
      </w:r>
    </w:p>
    <w:p>
      <w:pPr>
        <w:spacing w:after="0" w:line="42" w:lineRule="exact"/>
        <w:rPr>
          <w:rFonts w:ascii="Arial" w:cs="Arial" w:eastAsia="Arial" w:hAnsi="Arial"/>
          <w:sz w:val="16"/>
          <w:szCs w:val="16"/>
          <w:color w:val="auto"/>
        </w:rPr>
      </w:pPr>
    </w:p>
    <w:p>
      <w:pPr>
        <w:ind w:left="820" w:hanging="272"/>
        <w:spacing w:after="0"/>
        <w:tabs>
          <w:tab w:leader="none" w:pos="82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Neither the Company nor its Subsidiaries is a party to any written or oral: (i) union or collective bargaining agreement;</w:t>
      </w:r>
    </w:p>
    <w:p>
      <w:pPr>
        <w:spacing w:after="0" w:line="40" w:lineRule="exact"/>
        <w:rPr>
          <w:rFonts w:ascii="Arial" w:cs="Arial" w:eastAsia="Arial" w:hAnsi="Arial"/>
          <w:sz w:val="15"/>
          <w:szCs w:val="15"/>
          <w:color w:val="auto"/>
        </w:rPr>
      </w:pPr>
    </w:p>
    <w:p>
      <w:pPr>
        <w:jc w:val="both"/>
        <w:ind w:left="300" w:right="1239" w:hanging="2"/>
        <w:spacing w:after="0" w:line="265" w:lineRule="auto"/>
        <w:tabs>
          <w:tab w:leader="none" w:pos="5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Company or its Subsidiaries providing any term of employment or compensation guarantee extending for a period longer than one year from the date hereof or for the payment of cash compensation in excess of $400,000 per annum; or (iv) agreement or plan the benefits of which will be increased, or the vesting of the benefits of which will be accelerated, upon the consummation of the Merger.</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01" w:lineRule="exact"/>
        <w:rPr>
          <w:sz w:val="20"/>
          <w:szCs w:val="20"/>
          <w:color w:val="auto"/>
        </w:rPr>
      </w:pPr>
    </w:p>
    <w:p>
      <w:pPr>
        <w:jc w:val="both"/>
        <w:ind w:left="300" w:right="1239" w:firstLine="248"/>
        <w:spacing w:after="0" w:line="270" w:lineRule="auto"/>
        <w:tabs>
          <w:tab w:leader="none" w:pos="8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For purposes of this Agreement, a “</w:t>
      </w:r>
      <w:r>
        <w:rPr>
          <w:rFonts w:ascii="Arial" w:cs="Arial" w:eastAsia="Arial" w:hAnsi="Arial"/>
          <w:sz w:val="16"/>
          <w:szCs w:val="16"/>
          <w:b w:val="1"/>
          <w:bCs w:val="1"/>
          <w:color w:val="auto"/>
        </w:rPr>
        <w:t>Tax</w:t>
      </w:r>
      <w:r>
        <w:rPr>
          <w:rFonts w:ascii="Arial" w:cs="Arial" w:eastAsia="Arial" w:hAnsi="Arial"/>
          <w:sz w:val="16"/>
          <w:szCs w:val="16"/>
          <w:color w:val="auto"/>
        </w:rPr>
        <w:t>” means any and all federal, state, local and foreign taxes, assessments and other governmental charges, duties, impositions and liabilities, including, without limitation, taxes based upon or measured by gross receipts, income, profits, sales, use and occupation, value added, ad valorem, transfer, franchise, withholding, payroll, recapture, employment, excise and property taxes, together with all interest, penalties and additions imposed with respect to such amounts and any obligations under any agreements or arrangements with any other Person with respect to such amounts and including any liability for Taxes of a predecessor entity.</w:t>
      </w:r>
    </w:p>
    <w:p>
      <w:pPr>
        <w:spacing w:after="0" w:line="65" w:lineRule="exact"/>
        <w:rPr>
          <w:rFonts w:ascii="Arial" w:cs="Arial" w:eastAsia="Arial" w:hAnsi="Arial"/>
          <w:sz w:val="16"/>
          <w:szCs w:val="16"/>
          <w:color w:val="auto"/>
        </w:rPr>
      </w:pPr>
    </w:p>
    <w:p>
      <w:pPr>
        <w:jc w:val="both"/>
        <w:ind w:left="300" w:right="1239" w:firstLine="248"/>
        <w:spacing w:after="0" w:line="253"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Company and its Subsidiaries have accurately prepared and have or will timely, including within extended deadlines, file all federal, state, local and foreign returns, estimates, information statements and reports required to be filed by it (collectively, “</w:t>
      </w:r>
      <w:r>
        <w:rPr>
          <w:rFonts w:ascii="Arial" w:cs="Arial" w:eastAsia="Arial" w:hAnsi="Arial"/>
          <w:sz w:val="17"/>
          <w:szCs w:val="17"/>
          <w:b w:val="1"/>
          <w:bCs w:val="1"/>
          <w:color w:val="auto"/>
        </w:rPr>
        <w:t>Returns</w:t>
      </w:r>
      <w:r>
        <w:rPr>
          <w:rFonts w:ascii="Arial" w:cs="Arial" w:eastAsia="Arial" w:hAnsi="Arial"/>
          <w:sz w:val="17"/>
          <w:szCs w:val="17"/>
          <w:color w:val="auto"/>
        </w:rPr>
        <w:t>”) relating to any and all Taxes concerning or attributable to the Company or its Subsidiaries or to their operations, and all such Returns</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10" w:name="page311"/>
    <w:bookmarkEnd w:id="3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are or will be, to the knowledge and belief of the signer, true, complete and correct in all material respects. Copies of all such returns have been previously provided to Parent or will be provided to Parent when filed.</w:t>
      </w:r>
    </w:p>
    <w:p>
      <w:pPr>
        <w:spacing w:after="0" w:line="66" w:lineRule="exact"/>
        <w:rPr>
          <w:sz w:val="20"/>
          <w:szCs w:val="20"/>
          <w:color w:val="auto"/>
        </w:rPr>
      </w:pPr>
    </w:p>
    <w:p>
      <w:pPr>
        <w:jc w:val="both"/>
        <w:ind w:left="300" w:right="1239" w:firstLine="248"/>
        <w:spacing w:after="0" w:line="256" w:lineRule="auto"/>
        <w:tabs>
          <w:tab w:leader="none" w:pos="85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Each of the Company and its Subsidiaries: (i) has paid all Taxes it is obligated to pay as reflected on the Returns or otherwise; and (ii) has withheld all federal, state, local and foreign Taxes required to be withheld with respect to its employees or otherwise.</w:t>
      </w:r>
    </w:p>
    <w:p>
      <w:pPr>
        <w:spacing w:after="0" w:line="76" w:lineRule="exact"/>
        <w:rPr>
          <w:rFonts w:ascii="Arial" w:cs="Arial" w:eastAsia="Arial" w:hAnsi="Arial"/>
          <w:sz w:val="17"/>
          <w:szCs w:val="17"/>
          <w:color w:val="auto"/>
        </w:rPr>
      </w:pPr>
    </w:p>
    <w:p>
      <w:pPr>
        <w:jc w:val="both"/>
        <w:ind w:left="300" w:right="1239" w:firstLine="248"/>
        <w:spacing w:after="0" w:line="280" w:lineRule="auto"/>
        <w:tabs>
          <w:tab w:leader="none" w:pos="88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There is no Tax deficiency outstanding, proposed or assessed against the Company or its Subsidiaries that is not accurately reflected as a liability on the Most Recent Balance Sheet, nor has the Company or its Subsidiaries executed any waiver of any statute of limitations on or extending the period for the assessment or collection of any Tax.</w:t>
      </w:r>
    </w:p>
    <w:p>
      <w:pPr>
        <w:spacing w:after="0" w:line="57" w:lineRule="exact"/>
        <w:rPr>
          <w:rFonts w:ascii="Arial" w:cs="Arial" w:eastAsia="Arial" w:hAnsi="Arial"/>
          <w:sz w:val="16"/>
          <w:szCs w:val="16"/>
          <w:color w:val="auto"/>
        </w:rPr>
      </w:pPr>
    </w:p>
    <w:p>
      <w:pPr>
        <w:ind w:left="300" w:right="1239" w:firstLine="248"/>
        <w:spacing w:after="0" w:line="335" w:lineRule="auto"/>
        <w:tabs>
          <w:tab w:leader="none" w:pos="822" w:val="left"/>
        </w:tabs>
        <w:numPr>
          <w:ilvl w:val="0"/>
          <w:numId w:val="191"/>
        </w:numPr>
        <w:rPr>
          <w:rFonts w:ascii="Arial" w:cs="Arial" w:eastAsia="Arial" w:hAnsi="Arial"/>
          <w:sz w:val="15"/>
          <w:szCs w:val="15"/>
          <w:color w:val="auto"/>
        </w:rPr>
      </w:pPr>
      <w:r>
        <w:rPr>
          <w:rFonts w:ascii="Arial" w:cs="Arial" w:eastAsia="Arial" w:hAnsi="Arial"/>
          <w:sz w:val="15"/>
          <w:szCs w:val="15"/>
          <w:color w:val="auto"/>
        </w:rPr>
        <w:t>Neither the Company nor its Subsidiaries has any liability for unpaid Taxes that has not been properly accrued for under GAAP and reserved for on the Most Recent Balance Sheet, whether asserted or unasserted, contingent or otherwise.</w:t>
      </w:r>
    </w:p>
    <w:p>
      <w:pPr>
        <w:spacing w:after="0" w:line="19" w:lineRule="exact"/>
        <w:rPr>
          <w:rFonts w:ascii="Arial" w:cs="Arial" w:eastAsia="Arial" w:hAnsi="Arial"/>
          <w:sz w:val="15"/>
          <w:szCs w:val="15"/>
          <w:color w:val="auto"/>
        </w:rPr>
      </w:pPr>
    </w:p>
    <w:p>
      <w:pPr>
        <w:jc w:val="both"/>
        <w:ind w:left="300" w:right="1239" w:firstLine="248"/>
        <w:spacing w:after="0" w:line="270" w:lineRule="auto"/>
        <w:tabs>
          <w:tab w:leader="none" w:pos="83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Except as listed in Section 2.15 of the Company Disclosure Schedule, neither the Company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67" w:lineRule="exact"/>
        <w:rPr>
          <w:rFonts w:ascii="Arial" w:cs="Arial" w:eastAsia="Arial" w:hAnsi="Arial"/>
          <w:sz w:val="16"/>
          <w:szCs w:val="16"/>
          <w:color w:val="auto"/>
        </w:rPr>
      </w:pPr>
    </w:p>
    <w:p>
      <w:pPr>
        <w:ind w:left="300" w:right="1239" w:firstLine="248"/>
        <w:spacing w:after="0" w:line="267" w:lineRule="auto"/>
        <w:tabs>
          <w:tab w:leader="none" w:pos="83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Neither the Company nor its Subsidiaries is, or has ever been, a party to or bound by any tax indemnity agreement, tax sharing agreement, tax allocation agreement or similar contract or agreement.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Employee Benefit Plans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7" w:lineRule="auto"/>
        <w:tabs>
          <w:tab w:leader="none" w:pos="89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Company does not participate in any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or any bonus, stock option, stock purchase, incentive, deferred compensation, supplemental retirement, severance and other similar employee benefit plans, and all unexpired severance agreements (pursuant to which any payments are still due and payable by the Company), written or otherwise (together, the “</w:t>
      </w:r>
      <w:r>
        <w:rPr>
          <w:rFonts w:ascii="Arial" w:cs="Arial" w:eastAsia="Arial" w:hAnsi="Arial"/>
          <w:sz w:val="16"/>
          <w:szCs w:val="16"/>
          <w:b w:val="1"/>
          <w:bCs w:val="1"/>
          <w:color w:val="auto"/>
        </w:rPr>
        <w:t>Company Employee Plans</w:t>
      </w:r>
      <w:r>
        <w:rPr>
          <w:rFonts w:ascii="Arial" w:cs="Arial" w:eastAsia="Arial" w:hAnsi="Arial"/>
          <w:sz w:val="16"/>
          <w:szCs w:val="16"/>
          <w:color w:val="auto"/>
        </w:rPr>
        <w:t>”), for the benefit of, or relating to, any current or former employee of the Company or its Subsidiaries or any trade or business (whether or not incorporated) which is a member or which is under common control with the Company within the meaning of Section 414 of the Code (an “</w:t>
      </w:r>
      <w:r>
        <w:rPr>
          <w:rFonts w:ascii="Arial" w:cs="Arial" w:eastAsia="Arial" w:hAnsi="Arial"/>
          <w:sz w:val="16"/>
          <w:szCs w:val="16"/>
          <w:b w:val="1"/>
          <w:bCs w:val="1"/>
          <w:color w:val="auto"/>
        </w:rPr>
        <w:t>ERISA Affiliate</w:t>
      </w:r>
      <w:r>
        <w:rPr>
          <w:rFonts w:ascii="Arial" w:cs="Arial" w:eastAsia="Arial" w:hAnsi="Arial"/>
          <w:sz w:val="16"/>
          <w:szCs w:val="16"/>
          <w:color w:val="auto"/>
        </w:rPr>
        <w:t>”).</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Tangible Assets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3" w:lineRule="auto"/>
        <w:tabs>
          <w:tab w:leader="none" w:pos="834" w:val="left"/>
        </w:tabs>
        <w:numPr>
          <w:ilvl w:val="0"/>
          <w:numId w:val="193"/>
        </w:numPr>
        <w:rPr>
          <w:rFonts w:ascii="Arial" w:cs="Arial" w:eastAsia="Arial" w:hAnsi="Arial"/>
          <w:sz w:val="17"/>
          <w:szCs w:val="17"/>
          <w:color w:val="auto"/>
        </w:rPr>
      </w:pPr>
      <w:r>
        <w:rPr>
          <w:rFonts w:ascii="Arial" w:cs="Arial" w:eastAsia="Arial" w:hAnsi="Arial"/>
          <w:sz w:val="17"/>
          <w:szCs w:val="17"/>
          <w:color w:val="auto"/>
        </w:rPr>
        <w:t>Each of the Company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77" w:lineRule="exact"/>
        <w:rPr>
          <w:rFonts w:ascii="Arial" w:cs="Arial" w:eastAsia="Arial" w:hAnsi="Arial"/>
          <w:sz w:val="17"/>
          <w:szCs w:val="17"/>
          <w:color w:val="auto"/>
        </w:rPr>
      </w:pPr>
    </w:p>
    <w:p>
      <w:pPr>
        <w:jc w:val="both"/>
        <w:ind w:left="300" w:right="1239" w:firstLine="248"/>
        <w:spacing w:after="0" w:line="250" w:lineRule="auto"/>
        <w:tabs>
          <w:tab w:leader="none" w:pos="877"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Section 2.17(b) of the Company Disclosure Schedule sets forth (i) a true, complete and correct list of all items of tangible personal property owned by the Company or its Subsidiaries as of the date hereof, or not owned by the Company or its Subsidiaries but in the possession of or used in the business of the Company or its Subsidiaries with a book value in excess of $10,000 (the “</w:t>
      </w:r>
      <w:r>
        <w:rPr>
          <w:rFonts w:ascii="Arial" w:cs="Arial" w:eastAsia="Arial" w:hAnsi="Arial"/>
          <w:sz w:val="17"/>
          <w:szCs w:val="17"/>
          <w:b w:val="1"/>
          <w:bCs w:val="1"/>
          <w:color w:val="auto"/>
        </w:rPr>
        <w:t>Personal Property</w:t>
      </w:r>
      <w:r>
        <w:rPr>
          <w:rFonts w:ascii="Arial" w:cs="Arial" w:eastAsia="Arial" w:hAnsi="Arial"/>
          <w:sz w:val="17"/>
          <w:szCs w:val="17"/>
          <w:color w:val="auto"/>
        </w:rPr>
        <w:t>”); and (ii) a description of the owner of, and any agreement relating to the use of, each item of Personal Property not owned by the Company or its Subsidiaries and the circumstances under which such Personal Property is used.</w:t>
      </w:r>
    </w:p>
    <w:p>
      <w:pPr>
        <w:spacing w:after="0" w:line="81" w:lineRule="exact"/>
        <w:rPr>
          <w:rFonts w:ascii="Arial" w:cs="Arial" w:eastAsia="Arial" w:hAnsi="Arial"/>
          <w:sz w:val="17"/>
          <w:szCs w:val="17"/>
          <w:color w:val="auto"/>
        </w:rPr>
      </w:pPr>
    </w:p>
    <w:p>
      <w:pPr>
        <w:jc w:val="both"/>
        <w:ind w:left="300" w:right="1239" w:firstLine="248"/>
        <w:spacing w:after="0" w:line="256" w:lineRule="auto"/>
        <w:tabs>
          <w:tab w:leader="none" w:pos="83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Each item of Personal Property not owned by the Company or its Subsidiaries is in such condition that upon the return of such property to its owner in its present condition at the end of the relevant lease term or as otherwise contemplated by the applicable agreement between the Company or</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1" w:name="page312"/>
    <w:bookmarkEnd w:id="3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its Subsidiaries and the owner or lessor thereof, the obligations of the Company or its Subsidiaries to such owner or lessor will be discharged.</w:t>
      </w:r>
    </w:p>
    <w:p>
      <w:pPr>
        <w:spacing w:after="0" w:line="66" w:lineRule="exact"/>
        <w:rPr>
          <w:sz w:val="20"/>
          <w:szCs w:val="20"/>
          <w:color w:val="auto"/>
        </w:rPr>
      </w:pPr>
    </w:p>
    <w:p>
      <w:pPr>
        <w:jc w:val="both"/>
        <w:ind w:left="300" w:right="1239" w:firstLine="248"/>
        <w:spacing w:after="0" w:line="253" w:lineRule="auto"/>
        <w:tabs>
          <w:tab w:leader="none" w:pos="90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Immediately after the Effective Time, the tangible assets owned or leased by the Surviving Corporation and its Subsidiaries, together with its intangible assets, when utilized by a labor force substantially similar to that employed by the Company and its Subsidiaries on the date hereof, will be adequate to conduct the business and operations of the Surviving Company and its Subsidiaries as currently conducted by the Company.</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Real Property Leases</w:t>
      </w:r>
      <w:r>
        <w:rPr>
          <w:rFonts w:ascii="Arial" w:cs="Arial" w:eastAsia="Arial" w:hAnsi="Arial"/>
          <w:sz w:val="16"/>
          <w:szCs w:val="16"/>
          <w:color w:val="auto"/>
        </w:rPr>
        <w:t>. Section 2.18 of the Company Disclosure Schedule sets forth all real property leases or subleases or license agreements for the use of real property to or by the Company or its Subsidiaries, including the term of such lease, any extension and expansion options and the rent payable under it. The Company has delivered to the Parent true, complete and correct copies of the leases and subleases (as amended to date) listed in Section 2.18 of the Company Disclosure Schedule. With respect to each agreement listed in Section 2.18 of the Company Disclosure Schedule:</w:t>
      </w:r>
    </w:p>
    <w:p>
      <w:pPr>
        <w:spacing w:after="0" w:line="68" w:lineRule="exact"/>
        <w:rPr>
          <w:sz w:val="20"/>
          <w:szCs w:val="20"/>
          <w:color w:val="auto"/>
        </w:rPr>
      </w:pPr>
    </w:p>
    <w:p>
      <w:pPr>
        <w:jc w:val="both"/>
        <w:ind w:left="540" w:right="1239" w:firstLine="259"/>
        <w:spacing w:after="0" w:line="256" w:lineRule="auto"/>
        <w:tabs>
          <w:tab w:leader="none" w:pos="105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76" w:lineRule="exact"/>
        <w:rPr>
          <w:rFonts w:ascii="Arial" w:cs="Arial" w:eastAsia="Arial" w:hAnsi="Arial"/>
          <w:sz w:val="17"/>
          <w:szCs w:val="17"/>
          <w:color w:val="auto"/>
        </w:rPr>
      </w:pPr>
    </w:p>
    <w:p>
      <w:pPr>
        <w:jc w:val="both"/>
        <w:ind w:left="540" w:right="1239" w:firstLine="259"/>
        <w:spacing w:after="0" w:line="297" w:lineRule="auto"/>
        <w:tabs>
          <w:tab w:leader="none" w:pos="111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neither the Company nor its Subsidiaries nor, to the knowledge of the Company, any other party, is in breach or violation of, or default under, any such agreement, and no event has occurred, is pending or, to the knowledge of the Company, is threatened, which, after the giving of notice, with lapse of time, or otherwise, would constitute a breach or default by the Company or its Subsidiaries or, to the knowledge of Company, any other under such agreement;</w:t>
      </w:r>
    </w:p>
    <w:p>
      <w:pPr>
        <w:spacing w:after="0" w:line="48" w:lineRule="exact"/>
        <w:rPr>
          <w:rFonts w:ascii="Arial" w:cs="Arial" w:eastAsia="Arial" w:hAnsi="Arial"/>
          <w:sz w:val="15"/>
          <w:szCs w:val="15"/>
          <w:color w:val="auto"/>
        </w:rPr>
      </w:pPr>
    </w:p>
    <w:p>
      <w:pPr>
        <w:ind w:left="540" w:right="1239" w:firstLine="259"/>
        <w:spacing w:after="0" w:line="267" w:lineRule="auto"/>
        <w:tabs>
          <w:tab w:leader="none" w:pos="119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neither the Company nor its Subsidiaries has assigned, transferred, conveyed, mortgaged, deeded in trust or encumbered any interest in any lease, sublease or license; and</w:t>
      </w:r>
    </w:p>
    <w:p>
      <w:pPr>
        <w:spacing w:after="0" w:line="66" w:lineRule="exact"/>
        <w:rPr>
          <w:rFonts w:ascii="Arial" w:cs="Arial" w:eastAsia="Arial" w:hAnsi="Arial"/>
          <w:sz w:val="17"/>
          <w:szCs w:val="17"/>
          <w:color w:val="auto"/>
        </w:rPr>
      </w:pPr>
    </w:p>
    <w:p>
      <w:pPr>
        <w:jc w:val="both"/>
        <w:ind w:left="540" w:right="1239" w:firstLine="259"/>
        <w:spacing w:after="0" w:line="256" w:lineRule="auto"/>
        <w:tabs>
          <w:tab w:leader="none" w:pos="113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there are no Liens, easements, covenants or other restrictions applicable to the real property subject to such lease, except for recorded easements, covenants and other restrictions which do not materially impair the Intended Use or the occupancy by the Company or its Subsidiaries of the property subject thereto.</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6" w:lineRule="auto"/>
        <w:tabs>
          <w:tab w:leader="none" w:pos="855" w:val="left"/>
        </w:tabs>
        <w:numPr>
          <w:ilvl w:val="0"/>
          <w:numId w:val="196"/>
        </w:numPr>
        <w:rPr>
          <w:rFonts w:ascii="Arial" w:cs="Arial" w:eastAsia="Arial" w:hAnsi="Arial"/>
          <w:sz w:val="15"/>
          <w:szCs w:val="15"/>
          <w:color w:val="auto"/>
        </w:rPr>
      </w:pPr>
      <w:r>
        <w:rPr>
          <w:rFonts w:ascii="Arial" w:cs="Arial" w:eastAsia="Arial" w:hAnsi="Arial"/>
          <w:sz w:val="15"/>
          <w:szCs w:val="15"/>
          <w:color w:val="auto"/>
        </w:rPr>
        <w:t>Section 2.19(a) of the Company Disclosure Schedule sets forth each insurance policy (including fire, theft, casualty, general liability, workers compensation, business interruption, environmental, product liability and automobile insurance policies and bond and surety arrangements) to which the Company or its Subsidiaries is a party (the “</w:t>
      </w:r>
      <w:r>
        <w:rPr>
          <w:rFonts w:ascii="Arial" w:cs="Arial" w:eastAsia="Arial" w:hAnsi="Arial"/>
          <w:sz w:val="15"/>
          <w:szCs w:val="15"/>
          <w:b w:val="1"/>
          <w:bCs w:val="1"/>
          <w:color w:val="auto"/>
        </w:rPr>
        <w:t>Insurance Policies</w:t>
      </w:r>
      <w:r>
        <w:rPr>
          <w:rFonts w:ascii="Arial" w:cs="Arial" w:eastAsia="Arial" w:hAnsi="Arial"/>
          <w:sz w:val="15"/>
          <w:szCs w:val="15"/>
          <w:color w:val="auto"/>
        </w:rPr>
        <w:t>”). The Insurance Policies are in full force and effect, maintained with reputable companies against loss relating to the business, operations and properties and such other risks as companies engaged in similar business as the Company and its Subsidiaries would, in accordance with good business practice, customarily insure. All premiums due and payable under the Insurance Policies have been paid on a timely basis and the Company and its Subsidiaries are in compliance in all material respects with all other terms thereof. True, complete and correct copies of the Insurance Policies have been made available to Parent.</w:t>
      </w:r>
    </w:p>
    <w:p>
      <w:pPr>
        <w:spacing w:after="0" w:line="59" w:lineRule="exact"/>
        <w:rPr>
          <w:rFonts w:ascii="Arial" w:cs="Arial" w:eastAsia="Arial" w:hAnsi="Arial"/>
          <w:sz w:val="15"/>
          <w:szCs w:val="15"/>
          <w:color w:val="auto"/>
        </w:rPr>
      </w:pPr>
    </w:p>
    <w:p>
      <w:pPr>
        <w:jc w:val="both"/>
        <w:ind w:left="300" w:right="1239" w:firstLine="248"/>
        <w:spacing w:after="0" w:line="250" w:lineRule="auto"/>
        <w:tabs>
          <w:tab w:leader="none" w:pos="88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There are no material claims pending as to which coverage has been questioned, denied or disputed. Neither the Company nor its Subsidiaries has been refused insurance for which it has applied or had any policy of insurance terminated (other than at its request), nor has the Company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200" w:lineRule="exact"/>
        <w:rPr>
          <w:sz w:val="20"/>
          <w:szCs w:val="20"/>
          <w:color w:val="auto"/>
        </w:rPr>
      </w:pPr>
    </w:p>
    <w:p>
      <w:pPr>
        <w:spacing w:after="0" w:line="29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2" w:name="page313"/>
    <w:bookmarkEnd w:id="31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2.20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2" w:lineRule="auto"/>
        <w:tabs>
          <w:tab w:leader="none" w:pos="834" w:val="left"/>
        </w:tabs>
        <w:numPr>
          <w:ilvl w:val="0"/>
          <w:numId w:val="197"/>
        </w:numPr>
        <w:rPr>
          <w:rFonts w:ascii="Arial" w:cs="Arial" w:eastAsia="Arial" w:hAnsi="Arial"/>
          <w:sz w:val="15"/>
          <w:szCs w:val="15"/>
          <w:color w:val="auto"/>
        </w:rPr>
      </w:pPr>
      <w:r>
        <w:rPr>
          <w:rFonts w:ascii="Arial" w:cs="Arial" w:eastAsia="Arial" w:hAnsi="Arial"/>
          <w:sz w:val="15"/>
          <w:szCs w:val="15"/>
          <w:color w:val="auto"/>
        </w:rPr>
        <w:t>Neither the Company nor any of its Subsidiaries owns, is licensed or otherwise possesses legally enforceable rights, to any copyrights, trademarks, service marks, trade names, Uniform Resource Locators and Internet URLs, designs, slogans or general intangibles of like nature. Each of the Company and its Subsidiaries owns, is licensed or otherwise possesses legally enforceable rights, to all computer programs or other computer software, databases, technology, trade secrets and other confidential information, know-how, proprietary technology, processes, formulae, algorithms, models, user interfaces, customer lists, inventions, source codes and object codes and methodologies, architecture, structure, display screens, layouts, development tools, instructions, templates, inventions, trade dress, logos and designs and all documentation and media constituting, describing or relating to each of the foregoing, together with all goodwill related to any of the foregoing, in each case as is used to conduct their respective businesses as presently conducted and as is reasonably foreseeable to be conducted. Each of the Company and its Subsidiaries owns, is licensed or otherwise possesses legally enforceable rights, to all patents (including, without limitation, any registrations, continuations, continuations in part, renewals and applications therefor) (collectively, the “</w:t>
      </w:r>
      <w:r>
        <w:rPr>
          <w:rFonts w:ascii="Arial" w:cs="Arial" w:eastAsia="Arial" w:hAnsi="Arial"/>
          <w:sz w:val="15"/>
          <w:szCs w:val="15"/>
          <w:b w:val="1"/>
          <w:bCs w:val="1"/>
          <w:color w:val="auto"/>
        </w:rPr>
        <w:t>Company Intellectual Property</w:t>
      </w:r>
      <w:r>
        <w:rPr>
          <w:rFonts w:ascii="Arial" w:cs="Arial" w:eastAsia="Arial" w:hAnsi="Arial"/>
          <w:sz w:val="15"/>
          <w:szCs w:val="15"/>
          <w:color w:val="auto"/>
        </w:rPr>
        <w:t>”). Except for United States Patent Nos. 6,314,420 and 6,775,664, none of the Company Intellectual Property is the subject of any pending or, to the knowledge of the Company, threatened suit, action or proceeding. None of the Company Intellectual Property is subject to any outstanding injunction, judgment, final order or settlement.</w:t>
      </w:r>
    </w:p>
    <w:p>
      <w:pPr>
        <w:spacing w:after="0" w:line="67" w:lineRule="exact"/>
        <w:rPr>
          <w:rFonts w:ascii="Arial" w:cs="Arial" w:eastAsia="Arial" w:hAnsi="Arial"/>
          <w:sz w:val="15"/>
          <w:szCs w:val="15"/>
          <w:color w:val="auto"/>
        </w:rPr>
      </w:pPr>
    </w:p>
    <w:p>
      <w:pPr>
        <w:jc w:val="both"/>
        <w:ind w:left="300" w:right="1239" w:firstLine="248"/>
        <w:spacing w:after="0" w:line="297" w:lineRule="auto"/>
        <w:tabs>
          <w:tab w:leader="none" w:pos="829" w:val="left"/>
        </w:tabs>
        <w:numPr>
          <w:ilvl w:val="0"/>
          <w:numId w:val="197"/>
        </w:numPr>
        <w:rPr>
          <w:rFonts w:ascii="Arial" w:cs="Arial" w:eastAsia="Arial" w:hAnsi="Arial"/>
          <w:sz w:val="15"/>
          <w:szCs w:val="15"/>
          <w:color w:val="auto"/>
        </w:rPr>
      </w:pPr>
      <w:r>
        <w:rPr>
          <w:rFonts w:ascii="Arial" w:cs="Arial" w:eastAsia="Arial" w:hAnsi="Arial"/>
          <w:sz w:val="15"/>
          <w:szCs w:val="15"/>
          <w:color w:val="auto"/>
        </w:rPr>
        <w:t>Section 2.20(b) of the Company Disclosure Schedule sets forth a true, complete and correct list of each patent owned by the Company or any of its Subsidiaries. All patents which are held by the Company or its Subsidiaries and which are material to the business of the Company and its Subsidiaries are presumed valid pursuant to 35 U.S.C. 282. Except for United States Patent Nos. 6,314,420 and 6,775,664, no allegation of invalidity has been received by the Company.</w:t>
      </w:r>
    </w:p>
    <w:p>
      <w:pPr>
        <w:spacing w:after="0" w:line="48" w:lineRule="exact"/>
        <w:rPr>
          <w:rFonts w:ascii="Arial" w:cs="Arial" w:eastAsia="Arial" w:hAnsi="Arial"/>
          <w:sz w:val="15"/>
          <w:szCs w:val="15"/>
          <w:color w:val="auto"/>
        </w:rPr>
      </w:pPr>
    </w:p>
    <w:p>
      <w:pPr>
        <w:jc w:val="both"/>
        <w:ind w:left="300" w:right="1239" w:firstLine="248"/>
        <w:spacing w:after="0" w:line="256" w:lineRule="auto"/>
        <w:tabs>
          <w:tab w:leader="none" w:pos="82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Except as set forth on Section 2.20(c) of the Company Disclosure Schedule, neither the Company nor its Subsidiaries is a party to any license, sublicense or other agreement that provides any revenue to the Company or any Subsidiary or that contains any obligations or potential liabilities on the Company or its Subsidiaries.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Additional Tax Matters</w:t>
      </w:r>
      <w:r>
        <w:rPr>
          <w:rFonts w:ascii="Arial" w:cs="Arial" w:eastAsia="Arial" w:hAnsi="Arial"/>
          <w:sz w:val="17"/>
          <w:szCs w:val="17"/>
          <w:color w:val="auto"/>
        </w:rPr>
        <w:t>.</w:t>
      </w:r>
    </w:p>
    <w:p>
      <w:pPr>
        <w:spacing w:after="0" w:line="101" w:lineRule="exact"/>
        <w:rPr>
          <w:sz w:val="20"/>
          <w:szCs w:val="20"/>
          <w:color w:val="auto"/>
        </w:rPr>
      </w:pPr>
    </w:p>
    <w:p>
      <w:pPr>
        <w:jc w:val="both"/>
        <w:ind w:left="300" w:right="1239" w:firstLine="248"/>
        <w:spacing w:after="0" w:line="275" w:lineRule="auto"/>
        <w:tabs>
          <w:tab w:leader="none" w:pos="82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of its affiliates (“</w:t>
      </w:r>
      <w:r>
        <w:rPr>
          <w:rFonts w:ascii="Arial" w:cs="Arial" w:eastAsia="Arial" w:hAnsi="Arial"/>
          <w:sz w:val="16"/>
          <w:szCs w:val="16"/>
          <w:b w:val="1"/>
          <w:bCs w:val="1"/>
          <w:color w:val="auto"/>
        </w:rPr>
        <w:t>Affiliates</w:t>
      </w:r>
      <w:r>
        <w:rPr>
          <w:rFonts w:ascii="Arial" w:cs="Arial" w:eastAsia="Arial" w:hAnsi="Arial"/>
          <w:sz w:val="16"/>
          <w:szCs w:val="16"/>
          <w:color w:val="auto"/>
        </w:rPr>
        <w:t>”), as defined by Rule 12b-2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knows of any fact or has taken or agreed to take any action, failed to take any action or is aware of any fact or circumstance, that could reasonably be expected to prevent the Merger from constituting a reorganization within the meaning of Section 368(a) of the Code.</w:t>
      </w:r>
    </w:p>
    <w:p>
      <w:pPr>
        <w:spacing w:after="0" w:line="62" w:lineRule="exact"/>
        <w:rPr>
          <w:rFonts w:ascii="Arial" w:cs="Arial" w:eastAsia="Arial" w:hAnsi="Arial"/>
          <w:sz w:val="16"/>
          <w:szCs w:val="16"/>
          <w:color w:val="auto"/>
        </w:rPr>
      </w:pPr>
    </w:p>
    <w:p>
      <w:pPr>
        <w:jc w:val="both"/>
        <w:ind w:left="300" w:right="1239" w:firstLine="248"/>
        <w:spacing w:after="0" w:line="256" w:lineRule="auto"/>
        <w:tabs>
          <w:tab w:leader="none" w:pos="846" w:val="left"/>
        </w:tabs>
        <w:numPr>
          <w:ilvl w:val="0"/>
          <w:numId w:val="198"/>
        </w:numPr>
        <w:rPr>
          <w:rFonts w:ascii="Arial" w:cs="Arial" w:eastAsia="Arial" w:hAnsi="Arial"/>
          <w:sz w:val="17"/>
          <w:szCs w:val="17"/>
          <w:color w:val="auto"/>
        </w:rPr>
      </w:pPr>
      <w:r>
        <w:rPr>
          <w:rFonts w:ascii="Arial" w:cs="Arial" w:eastAsia="Arial" w:hAnsi="Arial"/>
          <w:sz w:val="17"/>
          <w:szCs w:val="17"/>
          <w:color w:val="auto"/>
        </w:rPr>
        <w:t>Section 2.21(b) of the Company Disclosure Schedule sets forth a true, complete and correct list of all Persons who, to the knowledge of the Company, may be deemed to be Affiliates of the Company, excluding its Subsidiaries but including all directors and executive officers of the Company as of the date hereof.</w:t>
      </w:r>
    </w:p>
    <w:p>
      <w:pPr>
        <w:spacing w:after="0" w:line="7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Neither the Company, its Subsidiaries nor, to the knowledge of the Company, any director, officer, employee or agent of the Company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xml:space="preserve">2.23 </w:t>
      </w:r>
      <w:r>
        <w:rPr>
          <w:rFonts w:ascii="Arial" w:cs="Arial" w:eastAsia="Arial" w:hAnsi="Arial"/>
          <w:sz w:val="15"/>
          <w:szCs w:val="15"/>
          <w:u w:val="single" w:color="auto"/>
          <w:color w:val="auto"/>
        </w:rPr>
        <w:t>Powers of Attorney</w:t>
      </w:r>
      <w:r>
        <w:rPr>
          <w:rFonts w:ascii="Arial" w:cs="Arial" w:eastAsia="Arial" w:hAnsi="Arial"/>
          <w:sz w:val="15"/>
          <w:szCs w:val="15"/>
          <w:color w:val="auto"/>
        </w:rPr>
        <w:t>. There are no outstanding powers of attorney executed on behalf of the Company or its Subsidiaries.</w:t>
      </w:r>
    </w:p>
    <w:p>
      <w:pPr>
        <w:spacing w:after="0" w:line="200" w:lineRule="exact"/>
        <w:rPr>
          <w:sz w:val="20"/>
          <w:szCs w:val="20"/>
          <w:color w:val="auto"/>
        </w:rPr>
      </w:pPr>
    </w:p>
    <w:p>
      <w:pPr>
        <w:spacing w:after="0" w:line="34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3" w:name="page314"/>
    <w:bookmarkEnd w:id="3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Interested Party Transactions</w:t>
      </w:r>
      <w:r>
        <w:rPr>
          <w:rFonts w:ascii="Arial" w:cs="Arial" w:eastAsia="Arial" w:hAnsi="Arial"/>
          <w:sz w:val="16"/>
          <w:szCs w:val="16"/>
          <w:color w:val="auto"/>
        </w:rPr>
        <w:t>. Since January 1, 2011, no event has occurred that would be required to be reported by the Company as a Certain Relationship or Related Transaction pursuant to Item 404 of Regulation S-K, if the Company and its Subsidiaries were required to report such information in periodic reports pursuant to the Exchange Act.</w:t>
      </w:r>
    </w:p>
    <w:p>
      <w:pPr>
        <w:spacing w:after="0" w:line="5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minute books and other similar records of the Company and each of its Subsidiaries contains true, complete and correct records of all actions taken at any meetings of the Company stockholders or its Subsidiaries, Board of Directors or any committee thereof and of all written consents in lieu of the holding of any such meeting. The books and records of the Company and its Subsidiaries accurately reflect in all material respects the assets, liabilities, business, financial condition and results of operations of the Company or such Subsidiary and have been maintained in accordance with good business and bookkeeping practices.</w:t>
      </w:r>
    </w:p>
    <w:p>
      <w:pPr>
        <w:spacing w:after="0" w:line="8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u w:val="single" w:color="auto"/>
          <w:color w:val="auto"/>
        </w:rPr>
        <w:t>Brokers</w:t>
      </w:r>
      <w:r>
        <w:rPr>
          <w:rFonts w:ascii="Arial" w:cs="Arial" w:eastAsia="Arial" w:hAnsi="Arial"/>
          <w:sz w:val="17"/>
          <w:szCs w:val="17"/>
          <w:color w:val="auto"/>
        </w:rPr>
        <w:t>. No broker, financial advisor, investment banker or other Person is entitled to any fee, commission or expense reimbursement in connection with the Merger or other transactions contemplated by this Agreement based upon arrangements made by or on behalf of the Company.</w:t>
      </w:r>
    </w:p>
    <w:p>
      <w:pPr>
        <w:spacing w:after="0" w:line="7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2.27 </w:t>
      </w:r>
      <w:r>
        <w:rPr>
          <w:rFonts w:ascii="Arial" w:cs="Arial" w:eastAsia="Arial" w:hAnsi="Arial"/>
          <w:sz w:val="15"/>
          <w:szCs w:val="15"/>
          <w:u w:val="single" w:color="auto"/>
          <w:color w:val="auto"/>
        </w:rPr>
        <w:t>Proxy Statement</w:t>
      </w:r>
      <w:r>
        <w:rPr>
          <w:rFonts w:ascii="Arial" w:cs="Arial" w:eastAsia="Arial" w:hAnsi="Arial"/>
          <w:sz w:val="15"/>
          <w:szCs w:val="15"/>
          <w:color w:val="auto"/>
        </w:rPr>
        <w:t>. The information regarding the Company and the Company Subsidiaries supplied by the Company for inclusion in the Registration Statement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information regarding the Company and the Company Subsidiaries supplied by the Company for inclusion in the proxy statement to be sent to Parent’s stockholders in connection with the solicitation of proxies in favor of the approval of the issuance of shares of Parent Common Stock pursuant to this Agreement (and any amendment or supplement thereto) (the “</w:t>
      </w:r>
      <w:r>
        <w:rPr>
          <w:rFonts w:ascii="Arial" w:cs="Arial" w:eastAsia="Arial" w:hAnsi="Arial"/>
          <w:sz w:val="15"/>
          <w:szCs w:val="15"/>
          <w:b w:val="1"/>
          <w:bCs w:val="1"/>
          <w:color w:val="auto"/>
        </w:rPr>
        <w:t>Proxy Statement</w:t>
      </w:r>
      <w:r>
        <w:rPr>
          <w:rFonts w:ascii="Arial" w:cs="Arial" w:eastAsia="Arial" w:hAnsi="Arial"/>
          <w:sz w:val="15"/>
          <w:szCs w:val="15"/>
          <w:color w:val="auto"/>
        </w:rPr>
        <w:t>”), at the date the Proxy Statement (and any amendment or supplement thereto) is first mailed to Parent stockholders and at the time of the Parent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2.27 will not apply to statements or omissions included in the Proxy Statement (and, in each case, any amendment or supplement thereto) based upon information regarding Parent supplied to the Company in writing by Parent for use therein.</w:t>
      </w:r>
    </w:p>
    <w:p>
      <w:pPr>
        <w:spacing w:after="0" w:line="164"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III</w:t>
      </w:r>
    </w:p>
    <w:p>
      <w:pPr>
        <w:spacing w:after="0" w:line="205"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REPRESENTATIONS AND WARRANTIES OF PARENT AND MERGER SUB</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Except as set forth in the disclosure schedule provided by Parent to the Company on the date hereof and accepted in writing by the Company (the “</w:t>
      </w:r>
      <w:r>
        <w:rPr>
          <w:rFonts w:ascii="Arial" w:cs="Arial" w:eastAsia="Arial" w:hAnsi="Arial"/>
          <w:sz w:val="15"/>
          <w:szCs w:val="15"/>
          <w:b w:val="1"/>
          <w:bCs w:val="1"/>
          <w:color w:val="auto"/>
        </w:rPr>
        <w:t>Parent Disclosure Schedule</w:t>
      </w:r>
      <w:r>
        <w:rPr>
          <w:rFonts w:ascii="Arial" w:cs="Arial" w:eastAsia="Arial" w:hAnsi="Arial"/>
          <w:sz w:val="15"/>
          <w:szCs w:val="15"/>
          <w:color w:val="auto"/>
        </w:rPr>
        <w:t>”), Parent, on behalf of itself and its Subsidiaries, represents and warrants to the Company that the statements contained in this Article III are true, complete and correct. The Parent Disclosure Schedule shall be arranged in paragraphs corresponding to the numbered and lettered paragraphs contained in this Article III, and the disclosure in any paragraph shall be deemed to qualify only the corresponding paragraph of this Article III, unless a reasonable person would determine that the disclosure contained in such paragraph contains enough information to qualify or otherwise apply to other paragraphs of this Article III. As used in this Agreement, a “</w:t>
      </w:r>
      <w:r>
        <w:rPr>
          <w:rFonts w:ascii="Arial" w:cs="Arial" w:eastAsia="Arial" w:hAnsi="Arial"/>
          <w:sz w:val="15"/>
          <w:szCs w:val="15"/>
          <w:b w:val="1"/>
          <w:bCs w:val="1"/>
          <w:color w:val="auto"/>
        </w:rPr>
        <w:t>Parent Material Adverse Effect</w:t>
      </w:r>
      <w:r>
        <w:rPr>
          <w:rFonts w:ascii="Arial" w:cs="Arial" w:eastAsia="Arial" w:hAnsi="Arial"/>
          <w:sz w:val="15"/>
          <w:szCs w:val="15"/>
          <w:color w:val="auto"/>
        </w:rPr>
        <w:t>” means any change, event or occurrence that has a material adverse effect on the condition (financial or otherwise), business, operations, properties, assets or liabilities of the Parent and its Subsidiaries, taken as a whole; provided, that, none of the following, in and of itself or themselves, nor any effect arising out of or resulting from the following shall constitute or be taken into account in determining whether a Parent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Parent and its Subsidiaries conduct operations; (C) changes or prospective changes in</w:t>
      </w: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4" w:name="page315"/>
    <w:bookmarkEnd w:id="3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3" w:lineRule="auto"/>
        <w:rPr>
          <w:sz w:val="20"/>
          <w:szCs w:val="20"/>
          <w:color w:val="auto"/>
        </w:rPr>
      </w:pPr>
      <w:r>
        <w:rPr>
          <w:rFonts w:ascii="Arial" w:cs="Arial" w:eastAsia="Arial" w:hAnsi="Arial"/>
          <w:sz w:val="15"/>
          <w:szCs w:val="15"/>
          <w:color w:val="auto"/>
        </w:rPr>
        <w:t>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Parent or its Subsidiaries that is required by this Agreement or taken at Company’s written request, or the failure to take any action by the Parent or its Subsidiaries if that action is prohibited by this Agreement; or (G) any change resulting or arising from the identity of, or any facts or circumstances relating to the Company or its Subsidiaries or their respective Affiliates. Whenever a representation or warranty made by the Parent herein refers to the “knowledge of the Parent,” or words to such effect, such knowledge shall be deemed to consist only of the actual knowledge of the executive officers of the Parent or Merger Sub.</w:t>
      </w:r>
    </w:p>
    <w:p>
      <w:pPr>
        <w:spacing w:after="0" w:line="62"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Parent is a corporation duly organized, validly existing and in corporate and tax good standing under the laws of the State of Delaware. Parent is duly qualified or licensed as a foreign corporation to conduct business, and is in corporate and tax good standing, under the laws of each jurisdiction where the character of the properties owned, leased or operated by it, or the nature of its activities, makes such qualification or licensing necessary, except where the failure to be so qualified, licensed or in good standing, individually or in the aggregate, has not had and would not have a Parent Material Adverse Effect. Parent has all requisite corporate power and authority to carry on the businesses in which it is engaged and to own and use the properties owned and used by it. Parent has made available to the Company true, complete and correct copies of its Certificate of Incorporation and Bylaws, each as amended to date. Parent is not in default under or in violation of any provision of its Certificate of Incorporation or Bylaws.</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Subsidiaries</w:t>
      </w:r>
      <w:r>
        <w:rPr>
          <w:rFonts w:ascii="Arial" w:cs="Arial" w:eastAsia="Arial" w:hAnsi="Arial"/>
          <w:sz w:val="17"/>
          <w:szCs w:val="17"/>
          <w:color w:val="auto"/>
        </w:rPr>
        <w:t>. Exhibit 21 to Parent’s Annual Report on Form 10-K for the fiscal year ended December 31, 2010 sets forth a true, complete and correct list of each Subsidiary of Parent that is a Significant Subsidiary (as defined in Rule 1-02 of Regulation S-X).</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Capital Structure</w:t>
      </w:r>
      <w:r>
        <w:rPr>
          <w:rFonts w:ascii="Arial" w:cs="Arial" w:eastAsia="Arial" w:hAnsi="Arial"/>
          <w:sz w:val="17"/>
          <w:szCs w:val="17"/>
          <w:color w:val="auto"/>
        </w:rPr>
        <w:t>.</w:t>
      </w:r>
    </w:p>
    <w:p>
      <w:pPr>
        <w:spacing w:after="0" w:line="105" w:lineRule="exact"/>
        <w:rPr>
          <w:sz w:val="20"/>
          <w:szCs w:val="20"/>
          <w:color w:val="auto"/>
        </w:rPr>
      </w:pPr>
    </w:p>
    <w:p>
      <w:pPr>
        <w:ind w:left="300" w:right="1239" w:firstLine="248"/>
        <w:spacing w:after="0" w:line="267" w:lineRule="auto"/>
        <w:tabs>
          <w:tab w:leader="none" w:pos="84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authorized capital stock of Parent consists of (i) 28,000,000 shares of Parent Common Stock; and (ii) 5,000,000 shares of preferred stock, $0.01 par value per share.</w:t>
      </w:r>
    </w:p>
    <w:p>
      <w:pPr>
        <w:spacing w:after="0" w:line="66" w:lineRule="exact"/>
        <w:rPr>
          <w:rFonts w:ascii="Arial" w:cs="Arial" w:eastAsia="Arial" w:hAnsi="Arial"/>
          <w:sz w:val="17"/>
          <w:szCs w:val="17"/>
          <w:color w:val="auto"/>
        </w:rPr>
      </w:pPr>
    </w:p>
    <w:p>
      <w:pPr>
        <w:jc w:val="both"/>
        <w:ind w:left="300" w:right="1239" w:firstLine="248"/>
        <w:spacing w:after="0" w:line="267" w:lineRule="auto"/>
        <w:tabs>
          <w:tab w:leader="none" w:pos="88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As of the close of business on the date hereof: (i) 13,861,423 shares of Parent Common Stock were issued and outstanding; (ii) no shares of preferred stock were issued or outstanding; (iii) no shares of Parent Common Stock were held in the treasury of Parent; (iv) 4,718,450 shares of Parent Common Stock were duly reserved for future issuance pursuant to stock options granted pursuant to Parent’s 2006 Stock Option Plan; and (v) 7,885,042 shares of Parent Common Stock were duly reserved for future issuance pursuant to warrants issued by Parent. Except as described above, as of such date, there were no shares of voting or non-voting capital stock, equity interests or other securities of Parent authorized, issued, reserved for issuance or otherwise outstanding.</w:t>
      </w:r>
    </w:p>
    <w:p>
      <w:pPr>
        <w:spacing w:after="0" w:line="70" w:lineRule="exact"/>
        <w:rPr>
          <w:rFonts w:ascii="Arial" w:cs="Arial" w:eastAsia="Arial" w:hAnsi="Arial"/>
          <w:sz w:val="16"/>
          <w:szCs w:val="16"/>
          <w:color w:val="auto"/>
        </w:rPr>
      </w:pPr>
    </w:p>
    <w:p>
      <w:pPr>
        <w:jc w:val="both"/>
        <w:ind w:left="300" w:right="1239" w:firstLine="248"/>
        <w:spacing w:after="0" w:line="297" w:lineRule="auto"/>
        <w:tabs>
          <w:tab w:leader="none" w:pos="817"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All outstanding shares of Parent Common Stock are, and all shares of Parent Common Stock to be issued in connection with the Merger will be, when issued in accordance with the terms hereof, duly authorized, validly issued, fully paid and non-assessable, and not subject to, or issued in violation of, any kind of preemptive, subscription or similar rights and were or will be issued in compliance in all material respects with all applicable federal and state securities laws.</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Authority; No Conflict; Required Filings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3" w:lineRule="auto"/>
        <w:tabs>
          <w:tab w:leader="none" w:pos="82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Each of Parent and Merger Sub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5" w:name="page316"/>
    <w:bookmarkEnd w:id="3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8" w:lineRule="auto"/>
        <w:rPr>
          <w:sz w:val="20"/>
          <w:szCs w:val="20"/>
          <w:color w:val="auto"/>
        </w:rPr>
      </w:pPr>
      <w:r>
        <w:rPr>
          <w:rFonts w:ascii="Arial" w:cs="Arial" w:eastAsia="Arial" w:hAnsi="Arial"/>
          <w:sz w:val="15"/>
          <w:szCs w:val="15"/>
          <w:color w:val="auto"/>
        </w:rPr>
        <w:t>have been duly authorized by all corporate action on the part of Parent and Merger Sub and no other corporate proceedings are necessary other than, with respect to the Merger, the approval and adoption of this Agreement, the adoption of an amended and restated certificate of incorporation of the Parent (the “</w:t>
      </w:r>
      <w:r>
        <w:rPr>
          <w:rFonts w:ascii="Arial" w:cs="Arial" w:eastAsia="Arial" w:hAnsi="Arial"/>
          <w:sz w:val="15"/>
          <w:szCs w:val="15"/>
          <w:b w:val="1"/>
          <w:bCs w:val="1"/>
          <w:color w:val="auto"/>
        </w:rPr>
        <w:t>Restated Parent Certificate</w:t>
      </w:r>
      <w:r>
        <w:rPr>
          <w:rFonts w:ascii="Arial" w:cs="Arial" w:eastAsia="Arial" w:hAnsi="Arial"/>
          <w:sz w:val="15"/>
          <w:szCs w:val="15"/>
          <w:color w:val="auto"/>
        </w:rPr>
        <w:t>”), increasing the number of authorized shares of Parent Common Stock to up to 150,000,000 shares and effecting a reverse split of the shares of Parent Common Stock, if the Parent reasonably believes that such reverse split is required as a result of the Merger in order to comply with the applicable listing requirements of the NYSE Amex, in each case by the affirmative vote of the holders of a majority of the outstanding shares of Parent Common Stock (the “</w:t>
      </w:r>
      <w:r>
        <w:rPr>
          <w:rFonts w:ascii="Arial" w:cs="Arial" w:eastAsia="Arial" w:hAnsi="Arial"/>
          <w:sz w:val="15"/>
          <w:szCs w:val="15"/>
          <w:b w:val="1"/>
          <w:bCs w:val="1"/>
          <w:color w:val="auto"/>
        </w:rPr>
        <w:t>Parent Stockholder Approval</w:t>
      </w:r>
      <w:r>
        <w:rPr>
          <w:rFonts w:ascii="Arial" w:cs="Arial" w:eastAsia="Arial" w:hAnsi="Arial"/>
          <w:sz w:val="15"/>
          <w:szCs w:val="15"/>
          <w:color w:val="auto"/>
        </w:rPr>
        <w:t>”).</w:t>
      </w:r>
    </w:p>
    <w:p>
      <w:pPr>
        <w:spacing w:after="0" w:line="55" w:lineRule="exact"/>
        <w:rPr>
          <w:sz w:val="20"/>
          <w:szCs w:val="20"/>
          <w:color w:val="auto"/>
        </w:rPr>
      </w:pPr>
    </w:p>
    <w:p>
      <w:pPr>
        <w:jc w:val="both"/>
        <w:ind w:left="300" w:right="1239" w:firstLine="248"/>
        <w:spacing w:after="0" w:line="284" w:lineRule="auto"/>
        <w:tabs>
          <w:tab w:leader="none" w:pos="839" w:val="left"/>
        </w:tabs>
        <w:numPr>
          <w:ilvl w:val="1"/>
          <w:numId w:val="201"/>
        </w:numPr>
        <w:rPr>
          <w:rFonts w:ascii="Arial" w:cs="Arial" w:eastAsia="Arial" w:hAnsi="Arial"/>
          <w:sz w:val="15"/>
          <w:szCs w:val="15"/>
          <w:color w:val="auto"/>
        </w:rPr>
      </w:pPr>
      <w:r>
        <w:rPr>
          <w:rFonts w:ascii="Arial" w:cs="Arial" w:eastAsia="Arial" w:hAnsi="Arial"/>
          <w:sz w:val="15"/>
          <w:szCs w:val="15"/>
          <w:color w:val="auto"/>
        </w:rPr>
        <w:t>The Board of Directors of each of Parent and Merger Sub has, at meetings duly called and held, by unanimous vote of their respective directors: (i) approved and declared advisable this Agreement; (ii) determined that the Merger and other transactions contemplated by this Agreement are advisable, fair to and in the best interests of the Parent and its stockholders;</w:t>
      </w:r>
    </w:p>
    <w:p>
      <w:pPr>
        <w:spacing w:after="0" w:line="1" w:lineRule="exact"/>
        <w:rPr>
          <w:rFonts w:ascii="Arial" w:cs="Arial" w:eastAsia="Arial" w:hAnsi="Arial"/>
          <w:sz w:val="15"/>
          <w:szCs w:val="15"/>
          <w:color w:val="auto"/>
        </w:rPr>
      </w:pPr>
    </w:p>
    <w:p>
      <w:pPr>
        <w:jc w:val="both"/>
        <w:ind w:left="300" w:right="1239" w:hanging="2"/>
        <w:spacing w:after="0" w:line="284" w:lineRule="auto"/>
        <w:tabs>
          <w:tab w:leader="none" w:pos="601" w:val="left"/>
        </w:tabs>
        <w:numPr>
          <w:ilvl w:val="0"/>
          <w:numId w:val="202"/>
        </w:numPr>
        <w:rPr>
          <w:rFonts w:ascii="Arial" w:cs="Arial" w:eastAsia="Arial" w:hAnsi="Arial"/>
          <w:sz w:val="15"/>
          <w:szCs w:val="15"/>
          <w:color w:val="auto"/>
        </w:rPr>
      </w:pPr>
      <w:r>
        <w:rPr>
          <w:rFonts w:ascii="Arial" w:cs="Arial" w:eastAsia="Arial" w:hAnsi="Arial"/>
          <w:sz w:val="15"/>
          <w:szCs w:val="15"/>
          <w:color w:val="auto"/>
        </w:rPr>
        <w:t>in the case of the Board of Directors of the Parent, resolved to recommend to the Parent stockholders (A) the approval of the Merger and the other transactions contemplated hereby, (B) the approval and adoption of this Agreement, (C) the adoption of the Restated Parent Certificate and (D) the issuance of the Parent Common Stock as contemplated herein; (v) resolved that Section 203 of the DGCL or any other applicable “takeover” statute, regulation or law be rendered inapplicable to the transactions contemplated hereby, including, without limitation, the Merger, and (v) directed that this Agreement be submitted to the Parent stockholders for their approval and adoption. This Agreement has been duly executed and delivered by Parent and Merger Sub and constitutes a valid and binding obligation of Parent and Merger Sub, enforceable against each of them in accordance with its terms, subject only to the Equitable Exceptions.</w:t>
      </w:r>
    </w:p>
    <w:p>
      <w:pPr>
        <w:spacing w:after="0" w:line="58" w:lineRule="exact"/>
        <w:rPr>
          <w:rFonts w:ascii="Arial" w:cs="Arial" w:eastAsia="Arial" w:hAnsi="Arial"/>
          <w:sz w:val="15"/>
          <w:szCs w:val="15"/>
          <w:color w:val="auto"/>
        </w:rPr>
      </w:pPr>
    </w:p>
    <w:p>
      <w:pPr>
        <w:jc w:val="both"/>
        <w:ind w:left="300" w:right="1239" w:firstLine="248"/>
        <w:spacing w:after="0" w:line="281" w:lineRule="auto"/>
        <w:tabs>
          <w:tab w:leader="none" w:pos="822" w:val="left"/>
        </w:tabs>
        <w:numPr>
          <w:ilvl w:val="1"/>
          <w:numId w:val="202"/>
        </w:numPr>
        <w:rPr>
          <w:rFonts w:ascii="Arial" w:cs="Arial" w:eastAsia="Arial" w:hAnsi="Arial"/>
          <w:sz w:val="15"/>
          <w:szCs w:val="15"/>
          <w:color w:val="auto"/>
        </w:rPr>
      </w:pPr>
      <w:r>
        <w:rPr>
          <w:rFonts w:ascii="Arial" w:cs="Arial" w:eastAsia="Arial" w:hAnsi="Arial"/>
          <w:sz w:val="15"/>
          <w:szCs w:val="15"/>
          <w:color w:val="auto"/>
        </w:rPr>
        <w:t>The execution and delivery of this Agreement do not, the performance by either Parent or Merger Sub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or result in the creation of any Liens in or upon any of the properties or other assets of Parent or any of its Subsidiaries under any provision of: (i) the Certificate of Incorporation, Bylaws or other equivalent organizational documents of Parent or any of its Subsidiaries;</w:t>
      </w:r>
    </w:p>
    <w:p>
      <w:pPr>
        <w:spacing w:after="0" w:line="3" w:lineRule="exact"/>
        <w:rPr>
          <w:rFonts w:ascii="Arial" w:cs="Arial" w:eastAsia="Arial" w:hAnsi="Arial"/>
          <w:sz w:val="15"/>
          <w:szCs w:val="15"/>
          <w:color w:val="auto"/>
        </w:rPr>
      </w:pPr>
    </w:p>
    <w:p>
      <w:pPr>
        <w:jc w:val="both"/>
        <w:ind w:left="300" w:right="1239" w:hanging="2"/>
        <w:spacing w:after="0" w:line="264" w:lineRule="auto"/>
        <w:tabs>
          <w:tab w:leader="none" w:pos="55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subject to the governmental filings and other matters referred to in paragraph (d) below, any (A) permit, license, franchise, statute, law, ordinance or regulation or (B) judgment, decree or order, in each case applicable to Parent or any of its Subsidiaries, or by which any of their respective properties or assets may be bound or affected; or (iii) any loan or credit agreement, note, bond, mortgage, indenture, contract, agreement, lease or other instrument or obligation to which Parent or any of its Subsidiaries is a party or by which any of their respective properties or assets may be bound or affected, except, in the case of clauses (ii) or (iii) above, for any such conflicts, violations, defaults or other occurrences, if any, that could not, individually or in the aggregate, reasonably be expected to result in (x) a Parent Material Adverse Effect or (y) impair in any material respect the ability of the Parties to consummate the Merger and the other transactions contemplated hereby on a timely basis.</w:t>
      </w:r>
    </w:p>
    <w:p>
      <w:pPr>
        <w:spacing w:after="0" w:line="70" w:lineRule="exact"/>
        <w:rPr>
          <w:rFonts w:ascii="Arial" w:cs="Arial" w:eastAsia="Arial" w:hAnsi="Arial"/>
          <w:sz w:val="16"/>
          <w:szCs w:val="16"/>
          <w:color w:val="auto"/>
        </w:rPr>
      </w:pPr>
    </w:p>
    <w:p>
      <w:pPr>
        <w:jc w:val="both"/>
        <w:ind w:left="300" w:right="1239" w:firstLine="248"/>
        <w:spacing w:after="0" w:line="248" w:lineRule="auto"/>
        <w:tabs>
          <w:tab w:leader="none" w:pos="841" w:val="left"/>
        </w:tabs>
        <w:numPr>
          <w:ilvl w:val="1"/>
          <w:numId w:val="203"/>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declaration or filing with, any Governmental Authority is required by or with respect to Parent or its Subsidiaries in connection with the execution and delivery of this Agreement or the consummation of the Merger or other transactions contemplated hereby except for: (i) the filing of the Certificate of Merger with the Secretary of State of the State of Delaware in accordance with the DGCL; (ii) compliance with any applicable requirements under the Securities Act; (iii) compliance with any applicable requirements under the Exchange Act; (iv) compliance with any applicable state securities, takeover or so-called “</w:t>
      </w:r>
      <w:r>
        <w:rPr>
          <w:rFonts w:ascii="Arial" w:cs="Arial" w:eastAsia="Arial" w:hAnsi="Arial"/>
          <w:sz w:val="17"/>
          <w:szCs w:val="17"/>
          <w:b w:val="1"/>
          <w:bCs w:val="1"/>
          <w:color w:val="auto"/>
        </w:rPr>
        <w:t>Blue Sky</w:t>
      </w:r>
      <w:r>
        <w:rPr>
          <w:rFonts w:ascii="Arial" w:cs="Arial" w:eastAsia="Arial" w:hAnsi="Arial"/>
          <w:sz w:val="17"/>
          <w:szCs w:val="17"/>
          <w:color w:val="auto"/>
        </w:rPr>
        <w:t>” Laws; (v) compliance with any applicable requirements of the Financial Industry Regulatory Authority, Inc., the NYSE Amex or other exchange on which the Parent Common Stock is traded; and (vi) such consents, approvals, orders or authorizations, or registrations, declarations or filings which if not obtained or made, could not reasonably be expected to (A) result in a Parent Material Adverse Effect; or (B) impair in any</w:t>
      </w:r>
    </w:p>
    <w:p>
      <w:pPr>
        <w:spacing w:after="0" w:line="200" w:lineRule="exact"/>
        <w:rPr>
          <w:sz w:val="20"/>
          <w:szCs w:val="20"/>
          <w:color w:val="auto"/>
        </w:rPr>
      </w:pPr>
    </w:p>
    <w:p>
      <w:pPr>
        <w:spacing w:after="0" w:line="29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6" w:name="page317"/>
    <w:bookmarkEnd w:id="3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material respect the ability of the Parties to consummate the Merger and the other transactions contemplated hereby on a timely basis.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SEC Filings; Financial Statements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5" w:lineRule="auto"/>
        <w:tabs>
          <w:tab w:leader="none" w:pos="85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Parent has timely filed all forms, reports and documents required to be filed by Parent with the SEC since June 21, 2010, including, without limitation, all exhibits required to be filed therewith, and has made available to the Company true, complete and correct copies of all of the same so filed (including any forms, reports and documents filed after the date hereof, the “</w:t>
      </w:r>
      <w:r>
        <w:rPr>
          <w:rFonts w:ascii="Arial" w:cs="Arial" w:eastAsia="Arial" w:hAnsi="Arial"/>
          <w:sz w:val="16"/>
          <w:szCs w:val="16"/>
          <w:b w:val="1"/>
          <w:bCs w:val="1"/>
          <w:color w:val="auto"/>
        </w:rPr>
        <w:t>Parent SEC Reports</w:t>
      </w:r>
      <w:r>
        <w:rPr>
          <w:rFonts w:ascii="Arial" w:cs="Arial" w:eastAsia="Arial" w:hAnsi="Arial"/>
          <w:sz w:val="16"/>
          <w:szCs w:val="16"/>
          <w:color w:val="auto"/>
        </w:rPr>
        <w:t>”), other than the unredacted version of documents for which confidential treatment has been granted by the SEC or for which such treatment has been applied and is pending. The Parent SEC Reports: (i) at the time filed complied (or will comply when filed, as the case may be) in all material respects with the applicable requirements of the Securities Act and/or the Exchange Act; and (ii) did not at the time they were filed (or, if later filed, amended or superseded, then on the date of such later filing) contain any untrue statement of a material fact or omit to state a material fact required to be stated therein or necessary in order to make the statements contained therein, in the light of the circumstances under which they were made, not misleading.</w:t>
      </w:r>
    </w:p>
    <w:p>
      <w:pPr>
        <w:spacing w:after="0" w:line="73" w:lineRule="exact"/>
        <w:rPr>
          <w:rFonts w:ascii="Arial" w:cs="Arial" w:eastAsia="Arial" w:hAnsi="Arial"/>
          <w:sz w:val="16"/>
          <w:szCs w:val="16"/>
          <w:color w:val="auto"/>
        </w:rPr>
      </w:pPr>
    </w:p>
    <w:p>
      <w:pPr>
        <w:jc w:val="both"/>
        <w:ind w:left="300" w:right="1239" w:firstLine="248"/>
        <w:spacing w:after="0" w:line="266" w:lineRule="auto"/>
        <w:tabs>
          <w:tab w:leader="none" w:pos="83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related notes thereto) contained in the Parent SEC Reports, complied or will comply, as the case may be, as to form in all material respects with the applicable published rules and regulations of the SEC with respect thereto, was or will be prepared in accordance with GAAP applied on a consistent basis throughout the periods involved except as may otherwise be indicated in the notes thereto or, in the case of unaudited interim financial statements, as permitted by Form 10-Q promulgated by the SEC, and fairly presented or will fairly present, as the case may be, in all material respects, the consolidated financial position of Parent and its Subsidiaries as at the respective dates and the consolidated results of operations and cash flows for the periods therein indicated, except, in the case of the unaudited interim financial statements for the absence of footnotes and normal year-end adjustments which were not and will not be material in amount.</w:t>
      </w:r>
    </w:p>
    <w:p>
      <w:pPr>
        <w:spacing w:after="0" w:line="6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Absence of Undisclosed Liabilities; Cash</w:t>
      </w:r>
      <w:r>
        <w:rPr>
          <w:rFonts w:ascii="Arial" w:cs="Arial" w:eastAsia="Arial" w:hAnsi="Arial"/>
          <w:sz w:val="15"/>
          <w:szCs w:val="15"/>
          <w:color w:val="auto"/>
        </w:rPr>
        <w:t>. Parent and its Subsidiaries do not have any liabilities or obligations, whether fixed, contingent, accrued or otherwise, liquidated or unliquidated and whether due or to become due, other than: (i) liabilities reflected or reserved against on the balance sheet contained in Parent’s Quarterly Report on Form 10-Q (the “</w:t>
      </w:r>
      <w:r>
        <w:rPr>
          <w:rFonts w:ascii="Arial" w:cs="Arial" w:eastAsia="Arial" w:hAnsi="Arial"/>
          <w:sz w:val="15"/>
          <w:szCs w:val="15"/>
          <w:b w:val="1"/>
          <w:bCs w:val="1"/>
          <w:color w:val="auto"/>
        </w:rPr>
        <w:t>Parent’s Most</w:t>
      </w:r>
      <w:r>
        <w:rPr>
          <w:rFonts w:ascii="Arial" w:cs="Arial" w:eastAsia="Arial" w:hAnsi="Arial"/>
          <w:sz w:val="15"/>
          <w:szCs w:val="15"/>
          <w:color w:val="auto"/>
        </w:rPr>
        <w:t xml:space="preserve"> </w:t>
      </w:r>
      <w:r>
        <w:rPr>
          <w:rFonts w:ascii="Arial" w:cs="Arial" w:eastAsia="Arial" w:hAnsi="Arial"/>
          <w:sz w:val="15"/>
          <w:szCs w:val="15"/>
          <w:b w:val="1"/>
          <w:bCs w:val="1"/>
          <w:color w:val="auto"/>
        </w:rPr>
        <w:t>Recent Balance Sheet</w:t>
      </w:r>
      <w:r>
        <w:rPr>
          <w:rFonts w:ascii="Arial" w:cs="Arial" w:eastAsia="Arial" w:hAnsi="Arial"/>
          <w:sz w:val="15"/>
          <w:szCs w:val="15"/>
          <w:color w:val="auto"/>
        </w:rPr>
        <w:t>”) for the quarter ended September 30, 2011 (the “Parent’s</w:t>
      </w:r>
      <w:r>
        <w:rPr>
          <w:rFonts w:ascii="Arial" w:cs="Arial" w:eastAsia="Arial" w:hAnsi="Arial"/>
          <w:sz w:val="15"/>
          <w:szCs w:val="15"/>
          <w:b w:val="1"/>
          <w:bCs w:val="1"/>
          <w:color w:val="auto"/>
        </w:rPr>
        <w:t xml:space="preserve"> Most Recent Balance Sheet Date</w:t>
      </w:r>
      <w:r>
        <w:rPr>
          <w:rFonts w:ascii="Arial" w:cs="Arial" w:eastAsia="Arial" w:hAnsi="Arial"/>
          <w:sz w:val="15"/>
          <w:szCs w:val="15"/>
          <w:color w:val="auto"/>
        </w:rPr>
        <w:t>”); (ii)</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under any Parent Material Contract (as defined in Section 3.8); (iii) liabilities or obligations incurred since Parent’s Most Recent Balance Sheet Date in the ordinary course of business, consistent with past practice in both type and amount; and (iv) liabilities or obligations not required to be reported by GAAP. As of the date hereof Parent has at least $4,200,000 in cash on hand and at the Effective Time will have at least $2,000,000 in cash on hand and Parent and its Subsidiaries (taken as a whole) are solvent, able to pay their indebtedness as it matures and has capital sufficient to carry on its business.</w:t>
      </w:r>
    </w:p>
    <w:p>
      <w:pPr>
        <w:spacing w:after="0" w:line="61"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Since Parent’s Most Recent Balance Sheet Date, Parent and its Subsidiaries have conducted their respective businesses only in the ordinary course of business consistent with past practice and there has not been any action, event or occurrence which (i) except as otherwise set forth in Section 3.7 of the Parent Disclosure Schedule, would require disclosure in a periodic report filed pursuant to the Exchange Act; (ii) has had, or could reasonably be expected to result in, a Parent Material Adverse Effect; (iii) any action, event or occurrence which has had a loss or liability to Parent in excess of $500,000 or (iv) any other action, event or occurrence that would have required the consent of Company pursuant to Section 4.1 had such action, event or occurrence taken place after the execution and delivery of this Agreement.</w:t>
      </w:r>
    </w:p>
    <w:p>
      <w:pPr>
        <w:spacing w:after="0" w:line="5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of Parent and its Subsidiaries has at all times complied with all federal, state, local and foreign statutes, laws and regulations, and is not in violation of, and has not received any written claim or notice of violation of, any such statutes, laws and regulations with respect to the conduct</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17" w:name="page318"/>
    <w:bookmarkEnd w:id="3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67" w:lineRule="auto"/>
        <w:rPr>
          <w:sz w:val="20"/>
          <w:szCs w:val="20"/>
          <w:color w:val="auto"/>
        </w:rPr>
      </w:pPr>
      <w:r>
        <w:rPr>
          <w:rFonts w:ascii="Arial" w:cs="Arial" w:eastAsia="Arial" w:hAnsi="Arial"/>
          <w:sz w:val="17"/>
          <w:szCs w:val="17"/>
          <w:color w:val="auto"/>
        </w:rPr>
        <w:t>of its business or the ownership and operation of its properties and other assets, except for such instances of non-compliance or violation, if any, which could not reasonably be expected to result in a Parent Material Adverse Effect.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Agreements, Contracts and Commitments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92" w:lineRule="auto"/>
        <w:tabs>
          <w:tab w:leader="none" w:pos="917" w:val="left"/>
        </w:tabs>
        <w:numPr>
          <w:ilvl w:val="0"/>
          <w:numId w:val="205"/>
        </w:numPr>
        <w:rPr>
          <w:rFonts w:ascii="Arial" w:cs="Arial" w:eastAsia="Arial" w:hAnsi="Arial"/>
          <w:sz w:val="15"/>
          <w:szCs w:val="15"/>
          <w:color w:val="auto"/>
        </w:rPr>
      </w:pPr>
      <w:r>
        <w:rPr>
          <w:rFonts w:ascii="Arial" w:cs="Arial" w:eastAsia="Arial" w:hAnsi="Arial"/>
          <w:sz w:val="15"/>
          <w:szCs w:val="15"/>
          <w:color w:val="auto"/>
        </w:rPr>
        <w:t>Parent has made available to the Company true, complete and correct copies of each agreement, contract or commitment that (i) is required to be filed as an exhibit to, or otherwise incorporated by reference in, the Parent SEC Reports pursuant to Regulation S-K; or (ii) except as otherwise set forth in Section 3.7 of the Parent Disclosure Schedule, which has been entered into by Parent or any of its Subsidiaries since Parent’s Most Recent Balance Sheet Date and is required to be filed by Parent with the SEC pursuant to Item 601(a)(1) of Regulation S-K (collectively, the “</w:t>
      </w:r>
      <w:r>
        <w:rPr>
          <w:rFonts w:ascii="Arial" w:cs="Arial" w:eastAsia="Arial" w:hAnsi="Arial"/>
          <w:sz w:val="15"/>
          <w:szCs w:val="15"/>
          <w:b w:val="1"/>
          <w:bCs w:val="1"/>
          <w:color w:val="auto"/>
        </w:rPr>
        <w:t>Parent Material Contracts</w:t>
      </w:r>
      <w:r>
        <w:rPr>
          <w:rFonts w:ascii="Arial" w:cs="Arial" w:eastAsia="Arial" w:hAnsi="Arial"/>
          <w:sz w:val="15"/>
          <w:szCs w:val="15"/>
          <w:color w:val="auto"/>
        </w:rPr>
        <w:t>”).</w:t>
      </w:r>
    </w:p>
    <w:p>
      <w:pPr>
        <w:spacing w:after="0" w:line="53" w:lineRule="exact"/>
        <w:rPr>
          <w:rFonts w:ascii="Arial" w:cs="Arial" w:eastAsia="Arial" w:hAnsi="Arial"/>
          <w:sz w:val="15"/>
          <w:szCs w:val="15"/>
          <w:color w:val="auto"/>
        </w:rPr>
      </w:pPr>
    </w:p>
    <w:p>
      <w:pPr>
        <w:jc w:val="both"/>
        <w:ind w:left="300" w:right="1239" w:firstLine="248"/>
        <w:spacing w:after="0" w:line="280" w:lineRule="auto"/>
        <w:tabs>
          <w:tab w:leader="none" w:pos="84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Neither Parent nor any of its Subsidiaries has breached, or received in writing any claim or threat that it has breached, any of the terms or conditions of any Parent Material Contract in such a manner as would permit any other party thereto to cancel or terminate the same or to collect material damages from Parent or any of its Subsidiaries.</w:t>
      </w:r>
    </w:p>
    <w:p>
      <w:pPr>
        <w:spacing w:after="0" w:line="57" w:lineRule="exact"/>
        <w:rPr>
          <w:rFonts w:ascii="Arial" w:cs="Arial" w:eastAsia="Arial" w:hAnsi="Arial"/>
          <w:sz w:val="16"/>
          <w:szCs w:val="16"/>
          <w:color w:val="auto"/>
        </w:rPr>
      </w:pPr>
    </w:p>
    <w:p>
      <w:pPr>
        <w:jc w:val="both"/>
        <w:ind w:left="300" w:right="1239" w:firstLine="248"/>
        <w:spacing w:after="0" w:line="256" w:lineRule="auto"/>
        <w:tabs>
          <w:tab w:leader="none" w:pos="83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Each Parent Material Contract that has not expired or otherwise been terminated in accordance with its terms is valid, binding, enforceable and in full force and effect and, to the knowledge of the Parent, no other party to such contract is in default in any material respect.</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Material Permits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6" w:lineRule="auto"/>
        <w:tabs>
          <w:tab w:leader="none" w:pos="841" w:val="left"/>
        </w:tabs>
        <w:numPr>
          <w:ilvl w:val="0"/>
          <w:numId w:val="206"/>
        </w:numPr>
        <w:rPr>
          <w:rFonts w:ascii="Arial" w:cs="Arial" w:eastAsia="Arial" w:hAnsi="Arial"/>
          <w:sz w:val="17"/>
          <w:szCs w:val="17"/>
          <w:color w:val="auto"/>
        </w:rPr>
      </w:pPr>
      <w:r>
        <w:rPr>
          <w:rFonts w:ascii="Arial" w:cs="Arial" w:eastAsia="Arial" w:hAnsi="Arial"/>
          <w:sz w:val="17"/>
          <w:szCs w:val="17"/>
          <w:color w:val="auto"/>
        </w:rPr>
        <w:t>Section 3.10(a) of the Parent Disclosure Schedule sets forth a true, complete and correct list of all federal, state, local and foreign governmental licenses, permits, franchises and authorizations issued to or held by Parent or its Subsidiaries (collectively, the “</w:t>
      </w:r>
      <w:r>
        <w:rPr>
          <w:rFonts w:ascii="Arial" w:cs="Arial" w:eastAsia="Arial" w:hAnsi="Arial"/>
          <w:sz w:val="17"/>
          <w:szCs w:val="17"/>
          <w:b w:val="1"/>
          <w:bCs w:val="1"/>
          <w:color w:val="auto"/>
        </w:rPr>
        <w:t>Parent Permits</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Each of the Parent and its Subsidiaries is in compliance in all material respects with the terms and conditions of the Parent Permits.</w:t>
      </w:r>
    </w:p>
    <w:p>
      <w:pPr>
        <w:spacing w:after="0" w:line="66" w:lineRule="exact"/>
        <w:rPr>
          <w:rFonts w:ascii="Arial" w:cs="Arial" w:eastAsia="Arial" w:hAnsi="Arial"/>
          <w:sz w:val="17"/>
          <w:szCs w:val="17"/>
          <w:color w:val="auto"/>
        </w:rPr>
      </w:pPr>
    </w:p>
    <w:p>
      <w:pPr>
        <w:jc w:val="both"/>
        <w:ind w:left="300" w:right="1239" w:firstLine="248"/>
        <w:spacing w:after="0" w:line="256" w:lineRule="auto"/>
        <w:tabs>
          <w:tab w:leader="none" w:pos="83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Each Parent Permit is in full force and effect and no action, proceeding, revocation proceeding, amendment procedure, writ, injunction or claim is pending or, to the knowledge of the Parent, threatened, which seeks to revoke or limit any Parent Permit.</w:t>
      </w:r>
    </w:p>
    <w:p>
      <w:pPr>
        <w:spacing w:after="0" w:line="76" w:lineRule="exact"/>
        <w:rPr>
          <w:rFonts w:ascii="Arial" w:cs="Arial" w:eastAsia="Arial" w:hAnsi="Arial"/>
          <w:sz w:val="17"/>
          <w:szCs w:val="17"/>
          <w:color w:val="auto"/>
        </w:rPr>
      </w:pPr>
    </w:p>
    <w:p>
      <w:pPr>
        <w:jc w:val="both"/>
        <w:ind w:left="300" w:right="1239" w:firstLine="248"/>
        <w:spacing w:after="0" w:line="256" w:lineRule="auto"/>
        <w:tabs>
          <w:tab w:leader="none" w:pos="88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rights and benefits of each Parent Permit will be available to the Surviving Corporation and its Subsidiaries immediately after the Effective Time on terms substantially identical to those enjoyed by the Parent and its Subsidiaries immediately prior to the Effective Time.</w:t>
      </w:r>
    </w:p>
    <w:p>
      <w:pPr>
        <w:spacing w:after="0" w:line="7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Litigation</w:t>
      </w:r>
      <w:r>
        <w:rPr>
          <w:rFonts w:ascii="Arial" w:cs="Arial" w:eastAsia="Arial" w:hAnsi="Arial"/>
          <w:sz w:val="17"/>
          <w:szCs w:val="17"/>
          <w:color w:val="auto"/>
        </w:rPr>
        <w:t>. There is no Action pending or, to the knowledge of Parent, threatened, against Parent or any of its Subsidiaries which, if decided adversely would (i) be considered reasonably likely to result in (A) a Parent Material Adverse Effect or (B) damages payable by Parent or any of its Subsidiaries in excess of $500,000 in the aggregate; or (ii) otherwise impair in any material respect the ability of the Parties to consummate the Merger and other transactions contemplated by this Agreement on a timely basis.</w:t>
      </w:r>
    </w:p>
    <w:p>
      <w:pPr>
        <w:spacing w:after="0" w:line="80"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Restrictions on Business Activities</w:t>
      </w:r>
      <w:r>
        <w:rPr>
          <w:rFonts w:ascii="Arial" w:cs="Arial" w:eastAsia="Arial" w:hAnsi="Arial"/>
          <w:sz w:val="15"/>
          <w:szCs w:val="15"/>
          <w:color w:val="auto"/>
        </w:rPr>
        <w:t>. Other than as contemplated by this Agreement, there is no agreement, judgment, injunction, order or decree binding upon or otherwise applicable to the Parent or its Subsidiaries which has, or could reasonably be expected to have, the effect of prohibiting or materially impairing (i) any current or reasonably foreseeable business practice of the Parent or its Subsidiaries; or (ii) any acquisition of any Person or property by the Parent or its Subsidiaries.</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u w:val="single" w:color="auto"/>
          <w:color w:val="auto"/>
        </w:rPr>
        <w:t>Employees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70" w:lineRule="auto"/>
        <w:tabs>
          <w:tab w:leader="none" w:pos="82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Section 3.13(a) of the Parent Disclosure Schedule sets forth a true, complete and correct list of all key employees of the Parent and its Subsidiaries, along with their position and actual annual rate of compensation. All key employees have entered into nondisclosure/assignment of inventions agreements with the Parent or its Subsidiaries, true, complete and correct copies of which have previously been delivered to the Company. To the knowledge of Parent, no key employee or group of employees has any plans to terminate employment with the Parent or its Subsidiaries.</w:t>
      </w: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18" w:name="page319"/>
    <w:bookmarkEnd w:id="3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firstLine="248"/>
        <w:spacing w:after="0" w:line="299" w:lineRule="auto"/>
        <w:tabs>
          <w:tab w:leader="none" w:pos="85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Neither the Parent nor its Subsidiaries is a party to or bound by any collective bargaining agreement, nor has any of them experienced any strikes, grievances, claims of unfair labor practices or other collective bargaining disputes.</w:t>
      </w:r>
    </w:p>
    <w:p>
      <w:pPr>
        <w:spacing w:after="0" w:line="42" w:lineRule="exact"/>
        <w:rPr>
          <w:rFonts w:ascii="Arial" w:cs="Arial" w:eastAsia="Arial" w:hAnsi="Arial"/>
          <w:sz w:val="16"/>
          <w:szCs w:val="16"/>
          <w:color w:val="auto"/>
        </w:rPr>
      </w:pPr>
    </w:p>
    <w:p>
      <w:pPr>
        <w:jc w:val="both"/>
        <w:ind w:left="300" w:right="1239" w:firstLine="248"/>
        <w:spacing w:after="0" w:line="288" w:lineRule="auto"/>
        <w:tabs>
          <w:tab w:leader="none" w:pos="826" w:val="left"/>
        </w:tabs>
        <w:numPr>
          <w:ilvl w:val="0"/>
          <w:numId w:val="208"/>
        </w:numPr>
        <w:rPr>
          <w:rFonts w:ascii="Arial" w:cs="Arial" w:eastAsia="Arial" w:hAnsi="Arial"/>
          <w:sz w:val="15"/>
          <w:szCs w:val="15"/>
          <w:color w:val="auto"/>
        </w:rPr>
      </w:pPr>
      <w:r>
        <w:rPr>
          <w:rFonts w:ascii="Arial" w:cs="Arial" w:eastAsia="Arial" w:hAnsi="Arial"/>
          <w:sz w:val="15"/>
          <w:szCs w:val="15"/>
          <w:color w:val="auto"/>
        </w:rPr>
        <w:t>Neither the Parent nor its Subsidiaries is a party to any written or oral: (i) union or collective bargaining agreement; (ii) 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Parent or its Subsidiaries providing any term of employment or compensation guarantee extending for a period longer than one year from the date hereof or for the payment of compensation in excess of $350,000 per annum; or (iv) agreement or plan the benefits of which will be increased, or (except with respect to acceleration of certain outstanding options) the vesting of the benefits of which will be accelerated, upon the consummation of the Merger.</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97" w:lineRule="auto"/>
        <w:tabs>
          <w:tab w:leader="none" w:pos="833"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Parent and its Subsidiaries have accurately prepared and have or will timely, including within extended deadlines, file all Returns relating to any and all Taxes concerning or attributable to the Parent or its Subsidiaries or to their operations, and all such Returns are or will be, to the knowledge and belief of the signer, true, complete and correct in all material respects. Copies of all such returns have been previously provided to the Company or will be provided to the Company when filed.</w:t>
      </w:r>
    </w:p>
    <w:p>
      <w:pPr>
        <w:spacing w:after="0" w:line="48" w:lineRule="exact"/>
        <w:rPr>
          <w:rFonts w:ascii="Arial" w:cs="Arial" w:eastAsia="Arial" w:hAnsi="Arial"/>
          <w:sz w:val="15"/>
          <w:szCs w:val="15"/>
          <w:color w:val="auto"/>
        </w:rPr>
      </w:pPr>
    </w:p>
    <w:p>
      <w:pPr>
        <w:jc w:val="both"/>
        <w:ind w:left="300" w:right="1239" w:firstLine="248"/>
        <w:spacing w:after="0" w:line="256" w:lineRule="auto"/>
        <w:tabs>
          <w:tab w:leader="none" w:pos="877" w:val="left"/>
        </w:tabs>
        <w:numPr>
          <w:ilvl w:val="0"/>
          <w:numId w:val="209"/>
        </w:numPr>
        <w:rPr>
          <w:rFonts w:ascii="Arial" w:cs="Arial" w:eastAsia="Arial" w:hAnsi="Arial"/>
          <w:sz w:val="17"/>
          <w:szCs w:val="17"/>
          <w:color w:val="auto"/>
        </w:rPr>
      </w:pPr>
      <w:r>
        <w:rPr>
          <w:rFonts w:ascii="Arial" w:cs="Arial" w:eastAsia="Arial" w:hAnsi="Arial"/>
          <w:sz w:val="17"/>
          <w:szCs w:val="17"/>
          <w:color w:val="auto"/>
        </w:rPr>
        <w:t>Each of the Parent and its Subsidiaries: (i) has paid all Taxes it is obligated to pay as reflected on the Returns or otherwise; and (ii) has withheld all federal, state, local and foreign Taxes required to be withheld with respect to its employees or otherwise.</w:t>
      </w:r>
    </w:p>
    <w:p>
      <w:pPr>
        <w:spacing w:after="0" w:line="76" w:lineRule="exact"/>
        <w:rPr>
          <w:rFonts w:ascii="Arial" w:cs="Arial" w:eastAsia="Arial" w:hAnsi="Arial"/>
          <w:sz w:val="17"/>
          <w:szCs w:val="17"/>
          <w:color w:val="auto"/>
        </w:rPr>
      </w:pPr>
    </w:p>
    <w:p>
      <w:pPr>
        <w:jc w:val="both"/>
        <w:ind w:left="300" w:right="1239" w:firstLine="248"/>
        <w:spacing w:after="0" w:line="280" w:lineRule="auto"/>
        <w:tabs>
          <w:tab w:leader="none" w:pos="82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There is no Tax deficiency outstanding, proposed or assessed against the Parent or its Subsidiaries that is not accurately reflected as a liability on the Most Recent Balance Sheet, nor has the Parent or its Subsidiaries executed any waiver of any statute of limitations on or extending the period for the assessment or collection of any Tax.</w:t>
      </w:r>
    </w:p>
    <w:p>
      <w:pPr>
        <w:spacing w:after="0" w:line="57" w:lineRule="exact"/>
        <w:rPr>
          <w:rFonts w:ascii="Arial" w:cs="Arial" w:eastAsia="Arial" w:hAnsi="Arial"/>
          <w:sz w:val="16"/>
          <w:szCs w:val="16"/>
          <w:color w:val="auto"/>
        </w:rPr>
      </w:pPr>
    </w:p>
    <w:p>
      <w:pPr>
        <w:ind w:left="300" w:right="1239" w:firstLine="248"/>
        <w:spacing w:after="0" w:line="335" w:lineRule="auto"/>
        <w:tabs>
          <w:tab w:leader="none" w:pos="852" w:val="left"/>
        </w:tabs>
        <w:numPr>
          <w:ilvl w:val="0"/>
          <w:numId w:val="209"/>
        </w:numPr>
        <w:rPr>
          <w:rFonts w:ascii="Arial" w:cs="Arial" w:eastAsia="Arial" w:hAnsi="Arial"/>
          <w:sz w:val="15"/>
          <w:szCs w:val="15"/>
          <w:color w:val="auto"/>
        </w:rPr>
      </w:pPr>
      <w:r>
        <w:rPr>
          <w:rFonts w:ascii="Arial" w:cs="Arial" w:eastAsia="Arial" w:hAnsi="Arial"/>
          <w:sz w:val="15"/>
          <w:szCs w:val="15"/>
          <w:color w:val="auto"/>
        </w:rPr>
        <w:t>Neither the Parent nor its Subsidiaries has any liability for unpaid Taxes that has not been properly accrued for under GAAP and reserved for as reflected in the Parent SEC Reports, whether asserted or unasserted, contingent or otherwise.</w:t>
      </w:r>
    </w:p>
    <w:p>
      <w:pPr>
        <w:spacing w:after="0" w:line="19" w:lineRule="exact"/>
        <w:rPr>
          <w:rFonts w:ascii="Arial" w:cs="Arial" w:eastAsia="Arial" w:hAnsi="Arial"/>
          <w:sz w:val="15"/>
          <w:szCs w:val="15"/>
          <w:color w:val="auto"/>
        </w:rPr>
      </w:pPr>
    </w:p>
    <w:p>
      <w:pPr>
        <w:jc w:val="both"/>
        <w:ind w:left="300" w:right="1239" w:firstLine="248"/>
        <w:spacing w:after="0" w:line="251" w:lineRule="auto"/>
        <w:tabs>
          <w:tab w:leader="none" w:pos="85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Neither the Parent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80" w:lineRule="exact"/>
        <w:rPr>
          <w:rFonts w:ascii="Arial" w:cs="Arial" w:eastAsia="Arial" w:hAnsi="Arial"/>
          <w:sz w:val="17"/>
          <w:szCs w:val="17"/>
          <w:color w:val="auto"/>
        </w:rPr>
      </w:pPr>
    </w:p>
    <w:p>
      <w:pPr>
        <w:ind w:left="300" w:right="1239" w:firstLine="248"/>
        <w:spacing w:after="0" w:line="267" w:lineRule="auto"/>
        <w:tabs>
          <w:tab w:leader="none" w:pos="83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Neither the Parent nor its Subsidiaries is, or has ever been, a party to or bound by any tax indemnity agreement, tax sharing agreement, tax allocation agreement or similar contract or agreement.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3" w:lineRule="auto"/>
        <w:tabs>
          <w:tab w:leader="none" w:pos="82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Each of Parent and its Subsidiaries owns, is licensed or otherwise possesses legally enforceable rights to use, all patents, registered trademarks, service marks and copyrights as is necessary to conduct their respective businesses as presently conducted and as is reasonably foreseeable to be conducted, the absence of which would not reasonably be expected to result in a Parent Material Adverse Effect.</w:t>
      </w:r>
    </w:p>
    <w:p>
      <w:pPr>
        <w:spacing w:after="0" w:line="77" w:lineRule="exact"/>
        <w:rPr>
          <w:rFonts w:ascii="Arial" w:cs="Arial" w:eastAsia="Arial" w:hAnsi="Arial"/>
          <w:sz w:val="17"/>
          <w:szCs w:val="17"/>
          <w:color w:val="auto"/>
        </w:rPr>
      </w:pPr>
    </w:p>
    <w:p>
      <w:pPr>
        <w:jc w:val="both"/>
        <w:ind w:left="300" w:right="1239" w:firstLine="248"/>
        <w:spacing w:after="0" w:line="253" w:lineRule="auto"/>
        <w:tabs>
          <w:tab w:leader="none" w:pos="86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All patents, registered trademarks, service marks and copyrights, which are held by Parent and its Subsidiaries and which are material to the business of Parent and its Subsidiaries, taken as a whole, are valid, enforceable and subsisting and no allegation of invalidity or conflicting ownership, or inventorship with respect to patents, in whole or in part, has been received by Parent or any of its Subsidiaries.</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19" w:name="page320"/>
    <w:bookmarkEnd w:id="3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Brokers</w:t>
      </w:r>
      <w:r>
        <w:rPr>
          <w:rFonts w:ascii="Arial" w:cs="Arial" w:eastAsia="Arial" w:hAnsi="Arial"/>
          <w:sz w:val="16"/>
          <w:szCs w:val="16"/>
          <w:color w:val="auto"/>
        </w:rPr>
        <w:t>. Except for Etico Capital (a division of Olympus Securities LLC), no broker, financial advisor, investment banker or other Person is entitled to any fee, commission or expense reimbursement in connection with the Merger or other transactions contemplated by this Agreement based upon arrangements made by or on behalf of Parent.</w:t>
      </w:r>
    </w:p>
    <w:p>
      <w:pPr>
        <w:spacing w:after="0" w:line="5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Interim Operations of Merger Sub</w:t>
      </w:r>
      <w:r>
        <w:rPr>
          <w:rFonts w:ascii="Arial" w:cs="Arial" w:eastAsia="Arial" w:hAnsi="Arial"/>
          <w:sz w:val="17"/>
          <w:szCs w:val="17"/>
          <w:color w:val="auto"/>
        </w:rPr>
        <w:t>. Merger Sub was formed solely for the purpose of engaging in the transactions contemplated by this Agreement, has engaged in no other business activities and has conducted its operations only as contemplated in this Agreement.</w:t>
      </w:r>
    </w:p>
    <w:p>
      <w:pPr>
        <w:spacing w:after="0" w:line="76"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3.19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The registration statement on Form S-4 to be filed with the SEC by Parent in connection with the issuance of Parent Common Stock pursuant to this Agreement which shall include for registration (a) the Parent Common Stock issued pursuant to this Agreement, (b) the Parent Common Stock issuable upon the conversion of such Parent Preferred Stock issued pursuant to this Agreement, (c) the Parent Common Stock issuable upon the exercise of any New Company Options (to the extent permitted to be registered on a Form S-4) or New Company Warrants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Proxy Statement, at the date the Proxy Statement (and any amendment or supplement thereto) is first mailed to Parent and Company stockholders and at the time of the Parent Special Meeting and the Company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3.18 will not apply to statements or omissions included in the Registration Statement or Proxy Statement (and, in each case, any amendment or supplement thereto) based upon information regarding the Company or any Company Subsidiary supplied to Parent in writing by the Company for use therein (it being understood that all other information in the Registration Statement and Proxy Statement (and, in each case, any amendment or supplement thereto) will be deemed to have been supplied by Parent). The Registration Statement and Proxy Statement (and, in each case, any amendment or supplement thereto) will, when filed, comply as to form in all material respects with the applicable requirements of the Exchange Act and, subject to Section 4.3, the Proxy Statement will include the Parent Board Recommendation.</w:t>
      </w:r>
    </w:p>
    <w:p>
      <w:pPr>
        <w:spacing w:after="0" w:line="7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Neither the Parent, its Subsidiaries nor, to the knowledge of the Parent, any director, officer, employee or agent of the Parent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xml:space="preserve">3.21 </w:t>
      </w:r>
      <w:r>
        <w:rPr>
          <w:rFonts w:ascii="Arial" w:cs="Arial" w:eastAsia="Arial" w:hAnsi="Arial"/>
          <w:sz w:val="15"/>
          <w:szCs w:val="15"/>
          <w:u w:val="single" w:color="auto"/>
          <w:color w:val="auto"/>
        </w:rPr>
        <w:t>Powers of Attorney</w:t>
      </w:r>
      <w:r>
        <w:rPr>
          <w:rFonts w:ascii="Arial" w:cs="Arial" w:eastAsia="Arial" w:hAnsi="Arial"/>
          <w:sz w:val="15"/>
          <w:szCs w:val="15"/>
          <w:color w:val="auto"/>
        </w:rPr>
        <w:t>. There are no outstanding powers of attorney executed on behalf of the Parent or its Subsidiaries.</w:t>
      </w:r>
    </w:p>
    <w:p>
      <w:pPr>
        <w:spacing w:after="0" w:line="128" w:lineRule="exact"/>
        <w:rPr>
          <w:sz w:val="20"/>
          <w:szCs w:val="20"/>
          <w:color w:val="auto"/>
        </w:rPr>
      </w:pPr>
    </w:p>
    <w:p>
      <w:pPr>
        <w:jc w:val="both"/>
        <w:ind w:left="40" w:right="1239" w:firstLine="251"/>
        <w:spacing w:after="0" w:line="318" w:lineRule="auto"/>
        <w:rPr>
          <w:sz w:val="20"/>
          <w:szCs w:val="20"/>
          <w:color w:val="auto"/>
        </w:rPr>
      </w:pPr>
      <w:r>
        <w:rPr>
          <w:rFonts w:ascii="Arial" w:cs="Arial" w:eastAsia="Arial" w:hAnsi="Arial"/>
          <w:sz w:val="14"/>
          <w:szCs w:val="14"/>
          <w:color w:val="auto"/>
        </w:rPr>
        <w:t xml:space="preserve">3.22 </w:t>
      </w:r>
      <w:r>
        <w:rPr>
          <w:rFonts w:ascii="Arial" w:cs="Arial" w:eastAsia="Arial" w:hAnsi="Arial"/>
          <w:sz w:val="14"/>
          <w:szCs w:val="14"/>
          <w:u w:val="single" w:color="auto"/>
          <w:color w:val="auto"/>
        </w:rPr>
        <w:t>Books and Records</w:t>
      </w:r>
      <w:r>
        <w:rPr>
          <w:rFonts w:ascii="Arial" w:cs="Arial" w:eastAsia="Arial" w:hAnsi="Arial"/>
          <w:sz w:val="14"/>
          <w:szCs w:val="14"/>
          <w:color w:val="auto"/>
        </w:rPr>
        <w:t>. The minute books and other similar records of the Parent and each of its Subsidiaries contains true, complete and correct records of all actions taken at any meetings of the Parent stockholders or its Subsidiaries, Board of Directors or any committee thereof and of all written consents in lieu of the holding of any such meeting. The books and records of the Parent and its Subsidiaries accurately reflect in all material respects the assets, liabilities, business, financial condition and results of operations of the Parent or such Subsidiary and have been maintained in accordance with good business and bookkeeping practices.</w:t>
      </w:r>
    </w:p>
    <w:p>
      <w:pPr>
        <w:spacing w:after="0" w:line="3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Employee Benefit Plans</w:t>
      </w:r>
      <w:r>
        <w:rPr>
          <w:rFonts w:ascii="Arial" w:cs="Arial" w:eastAsia="Arial" w:hAnsi="Arial"/>
          <w:sz w:val="17"/>
          <w:szCs w:val="17"/>
          <w:color w:val="auto"/>
        </w:rPr>
        <w:t>. Section 3.23 of the Parent Disclosure Schedule sets forth the employee benefit plans (as defined in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or any bonus, stock option, stock purchase, incentive, deferred compensation, supplemental retirement, severance and other similar employee benefit plans, and all unexpired severance</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0" w:name="page321"/>
    <w:bookmarkEnd w:id="3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spacing w:after="0" w:line="254" w:lineRule="auto"/>
        <w:rPr>
          <w:sz w:val="20"/>
          <w:szCs w:val="20"/>
          <w:color w:val="auto"/>
        </w:rPr>
      </w:pPr>
      <w:r>
        <w:rPr>
          <w:rFonts w:ascii="Arial" w:cs="Arial" w:eastAsia="Arial" w:hAnsi="Arial"/>
          <w:sz w:val="17"/>
          <w:szCs w:val="17"/>
          <w:color w:val="auto"/>
        </w:rPr>
        <w:t>agreements (pursuant to which any payments are still due and payable by the Parent), written or otherwise (together, the “</w:t>
      </w:r>
      <w:r>
        <w:rPr>
          <w:rFonts w:ascii="Arial" w:cs="Arial" w:eastAsia="Arial" w:hAnsi="Arial"/>
          <w:sz w:val="17"/>
          <w:szCs w:val="17"/>
          <w:b w:val="1"/>
          <w:bCs w:val="1"/>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 Plans</w:t>
      </w:r>
      <w:r>
        <w:rPr>
          <w:rFonts w:ascii="Arial" w:cs="Arial" w:eastAsia="Arial" w:hAnsi="Arial"/>
          <w:sz w:val="17"/>
          <w:szCs w:val="17"/>
          <w:color w:val="auto"/>
        </w:rPr>
        <w:t>”), for the benefit of, or relating to, any current or former employee of the Parent or its Subsidiaries or any trade or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(whether or not incorporated) which is a member or which is under common control with the Parent within the meaning of Section 414 of the Code (an “</w:t>
      </w:r>
      <w:r>
        <w:rPr>
          <w:rFonts w:ascii="Arial" w:cs="Arial" w:eastAsia="Arial" w:hAnsi="Arial"/>
          <w:sz w:val="17"/>
          <w:szCs w:val="17"/>
          <w:b w:val="1"/>
          <w:bCs w:val="1"/>
          <w:color w:val="auto"/>
        </w:rPr>
        <w:t>ERISA Affiliate</w:t>
      </w:r>
      <w:r>
        <w:rPr>
          <w:rFonts w:ascii="Arial" w:cs="Arial" w:eastAsia="Arial" w:hAnsi="Arial"/>
          <w:sz w:val="17"/>
          <w:szCs w:val="17"/>
          <w:color w:val="auto"/>
        </w:rPr>
        <w:t>”).</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Tangible Assets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3" w:lineRule="auto"/>
        <w:tabs>
          <w:tab w:leader="none" w:pos="83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Each of the Parent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77" w:lineRule="exact"/>
        <w:rPr>
          <w:rFonts w:ascii="Arial" w:cs="Arial" w:eastAsia="Arial" w:hAnsi="Arial"/>
          <w:sz w:val="17"/>
          <w:szCs w:val="17"/>
          <w:color w:val="auto"/>
        </w:rPr>
      </w:pPr>
    </w:p>
    <w:p>
      <w:pPr>
        <w:jc w:val="both"/>
        <w:ind w:left="300" w:right="1239" w:firstLine="248"/>
        <w:spacing w:after="0" w:line="292" w:lineRule="auto"/>
        <w:tabs>
          <w:tab w:leader="none" w:pos="841" w:val="left"/>
        </w:tabs>
        <w:numPr>
          <w:ilvl w:val="0"/>
          <w:numId w:val="211"/>
        </w:numPr>
        <w:rPr>
          <w:rFonts w:ascii="Arial" w:cs="Arial" w:eastAsia="Arial" w:hAnsi="Arial"/>
          <w:sz w:val="15"/>
          <w:szCs w:val="15"/>
          <w:color w:val="auto"/>
        </w:rPr>
      </w:pPr>
      <w:r>
        <w:rPr>
          <w:rFonts w:ascii="Arial" w:cs="Arial" w:eastAsia="Arial" w:hAnsi="Arial"/>
          <w:sz w:val="15"/>
          <w:szCs w:val="15"/>
          <w:color w:val="auto"/>
        </w:rPr>
        <w:t>Section 3.24(b) of the Parent Disclosure Schedule sets forth (i) a true, complete and correct list of all items of tangible personal property owned by the Parent or its Subsidiaries as of the date hereof, or not owned by the Parent or its Subsidiaries but in the possession of or used in the business of the Parent or its Subsidiaries with a book value in excess of $10,000 (the “</w:t>
      </w:r>
      <w:r>
        <w:rPr>
          <w:rFonts w:ascii="Arial" w:cs="Arial" w:eastAsia="Arial" w:hAnsi="Arial"/>
          <w:sz w:val="15"/>
          <w:szCs w:val="15"/>
          <w:b w:val="1"/>
          <w:bCs w:val="1"/>
          <w:color w:val="auto"/>
        </w:rPr>
        <w:t>Personal Property</w:t>
      </w:r>
      <w:r>
        <w:rPr>
          <w:rFonts w:ascii="Arial" w:cs="Arial" w:eastAsia="Arial" w:hAnsi="Arial"/>
          <w:sz w:val="15"/>
          <w:szCs w:val="15"/>
          <w:color w:val="auto"/>
        </w:rPr>
        <w:t>”); and (ii) a description of the owner of, and any agreement relating to the use of, each item of Personal Property not owned by the Parent or its Subsidiaries and the circumstances under which such Personal Property is used.</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Section 3.25 of the Parent Disclosure Schedule sets forth all real property leases or subleases or license agreements for the use of real property to or by the Parent or its Subsidiaries, including the term of such lease, any extension and expansion options and the rent payable under it. The Parent has delivered true, complete and correct copies of the leases and subleases (as amended to date) listed in Section 3.25 of the Parent Disclosure Schedule With respect to each agreement listed in Section 3.25 of the Parent Disclosure Schedule:</w:t>
      </w:r>
    </w:p>
    <w:p>
      <w:pPr>
        <w:spacing w:after="0" w:line="80" w:lineRule="exact"/>
        <w:rPr>
          <w:sz w:val="20"/>
          <w:szCs w:val="20"/>
          <w:color w:val="auto"/>
        </w:rPr>
      </w:pPr>
    </w:p>
    <w:p>
      <w:pPr>
        <w:jc w:val="both"/>
        <w:ind w:left="300" w:right="1239" w:firstLine="248"/>
        <w:spacing w:after="0" w:line="256" w:lineRule="auto"/>
        <w:tabs>
          <w:tab w:leader="none" w:pos="86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76" w:lineRule="exact"/>
        <w:rPr>
          <w:rFonts w:ascii="Arial" w:cs="Arial" w:eastAsia="Arial" w:hAnsi="Arial"/>
          <w:sz w:val="17"/>
          <w:szCs w:val="17"/>
          <w:color w:val="auto"/>
        </w:rPr>
      </w:pPr>
    </w:p>
    <w:p>
      <w:pPr>
        <w:jc w:val="both"/>
        <w:ind w:left="300" w:right="1239" w:firstLine="248"/>
        <w:spacing w:after="0" w:line="274" w:lineRule="auto"/>
        <w:tabs>
          <w:tab w:leader="none" w:pos="8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neither the Parent nor its Subsidiaries nor, to the knowledge of the Parent, any other party, is in breach or violation of, or default under, any such agreement, and no event has occurred, is pending or, to the knowledge of the Parent, is threatened, which, after the giving of notice, with lapse of time, or otherwise, would constitute a breach or default by the Parent or its Subsidiaries or, to the knowledge of Parent, any other under such agreement;</w:t>
      </w:r>
    </w:p>
    <w:p>
      <w:pPr>
        <w:spacing w:after="0" w:line="61" w:lineRule="exact"/>
        <w:rPr>
          <w:rFonts w:ascii="Arial" w:cs="Arial" w:eastAsia="Arial" w:hAnsi="Arial"/>
          <w:sz w:val="16"/>
          <w:szCs w:val="16"/>
          <w:color w:val="auto"/>
        </w:rPr>
      </w:pPr>
    </w:p>
    <w:p>
      <w:pPr>
        <w:ind w:left="300" w:right="1239" w:firstLine="248"/>
        <w:spacing w:after="0" w:line="267" w:lineRule="auto"/>
        <w:tabs>
          <w:tab w:leader="none" w:pos="84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neither the Parent nor its Subsidiaries has assigned, transferred, conveyed, mortgaged, deeded in trust or encumbered any interest in any lease, sublease or license;</w:t>
      </w:r>
    </w:p>
    <w:p>
      <w:pPr>
        <w:spacing w:after="0" w:line="66" w:lineRule="exact"/>
        <w:rPr>
          <w:rFonts w:ascii="Arial" w:cs="Arial" w:eastAsia="Arial" w:hAnsi="Arial"/>
          <w:sz w:val="17"/>
          <w:szCs w:val="17"/>
          <w:color w:val="auto"/>
        </w:rPr>
      </w:pPr>
    </w:p>
    <w:p>
      <w:pPr>
        <w:jc w:val="both"/>
        <w:ind w:left="300" w:right="1239" w:firstLine="248"/>
        <w:spacing w:after="0" w:line="256" w:lineRule="auto"/>
        <w:tabs>
          <w:tab w:leader="none" w:pos="87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there are no Liens, easements, covenants or other restrictions applicable to the real property subject to such lease, except for recorded easements, covenants and other restrictions which do not materially impair the Intended Use or the occupancy by the Parent or its Subsidiaries of the property subject thereto.</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6" w:lineRule="auto"/>
        <w:tabs>
          <w:tab w:leader="none" w:pos="88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Section 3.26(a) of the Parent Disclosure Schedule sets forth each insurance policy (including fire, theft, casualty, general liability, workers compensation, business interruption, environmental, product liability and automobile insurance policies and bond and surety arrangements) to which the Parent or its Subsidiaries is a party (the “</w:t>
      </w:r>
      <w:r>
        <w:rPr>
          <w:rFonts w:ascii="Arial" w:cs="Arial" w:eastAsia="Arial" w:hAnsi="Arial"/>
          <w:sz w:val="15"/>
          <w:szCs w:val="15"/>
          <w:b w:val="1"/>
          <w:bCs w:val="1"/>
          <w:color w:val="auto"/>
        </w:rPr>
        <w:t>Insurance Policies</w:t>
      </w:r>
      <w:r>
        <w:rPr>
          <w:rFonts w:ascii="Arial" w:cs="Arial" w:eastAsia="Arial" w:hAnsi="Arial"/>
          <w:sz w:val="15"/>
          <w:szCs w:val="15"/>
          <w:color w:val="auto"/>
        </w:rPr>
        <w:t>”). The Insurance Policies are in full force and effect, maintained with reputable companies against loss relating to the business, operations and properties and such other risks as companies engaged in similar business as the Parent and its Subsidiaries would, in accordance with good business practice, customarily insure. All premiums due and payable under the Insurance Policies have been paid on a timely basis and the Parent and its Subsidiaries are in compliance in all material respects with all other terms thereof. True, complete and correct copies of the Insurance Policies have been made available to Parent.</w:t>
      </w: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1" w:name="page322"/>
    <w:bookmarkEnd w:id="3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0" w:lineRule="auto"/>
        <w:tabs>
          <w:tab w:leader="none" w:pos="83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There are no material claims pending as to which coverage has been questioned, denied or disputed. Neither the Parent nor its Subsidiaries has been refused insurance for which it has applied or had any policy of insurance terminated (other than at its request), nor has the Parent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178"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IV</w:t>
      </w:r>
    </w:p>
    <w:p>
      <w:pPr>
        <w:spacing w:after="0" w:line="205" w:lineRule="exact"/>
        <w:rPr>
          <w:sz w:val="20"/>
          <w:szCs w:val="20"/>
          <w:color w:val="auto"/>
        </w:rPr>
      </w:pPr>
    </w:p>
    <w:p>
      <w:pPr>
        <w:ind w:left="300" w:right="3679" w:firstLine="2152"/>
        <w:spacing w:after="0" w:line="371" w:lineRule="auto"/>
        <w:rPr>
          <w:sz w:val="20"/>
          <w:szCs w:val="20"/>
          <w:color w:val="auto"/>
        </w:rPr>
      </w:pPr>
      <w:r>
        <w:rPr>
          <w:rFonts w:ascii="Arial" w:cs="Arial" w:eastAsia="Arial" w:hAnsi="Arial"/>
          <w:sz w:val="17"/>
          <w:szCs w:val="17"/>
          <w:b w:val="1"/>
          <w:bCs w:val="1"/>
          <w:color w:val="auto"/>
        </w:rPr>
        <w:t xml:space="preserve">CONDUCT OF BUSINESS PENDING THE MERGER </w:t>
      </w:r>
      <w:r>
        <w:rPr>
          <w:rFonts w:ascii="Arial" w:cs="Arial" w:eastAsia="Arial" w:hAnsi="Arial"/>
          <w:sz w:val="17"/>
          <w:szCs w:val="17"/>
          <w:color w:val="auto"/>
        </w:rPr>
        <w:t xml:space="preserve">4.1 </w:t>
      </w:r>
      <w:r>
        <w:rPr>
          <w:rFonts w:ascii="Arial" w:cs="Arial" w:eastAsia="Arial" w:hAnsi="Arial"/>
          <w:sz w:val="17"/>
          <w:szCs w:val="17"/>
          <w:u w:val="single" w:color="auto"/>
          <w:color w:val="auto"/>
        </w:rPr>
        <w:t>Conduct of Business Pending the Merger</w:t>
      </w:r>
      <w:r>
        <w:rPr>
          <w:rFonts w:ascii="Arial" w:cs="Arial" w:eastAsia="Arial" w:hAnsi="Arial"/>
          <w:sz w:val="17"/>
          <w:szCs w:val="17"/>
          <w:color w:val="auto"/>
        </w:rPr>
        <w:t>.</w:t>
      </w:r>
    </w:p>
    <w:p>
      <w:pPr>
        <w:spacing w:after="0" w:line="1" w:lineRule="exact"/>
        <w:rPr>
          <w:sz w:val="20"/>
          <w:szCs w:val="20"/>
          <w:color w:val="auto"/>
        </w:rPr>
      </w:pPr>
    </w:p>
    <w:p>
      <w:pPr>
        <w:jc w:val="both"/>
        <w:ind w:left="300" w:right="1239" w:firstLine="248"/>
        <w:spacing w:after="0" w:line="283" w:lineRule="auto"/>
        <w:tabs>
          <w:tab w:leader="none" w:pos="823" w:val="left"/>
        </w:tabs>
        <w:numPr>
          <w:ilvl w:val="0"/>
          <w:numId w:val="215"/>
        </w:numPr>
        <w:rPr>
          <w:rFonts w:ascii="Arial" w:cs="Arial" w:eastAsia="Arial" w:hAnsi="Arial"/>
          <w:sz w:val="15"/>
          <w:szCs w:val="15"/>
          <w:color w:val="auto"/>
        </w:rPr>
      </w:pPr>
      <w:r>
        <w:rPr>
          <w:rFonts w:ascii="Arial" w:cs="Arial" w:eastAsia="Arial" w:hAnsi="Arial"/>
          <w:sz w:val="15"/>
          <w:szCs w:val="15"/>
          <w:color w:val="auto"/>
        </w:rPr>
        <w:t>Each of the Parent and the Company covenants and agrees with the other that, between the date hereof and the earlier to occur of the Effective Time or such earlier time as this Agreement is terminated in accordance with Article VIII (such period being hereinafter referred to as the “</w:t>
      </w:r>
      <w:r>
        <w:rPr>
          <w:rFonts w:ascii="Arial" w:cs="Arial" w:eastAsia="Arial" w:hAnsi="Arial"/>
          <w:sz w:val="15"/>
          <w:szCs w:val="15"/>
          <w:b w:val="1"/>
          <w:bCs w:val="1"/>
          <w:color w:val="auto"/>
        </w:rPr>
        <w:t>Interim Period</w:t>
      </w:r>
      <w:r>
        <w:rPr>
          <w:rFonts w:ascii="Arial" w:cs="Arial" w:eastAsia="Arial" w:hAnsi="Arial"/>
          <w:sz w:val="15"/>
          <w:szCs w:val="15"/>
          <w:color w:val="auto"/>
        </w:rPr>
        <w:t>”), except as expressly required by this Agreement or unless Parent or the Company, as applicable, shall otherwise consent in writing, which consent shall not be unreasonably withheld, conditioned or delayed, each of the Company and its Subsidiaries on the one hand and the Parent and its Subsidiaries on the other hand: (x) shall conduct its business only in the ordinary course of business, consistent with past practice; (y) shall not take any action, or fail to take any action, except in the ordinary course of business, consistent with past practice; and (z) shall use their reasonable best efforts to preserve intact their business organization, properties and assets, keep available the services of their officers, employees and consultants, maintain in effect all Company Material Contracts and the Parent Material Contracts, as applicable, and preserve their relationships, customers, licensees, suppliers and other Persons with which they have business relations. By way of amplification and not limitation, except as expressly permitted by this Agreement, neither the Company nor its Subsidiaries on the one hand nor the Parent and its Subsidiaries on the other hand shall, during the Interim Period, directly or indirectly, do any of the following without the prior written consent of the other:</w:t>
      </w:r>
    </w:p>
    <w:p>
      <w:pPr>
        <w:spacing w:after="0" w:line="62" w:lineRule="exact"/>
        <w:rPr>
          <w:rFonts w:ascii="Arial" w:cs="Arial" w:eastAsia="Arial" w:hAnsi="Arial"/>
          <w:sz w:val="15"/>
          <w:szCs w:val="15"/>
          <w:color w:val="auto"/>
        </w:rPr>
      </w:pPr>
    </w:p>
    <w:p>
      <w:pPr>
        <w:ind w:left="540" w:right="1239" w:firstLine="259"/>
        <w:spacing w:after="0" w:line="267" w:lineRule="auto"/>
        <w:tabs>
          <w:tab w:leader="none" w:pos="1057"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amend its Certificate of Incorporation, Bylaws or other equivalent organizational documents, or otherwise alter its corporate structure through merger, liquidation, reorganization or otherwise;</w:t>
      </w:r>
    </w:p>
    <w:p>
      <w:pPr>
        <w:spacing w:after="0" w:line="66" w:lineRule="exact"/>
        <w:rPr>
          <w:rFonts w:ascii="Arial" w:cs="Arial" w:eastAsia="Arial" w:hAnsi="Arial"/>
          <w:sz w:val="17"/>
          <w:szCs w:val="17"/>
          <w:color w:val="auto"/>
        </w:rPr>
      </w:pPr>
    </w:p>
    <w:p>
      <w:pPr>
        <w:jc w:val="both"/>
        <w:ind w:left="540" w:right="1239" w:firstLine="259"/>
        <w:spacing w:after="0" w:line="307" w:lineRule="auto"/>
        <w:tabs>
          <w:tab w:leader="none" w:pos="1107" w:val="left"/>
        </w:tabs>
        <w:numPr>
          <w:ilvl w:val="1"/>
          <w:numId w:val="215"/>
        </w:numPr>
        <w:rPr>
          <w:rFonts w:ascii="Arial" w:cs="Arial" w:eastAsia="Arial" w:hAnsi="Arial"/>
          <w:sz w:val="15"/>
          <w:szCs w:val="15"/>
          <w:color w:val="auto"/>
        </w:rPr>
      </w:pPr>
      <w:r>
        <w:rPr>
          <w:rFonts w:ascii="Arial" w:cs="Arial" w:eastAsia="Arial" w:hAnsi="Arial"/>
          <w:sz w:val="15"/>
          <w:szCs w:val="15"/>
          <w:color w:val="auto"/>
        </w:rPr>
        <w:t>issue, transfer, pledge or encumber any shares of capital stock of any class, or any options, warrants, convertible securities or other rights of any kind to acquire any shares of capital stock, or any other ownership interest (except for the issuance of shares of Company Common Stock or Parent Common Stock issuable pursuant to options or warrants);</w:t>
      </w:r>
    </w:p>
    <w:p>
      <w:pPr>
        <w:spacing w:after="0" w:line="39" w:lineRule="exact"/>
        <w:rPr>
          <w:rFonts w:ascii="Arial" w:cs="Arial" w:eastAsia="Arial" w:hAnsi="Arial"/>
          <w:sz w:val="15"/>
          <w:szCs w:val="15"/>
          <w:color w:val="auto"/>
        </w:rPr>
      </w:pPr>
    </w:p>
    <w:p>
      <w:pPr>
        <w:ind w:left="540" w:right="1239" w:firstLine="259"/>
        <w:spacing w:after="0" w:line="267" w:lineRule="auto"/>
        <w:tabs>
          <w:tab w:leader="none" w:pos="1159" w:val="left"/>
        </w:tabs>
        <w:numPr>
          <w:ilvl w:val="1"/>
          <w:numId w:val="215"/>
        </w:numPr>
        <w:rPr>
          <w:rFonts w:ascii="Arial" w:cs="Arial" w:eastAsia="Arial" w:hAnsi="Arial"/>
          <w:sz w:val="17"/>
          <w:szCs w:val="17"/>
          <w:color w:val="auto"/>
        </w:rPr>
      </w:pPr>
      <w:r>
        <w:rPr>
          <w:rFonts w:ascii="Arial" w:cs="Arial" w:eastAsia="Arial" w:hAnsi="Arial"/>
          <w:sz w:val="17"/>
          <w:szCs w:val="17"/>
          <w:color w:val="auto"/>
        </w:rPr>
        <w:t>redeem, repurchase or otherwise acquire, directly or indirectly, any shares of their capital stock or interest in or securities of its Subsidiaries;</w:t>
      </w:r>
    </w:p>
    <w:p>
      <w:pPr>
        <w:spacing w:after="0" w:line="66" w:lineRule="exact"/>
        <w:rPr>
          <w:rFonts w:ascii="Arial" w:cs="Arial" w:eastAsia="Arial" w:hAnsi="Arial"/>
          <w:sz w:val="17"/>
          <w:szCs w:val="17"/>
          <w:color w:val="auto"/>
        </w:rPr>
      </w:pPr>
    </w:p>
    <w:p>
      <w:pPr>
        <w:ind w:left="540" w:right="1239" w:firstLine="259"/>
        <w:spacing w:after="0" w:line="335" w:lineRule="auto"/>
        <w:tabs>
          <w:tab w:leader="none" w:pos="1171" w:val="left"/>
        </w:tabs>
        <w:numPr>
          <w:ilvl w:val="1"/>
          <w:numId w:val="215"/>
        </w:numPr>
        <w:rPr>
          <w:rFonts w:ascii="Arial" w:cs="Arial" w:eastAsia="Arial" w:hAnsi="Arial"/>
          <w:sz w:val="15"/>
          <w:szCs w:val="15"/>
          <w:color w:val="auto"/>
        </w:rPr>
      </w:pPr>
      <w:r>
        <w:rPr>
          <w:rFonts w:ascii="Arial" w:cs="Arial" w:eastAsia="Arial" w:hAnsi="Arial"/>
          <w:sz w:val="15"/>
          <w:szCs w:val="15"/>
          <w:color w:val="auto"/>
        </w:rPr>
        <w:t>transfer, lease, license, mortgage, pledge, encumber or incur or assume any Lien on any properties, facilities, equipment or other tangible or intangible assets, except in the ordinary course of business and consistent with past practice;</w:t>
      </w:r>
    </w:p>
    <w:p>
      <w:pPr>
        <w:spacing w:after="0" w:line="19" w:lineRule="exact"/>
        <w:rPr>
          <w:rFonts w:ascii="Arial" w:cs="Arial" w:eastAsia="Arial" w:hAnsi="Arial"/>
          <w:sz w:val="15"/>
          <w:szCs w:val="15"/>
          <w:color w:val="auto"/>
        </w:rPr>
      </w:pPr>
    </w:p>
    <w:p>
      <w:pPr>
        <w:ind w:left="540" w:right="1239" w:firstLine="259"/>
        <w:spacing w:after="0" w:line="267" w:lineRule="auto"/>
        <w:tabs>
          <w:tab w:leader="none" w:pos="1111" w:val="left"/>
        </w:tabs>
        <w:numPr>
          <w:ilvl w:val="1"/>
          <w:numId w:val="215"/>
        </w:numPr>
        <w:rPr>
          <w:rFonts w:ascii="Arial" w:cs="Arial" w:eastAsia="Arial" w:hAnsi="Arial"/>
          <w:sz w:val="17"/>
          <w:szCs w:val="17"/>
          <w:color w:val="auto"/>
        </w:rPr>
      </w:pPr>
      <w:r>
        <w:rPr>
          <w:rFonts w:ascii="Arial" w:cs="Arial" w:eastAsia="Arial" w:hAnsi="Arial"/>
          <w:sz w:val="17"/>
          <w:szCs w:val="17"/>
          <w:color w:val="auto"/>
        </w:rPr>
        <w:t>declare, set aside or pay any dividend or other distribution in respect of any of its capital stock or other equity interests;</w:t>
      </w:r>
    </w:p>
    <w:p>
      <w:pPr>
        <w:spacing w:after="0" w:line="66" w:lineRule="exact"/>
        <w:rPr>
          <w:rFonts w:ascii="Arial" w:cs="Arial" w:eastAsia="Arial" w:hAnsi="Arial"/>
          <w:sz w:val="17"/>
          <w:szCs w:val="17"/>
          <w:color w:val="auto"/>
        </w:rPr>
      </w:pPr>
    </w:p>
    <w:p>
      <w:pPr>
        <w:ind w:left="540" w:right="1239" w:firstLine="259"/>
        <w:spacing w:after="0" w:line="299" w:lineRule="auto"/>
        <w:tabs>
          <w:tab w:leader="none" w:pos="1133" w:val="left"/>
        </w:tabs>
        <w:numPr>
          <w:ilvl w:val="1"/>
          <w:numId w:val="215"/>
        </w:numPr>
        <w:rPr>
          <w:rFonts w:ascii="Arial" w:cs="Arial" w:eastAsia="Arial" w:hAnsi="Arial"/>
          <w:sz w:val="16"/>
          <w:szCs w:val="16"/>
          <w:color w:val="auto"/>
        </w:rPr>
      </w:pPr>
      <w:r>
        <w:rPr>
          <w:rFonts w:ascii="Arial" w:cs="Arial" w:eastAsia="Arial" w:hAnsi="Arial"/>
          <w:sz w:val="16"/>
          <w:szCs w:val="16"/>
          <w:color w:val="auto"/>
        </w:rPr>
        <w:t>split, combine or reclassify any shares of its capital stock or other securities or equity interests, or issue any other securities in respect of, in lieu of or in substitution for shares of its capital stock or equity interests;</w:t>
      </w:r>
    </w:p>
    <w:p>
      <w:pPr>
        <w:spacing w:after="0" w:line="42" w:lineRule="exact"/>
        <w:rPr>
          <w:rFonts w:ascii="Arial" w:cs="Arial" w:eastAsia="Arial" w:hAnsi="Arial"/>
          <w:sz w:val="16"/>
          <w:szCs w:val="16"/>
          <w:color w:val="auto"/>
        </w:rPr>
      </w:pPr>
    </w:p>
    <w:p>
      <w:pPr>
        <w:ind w:left="1180" w:hanging="381"/>
        <w:spacing w:after="0"/>
        <w:tabs>
          <w:tab w:leader="none" w:pos="118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acquire (by merger, consolidation, acquisition of stock or assets or otherwise) any Person;</w:t>
      </w:r>
    </w:p>
    <w:p>
      <w:pPr>
        <w:spacing w:after="0" w:line="105" w:lineRule="exact"/>
        <w:rPr>
          <w:rFonts w:ascii="Arial" w:cs="Arial" w:eastAsia="Arial" w:hAnsi="Arial"/>
          <w:sz w:val="17"/>
          <w:szCs w:val="17"/>
          <w:color w:val="auto"/>
        </w:rPr>
      </w:pPr>
    </w:p>
    <w:p>
      <w:pPr>
        <w:ind w:left="540" w:right="1239" w:firstLine="259"/>
        <w:spacing w:after="0" w:line="335" w:lineRule="auto"/>
        <w:tabs>
          <w:tab w:leader="none" w:pos="1266" w:val="left"/>
        </w:tabs>
        <w:numPr>
          <w:ilvl w:val="1"/>
          <w:numId w:val="215"/>
        </w:numPr>
        <w:rPr>
          <w:rFonts w:ascii="Arial" w:cs="Arial" w:eastAsia="Arial" w:hAnsi="Arial"/>
          <w:sz w:val="15"/>
          <w:szCs w:val="15"/>
          <w:color w:val="auto"/>
        </w:rPr>
      </w:pPr>
      <w:r>
        <w:rPr>
          <w:rFonts w:ascii="Arial" w:cs="Arial" w:eastAsia="Arial" w:hAnsi="Arial"/>
          <w:sz w:val="15"/>
          <w:szCs w:val="15"/>
          <w:color w:val="auto"/>
        </w:rPr>
        <w:t>incur indebtedness for borrowed money or issue debt securities or assume, guarantee or endorse or become responsible for the obligations of any Person, or make any loans, advances or enter into any financial commitments;</w:t>
      </w:r>
    </w:p>
    <w:p>
      <w:pPr>
        <w:spacing w:after="0" w:line="200" w:lineRule="exact"/>
        <w:rPr>
          <w:sz w:val="20"/>
          <w:szCs w:val="20"/>
          <w:color w:val="auto"/>
        </w:rPr>
      </w:pPr>
    </w:p>
    <w:p>
      <w:pPr>
        <w:spacing w:after="0" w:line="23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2" w:name="page323"/>
    <w:bookmarkEnd w:id="3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1120" w:hanging="321"/>
        <w:spacing w:after="0"/>
        <w:tabs>
          <w:tab w:leader="none" w:pos="112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authorize any capital expenditure in excess of $50,000 individually or $125,000 in the aggregate;</w:t>
      </w:r>
    </w:p>
    <w:p>
      <w:pPr>
        <w:spacing w:after="0" w:line="105" w:lineRule="exact"/>
        <w:rPr>
          <w:rFonts w:ascii="Arial" w:cs="Arial" w:eastAsia="Arial" w:hAnsi="Arial"/>
          <w:sz w:val="17"/>
          <w:szCs w:val="17"/>
          <w:color w:val="auto"/>
        </w:rPr>
      </w:pPr>
    </w:p>
    <w:p>
      <w:pPr>
        <w:jc w:val="both"/>
        <w:ind w:left="540" w:right="1239" w:firstLine="259"/>
        <w:spacing w:after="0" w:line="286" w:lineRule="auto"/>
        <w:tabs>
          <w:tab w:leader="none" w:pos="1075" w:val="left"/>
        </w:tabs>
        <w:numPr>
          <w:ilvl w:val="1"/>
          <w:numId w:val="216"/>
        </w:numPr>
        <w:rPr>
          <w:rFonts w:ascii="Arial" w:cs="Arial" w:eastAsia="Arial" w:hAnsi="Arial"/>
          <w:sz w:val="15"/>
          <w:szCs w:val="15"/>
          <w:color w:val="auto"/>
        </w:rPr>
      </w:pPr>
      <w:r>
        <w:rPr>
          <w:rFonts w:ascii="Arial" w:cs="Arial" w:eastAsia="Arial" w:hAnsi="Arial"/>
          <w:sz w:val="15"/>
          <w:szCs w:val="15"/>
          <w:color w:val="auto"/>
        </w:rPr>
        <w:t>take or permit to be taken any action to: (A) increase employee compensation or grant any severance or termination compensation, except in accordance with agreements entered into prior to the date of this Agreement; (B) enter into any collective bargaining agreement; (C) hire or terminate any employees, independent contractors or consultants, having a total salary or severance package that is individually in excess of $50,000, or that collectively is in excess of $50,000; or (D) establish, adopt, enter into or amend in any material respect any bonus, profit sharing, thrift, compensation, stock option, restricted stock, pension, retirement, deferred compensation, employment, termination, severance or other plan, trust, fund, policy, agreement or arrangement for the benefit of any of its directors, officers or employees, except in accordance with the provisions of Sections 1.10, 5.4, 5.9 and 5.10 of this Agreement;</w:t>
      </w:r>
    </w:p>
    <w:p>
      <w:pPr>
        <w:spacing w:after="0" w:line="59" w:lineRule="exact"/>
        <w:rPr>
          <w:rFonts w:ascii="Arial" w:cs="Arial" w:eastAsia="Arial" w:hAnsi="Arial"/>
          <w:sz w:val="15"/>
          <w:szCs w:val="15"/>
          <w:color w:val="auto"/>
        </w:rPr>
      </w:pPr>
    </w:p>
    <w:p>
      <w:pPr>
        <w:ind w:left="1120" w:hanging="321"/>
        <w:spacing w:after="0"/>
        <w:tabs>
          <w:tab w:leader="none" w:pos="112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change any accounting policies or procedures unless required by statutory accounting principles or GAAP;</w:t>
      </w:r>
    </w:p>
    <w:p>
      <w:pPr>
        <w:spacing w:after="0" w:line="116" w:lineRule="exact"/>
        <w:rPr>
          <w:rFonts w:ascii="Arial" w:cs="Arial" w:eastAsia="Arial" w:hAnsi="Arial"/>
          <w:sz w:val="16"/>
          <w:szCs w:val="16"/>
          <w:color w:val="auto"/>
        </w:rPr>
      </w:pPr>
    </w:p>
    <w:p>
      <w:pPr>
        <w:ind w:left="540" w:right="1239" w:firstLine="259"/>
        <w:spacing w:after="0" w:line="267" w:lineRule="auto"/>
        <w:tabs>
          <w:tab w:leader="none" w:pos="121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make any payments to any Affiliate, except normal recurring payments pursuant to any existing employment agreement as of the date of this Agreement;</w:t>
      </w:r>
    </w:p>
    <w:p>
      <w:pPr>
        <w:spacing w:after="0" w:line="66" w:lineRule="exact"/>
        <w:rPr>
          <w:rFonts w:ascii="Arial" w:cs="Arial" w:eastAsia="Arial" w:hAnsi="Arial"/>
          <w:sz w:val="17"/>
          <w:szCs w:val="17"/>
          <w:color w:val="auto"/>
        </w:rPr>
      </w:pPr>
    </w:p>
    <w:p>
      <w:pPr>
        <w:jc w:val="both"/>
        <w:ind w:left="540" w:right="1239" w:firstLine="259"/>
        <w:spacing w:after="0" w:line="256" w:lineRule="auto"/>
        <w:tabs>
          <w:tab w:leader="none" w:pos="1214" w:val="left"/>
        </w:tabs>
        <w:numPr>
          <w:ilvl w:val="1"/>
          <w:numId w:val="216"/>
        </w:numPr>
        <w:rPr>
          <w:rFonts w:ascii="Arial" w:cs="Arial" w:eastAsia="Arial" w:hAnsi="Arial"/>
          <w:sz w:val="17"/>
          <w:szCs w:val="17"/>
          <w:color w:val="auto"/>
        </w:rPr>
      </w:pPr>
      <w:r>
        <w:rPr>
          <w:rFonts w:ascii="Arial" w:cs="Arial" w:eastAsia="Arial" w:hAnsi="Arial"/>
          <w:sz w:val="17"/>
          <w:szCs w:val="17"/>
          <w:color w:val="auto"/>
        </w:rPr>
        <w:t>fail to make any expenditures that are necessary and sufficient to maintain or, to the extent budgeted or consistent with the past practice, improve the conditions of its properties, facilities and equipment, including, without limitation, budgeted expenditures relating to maintenance, repair and replacement;</w:t>
      </w:r>
    </w:p>
    <w:p>
      <w:pPr>
        <w:spacing w:after="0" w:line="76" w:lineRule="exact"/>
        <w:rPr>
          <w:rFonts w:ascii="Arial" w:cs="Arial" w:eastAsia="Arial" w:hAnsi="Arial"/>
          <w:sz w:val="17"/>
          <w:szCs w:val="17"/>
          <w:color w:val="auto"/>
        </w:rPr>
      </w:pPr>
    </w:p>
    <w:p>
      <w:pPr>
        <w:jc w:val="both"/>
        <w:ind w:left="540" w:right="1239" w:firstLine="259"/>
        <w:spacing w:after="0" w:line="280" w:lineRule="auto"/>
        <w:tabs>
          <w:tab w:leader="none" w:pos="1204"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take any action or fail to take any action permitted by this Agreement if such action or failure to take action could reasonably be expected to result in either (A) any of their representations and warranties of set forth in this Agreement becoming untrue or (B) any of the conditions to the Closing set forth in Article VI not being satisfied; or</w:t>
      </w:r>
    </w:p>
    <w:p>
      <w:pPr>
        <w:spacing w:after="0" w:line="57" w:lineRule="exact"/>
        <w:rPr>
          <w:rFonts w:ascii="Arial" w:cs="Arial" w:eastAsia="Arial" w:hAnsi="Arial"/>
          <w:sz w:val="16"/>
          <w:szCs w:val="16"/>
          <w:color w:val="auto"/>
        </w:rPr>
      </w:pPr>
    </w:p>
    <w:p>
      <w:pPr>
        <w:ind w:left="540" w:right="1239" w:firstLine="259"/>
        <w:spacing w:after="0" w:line="267" w:lineRule="auto"/>
        <w:tabs>
          <w:tab w:leader="none" w:pos="1154" w:val="left"/>
        </w:tabs>
        <w:numPr>
          <w:ilvl w:val="1"/>
          <w:numId w:val="216"/>
        </w:numPr>
        <w:rPr>
          <w:rFonts w:ascii="Arial" w:cs="Arial" w:eastAsia="Arial" w:hAnsi="Arial"/>
          <w:sz w:val="17"/>
          <w:szCs w:val="17"/>
          <w:color w:val="auto"/>
        </w:rPr>
      </w:pPr>
      <w:r>
        <w:rPr>
          <w:rFonts w:ascii="Arial" w:cs="Arial" w:eastAsia="Arial" w:hAnsi="Arial"/>
          <w:sz w:val="17"/>
          <w:szCs w:val="17"/>
          <w:color w:val="auto"/>
        </w:rPr>
        <w:t>authorize, recommend, propose, announce or enter into any agreement, contract, commitment or arrangement to do any of the foregoing.</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6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During the Interim Period, each of the Parent and the Company shall, and shall cause each of its Subsidiaries to: (i) solicit and accept customer orders in the ordinary course of business; and (ii) cooperate with the other in communicating with suppliers and customers to accomplish the orderly transfer of the business and operations of the Company and its Subsidiaries to the control of Parent on the Closing Date.</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No Solicitation of Other Proposals by Company</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3" w:lineRule="auto"/>
        <w:tabs>
          <w:tab w:leader="none" w:pos="821" w:val="left"/>
        </w:tabs>
        <w:numPr>
          <w:ilvl w:val="0"/>
          <w:numId w:val="218"/>
        </w:numPr>
        <w:rPr>
          <w:rFonts w:ascii="Arial" w:cs="Arial" w:eastAsia="Arial" w:hAnsi="Arial"/>
          <w:sz w:val="15"/>
          <w:szCs w:val="15"/>
          <w:color w:val="auto"/>
        </w:rPr>
      </w:pPr>
      <w:r>
        <w:rPr>
          <w:rFonts w:ascii="Arial" w:cs="Arial" w:eastAsia="Arial" w:hAnsi="Arial"/>
          <w:sz w:val="15"/>
          <w:szCs w:val="15"/>
          <w:color w:val="auto"/>
        </w:rPr>
        <w:t>Company agrees that it will, and will cause its Subsidiaries and Affiliates and each of their respective officers, directors, employees, investment bankers, attorneys, accountants and other advisors or representatives (collectively, “</w:t>
      </w:r>
      <w:r>
        <w:rPr>
          <w:rFonts w:ascii="Arial" w:cs="Arial" w:eastAsia="Arial" w:hAnsi="Arial"/>
          <w:sz w:val="15"/>
          <w:szCs w:val="15"/>
          <w:b w:val="1"/>
          <w:bCs w:val="1"/>
          <w:color w:val="auto"/>
        </w:rPr>
        <w:t>Representatives</w:t>
      </w:r>
      <w:r>
        <w:rPr>
          <w:rFonts w:ascii="Arial" w:cs="Arial" w:eastAsia="Arial" w:hAnsi="Arial"/>
          <w:sz w:val="15"/>
          <w:szCs w:val="15"/>
          <w:color w:val="auto"/>
        </w:rPr>
        <w:t>”) to, immediately cease and cause to be terminated any and all existing activities, discussions or negotiations with any persons conducted heretofore with respect to any Company Acquisition Proposal (as defined herein). Except as expressly provided in this Section 4.2, Company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Company Acquisition Proposal; (ii) enter into, participate or engage in discussions or negotiations in any way with any Person concerning, any Company Acquisition Proposal, (iii) furnish to any Person (other than the Parent and its designees) any information relating to Company or any of its Subsidiaries, or afford to any Person (other than the Parent or its designees) access to the business, properties, assets, books, records or other information, or to any personnel, of Company or any of its Subsidiaries, in any such case, with the intent to induce or solicit the making, submission or announcement of, or the intent to encourage or assist, a Company Acquisition Proposal or any inquiries or the making of any proposal that would reasonably be expected to lead to a Company Acquisition Proposal, (iv) approve, endorse or recommend a Company Acquisition Proposal; (v) enter into any agreement in principle, letter or intent,</w:t>
      </w: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3" w:name="page324"/>
    <w:bookmarkEnd w:id="3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2" w:lineRule="auto"/>
        <w:rPr>
          <w:sz w:val="20"/>
          <w:szCs w:val="20"/>
          <w:color w:val="auto"/>
        </w:rPr>
      </w:pPr>
      <w:r>
        <w:rPr>
          <w:rFonts w:ascii="Arial" w:cs="Arial" w:eastAsia="Arial" w:hAnsi="Arial"/>
          <w:sz w:val="15"/>
          <w:szCs w:val="15"/>
          <w:color w:val="auto"/>
        </w:rPr>
        <w:t>term sheet, merger agreement, acquisition agreement or other similar instrument (whether binding or not) or contract constituting or otherwise relating to a Company Acquisition Proposal or requiring it to abandon, terminate or fail to consummate, or that is intended to or that would reasonably be expected to result in the abandonment of, termination of or failure to consummate, the Merger (other than executed non-disclosure agreement having provisions no less favorable to the party hereto delivering such agreement than that certain Non-Disclosure Agreement (the “</w:t>
      </w:r>
      <w:r>
        <w:rPr>
          <w:rFonts w:ascii="Arial" w:cs="Arial" w:eastAsia="Arial" w:hAnsi="Arial"/>
          <w:sz w:val="15"/>
          <w:szCs w:val="15"/>
          <w:b w:val="1"/>
          <w:bCs w:val="1"/>
          <w:color w:val="auto"/>
        </w:rPr>
        <w:t>NDA</w:t>
      </w:r>
      <w:r>
        <w:rPr>
          <w:rFonts w:ascii="Arial" w:cs="Arial" w:eastAsia="Arial" w:hAnsi="Arial"/>
          <w:sz w:val="15"/>
          <w:szCs w:val="15"/>
          <w:color w:val="auto"/>
        </w:rPr>
        <w:t>”), by and between the Company and the Parent, dated as of February 3, 2012 (an “</w:t>
      </w:r>
      <w:r>
        <w:rPr>
          <w:rFonts w:ascii="Arial" w:cs="Arial" w:eastAsia="Arial" w:hAnsi="Arial"/>
          <w:sz w:val="15"/>
          <w:szCs w:val="15"/>
          <w:b w:val="1"/>
          <w:bCs w:val="1"/>
          <w:color w:val="auto"/>
        </w:rPr>
        <w:t>Acceptable NDA</w:t>
      </w:r>
      <w:r>
        <w:rPr>
          <w:rFonts w:ascii="Arial" w:cs="Arial" w:eastAsia="Arial" w:hAnsi="Arial"/>
          <w:sz w:val="15"/>
          <w:szCs w:val="15"/>
          <w:color w:val="auto"/>
        </w:rPr>
        <w:t>”)); or (vi) grant any approval pursuant to any “moratorium,” “control share acquisition,” “business combination,” “fair price” or other form of anti-takeover law (collectively, “</w:t>
      </w:r>
      <w:r>
        <w:rPr>
          <w:rFonts w:ascii="Arial" w:cs="Arial" w:eastAsia="Arial" w:hAnsi="Arial"/>
          <w:sz w:val="15"/>
          <w:szCs w:val="15"/>
          <w:b w:val="1"/>
          <w:bCs w:val="1"/>
          <w:color w:val="auto"/>
        </w:rPr>
        <w:t>Takeover Laws</w:t>
      </w:r>
      <w:r>
        <w:rPr>
          <w:rFonts w:ascii="Arial" w:cs="Arial" w:eastAsia="Arial" w:hAnsi="Arial"/>
          <w:sz w:val="15"/>
          <w:szCs w:val="15"/>
          <w:color w:val="auto"/>
        </w:rPr>
        <w:t xml:space="preserve">”), including without limitation Section 203 of the DGCL, to any Person (other than as contemplated herein) or transaction (other than the Merger) or any waiver or release under any standstill or any similar agreement with respect to equity securities of Company. Notwithstanding the foregoing sentence or any other provision of this Agreement, subject to compliance with Section 4.2(b), the Company or its Board of Directors may enter into discussions with any Person in response to an unsolicited </w:t>
      </w:r>
      <w:r>
        <w:rPr>
          <w:rFonts w:ascii="Arial" w:cs="Arial" w:eastAsia="Arial" w:hAnsi="Arial"/>
          <w:sz w:val="15"/>
          <w:szCs w:val="15"/>
          <w:u w:val="single" w:color="auto"/>
          <w:color w:val="auto"/>
        </w:rPr>
        <w:t>bona fide</w:t>
      </w:r>
      <w:r>
        <w:rPr>
          <w:rFonts w:ascii="Arial" w:cs="Arial" w:eastAsia="Arial" w:hAnsi="Arial"/>
          <w:sz w:val="15"/>
          <w:szCs w:val="15"/>
          <w:color w:val="auto"/>
        </w:rPr>
        <w:t xml:space="preserve"> written Company Acquisition Proposal by such Person, which Company Acquisition Proposal was made after the date of this Agreement and did not result from a breach of this Section 4.2(a), if and only to the extent that and prior to engaging in any such discussions with such Person (x) the Board of Directors of the Company determines in good faith after consultation with its outside legal counsel and other advisors, that such Company Acquisition Proposal either constitutes or could reasonably be expected to lead to a Company Superior Proposal and (y) the Company’s Board of Directors receives from such Person an Acceptable NDA.</w:t>
      </w:r>
    </w:p>
    <w:p>
      <w:pPr>
        <w:spacing w:after="0" w:line="266" w:lineRule="exact"/>
        <w:rPr>
          <w:sz w:val="20"/>
          <w:szCs w:val="20"/>
          <w:color w:val="auto"/>
        </w:rPr>
      </w:pPr>
    </w:p>
    <w:p>
      <w:pPr>
        <w:jc w:val="both"/>
        <w:ind w:left="300" w:right="1239" w:firstLine="248"/>
        <w:spacing w:after="0" w:line="265" w:lineRule="auto"/>
        <w:tabs>
          <w:tab w:leader="none" w:pos="832"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Company shall notify the Parent orally as soon as practicable, and in writing, promptly (and in any event within 24 hours) after receipt by the Company of (i) any Company Acquisition Proposal or (ii) any inquiry or request for access to the properties, books, records or other information of the Company by any Person that relates to or could reasonably be expected to lead to a Company Acquisition Proposal and such notice shall indicate in reasonable detail the identity of the offeror, the terms and conditions of such proposal or inquiry and a copy of any written Company Acquisition Proposal. The Company shall promptly notify the Parent of any discussions with any such Person regarding a Company Acquisition Proposal and shall disclose the substance of such discussions and Company shall otherwise keep the Parent reasonably informed of the status of such Company Acquisition Proposal, and any material changes to the terms thereof, and shall provide to the Parent as soon as practicable and in any event within 24 hours after receipt by the Parent copies of all written correspondence or other written material relating to such Company Acquisition Proposal.</w:t>
      </w:r>
    </w:p>
    <w:p>
      <w:pPr>
        <w:spacing w:after="0" w:line="73" w:lineRule="exact"/>
        <w:rPr>
          <w:rFonts w:ascii="Arial" w:cs="Arial" w:eastAsia="Arial" w:hAnsi="Arial"/>
          <w:sz w:val="16"/>
          <w:szCs w:val="16"/>
          <w:color w:val="auto"/>
        </w:rPr>
      </w:pPr>
    </w:p>
    <w:p>
      <w:pPr>
        <w:ind w:left="820" w:hanging="272"/>
        <w:spacing w:after="0"/>
        <w:tabs>
          <w:tab w:leader="none" w:pos="820" w:val="left"/>
        </w:tabs>
        <w:numPr>
          <w:ilvl w:val="1"/>
          <w:numId w:val="219"/>
        </w:numPr>
        <w:rPr>
          <w:rFonts w:ascii="Arial" w:cs="Arial" w:eastAsia="Arial" w:hAnsi="Arial"/>
          <w:sz w:val="15"/>
          <w:szCs w:val="15"/>
          <w:color w:val="auto"/>
        </w:rPr>
      </w:pPr>
      <w:r>
        <w:rPr>
          <w:rFonts w:ascii="Arial" w:cs="Arial" w:eastAsia="Arial" w:hAnsi="Arial"/>
          <w:sz w:val="15"/>
          <w:szCs w:val="15"/>
          <w:color w:val="auto"/>
        </w:rPr>
        <w:t>Subject to the provisions of this Section 4.2, neither the Company’s Board of Directors nor any committee thereof shall</w:t>
      </w:r>
    </w:p>
    <w:p>
      <w:pPr>
        <w:spacing w:after="0" w:line="40" w:lineRule="exact"/>
        <w:rPr>
          <w:rFonts w:ascii="Arial" w:cs="Arial" w:eastAsia="Arial" w:hAnsi="Arial"/>
          <w:sz w:val="15"/>
          <w:szCs w:val="15"/>
          <w:color w:val="auto"/>
        </w:rPr>
      </w:pPr>
    </w:p>
    <w:p>
      <w:pPr>
        <w:jc w:val="both"/>
        <w:ind w:left="300" w:right="1239" w:hanging="2"/>
        <w:spacing w:after="0" w:line="265" w:lineRule="auto"/>
        <w:tabs>
          <w:tab w:leader="none" w:pos="50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 withhold, withdraw, amend, qualify or modify in a manner adverse to Parent, or publicly propose to withhold, withdraw, amend, qualify or modify in a manner adverse to the Parent, the Company Board Recommendation, or (B) approve, adopt or recommend, or publicly propose to approve, adopt or recommend, any Company Acquisition Proposal (any action described in clauses (A) and (B) or (ii) enter into any agreement in principle, letter of intent, term sheet, merger agreement, acquisition agreement or other similar instrument (whether binding or not) or contract constituting or otherwise relating to a Company Acquisition Proposal (other than an Acceptable NDA).</w:t>
      </w:r>
    </w:p>
    <w:p>
      <w:pPr>
        <w:spacing w:after="0" w:line="71" w:lineRule="exact"/>
        <w:rPr>
          <w:rFonts w:ascii="Arial" w:cs="Arial" w:eastAsia="Arial" w:hAnsi="Arial"/>
          <w:sz w:val="16"/>
          <w:szCs w:val="16"/>
          <w:color w:val="auto"/>
        </w:rPr>
      </w:pPr>
    </w:p>
    <w:p>
      <w:pPr>
        <w:jc w:val="both"/>
        <w:ind w:left="300" w:right="1239" w:firstLine="248"/>
        <w:spacing w:after="0" w:line="249" w:lineRule="auto"/>
        <w:tabs>
          <w:tab w:leader="none" w:pos="83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Notwithstanding the foregoing or anything to the contrary set forth in this Agreement, at any time prior to obtaining the Company Stockholder Approval, Company’s Board of Directors (or any committee thereof) may effect a Company Board Recommendation Change if, at any time prior to the receipt of the Company Stockholder Approval, (1) the Company has complied with its obligations under this Section 4.2 and (2) the Company’s Board of Directors (or any committee thereof) determines in good faith (after consultation with outside legal counsel) that as a result of a (x) Parent Superior Proposal or (y) an event, development or change in circumstances that occurs or arises following the date of this Agreement, the failure to effect a Company Board Recommendation Change would be inconsistent with its fiduciary duties to the Company’s stockholders.</w:t>
      </w:r>
    </w:p>
    <w:p>
      <w:pPr>
        <w:spacing w:after="0" w:line="200" w:lineRule="exact"/>
        <w:rPr>
          <w:sz w:val="20"/>
          <w:szCs w:val="20"/>
          <w:color w:val="auto"/>
        </w:rPr>
      </w:pPr>
    </w:p>
    <w:p>
      <w:pPr>
        <w:spacing w:after="0" w:line="29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4" w:name="page325"/>
    <w:bookmarkEnd w:id="3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0" w:hanging="272"/>
        <w:spacing w:after="0"/>
        <w:tabs>
          <w:tab w:leader="none" w:pos="8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For purposes of this Agreement:</w:t>
      </w:r>
    </w:p>
    <w:p>
      <w:pPr>
        <w:spacing w:after="0" w:line="101" w:lineRule="exact"/>
        <w:rPr>
          <w:rFonts w:ascii="Arial" w:cs="Arial" w:eastAsia="Arial" w:hAnsi="Arial"/>
          <w:sz w:val="17"/>
          <w:szCs w:val="17"/>
          <w:color w:val="auto"/>
        </w:rPr>
      </w:pPr>
    </w:p>
    <w:p>
      <w:pPr>
        <w:jc w:val="both"/>
        <w:ind w:left="540" w:right="1239" w:firstLine="259"/>
        <w:spacing w:after="0" w:line="265" w:lineRule="auto"/>
        <w:tabs>
          <w:tab w:leader="none" w:pos="106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Acquisition Proposal</w:t>
      </w:r>
      <w:r>
        <w:rPr>
          <w:rFonts w:ascii="Arial" w:cs="Arial" w:eastAsia="Arial" w:hAnsi="Arial"/>
          <w:sz w:val="16"/>
          <w:szCs w:val="16"/>
          <w:color w:val="auto"/>
        </w:rPr>
        <w:t>” means any offer, proposal, discussions, negotiations, indication of interest or inquiry (whether in writing or otherwise) by any Person (other than Parent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Company or any Subsidiary (including, for the avoidance of doubt, any issuance of equity securities of Company), (ii) any direct or indirect sale, transfer, acquisition or disposition of more than 20% of the consolidated assets of Company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Company or any Subsidiary.</w:t>
      </w:r>
    </w:p>
    <w:p>
      <w:pPr>
        <w:spacing w:after="0" w:line="68" w:lineRule="exact"/>
        <w:rPr>
          <w:rFonts w:ascii="Arial" w:cs="Arial" w:eastAsia="Arial" w:hAnsi="Arial"/>
          <w:sz w:val="16"/>
          <w:szCs w:val="16"/>
          <w:color w:val="auto"/>
        </w:rPr>
      </w:pPr>
    </w:p>
    <w:p>
      <w:pPr>
        <w:jc w:val="both"/>
        <w:ind w:left="540" w:right="1239" w:firstLine="259"/>
        <w:spacing w:after="0" w:line="266" w:lineRule="auto"/>
        <w:tabs>
          <w:tab w:leader="none" w:pos="1116" w:val="left"/>
        </w:tabs>
        <w:numPr>
          <w:ilvl w:val="1"/>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Superior Proposal</w:t>
      </w:r>
      <w:r>
        <w:rPr>
          <w:rFonts w:ascii="Arial" w:cs="Arial" w:eastAsia="Arial" w:hAnsi="Arial"/>
          <w:sz w:val="16"/>
          <w:szCs w:val="16"/>
          <w:color w:val="auto"/>
        </w:rPr>
        <w:t>” means any bona fide offer or proposal that constitutes a Company Acquisition Proposal on terms that the Company Board of Directors (or any committee thereof) shall have determined in good faith (after consultation with its financial advisor and outside legal counsel), taking into account all relevant legal (including conditions), financial, regulatory, timing and other aspects of such Company Acquisition Proposal, is reasonably likely to be consummated and would be more favorable to Company’s stockholders (in their capacity as such) than the Merger, if consummated (including after taking into account any changes to the terms of this Agreement proposed by the Parent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No Solicitation of other Proposals by Parent</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1" w:lineRule="auto"/>
        <w:tabs>
          <w:tab w:leader="none" w:pos="838" w:val="left"/>
        </w:tabs>
        <w:numPr>
          <w:ilvl w:val="0"/>
          <w:numId w:val="222"/>
        </w:numPr>
        <w:rPr>
          <w:rFonts w:ascii="Arial" w:cs="Arial" w:eastAsia="Arial" w:hAnsi="Arial"/>
          <w:sz w:val="15"/>
          <w:szCs w:val="15"/>
          <w:color w:val="auto"/>
        </w:rPr>
      </w:pPr>
      <w:r>
        <w:rPr>
          <w:rFonts w:ascii="Arial" w:cs="Arial" w:eastAsia="Arial" w:hAnsi="Arial"/>
          <w:sz w:val="15"/>
          <w:szCs w:val="15"/>
          <w:color w:val="auto"/>
        </w:rPr>
        <w:t>Parent agrees that it will, and will cause its Subsidiaries and Affiliates and each of their respective Representatives to, immediately cease and cause to be terminated any and all existing activities, discussions or negotiations with any persons conducted heretofore with respect to any Parent Acquisition Proposal (as defined herein). Except as expressly provided in this Section 4.3, Parent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Parent Acquisition Proposal; (ii) enter into, participate or engage in discussions or negotiations in any way with any Person concerning, any Parent Acquisition Proposal, (iii) furnish to any Person (other than the Company and its designees) any information relating to Parent or any of its Subsidiaries, or afford to any Person (other than the Company or its designees) access to the business, properties, assets, books, records or other information, or to any personnel, of Parent or any of its Subsidiaries, in any such case, with the intent to induce or solicit the making, submission or announcement of, or the intent to encourage or assist, a Parent Acquisition Proposal or any inquiries or the making of any proposal that would reasonably be expected to lead to a Parent Acquisition Proposal, (iv) approve, endorse or recommend a Parent Acquisition Proposal; (v) enter into any agreement in principle, letter or intent, term sheet, merger agreement, acquisition agreement or other similar instrument (whether binding or not) or Contract constituting or otherwise relating to a Parent Acquisition Proposal or requiring it to abandon, terminate or fail to consummate, or that is intended to or that would reasonably be expected to result in the abandonment of, termination of or failure to consummate, the Merger (other than an Acceptable NDA); or (vi) grant any approval pursuant to any Takeover Laws, including without limitation Section 203 of the DGCL, to any Person (other than as contemplated herein) or transaction (other than the Merger) or any waiver or release under any standstill or any similar agreement with respect to equity securities of Parent. Notwithstanding the foregoing sentence or any other provision of this Agreement, subject to compliance with Section 4.3(b), Parent or its Board of Directors may enter into discussions with any</w:t>
      </w:r>
    </w:p>
    <w:p>
      <w:pPr>
        <w:spacing w:after="0" w:line="200" w:lineRule="exact"/>
        <w:rPr>
          <w:sz w:val="20"/>
          <w:szCs w:val="20"/>
          <w:color w:val="auto"/>
        </w:rPr>
      </w:pPr>
    </w:p>
    <w:p>
      <w:pPr>
        <w:spacing w:after="0" w:line="28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5" w:name="page326"/>
    <w:bookmarkEnd w:id="3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0" w:lineRule="auto"/>
        <w:rPr>
          <w:sz w:val="20"/>
          <w:szCs w:val="20"/>
          <w:color w:val="auto"/>
        </w:rPr>
      </w:pPr>
      <w:r>
        <w:rPr>
          <w:rFonts w:ascii="Arial" w:cs="Arial" w:eastAsia="Arial" w:hAnsi="Arial"/>
          <w:sz w:val="17"/>
          <w:szCs w:val="17"/>
          <w:color w:val="auto"/>
        </w:rPr>
        <w:t xml:space="preserve">Person in response to an unsolicited </w:t>
      </w:r>
      <w:r>
        <w:rPr>
          <w:rFonts w:ascii="Arial" w:cs="Arial" w:eastAsia="Arial" w:hAnsi="Arial"/>
          <w:sz w:val="17"/>
          <w:szCs w:val="17"/>
          <w:u w:val="single" w:color="auto"/>
          <w:color w:val="auto"/>
        </w:rPr>
        <w:t>bona fide</w:t>
      </w:r>
      <w:r>
        <w:rPr>
          <w:rFonts w:ascii="Arial" w:cs="Arial" w:eastAsia="Arial" w:hAnsi="Arial"/>
          <w:sz w:val="17"/>
          <w:szCs w:val="17"/>
          <w:color w:val="auto"/>
        </w:rPr>
        <w:t xml:space="preserve"> written Parent Acquisition Proposal by such Person, which Parent Acquisition Proposal was made after the date of this Agreement and did not result from a breach of this Section 4.3(a), if and only to the extent that and prior to engaging in any such discussions with such Person (x) the Board of Directors of the Parent determines in good faith after consultation with its outside legal counsel and other advisors, that such Parent Acquisition Proposal either constitutes or could reasonably be expected to lead to a Parent Superior Proposal and (y) the Parent’s Board of Directors receives from such Person an Acceptable NDA.</w:t>
      </w:r>
    </w:p>
    <w:p>
      <w:pPr>
        <w:spacing w:after="0" w:line="81" w:lineRule="exact"/>
        <w:rPr>
          <w:sz w:val="20"/>
          <w:szCs w:val="20"/>
          <w:color w:val="auto"/>
        </w:rPr>
      </w:pPr>
    </w:p>
    <w:p>
      <w:pPr>
        <w:jc w:val="both"/>
        <w:ind w:left="300" w:right="1239" w:firstLine="248"/>
        <w:spacing w:after="0" w:line="265" w:lineRule="auto"/>
        <w:tabs>
          <w:tab w:leader="none" w:pos="832"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Parent shall notify the Company orally as soon as practicable, and in writing, promptly (and in any event within 24 hours) after receipt by the Parent of (i) any Parent Acquisition Proposal or (ii) any inquiry or request for access to the properties, books, records or other information of the Parent by any Person that relates to or could reasonably be expected to lead to a Parent Acquisition Proposal and such notice shall indicate in reasonable detail the identity of the offeror, the terms and conditions of such proposal or inquiry and a copy of any written Parent Acquisition Proposal. The Parent shall promptly notify the Company of any discussions with any such Person regarding a Parent Acquisition Proposal and shall disclose the substance of such discussions and Parent shall otherwise keep the Company reasonably informed of the status of such Parent Acquisition Proposal, and any material changes to the terms thereof, and shall provide to the Company as soon as practicable and in any event within 24 hours after receipt by the Company copies of all written correspondence or other written material relating to such Parent Acquisition Proposal.</w:t>
      </w:r>
    </w:p>
    <w:p>
      <w:pPr>
        <w:spacing w:after="0" w:line="73" w:lineRule="exact"/>
        <w:rPr>
          <w:rFonts w:ascii="Arial" w:cs="Arial" w:eastAsia="Arial" w:hAnsi="Arial"/>
          <w:sz w:val="16"/>
          <w:szCs w:val="16"/>
          <w:color w:val="auto"/>
        </w:rPr>
      </w:pPr>
    </w:p>
    <w:p>
      <w:pPr>
        <w:ind w:left="820" w:hanging="272"/>
        <w:spacing w:after="0"/>
        <w:tabs>
          <w:tab w:leader="none" w:pos="820" w:val="left"/>
        </w:tabs>
        <w:numPr>
          <w:ilvl w:val="1"/>
          <w:numId w:val="223"/>
        </w:numPr>
        <w:rPr>
          <w:rFonts w:ascii="Arial" w:cs="Arial" w:eastAsia="Arial" w:hAnsi="Arial"/>
          <w:sz w:val="15"/>
          <w:szCs w:val="15"/>
          <w:color w:val="auto"/>
        </w:rPr>
      </w:pPr>
      <w:r>
        <w:rPr>
          <w:rFonts w:ascii="Arial" w:cs="Arial" w:eastAsia="Arial" w:hAnsi="Arial"/>
          <w:sz w:val="15"/>
          <w:szCs w:val="15"/>
          <w:color w:val="auto"/>
        </w:rPr>
        <w:t>Subject to the provisions of this Section 4.3, neither the Parent’s Board of Directors nor any committee thereof shall (i)</w:t>
      </w:r>
    </w:p>
    <w:p>
      <w:pPr>
        <w:spacing w:after="0" w:line="40" w:lineRule="exact"/>
        <w:rPr>
          <w:rFonts w:ascii="Arial" w:cs="Arial" w:eastAsia="Arial" w:hAnsi="Arial"/>
          <w:sz w:val="15"/>
          <w:szCs w:val="15"/>
          <w:color w:val="auto"/>
        </w:rPr>
      </w:pPr>
    </w:p>
    <w:p>
      <w:pPr>
        <w:jc w:val="both"/>
        <w:ind w:left="300" w:right="1239" w:hanging="2"/>
        <w:spacing w:after="0" w:line="280" w:lineRule="auto"/>
        <w:tabs>
          <w:tab w:leader="none" w:pos="601" w:val="left"/>
        </w:tabs>
        <w:numPr>
          <w:ilvl w:val="0"/>
          <w:numId w:val="224"/>
        </w:numPr>
        <w:rPr>
          <w:rFonts w:ascii="Arial" w:cs="Arial" w:eastAsia="Arial" w:hAnsi="Arial"/>
          <w:sz w:val="15"/>
          <w:szCs w:val="15"/>
          <w:color w:val="auto"/>
        </w:rPr>
      </w:pPr>
      <w:r>
        <w:rPr>
          <w:rFonts w:ascii="Arial" w:cs="Arial" w:eastAsia="Arial" w:hAnsi="Arial"/>
          <w:sz w:val="15"/>
          <w:szCs w:val="15"/>
          <w:color w:val="auto"/>
        </w:rPr>
        <w:t>withhold, withdraw, amend, qualify or modify in a manner adverse to the Company, or publicly propose to withhold, withdraw, amend, qualify or modify in a manner adverse to the Company, the Parent Board Recommendation, or (B) approve, adopt or recommend, or publicly propose to approve, adopt or recommend, any Parent Acquisition Proposal (any action described in clauses (A) and (B) as well as any failure by the Company to timely respond to the commencement of (i) a tender or exchange offer relating to any shares of Parent Common Stock by issuing a public statement reaffirming, filing a Schedule 14D-9 pursuant to Rule 14e-2 and Rule 14d-9 promulgated under the Exchange Act a statement reaffirming, and sending to Parent’s stockholders, within 10 Business Days after the commencement of such tender or exchange offer, a statement reaffirming, the Parent Board Recommendation and (in the case of each such communication) disclosing that Parent’s Board of Directors recommends rejection of such tender offer or exchange offer or (ii) a publicly announced Parent Acquisition Proposal by issuing, within 10 Business Days after such Parent Acquisition Proposal is announced, a press release that reaffirms the recommendation of Parent’s Board of Directors that Parent’s stockholders vote in favor of the Merger and the other transactions contemplated hereby, being referred to as a “</w:t>
      </w:r>
      <w:r>
        <w:rPr>
          <w:rFonts w:ascii="Arial" w:cs="Arial" w:eastAsia="Arial" w:hAnsi="Arial"/>
          <w:sz w:val="15"/>
          <w:szCs w:val="15"/>
          <w:b w:val="1"/>
          <w:bCs w:val="1"/>
          <w:color w:val="auto"/>
        </w:rPr>
        <w:t>Parent Board Recommendation Change</w:t>
      </w:r>
      <w:r>
        <w:rPr>
          <w:rFonts w:ascii="Arial" w:cs="Arial" w:eastAsia="Arial" w:hAnsi="Arial"/>
          <w:sz w:val="15"/>
          <w:szCs w:val="15"/>
          <w:color w:val="auto"/>
        </w:rPr>
        <w:t xml:space="preserve">”) or (ii) enter into any agreement in principle, letter of intent, term sheet, merger agreement, acquisition agreement or other similar instrument (whether binding or not) or contract constituting or otherwise relating to a Parent Acquisition Proposal (other than an Acceptable NDA pursuant to Section 4.3(a));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“stop, look and listen” communication by the Parent’s Board of Directors (or committee thereof) to Parent’s stockholders pursuant to Rule 14d-9(f) of the Exchange Act, or any substantially similar communication, shall not be deemed to be a Parent Board Recommendation Change. Notwithstanding the foregoing or anything to the contrary set forth in this Agreement, at any time prior to obtaining the Parent Stockholder Approval, the Parent’s Board of Directors (or any committee thereof) may effect a Parent Board Recommendation Change if, at any time prior to the receipt of the Parent Stockholder Approval, (1) Parent has complied with its obligations under this Section 4.3 and (2) the Parent’s Board of Directors (or any committee thereof) determines in good faith (after consultation with outside legal counsel) that as a result of (A) a Parent Superior Proposal or (B) an event, development or change in circumstances that occurs or arises following the date of this Agreement, the failure to effect a Parent Board Recommendation Change would be inconsistent with its fiduciary duties to Parent’s stockholders.</w:t>
      </w:r>
    </w:p>
    <w:p>
      <w:pPr>
        <w:spacing w:after="0" w:line="69" w:lineRule="exact"/>
        <w:rPr>
          <w:rFonts w:ascii="Arial" w:cs="Arial" w:eastAsia="Arial" w:hAnsi="Arial"/>
          <w:sz w:val="15"/>
          <w:szCs w:val="15"/>
          <w:color w:val="auto"/>
        </w:rPr>
      </w:pPr>
    </w:p>
    <w:p>
      <w:pPr>
        <w:jc w:val="both"/>
        <w:ind w:left="300" w:right="1239" w:firstLine="248"/>
        <w:spacing w:after="0" w:line="256" w:lineRule="auto"/>
        <w:tabs>
          <w:tab w:leader="none" w:pos="861" w:val="left"/>
        </w:tabs>
        <w:numPr>
          <w:ilvl w:val="1"/>
          <w:numId w:val="224"/>
        </w:numPr>
        <w:rPr>
          <w:rFonts w:ascii="Arial" w:cs="Arial" w:eastAsia="Arial" w:hAnsi="Arial"/>
          <w:sz w:val="17"/>
          <w:szCs w:val="17"/>
          <w:color w:val="auto"/>
        </w:rPr>
      </w:pPr>
      <w:r>
        <w:rPr>
          <w:rFonts w:ascii="Arial" w:cs="Arial" w:eastAsia="Arial" w:hAnsi="Arial"/>
          <w:sz w:val="17"/>
          <w:szCs w:val="17"/>
          <w:color w:val="auto"/>
        </w:rPr>
        <w:t>Nothing in this Agreement shall prohibit Parent’s Board of Directors (or any committee thereof) from (i) taking and disclosing to Parent’s stockholders a position contemplated by Rule 14e-2(a) under the Exchange Act or complying with the provisions of Rule 14d-9 promulgated under the</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6" w:name="page327"/>
    <w:bookmarkEnd w:id="3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 xml:space="preserve">Exchange Act with respect to any tender offer or exchange offer not made in violation of this </w:t>
      </w:r>
      <w:r>
        <w:rPr>
          <w:rFonts w:ascii="Arial" w:cs="Arial" w:eastAsia="Arial" w:hAnsi="Arial"/>
          <w:sz w:val="17"/>
          <w:szCs w:val="17"/>
          <w:u w:val="single" w:color="auto"/>
          <w:color w:val="auto"/>
        </w:rPr>
        <w:t>Section 4.3</w:t>
      </w:r>
      <w:r>
        <w:rPr>
          <w:rFonts w:ascii="Arial" w:cs="Arial" w:eastAsia="Arial" w:hAnsi="Arial"/>
          <w:sz w:val="17"/>
          <w:szCs w:val="17"/>
          <w:color w:val="auto"/>
        </w:rPr>
        <w:t>, and/or (ii) making any disclosure to Parent’s stockholders if Parent’s Board of Directors (or any committee thereof) determines in good faith (after consultation with its outside legal counsel) that the failure to make such disclosure would violate applicable law or be inconsistent with its fiduciary duties to Parent’s stockholders.</w:t>
      </w:r>
    </w:p>
    <w:p>
      <w:pPr>
        <w:spacing w:after="0" w:line="78" w:lineRule="exact"/>
        <w:rPr>
          <w:sz w:val="20"/>
          <w:szCs w:val="20"/>
          <w:color w:val="auto"/>
        </w:rPr>
      </w:pPr>
    </w:p>
    <w:p>
      <w:pPr>
        <w:ind w:left="820" w:hanging="272"/>
        <w:spacing w:after="0"/>
        <w:tabs>
          <w:tab w:leader="none" w:pos="82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For purposes of this Agreement:</w:t>
      </w:r>
    </w:p>
    <w:p>
      <w:pPr>
        <w:spacing w:after="0" w:line="101" w:lineRule="exact"/>
        <w:rPr>
          <w:rFonts w:ascii="Arial" w:cs="Arial" w:eastAsia="Arial" w:hAnsi="Arial"/>
          <w:sz w:val="17"/>
          <w:szCs w:val="17"/>
          <w:color w:val="auto"/>
        </w:rPr>
      </w:pPr>
    </w:p>
    <w:p>
      <w:pPr>
        <w:jc w:val="both"/>
        <w:ind w:left="540" w:right="1239" w:firstLine="259"/>
        <w:spacing w:after="0" w:line="283" w:lineRule="auto"/>
        <w:tabs>
          <w:tab w:leader="none" w:pos="1094" w:val="left"/>
        </w:tabs>
        <w:numPr>
          <w:ilvl w:val="1"/>
          <w:numId w:val="2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 Acquisition Proposal</w:t>
      </w:r>
      <w:r>
        <w:rPr>
          <w:rFonts w:ascii="Arial" w:cs="Arial" w:eastAsia="Arial" w:hAnsi="Arial"/>
          <w:sz w:val="15"/>
          <w:szCs w:val="15"/>
          <w:color w:val="auto"/>
        </w:rPr>
        <w:t>” means any offer, proposal, discussions, negotiations, indication of interest or inquiry (whether in writing or otherwise) by any Person (other than Company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Parent or any Subsidiary (including, for the avoidance of doubt, any issuance of equity securities of Parent), (ii) any tender offer, exchange offer, stock purchase or other transaction in which, if consummated, any person or “group” (as such term is defined under the Exchange Act) shall acquire beneficial ownership (as such term is defined in Rule 13d-3 under the Exchange Act), or the right to acquire beneficial ownership, of 20% or more of the voting power or economic interests of Parent or any Subsidiary, (iii) any direct or indirect sale, transfer, acquisition or disposition of more than 20% of the consolidated assets of Parent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Parent or any Subsidiary.</w:t>
      </w:r>
    </w:p>
    <w:p>
      <w:pPr>
        <w:spacing w:after="0" w:line="56" w:lineRule="exact"/>
        <w:rPr>
          <w:rFonts w:ascii="Arial" w:cs="Arial" w:eastAsia="Arial" w:hAnsi="Arial"/>
          <w:sz w:val="15"/>
          <w:szCs w:val="15"/>
          <w:color w:val="auto"/>
        </w:rPr>
      </w:pPr>
    </w:p>
    <w:p>
      <w:pPr>
        <w:jc w:val="both"/>
        <w:ind w:left="540" w:right="1239" w:firstLine="259"/>
        <w:spacing w:after="0" w:line="249" w:lineRule="auto"/>
        <w:tabs>
          <w:tab w:leader="none" w:pos="1091" w:val="left"/>
        </w:tabs>
        <w:numPr>
          <w:ilvl w:val="1"/>
          <w:numId w:val="2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Superior Proposal</w:t>
      </w:r>
      <w:r>
        <w:rPr>
          <w:rFonts w:ascii="Arial" w:cs="Arial" w:eastAsia="Arial" w:hAnsi="Arial"/>
          <w:sz w:val="17"/>
          <w:szCs w:val="17"/>
          <w:color w:val="auto"/>
        </w:rPr>
        <w:t>” means any bona fide offer or proposal that constitutes a Parent Acquisition Proposal on terms that the Parent Board of Directors (or any committee thereof) shall have determined in good faith (after consultation with its financial advisor and outside legal counsel), taking into account all relevant legal (including conditions), financial, regulatory, timing and other aspects of such Parent Acquisition Proposal, is reasonably likely to be consummated and would be more favorable to Parent’s stockholders (in their capacity as such) than the Merger, if consummated (including after taking into account any changes to the terms of this Agreement proposed by the Company in response to such Parent Acquisition Proposal); provided that, for purposes of the definition of “Parent Superior Proposal,”, the references to “20%” in the definition of “Parent Acquisition Proposal” shall be deemed to be references to “more than 50%.”</w:t>
      </w:r>
    </w:p>
    <w:p>
      <w:pPr>
        <w:spacing w:after="0" w:line="1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V</w:t>
      </w:r>
    </w:p>
    <w:p>
      <w:pPr>
        <w:spacing w:after="0" w:line="205"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ADDITIONAL AGREEMENTS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Stockholder Approvals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4" w:lineRule="auto"/>
        <w:tabs>
          <w:tab w:leader="none" w:pos="829" w:val="left"/>
        </w:tabs>
        <w:numPr>
          <w:ilvl w:val="0"/>
          <w:numId w:val="226"/>
        </w:numPr>
        <w:rPr>
          <w:rFonts w:ascii="Arial" w:cs="Arial" w:eastAsia="Arial" w:hAnsi="Arial"/>
          <w:sz w:val="15"/>
          <w:szCs w:val="15"/>
          <w:color w:val="auto"/>
        </w:rPr>
      </w:pPr>
      <w:r>
        <w:rPr>
          <w:rFonts w:ascii="Arial" w:cs="Arial" w:eastAsia="Arial" w:hAnsi="Arial"/>
          <w:sz w:val="15"/>
          <w:szCs w:val="15"/>
          <w:color w:val="auto"/>
        </w:rPr>
        <w:t>Following the date hereof, as soon as reasonably practicable, but in no event to exceed 15 Business Days from the date hereof, Parent shall prepare and file with the SEC the Registration Statement containing the Proxy Statement (which Registration Statement and Proxy Statement shall comply with the rules and regulations promulgated by the SEC), and each of Parent and the Company shall use its reasonable best efforts to have the Registration Statement containing the Proxy Statement declared effective by the SEC as promptly as practicable thereafter and to keep the Registration Statement containing the Proxy Statement effective through the Effective Time in order to permit the consummation of the Merger. In connection with the foregoing, each party shall promptly notify the other of the receipt of all comments of the SEC with respect to the Registration Statement containing the Proxy Statement and of any request by the SEC for any amendment or supplement thereto or for additional information and shall promptly provide to the other party copies of all correspondence between such party and/or any of its Representatives and the SEC with respect to the Registration Statement containing the Proxy Statement. The Company and its representatives will be given a reasonable opportunity to be</w:t>
      </w:r>
    </w:p>
    <w:p>
      <w:pPr>
        <w:spacing w:after="0" w:line="200" w:lineRule="exact"/>
        <w:rPr>
          <w:sz w:val="20"/>
          <w:szCs w:val="20"/>
          <w:color w:val="auto"/>
        </w:rPr>
      </w:pPr>
    </w:p>
    <w:p>
      <w:pPr>
        <w:spacing w:after="0" w:line="27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7" w:name="page328"/>
    <w:bookmarkEnd w:id="3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65" w:lineRule="auto"/>
        <w:rPr>
          <w:sz w:val="20"/>
          <w:szCs w:val="20"/>
          <w:color w:val="auto"/>
        </w:rPr>
      </w:pPr>
      <w:r>
        <w:rPr>
          <w:rFonts w:ascii="Arial" w:cs="Arial" w:eastAsia="Arial" w:hAnsi="Arial"/>
          <w:sz w:val="16"/>
          <w:szCs w:val="16"/>
          <w:color w:val="auto"/>
        </w:rPr>
        <w:t>involved in the drafting of the Registration Statement containing the Proxy Statement and any amendment or supplement thereto and any such correspondence prior to its filing with the SEC. Parent and the Company shall each use its reasonable best efforts to promptly provide responses to the SEC with respect to all comments received on the Registration Statement containing the Proxy Statement from the SEC. Each of Parent and the Company shall promptly furnish to each other all information, and take all such other actions (including using its reasonable best efforts to obtain any required consents of their respective independent auditors), as may reasonably be requested in connection with any action by any of them in connection with the preceding sentences of this Section 5.1(a). Whenever any Party hereto learns of the occurrence of any event or the existence of any fact which is required to be set forth in an amendment or supplement to the Registration Statement containing the Proxy Statement pursuant to applicable law, such party shall promptly inform the other of such event or fact and comply with all of its obligations pursuant to this Section 5.1(a) relating to effecting such amendment or supplement to the Registration Statement containing the Proxy Statement.</w:t>
      </w:r>
    </w:p>
    <w:p>
      <w:pPr>
        <w:spacing w:after="0" w:line="71" w:lineRule="exact"/>
        <w:rPr>
          <w:sz w:val="20"/>
          <w:szCs w:val="20"/>
          <w:color w:val="auto"/>
        </w:rPr>
      </w:pPr>
    </w:p>
    <w:p>
      <w:pPr>
        <w:jc w:val="both"/>
        <w:ind w:left="300" w:right="1239" w:firstLine="248"/>
        <w:spacing w:after="0" w:line="282" w:lineRule="auto"/>
        <w:tabs>
          <w:tab w:leader="none" w:pos="834" w:val="left"/>
        </w:tabs>
        <w:numPr>
          <w:ilvl w:val="0"/>
          <w:numId w:val="227"/>
        </w:numPr>
        <w:rPr>
          <w:rFonts w:ascii="Arial" w:cs="Arial" w:eastAsia="Arial" w:hAnsi="Arial"/>
          <w:sz w:val="15"/>
          <w:szCs w:val="15"/>
          <w:color w:val="auto"/>
        </w:rPr>
      </w:pPr>
      <w:r>
        <w:rPr>
          <w:rFonts w:ascii="Arial" w:cs="Arial" w:eastAsia="Arial" w:hAnsi="Arial"/>
          <w:sz w:val="15"/>
          <w:szCs w:val="15"/>
          <w:color w:val="auto"/>
        </w:rPr>
        <w:t>As promptly as practicable after the date of this Agreement, the Parent shall prepare and file any other filings required under the Exchange Act, the Securities Act or any other federal or state securities laws relating to the Merger and other transactions contemplated by this Agreement (collectively, the “</w:t>
      </w:r>
      <w:r>
        <w:rPr>
          <w:rFonts w:ascii="Arial" w:cs="Arial" w:eastAsia="Arial" w:hAnsi="Arial"/>
          <w:sz w:val="15"/>
          <w:szCs w:val="15"/>
          <w:b w:val="1"/>
          <w:bCs w:val="1"/>
          <w:color w:val="auto"/>
        </w:rPr>
        <w:t>Other Filings</w:t>
      </w:r>
      <w:r>
        <w:rPr>
          <w:rFonts w:ascii="Arial" w:cs="Arial" w:eastAsia="Arial" w:hAnsi="Arial"/>
          <w:sz w:val="15"/>
          <w:szCs w:val="15"/>
          <w:color w:val="auto"/>
        </w:rPr>
        <w:t>”). Parent shall also take any action (other than qualifying to do business in any jurisdiction in which it is not now so qualified or filing a general consent to service of process) required to be taken under any applicable state securities laws in connection with the issuance of shares of Parent Common Stock in the Merger, and the Company shall furnish all information concerning the Company and the holders of Company Common Stock as may be reasonably required in connection with the foregoing. At least five (5) days prior to Closing, Parent shall prepare a draft Form 8-K announcing the Closing, together with, or incorporating by reference, the financial statements prepared by the Company and its accountant, and such other information that may be required to be disclosed with respect to the Merger in any report or form to be filed with the SEC (“</w:t>
      </w:r>
      <w:r>
        <w:rPr>
          <w:rFonts w:ascii="Arial" w:cs="Arial" w:eastAsia="Arial" w:hAnsi="Arial"/>
          <w:sz w:val="15"/>
          <w:szCs w:val="15"/>
          <w:b w:val="1"/>
          <w:bCs w:val="1"/>
          <w:color w:val="auto"/>
        </w:rPr>
        <w:t>Merger Form 8-K</w:t>
      </w:r>
      <w:r>
        <w:rPr>
          <w:rFonts w:ascii="Arial" w:cs="Arial" w:eastAsia="Arial" w:hAnsi="Arial"/>
          <w:sz w:val="15"/>
          <w:szCs w:val="15"/>
          <w:color w:val="auto"/>
        </w:rPr>
        <w:t>”), which shall be in a form reasonably acceptable to the Company and in a format acceptable for EDGAR filing. Prior to Closing, Parent and the Company shall prepare the press release announcing the consummation of the Merger hereunder (“</w:t>
      </w:r>
      <w:r>
        <w:rPr>
          <w:rFonts w:ascii="Arial" w:cs="Arial" w:eastAsia="Arial" w:hAnsi="Arial"/>
          <w:sz w:val="15"/>
          <w:szCs w:val="15"/>
          <w:b w:val="1"/>
          <w:bCs w:val="1"/>
          <w:color w:val="auto"/>
        </w:rPr>
        <w:t>Press Release</w:t>
      </w:r>
      <w:r>
        <w:rPr>
          <w:rFonts w:ascii="Arial" w:cs="Arial" w:eastAsia="Arial" w:hAnsi="Arial"/>
          <w:sz w:val="15"/>
          <w:szCs w:val="15"/>
          <w:color w:val="auto"/>
        </w:rPr>
        <w:t>”). Simultaneously with the Closing, Parent shall file the Merger Form 8-K with the SEC and distribute the Press Release. Prior to execution and delivery of this Agreement, Parent and the Company shall prepare the press release announcing the execution and delivery of this agreement (“</w:t>
      </w:r>
      <w:r>
        <w:rPr>
          <w:rFonts w:ascii="Arial" w:cs="Arial" w:eastAsia="Arial" w:hAnsi="Arial"/>
          <w:sz w:val="15"/>
          <w:szCs w:val="15"/>
          <w:b w:val="1"/>
          <w:bCs w:val="1"/>
          <w:color w:val="auto"/>
        </w:rPr>
        <w:t>Agreement Press Release</w:t>
      </w:r>
      <w:r>
        <w:rPr>
          <w:rFonts w:ascii="Arial" w:cs="Arial" w:eastAsia="Arial" w:hAnsi="Arial"/>
          <w:sz w:val="15"/>
          <w:szCs w:val="15"/>
          <w:color w:val="auto"/>
        </w:rPr>
        <w:t>”). Parent shall, within the time period required by applicable securities laws, issue and distribute such Agreement Press Release. Concurrent with the Agreement Press Release, the Parent shall have publicly disclosed any material non-public information of Parent or Parent’s Subsidiaries that has been provided to Company or any representative thereof, whether in writing or otherwise.</w:t>
      </w:r>
    </w:p>
    <w:p>
      <w:pPr>
        <w:spacing w:after="0" w:line="60" w:lineRule="exact"/>
        <w:rPr>
          <w:rFonts w:ascii="Arial" w:cs="Arial" w:eastAsia="Arial" w:hAnsi="Arial"/>
          <w:sz w:val="15"/>
          <w:szCs w:val="15"/>
          <w:color w:val="auto"/>
        </w:rPr>
      </w:pPr>
    </w:p>
    <w:p>
      <w:pPr>
        <w:jc w:val="both"/>
        <w:ind w:left="300" w:right="1239" w:firstLine="248"/>
        <w:spacing w:after="0" w:line="267" w:lineRule="auto"/>
        <w:tabs>
          <w:tab w:leader="none" w:pos="84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Parties shall use their respective reasonable best efforts to cause the Proxy Statement, the Registration Statement and the Other Filings to comply in all material respects with all requirements of applicable law. Whenever any event occurs which is required under the Securities Act, the Exchange Act or other applicable law to be set forth in an amendment or supplement to the Proxy Statement, the Registration Statement or any Other Filing, each Party, as the case may be, shall promptly inform the other of such occurrence, provide the other Party reasonable opportunity to review and comment, and cooperate in filing with the SEC, its staff or any other Governmental Authority, as applicable, and/or mailing to stockholders of the Company, such amendment or supplement.</w:t>
      </w:r>
    </w:p>
    <w:p>
      <w:pPr>
        <w:spacing w:after="0" w:line="70" w:lineRule="exact"/>
        <w:rPr>
          <w:rFonts w:ascii="Arial" w:cs="Arial" w:eastAsia="Arial" w:hAnsi="Arial"/>
          <w:sz w:val="16"/>
          <w:szCs w:val="16"/>
          <w:color w:val="auto"/>
        </w:rPr>
      </w:pPr>
    </w:p>
    <w:p>
      <w:pPr>
        <w:jc w:val="both"/>
        <w:ind w:left="300" w:right="1239" w:firstLine="248"/>
        <w:spacing w:after="0" w:line="266" w:lineRule="auto"/>
        <w:tabs>
          <w:tab w:leader="none" w:pos="87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Following the date hereof, Parent will take all action necessary in accordance with the DGCL and its certificate of incorporation and bylaws to duly call, give notice of, convene and hold as promptly as practicable a special meeting of Parent’s stockholders (the “</w:t>
      </w:r>
      <w:r>
        <w:rPr>
          <w:rFonts w:ascii="Arial" w:cs="Arial" w:eastAsia="Arial" w:hAnsi="Arial"/>
          <w:sz w:val="16"/>
          <w:szCs w:val="16"/>
          <w:b w:val="1"/>
          <w:bCs w:val="1"/>
          <w:color w:val="auto"/>
        </w:rPr>
        <w:t>Parent Special Meeting</w:t>
      </w:r>
      <w:r>
        <w:rPr>
          <w:rFonts w:ascii="Arial" w:cs="Arial" w:eastAsia="Arial" w:hAnsi="Arial"/>
          <w:sz w:val="16"/>
          <w:szCs w:val="16"/>
          <w:color w:val="auto"/>
        </w:rPr>
        <w:t>”) to seek the Parent Stockholder Approval, including mailing the Proxy Statement to its stockholders as promptly as reasonably practicable after the Registration Statement is declared effective under the Securities Act. Parent, subject to Section 4.3(a), will use its reasonable best efforts to solicit from its stockholders proxies in favor of the approval of the issuance of shares of Parent Common Stock pursuant to this Agreement, the adoption of the Restated Parent Certificate and any other approvals required to effect the Merger required hereunder and will take all other action necessary or advisable to obtain the Parent</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28" w:name="page329"/>
    <w:bookmarkEnd w:id="3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4" w:lineRule="auto"/>
        <w:rPr>
          <w:sz w:val="20"/>
          <w:szCs w:val="20"/>
          <w:color w:val="auto"/>
        </w:rPr>
      </w:pPr>
      <w:r>
        <w:rPr>
          <w:rFonts w:ascii="Arial" w:cs="Arial" w:eastAsia="Arial" w:hAnsi="Arial"/>
          <w:sz w:val="15"/>
          <w:szCs w:val="15"/>
          <w:color w:val="auto"/>
        </w:rPr>
        <w:t>Stockholder Approval. Notwithstanding anything to the contrary contained in this Agreement, Parent may adjourn or postpone the Parent Special Meeting to the extent necessary to ensure that any necessary supplement or amendment to the Proxy Statement (as determined by Parent in good faith and upon the advice of outside counsel) is provided to Parent’s stockholders a reasonable time in advance of the Parent Special Meeting (or at any adjournment or postponement thereof), or if as of the time for which the Parent Special Meeting (or any adjournment or postponement thereof) is scheduled there are insufficient shares of Parent Common Stock represented in person or by proxy to constitute a quorum necessary to conduct the business of the Parent Special Meeting or to adopt this Agreement and approve the transactions contemplated hereby, including the Merger. Subject to Section 4.3: (i) the board of directors of Parent shall recommend that Parent’s stockholders vote in favor of the Parent Stockholder Approval, the adoption of the Restated Parent Certificate and otherwise approve all actions contemplated hereby pursuant to this Agreement at the Parent Special Meeting (or any adjournment or postponement thereof) (the “</w:t>
      </w:r>
      <w:r>
        <w:rPr>
          <w:rFonts w:ascii="Arial" w:cs="Arial" w:eastAsia="Arial" w:hAnsi="Arial"/>
          <w:sz w:val="15"/>
          <w:szCs w:val="15"/>
          <w:b w:val="1"/>
          <w:bCs w:val="1"/>
          <w:color w:val="auto"/>
        </w:rPr>
        <w:t>Parent Board</w:t>
      </w:r>
      <w:r>
        <w:rPr>
          <w:rFonts w:ascii="Arial" w:cs="Arial" w:eastAsia="Arial" w:hAnsi="Arial"/>
          <w:sz w:val="15"/>
          <w:szCs w:val="15"/>
          <w:color w:val="auto"/>
        </w:rPr>
        <w:t xml:space="preserve"> </w:t>
      </w:r>
      <w:r>
        <w:rPr>
          <w:rFonts w:ascii="Arial" w:cs="Arial" w:eastAsia="Arial" w:hAnsi="Arial"/>
          <w:sz w:val="15"/>
          <w:szCs w:val="15"/>
          <w:b w:val="1"/>
          <w:bCs w:val="1"/>
          <w:color w:val="auto"/>
        </w:rPr>
        <w:t>Recommendation</w:t>
      </w:r>
      <w:r>
        <w:rPr>
          <w:rFonts w:ascii="Arial" w:cs="Arial" w:eastAsia="Arial" w:hAnsi="Arial"/>
          <w:sz w:val="15"/>
          <w:szCs w:val="15"/>
          <w:color w:val="auto"/>
        </w:rPr>
        <w:t>”); and (ii) the Proxy Statement shall include the Parent Board Recommendation.</w:t>
      </w:r>
    </w:p>
    <w:p>
      <w:pPr>
        <w:spacing w:after="0" w:line="60" w:lineRule="exact"/>
        <w:rPr>
          <w:sz w:val="20"/>
          <w:szCs w:val="20"/>
          <w:color w:val="auto"/>
        </w:rPr>
      </w:pPr>
    </w:p>
    <w:p>
      <w:pPr>
        <w:jc w:val="both"/>
        <w:ind w:left="300" w:right="1239" w:firstLine="248"/>
        <w:spacing w:after="0" w:line="264" w:lineRule="auto"/>
        <w:tabs>
          <w:tab w:leader="none" w:pos="83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Following the date hereof, the Company will take all action necessary in accordance with the DGCL and its certificate of incorporation and bylaws to duly call, give notice of, convene and hold as promptly as practicable following the date hereof, a special meeting of the Company’s stockholders (the “</w:t>
      </w:r>
      <w:r>
        <w:rPr>
          <w:rFonts w:ascii="Arial" w:cs="Arial" w:eastAsia="Arial" w:hAnsi="Arial"/>
          <w:sz w:val="16"/>
          <w:szCs w:val="16"/>
          <w:b w:val="1"/>
          <w:bCs w:val="1"/>
          <w:color w:val="auto"/>
        </w:rPr>
        <w:t>Company Special Meeting</w:t>
      </w:r>
      <w:r>
        <w:rPr>
          <w:rFonts w:ascii="Arial" w:cs="Arial" w:eastAsia="Arial" w:hAnsi="Arial"/>
          <w:sz w:val="16"/>
          <w:szCs w:val="16"/>
          <w:color w:val="auto"/>
        </w:rPr>
        <w:t>”) to seek the Company Stockholder Approval. The Company, subject to Section 4.2(a), will use its reasonable best efforts to obtain the Company Stockholder Approval. Notwithstanding anything to the contrary contained in this Agreement, the Company may adjourn or postpone the Company Special Meeting to the extent necessary to ensure that any necessary information statement or similar communication (as determined by the Company in good faith and upon the advice of outside counsel) is provided to the Company’s stockholders a reasonable time in advance of the Company Special Meeting (or at any adjournment or postponement thereof), or if as of the time for which the Company Special Meeting (or any adjournment or postponement thereof) is scheduled there are insufficient shares of Company Stock represented in person or by proxy to constitute a quorum necessary to conduct the business of the Company Special Meeting or to adopt this Agreement and approve the transactions contemplated hereby, including the Merger. Except as permitted by Section 4.2(a): (i) the board of directors of the Company shall recommend that the Company’s stockholders vote in favor of (A) the adoption of this Agreement and (B) the approval of the transactions contemplated by this Agreement, including the Merger (the “</w:t>
      </w:r>
      <w:r>
        <w:rPr>
          <w:rFonts w:ascii="Arial" w:cs="Arial" w:eastAsia="Arial" w:hAnsi="Arial"/>
          <w:sz w:val="16"/>
          <w:szCs w:val="16"/>
          <w:b w:val="1"/>
          <w:bCs w:val="1"/>
          <w:color w:val="auto"/>
        </w:rPr>
        <w:t>Company Board Recommendation</w:t>
      </w:r>
      <w:r>
        <w:rPr>
          <w:rFonts w:ascii="Arial" w:cs="Arial" w:eastAsia="Arial" w:hAnsi="Arial"/>
          <w:sz w:val="16"/>
          <w:szCs w:val="16"/>
          <w:color w:val="auto"/>
        </w:rPr>
        <w:t>”); and (ii) any written communication to the Company’s stockholders regarding the Company Special Meeting shall include the Company Board Recommendation.</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Access to Information; Confidentiality</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5" w:lineRule="auto"/>
        <w:tabs>
          <w:tab w:leader="none" w:pos="836"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Upon reasonable notice, each party shall (and shall cause each of its Subsidiaries to) afford to the officers, employees, accountants, counsel and other representatives of the other reasonable access, during the Interim Period, to all its properties, books, contracts, commitments and records and, during such period, furnish promptly to the other all information concerning its business, properties and personnel as the requesting party may reasonably request; provided, however, that any request for materials subject to attorney-client privilege, work-product doctrine, or the Protective Order, or any other applicable privilege, immunity, or restriction, and related to the lawsuit captioned </w:t>
      </w:r>
      <w:r>
        <w:rPr>
          <w:rFonts w:ascii="Arial" w:cs="Arial" w:eastAsia="Arial" w:hAnsi="Arial"/>
          <w:sz w:val="16"/>
          <w:szCs w:val="16"/>
          <w:i w:val="1"/>
          <w:iCs w:val="1"/>
          <w:color w:val="auto"/>
        </w:rPr>
        <w:t>I/P Engine, Inc. v. AOL, Inc.</w:t>
      </w:r>
      <w:r>
        <w:rPr>
          <w:rFonts w:ascii="Arial" w:cs="Arial" w:eastAsia="Arial" w:hAnsi="Arial"/>
          <w:sz w:val="16"/>
          <w:szCs w:val="16"/>
          <w:color w:val="auto"/>
        </w:rPr>
        <w:t>, Civ. Action No. 2:11-cv-512, filed in United States District Court for the Eastern District of Virginia, Norfolk Division on September 15, 2011 (the “</w:t>
      </w:r>
      <w:r>
        <w:rPr>
          <w:rFonts w:ascii="Arial" w:cs="Arial" w:eastAsia="Arial" w:hAnsi="Arial"/>
          <w:sz w:val="16"/>
          <w:szCs w:val="16"/>
          <w:b w:val="1"/>
          <w:bCs w:val="1"/>
          <w:color w:val="auto"/>
        </w:rPr>
        <w:t>Litigation</w:t>
      </w:r>
      <w:r>
        <w:rPr>
          <w:rFonts w:ascii="Arial" w:cs="Arial" w:eastAsia="Arial" w:hAnsi="Arial"/>
          <w:sz w:val="16"/>
          <w:szCs w:val="16"/>
          <w:color w:val="auto"/>
        </w:rPr>
        <w:t>”) shall be deemed unreasonable. Each party shall make available to the other the appropriate individuals for discussion of its business, properties and personnel as the requesting party may reasonably request. No investigation pursuant to this Section 5.2(a) shall affect any representations or warranties of a party contained herein or the conditions to the obligations of the other party hereto.</w:t>
      </w:r>
    </w:p>
    <w:p>
      <w:pPr>
        <w:spacing w:after="0" w:line="70" w:lineRule="exact"/>
        <w:rPr>
          <w:rFonts w:ascii="Arial" w:cs="Arial" w:eastAsia="Arial" w:hAnsi="Arial"/>
          <w:sz w:val="16"/>
          <w:szCs w:val="16"/>
          <w:color w:val="auto"/>
        </w:rPr>
      </w:pPr>
    </w:p>
    <w:p>
      <w:pPr>
        <w:jc w:val="both"/>
        <w:ind w:left="300" w:right="1239" w:firstLine="248"/>
        <w:spacing w:after="0" w:line="283" w:lineRule="auto"/>
        <w:tabs>
          <w:tab w:leader="none" w:pos="928" w:val="left"/>
        </w:tabs>
        <w:numPr>
          <w:ilvl w:val="1"/>
          <w:numId w:val="229"/>
        </w:numPr>
        <w:rPr>
          <w:rFonts w:ascii="Arial" w:cs="Arial" w:eastAsia="Arial" w:hAnsi="Arial"/>
          <w:sz w:val="15"/>
          <w:szCs w:val="15"/>
          <w:color w:val="auto"/>
        </w:rPr>
      </w:pPr>
      <w:r>
        <w:rPr>
          <w:rFonts w:ascii="Arial" w:cs="Arial" w:eastAsia="Arial" w:hAnsi="Arial"/>
          <w:sz w:val="15"/>
          <w:szCs w:val="15"/>
          <w:color w:val="auto"/>
        </w:rPr>
        <w:t>Each party agrees to maintain in confidence any non-public information received from the other party (such information,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and to use such Confidential Information only for purposes of consummating the transactions contemplated by this Agreement. Confidential Information will not include (i) information which was known to the one party or their respective agents prior to receipt from the other party; (ii) information which is or becomes generally known;</w:t>
      </w:r>
    </w:p>
    <w:p>
      <w:pPr>
        <w:ind w:left="600" w:hanging="302"/>
        <w:spacing w:after="0"/>
        <w:tabs>
          <w:tab w:leader="none" w:pos="6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information</w:t>
      </w:r>
    </w:p>
    <w:p>
      <w:pPr>
        <w:spacing w:after="0" w:line="200" w:lineRule="exact"/>
        <w:rPr>
          <w:sz w:val="20"/>
          <w:szCs w:val="20"/>
          <w:color w:val="auto"/>
        </w:rPr>
      </w:pP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29" w:name="page330"/>
    <w:bookmarkEnd w:id="32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87" w:lineRule="auto"/>
        <w:rPr>
          <w:sz w:val="20"/>
          <w:szCs w:val="20"/>
          <w:color w:val="auto"/>
        </w:rPr>
      </w:pPr>
      <w:r>
        <w:rPr>
          <w:rFonts w:ascii="Arial" w:cs="Arial" w:eastAsia="Arial" w:hAnsi="Arial"/>
          <w:sz w:val="15"/>
          <w:szCs w:val="15"/>
          <w:color w:val="auto"/>
        </w:rPr>
        <w:t>acquired by a party or their respective agents from a third party who was not bound to an obligation of confidentiality; and (iv) disclosure required by applicable law. In the event this Agreement is terminated as provided in Article VII hereof, each party</w:t>
      </w:r>
    </w:p>
    <w:p>
      <w:pPr>
        <w:spacing w:after="0" w:line="1" w:lineRule="exact"/>
        <w:rPr>
          <w:sz w:val="20"/>
          <w:szCs w:val="20"/>
          <w:color w:val="auto"/>
        </w:rPr>
      </w:pPr>
    </w:p>
    <w:p>
      <w:pPr>
        <w:jc w:val="both"/>
        <w:ind w:left="300" w:right="1239" w:hanging="2"/>
        <w:spacing w:after="0" w:line="272" w:lineRule="auto"/>
        <w:tabs>
          <w:tab w:leader="none" w:pos="54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will return or cause to be returned to the other all documents and other material obtained from the other in connection with the Merger contemplated hereby, and (y) will use its reasonable best efforts to delete from its computer systems all documents and other material obtained from the other in connection with the Merger contemplated hereby.</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Reasonable Efforts; Further Assurances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97" w:lineRule="auto"/>
        <w:tabs>
          <w:tab w:leader="none" w:pos="847" w:val="left"/>
        </w:tabs>
        <w:numPr>
          <w:ilvl w:val="0"/>
          <w:numId w:val="232"/>
        </w:numPr>
        <w:rPr>
          <w:rFonts w:ascii="Arial" w:cs="Arial" w:eastAsia="Arial" w:hAnsi="Arial"/>
          <w:sz w:val="15"/>
          <w:szCs w:val="15"/>
          <w:color w:val="auto"/>
        </w:rPr>
      </w:pPr>
      <w:r>
        <w:rPr>
          <w:rFonts w:ascii="Arial" w:cs="Arial" w:eastAsia="Arial" w:hAnsi="Arial"/>
          <w:sz w:val="15"/>
          <w:szCs w:val="15"/>
          <w:color w:val="auto"/>
        </w:rPr>
        <w:t>Parent and the Company shall use their reasonable best efforts to satisfy or cause to be satisfied all of the conditions precedent set forth in Article VI, as applicable to each of them. Each of Party and the Company, at the reasonable request of the other, shall execute and deliver such other instruments and do and perform such other acts and things as may be necessary or desirable for effecting completely the consummation of the Merger and other transactions contemplated by this Agreement.</w:t>
      </w:r>
    </w:p>
    <w:p>
      <w:pPr>
        <w:spacing w:after="0" w:line="48" w:lineRule="exact"/>
        <w:rPr>
          <w:rFonts w:ascii="Arial" w:cs="Arial" w:eastAsia="Arial" w:hAnsi="Arial"/>
          <w:sz w:val="15"/>
          <w:szCs w:val="15"/>
          <w:color w:val="auto"/>
        </w:rPr>
      </w:pPr>
    </w:p>
    <w:p>
      <w:pPr>
        <w:jc w:val="both"/>
        <w:ind w:left="300" w:right="1239" w:firstLine="248"/>
        <w:spacing w:after="0" w:line="264" w:lineRule="auto"/>
        <w:tabs>
          <w:tab w:leader="none" w:pos="83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Subject to the terms and conditions hereof, the Company and Parent agree to use their respective reasonable best efforts to take, or cause to be taken, all action and to do, or cause to be done, all things necessary, proper or advisable to consummate and make effective, in the most expeditious manner practicable, the Merger and other transactions contemplated by this Agreement including, without limitation, using their respective reasonable best efforts: (i) to obtain prior to the Closing Date all licenses, certificates, permits, consents, approvals, authorizations, qualifications and orders of Governmental Authorities and parties to contracts with the Company or its Subsidiaries as are necessary for the consummation of the transactions contemplated hereby; (ii) to effect all necessary registrations and filings required by any Governmental Authority (in connection with which Parent and the Company shall cooperate with each other in connection with the making of all such registrations and filings, including, without limitation, providing copies of all such documents to the non-filing party and its advisors prior to the time of such filing and, if requested, will accept all reasonable additions, deletions or changes suggested in connection therewith); (iii) to furnish to each other such information and assistance as reasonably may be requested in connection with the foregoing; and (iv) to lift, rescind or mitigate the effects of any injunction, restraining order or other ruling by a Governmental Authority adversely affecting the ability of any Party to consummate the Merger or other transactions contemplated hereby and to prevent, with respect to any threatened or such injunction, restraining order or other such ruling, the issuance or entry thereof.</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Employee Benefits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1" w:lineRule="auto"/>
        <w:tabs>
          <w:tab w:leader="none" w:pos="842" w:val="left"/>
        </w:tabs>
        <w:numPr>
          <w:ilvl w:val="0"/>
          <w:numId w:val="233"/>
        </w:numPr>
        <w:rPr>
          <w:rFonts w:ascii="Arial" w:cs="Arial" w:eastAsia="Arial" w:hAnsi="Arial"/>
          <w:sz w:val="17"/>
          <w:szCs w:val="17"/>
          <w:color w:val="auto"/>
        </w:rPr>
      </w:pPr>
      <w:r>
        <w:rPr>
          <w:rFonts w:ascii="Arial" w:cs="Arial" w:eastAsia="Arial" w:hAnsi="Arial"/>
          <w:sz w:val="17"/>
          <w:szCs w:val="17"/>
          <w:color w:val="auto"/>
        </w:rPr>
        <w:t>Parent agrees that individuals who are employed on a full-time basis by the Company or its Subsidiaries immediately prior to the Effective Time (each such employee, a “</w:t>
      </w:r>
      <w:r>
        <w:rPr>
          <w:rFonts w:ascii="Arial" w:cs="Arial" w:eastAsia="Arial" w:hAnsi="Arial"/>
          <w:sz w:val="17"/>
          <w:szCs w:val="17"/>
          <w:b w:val="1"/>
          <w:bCs w:val="1"/>
          <w:color w:val="auto"/>
        </w:rPr>
        <w:t>Company Employee</w:t>
      </w:r>
      <w:r>
        <w:rPr>
          <w:rFonts w:ascii="Arial" w:cs="Arial" w:eastAsia="Arial" w:hAnsi="Arial"/>
          <w:sz w:val="17"/>
          <w:szCs w:val="17"/>
          <w:color w:val="auto"/>
        </w:rPr>
        <w:t xml:space="preserve">”) shall remain employees of the Surviving Corporation or any of its Subsidiaries upon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5.4(a) shall not be construed to limit the ability of the Surviving Corporation, Parent or any of its Subsidiaries to terminate the employment of any Company Employee at any time.</w:t>
      </w:r>
    </w:p>
    <w:p>
      <w:pPr>
        <w:spacing w:after="0" w:line="80" w:lineRule="exact"/>
        <w:rPr>
          <w:rFonts w:ascii="Arial" w:cs="Arial" w:eastAsia="Arial" w:hAnsi="Arial"/>
          <w:sz w:val="17"/>
          <w:szCs w:val="17"/>
          <w:color w:val="auto"/>
        </w:rPr>
      </w:pPr>
    </w:p>
    <w:p>
      <w:pPr>
        <w:ind w:left="300" w:right="1239" w:firstLine="248"/>
        <w:spacing w:after="0" w:line="267" w:lineRule="auto"/>
        <w:tabs>
          <w:tab w:leader="none" w:pos="821"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After the Effective Time the Company Employees shall be eligible to participate in the employee benefit plans of Parent to the same extent as any similarly situated and geographically located employee of Parent.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Reorganization</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6" w:lineRule="auto"/>
        <w:tabs>
          <w:tab w:leader="none" w:pos="86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Company shall not knowingly take, and shall use its reasonable best efforts not to permit any Affiliate of the Company to take, any actions that could prevent the Merger from being treated as a “reorganization” within the meaning of Section 368 of the Code.</w:t>
      </w:r>
    </w:p>
    <w:p>
      <w:pPr>
        <w:spacing w:after="0" w:line="76" w:lineRule="exact"/>
        <w:rPr>
          <w:rFonts w:ascii="Arial" w:cs="Arial" w:eastAsia="Arial" w:hAnsi="Arial"/>
          <w:sz w:val="17"/>
          <w:szCs w:val="17"/>
          <w:color w:val="auto"/>
        </w:rPr>
      </w:pPr>
    </w:p>
    <w:p>
      <w:pPr>
        <w:jc w:val="both"/>
        <w:ind w:left="300" w:right="1239" w:firstLine="248"/>
        <w:spacing w:after="0" w:line="256" w:lineRule="auto"/>
        <w:tabs>
          <w:tab w:leader="none" w:pos="853" w:val="left"/>
        </w:tabs>
        <w:numPr>
          <w:ilvl w:val="0"/>
          <w:numId w:val="234"/>
        </w:numPr>
        <w:rPr>
          <w:rFonts w:ascii="Arial" w:cs="Arial" w:eastAsia="Arial" w:hAnsi="Arial"/>
          <w:sz w:val="17"/>
          <w:szCs w:val="17"/>
          <w:color w:val="auto"/>
        </w:rPr>
      </w:pPr>
      <w:r>
        <w:rPr>
          <w:rFonts w:ascii="Arial" w:cs="Arial" w:eastAsia="Arial" w:hAnsi="Arial"/>
          <w:sz w:val="17"/>
          <w:szCs w:val="17"/>
          <w:color w:val="auto"/>
        </w:rPr>
        <w:t>Parent shall not knowingly take, and shall use its reasonable best efforts not to permit any Affiliate of Parent to take, any actions that could prevent the Merger from being treated as a “reorganization” within the meaning of Section 368 of the Code.</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30" w:name="page331"/>
    <w:bookmarkEnd w:id="33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Notification of Certain Matters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8" w:lineRule="auto"/>
        <w:tabs>
          <w:tab w:leader="none" w:pos="839" w:val="left"/>
        </w:tabs>
        <w:numPr>
          <w:ilvl w:val="0"/>
          <w:numId w:val="235"/>
        </w:numPr>
        <w:rPr>
          <w:rFonts w:ascii="Arial" w:cs="Arial" w:eastAsia="Arial" w:hAnsi="Arial"/>
          <w:sz w:val="15"/>
          <w:szCs w:val="15"/>
          <w:color w:val="auto"/>
        </w:rPr>
      </w:pPr>
      <w:r>
        <w:rPr>
          <w:rFonts w:ascii="Arial" w:cs="Arial" w:eastAsia="Arial" w:hAnsi="Arial"/>
          <w:sz w:val="15"/>
          <w:szCs w:val="15"/>
          <w:color w:val="auto"/>
        </w:rPr>
        <w:t xml:space="preserve">Each of the Company and Parent shall give prompt notice to the other of the occurrence or non-occurrence of: (i) any event the occurrence, or non-occurrence of which could reasonably be expected to result in any representation or warranty contained in this Agreement to be untrue or inaccurate in any material respect (or, in the case of any representation or warranty qualified by its terms by materiality, then untrue or inaccurate in any respect); and (ii) any failure of the Company, Parent or Merger Sub, as the case may be, to comply with or satisfy in any material respect any covenant, condition or agreement to be complied with or satisfied by it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delivery of any notice pursuant to this Section 5.6(a) shall not limit or otherwise affect the remedies available hereunder to the Party receiving such notice.</w:t>
      </w:r>
    </w:p>
    <w:p>
      <w:pPr>
        <w:spacing w:after="0" w:line="54" w:lineRule="exact"/>
        <w:rPr>
          <w:rFonts w:ascii="Arial" w:cs="Arial" w:eastAsia="Arial" w:hAnsi="Arial"/>
          <w:sz w:val="15"/>
          <w:szCs w:val="15"/>
          <w:color w:val="auto"/>
        </w:rPr>
      </w:pPr>
    </w:p>
    <w:p>
      <w:pPr>
        <w:jc w:val="both"/>
        <w:ind w:left="300" w:right="1239" w:firstLine="248"/>
        <w:spacing w:after="0" w:line="248" w:lineRule="auto"/>
        <w:tabs>
          <w:tab w:leader="none" w:pos="84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Each of the Company and Parent shall give prompt notice to the other of: (i) any notice or other communication from any Person alleging that the consent of such Person is or may be required in connection with the Merger or other transactions contemplated by this Agreement; (ii) any notice or other communication from any Governmental Authority in connection with the Merger or other transactions contemplated by this Agreement; (iii) any litigation, relating to or involving or otherwise affecting the Company or its Subsidiaries or Parent that relates to the Merger or other transactions contemplated by this Agreement; (iv) the occurrence of a default or event that, with notice or lapse of time or both, will become a default under either a Company Material Contract or a Parent Material Contract; and (v) any change that would be considered reasonably likely to result in a Company Material Adverse Effect or Parent Material Adverse Effect, as the case may be, or is likely to impair in any material respect the ability of either Parent or the Company to consummate the transactions contemplated by this Agreement.</w:t>
      </w:r>
    </w:p>
    <w:p>
      <w:pPr>
        <w:spacing w:after="0" w:line="8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Quotation on the NYSE Amex</w:t>
      </w:r>
      <w:r>
        <w:rPr>
          <w:rFonts w:ascii="Arial" w:cs="Arial" w:eastAsia="Arial" w:hAnsi="Arial"/>
          <w:sz w:val="17"/>
          <w:szCs w:val="17"/>
          <w:color w:val="auto"/>
        </w:rPr>
        <w:t>. Parent shall use its reasonable best efforts to cause the shares of Parent Common Stock to be issued in the Merger to be approved for quotation on the NYSE Amex.</w:t>
      </w:r>
    </w:p>
    <w:p>
      <w:pPr>
        <w:spacing w:after="0" w:line="66"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Public Announcements</w:t>
      </w:r>
      <w:r>
        <w:rPr>
          <w:rFonts w:ascii="Arial" w:cs="Arial" w:eastAsia="Arial" w:hAnsi="Arial"/>
          <w:sz w:val="15"/>
          <w:szCs w:val="15"/>
          <w:color w:val="auto"/>
        </w:rPr>
        <w:t>. Except as otherwise required by applicable law, court process or the rules of the NYSE Amex, or as provided elsewhere herein, prior to the Closing or the earlier termination of this Agreement pursuant to Article VIII, neither the Company nor Parent shall, nor shall permit any of their respective Subsidiaries to, issue or cause the publication of any press release or other public announcement with respect to the Merger or other transactions contemplated by this Agreement without the consent of the other Party, which consent shall not be unreasonably withheld, conditioned or delayed.</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Indemnification of Parent Directors and Officers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4" w:lineRule="auto"/>
        <w:tabs>
          <w:tab w:leader="none" w:pos="87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From and after the Effective Time, Parent shall continue to indemnify and hold harmless each present and former director or officer of Parent or any Parent Subsidiary (each, together with such Person’s heirs, executors or administrators, a “</w:t>
      </w:r>
      <w:r>
        <w:rPr>
          <w:rFonts w:ascii="Arial" w:cs="Arial" w:eastAsia="Arial" w:hAnsi="Arial"/>
          <w:sz w:val="15"/>
          <w:szCs w:val="15"/>
          <w:b w:val="1"/>
          <w:bCs w:val="1"/>
          <w:color w:val="auto"/>
        </w:rPr>
        <w:t>Parent Indemnified Person</w:t>
      </w:r>
      <w:r>
        <w:rPr>
          <w:rFonts w:ascii="Arial" w:cs="Arial" w:eastAsia="Arial" w:hAnsi="Arial"/>
          <w:sz w:val="15"/>
          <w:szCs w:val="15"/>
          <w:color w:val="auto"/>
        </w:rPr>
        <w:t xml:space="preserve">”) against any damages incurred in connection with any Action arising out of or pertaining to matters existing or occurring at or prior to the Effective Time or any Action instituted by any Parent Indemnified Person to enforce this Section 5.9 or any other indemnification or advancement right of such Parent Indemnified Person, whether asserted or claimed prior to, at or after the Effective Time, to the fullest extent that Parent is currently permitted to indemnify such Parent Indemnified Person under applicable law and under its certificate of incorporation and bylaws as in effect on the date of this Agreement (including the advancing of expenses to the fullest extent permitted under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Parent Indemnified Person to whom such expenses are advanced shall be required to provide an undertaking to Parent to repay such advances if it is ultimately determined that such Parent Indemnified Person is not entitled to indemnification. From and after the Effective Time, Parent will continue to honor and fulfill all obligations of Parent or any Parent Subsidiary pursuant to any written indemnification agreements with any Parent Indemnified Persons in effect as of the date hereof.</w:t>
      </w:r>
    </w:p>
    <w:p>
      <w:pPr>
        <w:spacing w:after="0" w:line="56" w:lineRule="exact"/>
        <w:rPr>
          <w:rFonts w:ascii="Arial" w:cs="Arial" w:eastAsia="Arial" w:hAnsi="Arial"/>
          <w:sz w:val="15"/>
          <w:szCs w:val="15"/>
          <w:color w:val="auto"/>
        </w:rPr>
      </w:pPr>
    </w:p>
    <w:p>
      <w:pPr>
        <w:ind w:left="820" w:hanging="272"/>
        <w:spacing w:after="0"/>
        <w:tabs>
          <w:tab w:leader="none" w:pos="8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[RESERVED]</w:t>
      </w:r>
    </w:p>
    <w:p>
      <w:pPr>
        <w:spacing w:after="0" w:line="105" w:lineRule="exact"/>
        <w:rPr>
          <w:rFonts w:ascii="Arial" w:cs="Arial" w:eastAsia="Arial" w:hAnsi="Arial"/>
          <w:sz w:val="17"/>
          <w:szCs w:val="17"/>
          <w:color w:val="auto"/>
        </w:rPr>
      </w:pPr>
    </w:p>
    <w:p>
      <w:pPr>
        <w:jc w:val="both"/>
        <w:ind w:left="300" w:right="1239" w:firstLine="248"/>
        <w:spacing w:after="0" w:line="253" w:lineRule="auto"/>
        <w:tabs>
          <w:tab w:leader="none" w:pos="82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rights of each Parent Indemnified Person hereunder shall be in addition to, and not in limitation of, any other rights such Parent Indemnified Person may have under the certificate of incorporation and bylaws of Parent or any other similar organizational documents of Parent or any of its Subsidiaries, any other indemnification agreement or arrangement, the DGCL or otherwise. This</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1" w:name="page332"/>
    <w:bookmarkEnd w:id="3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4" w:lineRule="auto"/>
        <w:rPr>
          <w:sz w:val="20"/>
          <w:szCs w:val="20"/>
          <w:color w:val="auto"/>
        </w:rPr>
      </w:pPr>
      <w:r>
        <w:rPr>
          <w:rFonts w:ascii="Arial" w:cs="Arial" w:eastAsia="Arial" w:hAnsi="Arial"/>
          <w:sz w:val="15"/>
          <w:szCs w:val="15"/>
          <w:color w:val="auto"/>
        </w:rPr>
        <w:t>Section 5.9 shall survive the consummation of the Merger, and is intended to be for the benefit of, and shall be enforceable by, the Parent Indemnified Persons, their heirs and personal representatives, shall be binding on Parent, the Surviving Corporation and their successors and assigns and may not be amended, altered or repealed after the Effective Time without the prior written consent of the affected Parent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5.9. Nothing in this Agreement is intended to, shall be construed to or shall release, waive or impair any rights to directors’ and officers’ insurance claims under any policy that is or has been in existence with respect to Parent or any of the Parent Subsidiaries or their respective officers, directors and employees, it being understood and agreed that the indemnification provided for in this Section 5.9 is not prior to, or in substitution for, any such claims under any such policies.</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Indemnification of Company Directors and Officers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4" w:lineRule="auto"/>
        <w:tabs>
          <w:tab w:leader="none" w:pos="85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Parent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certificates of incorporation or by-laws or other organization documents or in any agreement shall survive the Merger and shall continue in full force and effect. Parent and the Surviving Corporation shall maintain in effect any and all exculpation, indemnification and advancement of expenses provisions of the Company’s and any of its Subsidiaries’ certificate of incorporation and by-laws or similar organization documents in effect immediately prior to the Effective Time or in any indemnification agreements of the Company or its Subsidiaries with any of their respective current or former directors, officers or employees in effect as of the date hereof, and shall not amend, repeal or otherwise modify any such provisions in any manner that would adversely affect the rights thereunder of any individuals who at the Effective Time were current or former directors, officers or employees of the Company or any of its Subsidiaries, and all rights to indemnification in respect of any Action pending or asserted or any claim made within such period shall continue until the disposition of such Action or resolution of such claim.</w:t>
      </w:r>
    </w:p>
    <w:p>
      <w:pPr>
        <w:spacing w:after="0" w:line="75" w:lineRule="exact"/>
        <w:rPr>
          <w:rFonts w:ascii="Arial" w:cs="Arial" w:eastAsia="Arial" w:hAnsi="Arial"/>
          <w:sz w:val="16"/>
          <w:szCs w:val="16"/>
          <w:color w:val="auto"/>
        </w:rPr>
      </w:pPr>
    </w:p>
    <w:p>
      <w:pPr>
        <w:jc w:val="both"/>
        <w:ind w:left="300" w:right="1239" w:firstLine="248"/>
        <w:spacing w:after="0" w:line="265" w:lineRule="auto"/>
        <w:tabs>
          <w:tab w:leader="none" w:pos="833" w:val="left"/>
        </w:tabs>
        <w:numPr>
          <w:ilvl w:val="0"/>
          <w:numId w:val="237"/>
        </w:numPr>
        <w:rPr>
          <w:rFonts w:ascii="Arial" w:cs="Arial" w:eastAsia="Arial" w:hAnsi="Arial"/>
          <w:sz w:val="16"/>
          <w:szCs w:val="16"/>
          <w:color w:val="auto"/>
        </w:rPr>
      </w:pPr>
      <w:r>
        <w:rPr>
          <w:rFonts w:ascii="Arial" w:cs="Arial" w:eastAsia="Arial" w:hAnsi="Arial"/>
          <w:sz w:val="16"/>
          <w:szCs w:val="16"/>
          <w:color w:val="auto"/>
        </w:rPr>
        <w:t>From and after the Effective Time, Parent and the Surviving Corporation shall continue to indemnify and hold harmless each present and former director, officer or employee of the Company or any of its Subsidiaries (each, together with such Person’s heirs, executors or administrators, a “</w:t>
      </w:r>
      <w:r>
        <w:rPr>
          <w:rFonts w:ascii="Arial" w:cs="Arial" w:eastAsia="Arial" w:hAnsi="Arial"/>
          <w:sz w:val="16"/>
          <w:szCs w:val="16"/>
          <w:b w:val="1"/>
          <w:bCs w:val="1"/>
          <w:color w:val="auto"/>
        </w:rPr>
        <w:t>Company Indemnified Person</w:t>
      </w:r>
      <w:r>
        <w:rPr>
          <w:rFonts w:ascii="Arial" w:cs="Arial" w:eastAsia="Arial" w:hAnsi="Arial"/>
          <w:sz w:val="16"/>
          <w:szCs w:val="16"/>
          <w:color w:val="auto"/>
        </w:rPr>
        <w:t xml:space="preserve">”) against any damages incurred in connection with any Action arising out of or pertaining to any action or omission occurring or alleged to have occurred whether before or after the Effective Time (including acts or omissions in connection with such Persons serving as an officer, director or other fiduciary in any entity if such service was at the request or for the benefit of the Company) or any Action instituted by any Company Indemnified Person to enforce this Section 5.10, including, in each case, the advancing of expenses to the fullest extent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Indemnified Person to whom such expenses are advanced shall be required to provide an undertaking to Parent to repay such advances if it is ultimately determined that such Company Indemnified Person is not entitled to indemnification.</w:t>
      </w:r>
    </w:p>
    <w:p>
      <w:pPr>
        <w:spacing w:after="0" w:line="73" w:lineRule="exact"/>
        <w:rPr>
          <w:rFonts w:ascii="Arial" w:cs="Arial" w:eastAsia="Arial" w:hAnsi="Arial"/>
          <w:sz w:val="16"/>
          <w:szCs w:val="16"/>
          <w:color w:val="auto"/>
        </w:rPr>
      </w:pPr>
    </w:p>
    <w:p>
      <w:pPr>
        <w:jc w:val="both"/>
        <w:ind w:left="300" w:right="1239" w:firstLine="248"/>
        <w:spacing w:after="0" w:line="250" w:lineRule="auto"/>
        <w:tabs>
          <w:tab w:leader="none" w:pos="854" w:val="left"/>
        </w:tabs>
        <w:numPr>
          <w:ilvl w:val="0"/>
          <w:numId w:val="237"/>
        </w:numPr>
        <w:rPr>
          <w:rFonts w:ascii="Arial" w:cs="Arial" w:eastAsia="Arial" w:hAnsi="Arial"/>
          <w:sz w:val="17"/>
          <w:szCs w:val="17"/>
          <w:color w:val="auto"/>
        </w:rPr>
      </w:pPr>
      <w:r>
        <w:rPr>
          <w:rFonts w:ascii="Arial" w:cs="Arial" w:eastAsia="Arial" w:hAnsi="Arial"/>
          <w:sz w:val="17"/>
          <w:szCs w:val="17"/>
          <w:color w:val="auto"/>
        </w:rPr>
        <w:t>Prior to the Effective Time, Company shall purchase, and for a period of six (6) years following the Effective Time Parent shall continue in effect, a directors’ and officers’ liability “tail” insurance policy or policies covering the Company’s directors and officers for events occurring at or prior to the Effective Time, which insurance shall be of at least the same coverage and amounts and contain terms and conditions which are no less advantageous to the Company’s directors and officers than the coverage, amounts, terms and conditions of the directors’ and officers’ liability insurance policy maintained by the Company as of the date of this Agreement.</w:t>
      </w:r>
    </w:p>
    <w:p>
      <w:pPr>
        <w:spacing w:after="0" w:line="200" w:lineRule="exact"/>
        <w:rPr>
          <w:sz w:val="20"/>
          <w:szCs w:val="20"/>
          <w:color w:val="auto"/>
        </w:rPr>
      </w:pPr>
    </w:p>
    <w:p>
      <w:pPr>
        <w:spacing w:after="0" w:line="29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2" w:name="page333"/>
    <w:bookmarkEnd w:id="33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82" w:lineRule="auto"/>
        <w:tabs>
          <w:tab w:leader="none" w:pos="85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The rights of each Company Indemnified Person hereunder shall be in addition to, and not in limitation of, any other rights such Company Indemnified Person may have under the certificate of incorporation and bylaws of the Company or any other similar organizational documents of the Company or any of its Subsidiaries or the Surviving Corporation, any other indemnification agreement or arrangement, the DGCL or otherwise. This Section 5.10 shall survive the consummation of the Merger, and is intended to be for the benefit of, and shall be enforceable by, the Company Indemnified Persons, their heirs and personal representatives, shall be binding on Parent, the Surviving Corporation and their successors and assigns and may not be amended, altered or repealed after the Effective Time without the prior written consent of the affected Company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5.10.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Section 5.10 is not prior to, or in substitution for, any such claims under any such policies.</w:t>
      </w:r>
    </w:p>
    <w:p>
      <w:pPr>
        <w:spacing w:after="0" w:line="6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Directors and Officers of Parent</w:t>
      </w:r>
      <w:r>
        <w:rPr>
          <w:rFonts w:ascii="Arial" w:cs="Arial" w:eastAsia="Arial" w:hAnsi="Arial"/>
          <w:sz w:val="17"/>
          <w:szCs w:val="17"/>
          <w:color w:val="auto"/>
        </w:rPr>
        <w:t>. Parent and the Company shall take all necessary action so that following the Effective Time the board of directors of the Parent shall consist of: Seth “Yossi” Siegel (Chairman), Andrew D. Perlman, John Engelman, Andrew Kennedy Lang, Alexander R. Berger, Donald E. Stout and H. Van Sinclair, and that the following persons are appointed to the following positions of Parent: Andrew D. Perlman (Chief Executive Officer), Andrew Kennedy Lang (Chief Technology Officer and President), Alexander R. Berger (Chief Operating Officer and Secretary), Ellen Cohl (Chief Financial Officer and Treasurer), and Clifford Weinstein (Chief Strategy Officer), each to serve in such positions effective immediately after the Closing. H. Van Sinclair shall serve as Chairman of the audit committee and John Engelman shall serve as Chairman of the Compensation Committee.</w:t>
      </w:r>
    </w:p>
    <w:p>
      <w:pPr>
        <w:spacing w:after="0" w:line="82"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Disclosure of Licenses</w:t>
      </w:r>
      <w:r>
        <w:rPr>
          <w:rFonts w:ascii="Arial" w:cs="Arial" w:eastAsia="Arial" w:hAnsi="Arial"/>
          <w:sz w:val="17"/>
          <w:szCs w:val="17"/>
          <w:color w:val="auto"/>
        </w:rPr>
        <w:t>. The shall use its commercially reasonable efforts to receive all necessary consents required to disclose to Parent the terms and conditions of each license or other agreement (or type of license or other agreement) pursuant to which the Company or its Subsidiaries has licensed, distributed or otherwise granted any rights to any third party with respect to, any Company Intellectual Property.</w:t>
      </w:r>
    </w:p>
    <w:p>
      <w:pPr>
        <w:spacing w:after="0" w:line="174"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VI</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CONDITIONS OF MERGER</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Conditions to Obligation of Each Party to Effect the Merger</w:t>
      </w:r>
      <w:r>
        <w:rPr>
          <w:rFonts w:ascii="Arial" w:cs="Arial" w:eastAsia="Arial" w:hAnsi="Arial"/>
          <w:sz w:val="17"/>
          <w:szCs w:val="17"/>
          <w:color w:val="auto"/>
        </w:rPr>
        <w:t>. The obligations of each Party to effect the Merger and consummate the other transactions contemplated hereby shall be subject to the satisfaction at or prior to the Closing of the following conditions, any of which may be waived in writing by the Party entitled to the benefit thereof, in whole or in part, to the extent permitted by the applicable law:</w:t>
      </w:r>
    </w:p>
    <w:p>
      <w:pPr>
        <w:spacing w:after="0" w:line="78" w:lineRule="exact"/>
        <w:rPr>
          <w:sz w:val="20"/>
          <w:szCs w:val="20"/>
          <w:color w:val="auto"/>
        </w:rPr>
      </w:pPr>
    </w:p>
    <w:p>
      <w:pPr>
        <w:ind w:left="300" w:right="1239" w:firstLine="248"/>
        <w:spacing w:after="0" w:line="267" w:lineRule="auto"/>
        <w:tabs>
          <w:tab w:leader="none" w:pos="857"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Parent Stockholder Approval and the Company Stockholder Approval shall have been obtained;</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29"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Effectiveness of Registration Statement</w:t>
      </w:r>
      <w:r>
        <w:rPr>
          <w:rFonts w:ascii="Arial" w:cs="Arial" w:eastAsia="Arial" w:hAnsi="Arial"/>
          <w:sz w:val="17"/>
          <w:szCs w:val="17"/>
          <w:color w:val="auto"/>
        </w:rPr>
        <w:t>. The Registration Statement shall have become effective in accordance with the provisions of the Securities Act, no stop order shall have been issued by the SEC and shall remain in effect with respect to the Registration Statement and no proceeding seeking such a stop order shall have been initiated by the SEC and remain pending or shall be threatened by the SEC.</w:t>
      </w:r>
    </w:p>
    <w:p>
      <w:pPr>
        <w:spacing w:after="0" w:line="77" w:lineRule="exact"/>
        <w:rPr>
          <w:rFonts w:ascii="Arial" w:cs="Arial" w:eastAsia="Arial" w:hAnsi="Arial"/>
          <w:sz w:val="17"/>
          <w:szCs w:val="17"/>
          <w:color w:val="auto"/>
        </w:rPr>
      </w:pPr>
    </w:p>
    <w:p>
      <w:pPr>
        <w:ind w:left="300" w:right="1239" w:firstLine="248"/>
        <w:spacing w:after="0" w:line="267" w:lineRule="auto"/>
        <w:tabs>
          <w:tab w:leader="none" w:pos="819"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Approval for Listing of Shares</w:t>
      </w:r>
      <w:r>
        <w:rPr>
          <w:rFonts w:ascii="Arial" w:cs="Arial" w:eastAsia="Arial" w:hAnsi="Arial"/>
          <w:sz w:val="17"/>
          <w:szCs w:val="17"/>
          <w:color w:val="auto"/>
        </w:rPr>
        <w:t>. The shares of Parent Common Stock shall have been approved for listing (subject only to notice of issuance) on the NYSE Amex, effective at the Effective Time.</w:t>
      </w:r>
    </w:p>
    <w:p>
      <w:pPr>
        <w:spacing w:after="0" w:line="200" w:lineRule="exact"/>
        <w:rPr>
          <w:sz w:val="20"/>
          <w:szCs w:val="20"/>
          <w:color w:val="auto"/>
        </w:rPr>
      </w:pPr>
    </w:p>
    <w:p>
      <w:pPr>
        <w:spacing w:after="0" w:line="28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3" w:name="page334"/>
    <w:bookmarkEnd w:id="3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300" w:right="1239" w:firstLine="248"/>
        <w:spacing w:after="0" w:line="259" w:lineRule="auto"/>
        <w:tabs>
          <w:tab w:leader="none" w:pos="829"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Hudson Bay Letter Agreement</w:t>
      </w:r>
      <w:r>
        <w:rPr>
          <w:rFonts w:ascii="Arial" w:cs="Arial" w:eastAsia="Arial" w:hAnsi="Arial"/>
          <w:sz w:val="17"/>
          <w:szCs w:val="17"/>
          <w:color w:val="auto"/>
        </w:rPr>
        <w:t>. Hudson Bay Master Fund Ltd. (“</w:t>
      </w:r>
      <w:r>
        <w:rPr>
          <w:rFonts w:ascii="Arial" w:cs="Arial" w:eastAsia="Arial" w:hAnsi="Arial"/>
          <w:sz w:val="17"/>
          <w:szCs w:val="17"/>
          <w:b w:val="1"/>
          <w:bCs w:val="1"/>
          <w:color w:val="auto"/>
        </w:rPr>
        <w:t>Hudson Bay</w:t>
      </w:r>
      <w:r>
        <w:rPr>
          <w:rFonts w:ascii="Arial" w:cs="Arial" w:eastAsia="Arial" w:hAnsi="Arial"/>
          <w:sz w:val="17"/>
          <w:szCs w:val="17"/>
          <w:color w:val="auto"/>
        </w:rPr>
        <w:t xml:space="preserve">”) will enter into a letter agreement with the Parent that provides for (i) a leak out schedule with respect to the stock underlying the preferred and (ii) a right of participation in the form attached hereto as </w:t>
      </w:r>
      <w:r>
        <w:rPr>
          <w:rFonts w:ascii="Arial" w:cs="Arial" w:eastAsia="Arial" w:hAnsi="Arial"/>
          <w:sz w:val="17"/>
          <w:szCs w:val="17"/>
          <w:u w:val="single" w:color="auto"/>
          <w:color w:val="auto"/>
        </w:rPr>
        <w:t>Exhibit M</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jc w:val="both"/>
        <w:ind w:left="300" w:right="1239" w:firstLine="248"/>
        <w:spacing w:after="0" w:line="249" w:lineRule="auto"/>
        <w:tabs>
          <w:tab w:leader="none" w:pos="832"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No Injunctions or Restraints; Illegality</w:t>
      </w:r>
      <w:r>
        <w:rPr>
          <w:rFonts w:ascii="Arial" w:cs="Arial" w:eastAsia="Arial" w:hAnsi="Arial"/>
          <w:sz w:val="17"/>
          <w:szCs w:val="17"/>
          <w:color w:val="auto"/>
        </w:rPr>
        <w:t>. No temporary restraining order, preliminary or permanent injunction or other order (whether temporary, preliminary or permanent) issued by any court of competent jurisdiction, or other legal restraint or prohibition shall be in effect which prevents the consummation of the Merger on substantially identical terms and conferring upon Parent substantially all the rights and benefits as contemplated herein, nor shall any proceeding brought by any Governmental Authority, domestic or foreign, seeking any of the foregoing be pending, and there shall not be any action taken, or any law, regulation or order enacted, entered, enforced or deemed applicable to the Merger, which makes the consummation of the Merger on substantially identical terms and conferring upon Parent substantially all the rights and benefits as contemplated herein illegal;</w:t>
      </w:r>
    </w:p>
    <w:p>
      <w:pPr>
        <w:spacing w:after="0" w:line="81" w:lineRule="exact"/>
        <w:rPr>
          <w:rFonts w:ascii="Arial" w:cs="Arial" w:eastAsia="Arial" w:hAnsi="Arial"/>
          <w:sz w:val="17"/>
          <w:szCs w:val="17"/>
          <w:color w:val="auto"/>
        </w:rPr>
      </w:pPr>
    </w:p>
    <w:p>
      <w:pPr>
        <w:jc w:val="both"/>
        <w:ind w:left="300" w:right="1239" w:firstLine="248"/>
        <w:spacing w:after="0" w:line="274" w:lineRule="auto"/>
        <w:tabs>
          <w:tab w:leader="none" w:pos="801"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Company Debt Instruments</w:t>
      </w:r>
      <w:r>
        <w:rPr>
          <w:rFonts w:ascii="Arial" w:cs="Arial" w:eastAsia="Arial" w:hAnsi="Arial"/>
          <w:sz w:val="16"/>
          <w:szCs w:val="16"/>
          <w:color w:val="auto"/>
        </w:rPr>
        <w:t xml:space="preserve">. Parent or the Company, as applicable, shall have executed and delivered to Hudson Bay (i) the Amended and Restated Senior Secured Promissory Note in substantially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hereto, (ii) the Amended and Restated Pledge and Security Agreement in substantially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attached hereto, and (iii) the Amended and Restated Guaranty in substantially the form of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attached hereto.</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Additional Conditions to Obligations of Parent</w:t>
      </w:r>
      <w:r>
        <w:rPr>
          <w:rFonts w:ascii="Arial" w:cs="Arial" w:eastAsia="Arial" w:hAnsi="Arial"/>
          <w:sz w:val="17"/>
          <w:szCs w:val="17"/>
          <w:color w:val="auto"/>
        </w:rPr>
        <w:t>. The obligations of Parent to effect the Merger are also subject to the following conditions, any and all of which may be waived in writing by Parent, in whole or in part, to the extent permitted by the applicable law:</w:t>
      </w:r>
    </w:p>
    <w:p>
      <w:pPr>
        <w:spacing w:after="0" w:line="76" w:lineRule="exact"/>
        <w:rPr>
          <w:sz w:val="20"/>
          <w:szCs w:val="20"/>
          <w:color w:val="auto"/>
        </w:rPr>
      </w:pPr>
    </w:p>
    <w:p>
      <w:pPr>
        <w:jc w:val="both"/>
        <w:ind w:left="300" w:right="1239" w:firstLine="248"/>
        <w:spacing w:after="0" w:line="251" w:lineRule="auto"/>
        <w:tabs>
          <w:tab w:leader="none" w:pos="845"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representations and warranties of the Company contained in Article II shall be true, complete and correct in all material respects on and as of the Effective Time, with the same force and effect as if made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80" w:lineRule="exact"/>
        <w:rPr>
          <w:rFonts w:ascii="Arial" w:cs="Arial" w:eastAsia="Arial" w:hAnsi="Arial"/>
          <w:sz w:val="17"/>
          <w:szCs w:val="17"/>
          <w:color w:val="auto"/>
        </w:rPr>
      </w:pPr>
    </w:p>
    <w:p>
      <w:pPr>
        <w:jc w:val="both"/>
        <w:ind w:left="300" w:right="1239" w:firstLine="248"/>
        <w:spacing w:after="0" w:line="253" w:lineRule="auto"/>
        <w:tabs>
          <w:tab w:leader="none" w:pos="904"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Agreements and Covenants</w:t>
      </w:r>
      <w:r>
        <w:rPr>
          <w:rFonts w:ascii="Arial" w:cs="Arial" w:eastAsia="Arial" w:hAnsi="Arial"/>
          <w:sz w:val="17"/>
          <w:szCs w:val="17"/>
          <w:color w:val="auto"/>
        </w:rPr>
        <w:t>. The Company shall have performed or complied in all material respects with all agreements and covenants required by this Agreement to be performed or complied with by it on or prior to the Effective Time, except for any failure to perform or comply with such agreements and covenants which would not, individually or in the aggregate, reasonably be expected to have a Company Material Adverse Effect;</w:t>
      </w:r>
    </w:p>
    <w:p>
      <w:pPr>
        <w:spacing w:after="0" w:line="77" w:lineRule="exact"/>
        <w:rPr>
          <w:rFonts w:ascii="Arial" w:cs="Arial" w:eastAsia="Arial" w:hAnsi="Arial"/>
          <w:sz w:val="17"/>
          <w:szCs w:val="17"/>
          <w:color w:val="auto"/>
        </w:rPr>
      </w:pPr>
    </w:p>
    <w:p>
      <w:pPr>
        <w:jc w:val="both"/>
        <w:ind w:left="300" w:right="1239" w:firstLine="248"/>
        <w:spacing w:after="0" w:line="290" w:lineRule="auto"/>
        <w:tabs>
          <w:tab w:leader="none" w:pos="832" w:val="left"/>
        </w:tabs>
        <w:numPr>
          <w:ilvl w:val="0"/>
          <w:numId w:val="241"/>
        </w:numPr>
        <w:rPr>
          <w:rFonts w:ascii="Arial" w:cs="Arial" w:eastAsia="Arial" w:hAnsi="Arial"/>
          <w:sz w:val="15"/>
          <w:szCs w:val="15"/>
          <w:color w:val="auto"/>
        </w:rPr>
      </w:pPr>
      <w:r>
        <w:rPr>
          <w:rFonts w:ascii="Arial" w:cs="Arial" w:eastAsia="Arial" w:hAnsi="Arial"/>
          <w:sz w:val="15"/>
          <w:szCs w:val="15"/>
          <w:u w:val="single" w:color="auto"/>
          <w:color w:val="auto"/>
        </w:rPr>
        <w:t>Third Party Consents</w:t>
      </w:r>
      <w:r>
        <w:rPr>
          <w:rFonts w:ascii="Arial" w:cs="Arial" w:eastAsia="Arial" w:hAnsi="Arial"/>
          <w:sz w:val="15"/>
          <w:szCs w:val="15"/>
          <w:color w:val="auto"/>
        </w:rPr>
        <w:t>. Parent shall have received evidence, in form and substance reasonably satisfactory to it, that (i) those approvals of Governmental Authorities described on the Company Disclosure Schedule (or not described on the Company Disclosure Schedule but required to be so described) shall have been obtained; (ii) those approvals of other third parties described in Sections 2.4(c) and 2.4(d) (or not described in Sections 2.4(c) and 2.4(d) of the Company Disclosure Schedule but required to be so described) have been obtained, except where the failure to have been obtained, either individually or in the aggregate, has not had and could not reasonably be expected to result in a Company Material Adverse Effect;</w:t>
      </w:r>
    </w:p>
    <w:p>
      <w:pPr>
        <w:spacing w:after="0" w:line="52" w:lineRule="exact"/>
        <w:rPr>
          <w:rFonts w:ascii="Arial" w:cs="Arial" w:eastAsia="Arial" w:hAnsi="Arial"/>
          <w:sz w:val="15"/>
          <w:szCs w:val="15"/>
          <w:color w:val="auto"/>
        </w:rPr>
      </w:pPr>
    </w:p>
    <w:p>
      <w:pPr>
        <w:jc w:val="both"/>
        <w:ind w:left="300" w:right="1239" w:firstLine="248"/>
        <w:spacing w:after="0" w:line="307" w:lineRule="auto"/>
        <w:tabs>
          <w:tab w:leader="none" w:pos="841" w:val="left"/>
        </w:tabs>
        <w:numPr>
          <w:ilvl w:val="0"/>
          <w:numId w:val="241"/>
        </w:numPr>
        <w:rPr>
          <w:rFonts w:ascii="Arial" w:cs="Arial" w:eastAsia="Arial" w:hAnsi="Arial"/>
          <w:sz w:val="15"/>
          <w:szCs w:val="15"/>
          <w:color w:val="auto"/>
        </w:rPr>
      </w:pPr>
      <w:r>
        <w:rPr>
          <w:rFonts w:ascii="Arial" w:cs="Arial" w:eastAsia="Arial" w:hAnsi="Arial"/>
          <w:sz w:val="15"/>
          <w:szCs w:val="15"/>
          <w:u w:val="single" w:color="auto"/>
          <w:color w:val="auto"/>
        </w:rPr>
        <w:t>New Company Options: Warrants</w:t>
      </w:r>
      <w:r>
        <w:rPr>
          <w:rFonts w:ascii="Arial" w:cs="Arial" w:eastAsia="Arial" w:hAnsi="Arial"/>
          <w:sz w:val="15"/>
          <w:szCs w:val="15"/>
          <w:color w:val="auto"/>
        </w:rPr>
        <w:t>. The holders of Company Stock Options shall have agreed to have such Company Stock Options be exercisable or exchangeable for New Company Options as set forth in Section 1.10(a) and the holders of Company Warrants shall have agreed to exchange such Company Warrants for the consideration set forth in Section 1.10(b);</w:t>
      </w:r>
    </w:p>
    <w:p>
      <w:pPr>
        <w:spacing w:after="0" w:line="39" w:lineRule="exact"/>
        <w:rPr>
          <w:rFonts w:ascii="Arial" w:cs="Arial" w:eastAsia="Arial" w:hAnsi="Arial"/>
          <w:sz w:val="15"/>
          <w:szCs w:val="15"/>
          <w:color w:val="auto"/>
        </w:rPr>
      </w:pPr>
    </w:p>
    <w:p>
      <w:pPr>
        <w:ind w:left="300" w:right="1239" w:firstLine="248"/>
        <w:spacing w:after="0" w:line="267" w:lineRule="auto"/>
        <w:tabs>
          <w:tab w:leader="none" w:pos="832"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No Company Material Adverse Effect</w:t>
      </w:r>
      <w:r>
        <w:rPr>
          <w:rFonts w:ascii="Arial" w:cs="Arial" w:eastAsia="Arial" w:hAnsi="Arial"/>
          <w:sz w:val="17"/>
          <w:szCs w:val="17"/>
          <w:color w:val="auto"/>
        </w:rPr>
        <w:t>. Since the date of this Agreement there shall not have occurred any Company Material Adverse Effect;</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38"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Since the date of this Agreement, (a) neither the Company nor any Company Subsidiary has (i) settled, discharged or released any of its claims, causes of action, or defenses in the Litigation nor (ii) assigned, promised, transferred, conveyed, encumbered, or granted a security interest in any of those claims and (b) there has been no dismissal (including, without limitation, by motion to</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4" w:name="page335"/>
    <w:bookmarkEnd w:id="33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dismiss or summary judgment) of the Litigation. For purposes of this Section, the word “claims” means all claims or counterclaims that arise out of the same facts and circumstances that are at issue in the Litigation.</w:t>
      </w:r>
    </w:p>
    <w:p>
      <w:pPr>
        <w:spacing w:after="0" w:line="66" w:lineRule="exact"/>
        <w:rPr>
          <w:sz w:val="20"/>
          <w:szCs w:val="20"/>
          <w:color w:val="auto"/>
        </w:rPr>
      </w:pPr>
    </w:p>
    <w:p>
      <w:pPr>
        <w:ind w:left="300" w:right="1239" w:firstLine="248"/>
        <w:spacing w:after="0" w:line="299" w:lineRule="auto"/>
        <w:tabs>
          <w:tab w:leader="none" w:pos="854"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Dissenters’ Rights</w:t>
      </w:r>
      <w:r>
        <w:rPr>
          <w:rFonts w:ascii="Arial" w:cs="Arial" w:eastAsia="Arial" w:hAnsi="Arial"/>
          <w:sz w:val="16"/>
          <w:szCs w:val="16"/>
          <w:color w:val="auto"/>
        </w:rPr>
        <w:t>. Holders of no more than 10% of the issued and outstanding Company Capital Stock shall have demanded and perfected their right to an appraisal of the Company Capital Stock in accordance with the DGCL;</w:t>
      </w:r>
    </w:p>
    <w:p>
      <w:pPr>
        <w:spacing w:after="0" w:line="42" w:lineRule="exact"/>
        <w:rPr>
          <w:rFonts w:ascii="Arial" w:cs="Arial" w:eastAsia="Arial" w:hAnsi="Arial"/>
          <w:sz w:val="16"/>
          <w:szCs w:val="16"/>
          <w:color w:val="auto"/>
        </w:rPr>
      </w:pPr>
    </w:p>
    <w:p>
      <w:pPr>
        <w:jc w:val="both"/>
        <w:ind w:left="300" w:right="1239" w:firstLine="248"/>
        <w:spacing w:after="0" w:line="256" w:lineRule="auto"/>
        <w:tabs>
          <w:tab w:leader="none" w:pos="866"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Resignation of Directors and Officers</w:t>
      </w:r>
      <w:r>
        <w:rPr>
          <w:rFonts w:ascii="Arial" w:cs="Arial" w:eastAsia="Arial" w:hAnsi="Arial"/>
          <w:sz w:val="17"/>
          <w:szCs w:val="17"/>
          <w:color w:val="auto"/>
        </w:rPr>
        <w:t>. Parent shall have received written resignations from all of the directors and officers of the Company and its Subsidiaries, as applicable effective as of the Effective Time and the directors and officers set forth in Section 5.11 shall have been appointed as set forth therein;</w:t>
      </w:r>
    </w:p>
    <w:p>
      <w:pPr>
        <w:spacing w:after="0" w:line="76" w:lineRule="exact"/>
        <w:rPr>
          <w:rFonts w:ascii="Arial" w:cs="Arial" w:eastAsia="Arial" w:hAnsi="Arial"/>
          <w:sz w:val="17"/>
          <w:szCs w:val="17"/>
          <w:color w:val="auto"/>
        </w:rPr>
      </w:pPr>
    </w:p>
    <w:p>
      <w:pPr>
        <w:jc w:val="both"/>
        <w:ind w:left="300" w:right="1239" w:firstLine="248"/>
        <w:spacing w:after="0" w:line="287" w:lineRule="auto"/>
        <w:tabs>
          <w:tab w:leader="none" w:pos="817" w:val="left"/>
        </w:tabs>
        <w:numPr>
          <w:ilvl w:val="1"/>
          <w:numId w:val="242"/>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The Company shall have delivered to Parent and Merger Sub a certificate, signed by the chief executive officer of the Company, to the effect that (i) each of the conditions specified in clause (a) of Section 6.1 and clauses</w:t>
      </w:r>
    </w:p>
    <w:p>
      <w:pPr>
        <w:jc w:val="both"/>
        <w:ind w:left="300" w:right="1239" w:hanging="2"/>
        <w:spacing w:after="0" w:line="249" w:lineRule="auto"/>
        <w:tabs>
          <w:tab w:leader="none" w:pos="53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through (f) and clause (j) of this Section 6.2 are satisfied in all respects and (ii) the Company has not paid any of Hudson Bay’s costs and expenses, including any attorneys fees, in connection with the consummation of the transactions contemplated by this Agreement;</w:t>
      </w:r>
    </w:p>
    <w:p>
      <w:pPr>
        <w:spacing w:after="0" w:line="80" w:lineRule="exact"/>
        <w:rPr>
          <w:rFonts w:ascii="Arial" w:cs="Arial" w:eastAsia="Arial" w:hAnsi="Arial"/>
          <w:sz w:val="17"/>
          <w:szCs w:val="17"/>
          <w:color w:val="auto"/>
        </w:rPr>
      </w:pPr>
    </w:p>
    <w:p>
      <w:pPr>
        <w:jc w:val="both"/>
        <w:ind w:left="300" w:right="1239" w:firstLine="248"/>
        <w:spacing w:after="0" w:line="256" w:lineRule="auto"/>
        <w:tabs>
          <w:tab w:leader="none" w:pos="792"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Patents</w:t>
      </w:r>
      <w:r>
        <w:rPr>
          <w:rFonts w:ascii="Arial" w:cs="Arial" w:eastAsia="Arial" w:hAnsi="Arial"/>
          <w:sz w:val="17"/>
          <w:szCs w:val="17"/>
          <w:color w:val="auto"/>
        </w:rPr>
        <w:t>. Neither U.S. Patent Nos. 6,314,420 nor 6,775,664, held by the Company or any Company Subsidiary, shall, as of the Effective Date, be held unpatentable, invalid or unenforceable by an unappealed or unappealable judgment of a court of competent jurisdiction;</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41"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Subscription Agreement</w:t>
      </w:r>
      <w:r>
        <w:rPr>
          <w:rFonts w:ascii="Arial" w:cs="Arial" w:eastAsia="Arial" w:hAnsi="Arial"/>
          <w:sz w:val="17"/>
          <w:szCs w:val="17"/>
          <w:color w:val="auto"/>
        </w:rPr>
        <w:t>. The Subscription Agreement, dated as of June 22, 2011, by and between the Company and Hudson Bay shall have been terminated and of no further force or effect;</w:t>
      </w:r>
    </w:p>
    <w:p>
      <w:pPr>
        <w:spacing w:after="0" w:line="66" w:lineRule="exact"/>
        <w:rPr>
          <w:rFonts w:ascii="Arial" w:cs="Arial" w:eastAsia="Arial" w:hAnsi="Arial"/>
          <w:sz w:val="17"/>
          <w:szCs w:val="17"/>
          <w:color w:val="auto"/>
        </w:rPr>
      </w:pPr>
    </w:p>
    <w:p>
      <w:pPr>
        <w:ind w:left="300" w:right="1239" w:firstLine="248"/>
        <w:spacing w:after="0" w:line="267" w:lineRule="auto"/>
        <w:tabs>
          <w:tab w:leader="none" w:pos="817"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The Registration Rights Agreement, dated as of June 22, 2011, by and between the Company and Hudson Bay shall have been terminated and of no further force or effect;</w:t>
      </w:r>
    </w:p>
    <w:p>
      <w:pPr>
        <w:spacing w:after="0" w:line="66" w:lineRule="exact"/>
        <w:rPr>
          <w:rFonts w:ascii="Arial" w:cs="Arial" w:eastAsia="Arial" w:hAnsi="Arial"/>
          <w:sz w:val="17"/>
          <w:szCs w:val="17"/>
          <w:color w:val="auto"/>
        </w:rPr>
      </w:pPr>
    </w:p>
    <w:p>
      <w:pPr>
        <w:jc w:val="both"/>
        <w:ind w:left="300" w:right="1239" w:firstLine="248"/>
        <w:spacing w:after="0" w:line="250" w:lineRule="auto"/>
        <w:tabs>
          <w:tab w:leader="none" w:pos="925"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Hudson Bay Certificate</w:t>
      </w:r>
      <w:r>
        <w:rPr>
          <w:rFonts w:ascii="Arial" w:cs="Arial" w:eastAsia="Arial" w:hAnsi="Arial"/>
          <w:sz w:val="17"/>
          <w:szCs w:val="17"/>
          <w:color w:val="auto"/>
        </w:rPr>
        <w:t>. Parent shall have received a certificate, in form and substance reasonably acceptable to Parent, from Hudson Bay to the effect that, as of the Effective Time (i) they have been paid all amounts due to them under the existing loan documents between Hudson Bay and the Company and (ii) that the Company has complied with all of its obligations (and there are no breaches or defaults) under the existing loan documents and (iii) that the Company has not paid any of Hudson Bay’s cost and expenses, including any attorneys fees, in connection with the consummation of the transactions contemplated by this Agreement; and</w:t>
      </w:r>
    </w:p>
    <w:p>
      <w:pPr>
        <w:spacing w:after="0" w:line="81" w:lineRule="exact"/>
        <w:rPr>
          <w:rFonts w:ascii="Arial" w:cs="Arial" w:eastAsia="Arial" w:hAnsi="Arial"/>
          <w:sz w:val="17"/>
          <w:szCs w:val="17"/>
          <w:color w:val="auto"/>
        </w:rPr>
      </w:pPr>
    </w:p>
    <w:p>
      <w:pPr>
        <w:jc w:val="both"/>
        <w:ind w:left="300" w:right="1239" w:firstLine="248"/>
        <w:spacing w:after="0" w:line="274" w:lineRule="auto"/>
        <w:tabs>
          <w:tab w:leader="none" w:pos="879"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Other Deliveries</w:t>
      </w:r>
      <w:r>
        <w:rPr>
          <w:rFonts w:ascii="Arial" w:cs="Arial" w:eastAsia="Arial" w:hAnsi="Arial"/>
          <w:sz w:val="16"/>
          <w:szCs w:val="16"/>
          <w:color w:val="auto"/>
        </w:rPr>
        <w:t>. Parent shall have received such other certificates and instruments (including without limitation certificates of good standing of the Company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Additional Conditions to Obligations of the Company</w:t>
      </w:r>
      <w:r>
        <w:rPr>
          <w:rFonts w:ascii="Arial" w:cs="Arial" w:eastAsia="Arial" w:hAnsi="Arial"/>
          <w:sz w:val="17"/>
          <w:szCs w:val="17"/>
          <w:color w:val="auto"/>
        </w:rPr>
        <w:t>. The obligation of the Company to effect the Merger is also subject to the following conditions, any and all of which may be waived in writing by the Company, in whole or in part, to the extent permitted by the applicable law:</w:t>
      </w:r>
    </w:p>
    <w:p>
      <w:pPr>
        <w:spacing w:after="0" w:line="76" w:lineRule="exact"/>
        <w:rPr>
          <w:sz w:val="20"/>
          <w:szCs w:val="20"/>
          <w:color w:val="auto"/>
        </w:rPr>
      </w:pPr>
    </w:p>
    <w:p>
      <w:pPr>
        <w:jc w:val="both"/>
        <w:ind w:left="300" w:right="1239" w:firstLine="248"/>
        <w:spacing w:after="0" w:line="297" w:lineRule="auto"/>
        <w:tabs>
          <w:tab w:leader="none" w:pos="870" w:val="left"/>
        </w:tabs>
        <w:numPr>
          <w:ilvl w:val="0"/>
          <w:numId w:val="244"/>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of Parent contained Article III shall be true, complete and correct in all material respects as of when made and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48" w:lineRule="exact"/>
        <w:rPr>
          <w:rFonts w:ascii="Arial" w:cs="Arial" w:eastAsia="Arial" w:hAnsi="Arial"/>
          <w:sz w:val="15"/>
          <w:szCs w:val="15"/>
          <w:color w:val="auto"/>
        </w:rPr>
      </w:pPr>
    </w:p>
    <w:p>
      <w:pPr>
        <w:jc w:val="both"/>
        <w:ind w:left="300" w:right="1239" w:firstLine="248"/>
        <w:spacing w:after="0" w:line="256" w:lineRule="auto"/>
        <w:tabs>
          <w:tab w:leader="none" w:pos="841"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Agreements and Covenants</w:t>
      </w:r>
      <w:r>
        <w:rPr>
          <w:rFonts w:ascii="Arial" w:cs="Arial" w:eastAsia="Arial" w:hAnsi="Arial"/>
          <w:sz w:val="17"/>
          <w:szCs w:val="17"/>
          <w:color w:val="auto"/>
        </w:rPr>
        <w:t>. Parent and Merger Sub shall have performed or complied in all material respects with all agreements and covenants required by this Agreement to be performed or complied with by them on or prior to the Effective Time, except for any failure to perform or comply</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5" w:name="page336"/>
    <w:bookmarkEnd w:id="3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with such agreements and covenants which would not, individually or in the aggregate, reasonably be expected to have a Parent Material Adverse Effect;</w:t>
      </w:r>
    </w:p>
    <w:p>
      <w:pPr>
        <w:spacing w:after="0" w:line="66" w:lineRule="exact"/>
        <w:rPr>
          <w:sz w:val="20"/>
          <w:szCs w:val="20"/>
          <w:color w:val="auto"/>
        </w:rPr>
      </w:pPr>
    </w:p>
    <w:p>
      <w:pPr>
        <w:jc w:val="both"/>
        <w:ind w:left="300" w:right="1239" w:firstLine="248"/>
        <w:spacing w:after="0" w:line="266" w:lineRule="auto"/>
        <w:tabs>
          <w:tab w:leader="none" w:pos="832"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Third Party Consents</w:t>
      </w:r>
      <w:r>
        <w:rPr>
          <w:rFonts w:ascii="Arial" w:cs="Arial" w:eastAsia="Arial" w:hAnsi="Arial"/>
          <w:sz w:val="16"/>
          <w:szCs w:val="16"/>
          <w:color w:val="auto"/>
        </w:rPr>
        <w:t>. The Company shall have received evidence, in form and substance reasonably satisfactory to it, that (i) those approvals of Governmental Authorities described on the Parent Disclosure Schedule (or not described on the Parent Schedule but required to be so described) shall have been obtained; (ii) those approvals of other third parties described in Sections 3.4(c) and 3.4 (d) (or not described in Sections 3.4(c) and 3.4 (d) but required to be so described) have been obtained, except where the failure to have been so obtained, either individually or in the aggregate, could not reasonably be expected to result in a Parent Material Adverse Effect and (iii) the persons set forth on Section 6.3(c) of the Parent Disclosure Schedule shall have delivered consents and/or waivers of their anti-dilution or change of control provisions set forth in certain securities of Parent held by such persons;</w:t>
      </w:r>
    </w:p>
    <w:p>
      <w:pPr>
        <w:spacing w:after="0" w:line="72" w:lineRule="exact"/>
        <w:rPr>
          <w:rFonts w:ascii="Arial" w:cs="Arial" w:eastAsia="Arial" w:hAnsi="Arial"/>
          <w:sz w:val="16"/>
          <w:szCs w:val="16"/>
          <w:color w:val="auto"/>
        </w:rPr>
      </w:pPr>
    </w:p>
    <w:p>
      <w:pPr>
        <w:ind w:left="300" w:right="1239" w:firstLine="248"/>
        <w:spacing w:after="0" w:line="267" w:lineRule="auto"/>
        <w:tabs>
          <w:tab w:leader="none" w:pos="854"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Parent Material Adverse Effect</w:t>
      </w:r>
      <w:r>
        <w:rPr>
          <w:rFonts w:ascii="Arial" w:cs="Arial" w:eastAsia="Arial" w:hAnsi="Arial"/>
          <w:sz w:val="17"/>
          <w:szCs w:val="17"/>
          <w:color w:val="auto"/>
        </w:rPr>
        <w:t>. Since the date of this Agreement, there shall not have occurred any Parent Material Adverse Effect;</w:t>
      </w:r>
    </w:p>
    <w:p>
      <w:pPr>
        <w:spacing w:after="0" w:line="66" w:lineRule="exact"/>
        <w:rPr>
          <w:rFonts w:ascii="Arial" w:cs="Arial" w:eastAsia="Arial" w:hAnsi="Arial"/>
          <w:sz w:val="17"/>
          <w:szCs w:val="17"/>
          <w:color w:val="auto"/>
        </w:rPr>
      </w:pPr>
    </w:p>
    <w:p>
      <w:pPr>
        <w:ind w:left="300" w:right="1239" w:firstLine="248"/>
        <w:spacing w:after="0" w:line="335" w:lineRule="auto"/>
        <w:tabs>
          <w:tab w:leader="none" w:pos="832" w:val="left"/>
        </w:tabs>
        <w:numPr>
          <w:ilvl w:val="0"/>
          <w:numId w:val="245"/>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Parent shall have delivered to the Company a certificate, signed by the chief executive officer of Parent, to the effect that each of the conditions specified in clauses (a) through (d) of this Section 6.3 is satisfied in all respects;</w:t>
      </w:r>
    </w:p>
    <w:p>
      <w:pPr>
        <w:spacing w:after="0" w:line="19" w:lineRule="exact"/>
        <w:rPr>
          <w:rFonts w:ascii="Arial" w:cs="Arial" w:eastAsia="Arial" w:hAnsi="Arial"/>
          <w:sz w:val="15"/>
          <w:szCs w:val="15"/>
          <w:color w:val="auto"/>
        </w:rPr>
      </w:pPr>
    </w:p>
    <w:p>
      <w:pPr>
        <w:ind w:left="300" w:right="1239" w:firstLine="248"/>
        <w:spacing w:after="0" w:line="335" w:lineRule="auto"/>
        <w:tabs>
          <w:tab w:leader="none" w:pos="826" w:val="left"/>
        </w:tabs>
        <w:numPr>
          <w:ilvl w:val="0"/>
          <w:numId w:val="245"/>
        </w:numPr>
        <w:rPr>
          <w:rFonts w:ascii="Arial" w:cs="Arial" w:eastAsia="Arial" w:hAnsi="Arial"/>
          <w:sz w:val="15"/>
          <w:szCs w:val="15"/>
          <w:color w:val="auto"/>
        </w:rPr>
      </w:pPr>
      <w:r>
        <w:rPr>
          <w:rFonts w:ascii="Arial" w:cs="Arial" w:eastAsia="Arial" w:hAnsi="Arial"/>
          <w:sz w:val="15"/>
          <w:szCs w:val="15"/>
          <w:u w:val="single" w:color="auto"/>
          <w:color w:val="auto"/>
        </w:rPr>
        <w:t>Employment and Board Agreements</w:t>
      </w:r>
      <w:r>
        <w:rPr>
          <w:rFonts w:ascii="Arial" w:cs="Arial" w:eastAsia="Arial" w:hAnsi="Arial"/>
          <w:sz w:val="15"/>
          <w:szCs w:val="15"/>
          <w:color w:val="auto"/>
        </w:rPr>
        <w:t>. The (i) employment and board agreements set forth on Schedule 2.14 and (ii) client service agreement with Ambrose Employer Group each shall have been assigned to, and assumed by, Parent; and</w:t>
      </w:r>
    </w:p>
    <w:p>
      <w:pPr>
        <w:spacing w:after="0" w:line="19" w:lineRule="exact"/>
        <w:rPr>
          <w:rFonts w:ascii="Arial" w:cs="Arial" w:eastAsia="Arial" w:hAnsi="Arial"/>
          <w:sz w:val="15"/>
          <w:szCs w:val="15"/>
          <w:color w:val="auto"/>
        </w:rPr>
      </w:pPr>
    </w:p>
    <w:p>
      <w:pPr>
        <w:jc w:val="both"/>
        <w:ind w:left="300" w:right="1239" w:firstLine="248"/>
        <w:spacing w:after="0" w:line="251" w:lineRule="auto"/>
        <w:tabs>
          <w:tab w:leader="none" w:pos="904"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Other Deliveries</w:t>
      </w:r>
      <w:r>
        <w:rPr>
          <w:rFonts w:ascii="Arial" w:cs="Arial" w:eastAsia="Arial" w:hAnsi="Arial"/>
          <w:sz w:val="17"/>
          <w:szCs w:val="17"/>
          <w:color w:val="auto"/>
        </w:rPr>
        <w:t>. The Company shall have received such other certificates and instruments (including without limitation, if reasonably available, certificates of good standing of the Parent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77"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VII</w:t>
      </w:r>
    </w:p>
    <w:p>
      <w:pPr>
        <w:spacing w:after="0" w:line="205"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TERMINATION, AMENDMENT AND WAIVER</w:t>
      </w:r>
    </w:p>
    <w:p>
      <w:pPr>
        <w:spacing w:after="0" w:line="109"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and the Merger and other transactions contemplated hereby may be abandoned at any time prior to the Effective Time:</w:t>
      </w:r>
    </w:p>
    <w:p>
      <w:pPr>
        <w:spacing w:after="0" w:line="66" w:lineRule="exact"/>
        <w:rPr>
          <w:sz w:val="20"/>
          <w:szCs w:val="20"/>
          <w:color w:val="auto"/>
        </w:rPr>
      </w:pPr>
    </w:p>
    <w:p>
      <w:pPr>
        <w:ind w:left="840" w:hanging="292"/>
        <w:spacing w:after="0"/>
        <w:tabs>
          <w:tab w:leader="none" w:pos="84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by mutual written consent of the Company, Parent and Merger Sub duly authorized by each of the Boards of Directors</w:t>
      </w:r>
    </w:p>
    <w:p>
      <w:pPr>
        <w:spacing w:after="0" w:line="40"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of each;</w:t>
      </w:r>
    </w:p>
    <w:p>
      <w:pPr>
        <w:spacing w:after="0" w:line="92" w:lineRule="exact"/>
        <w:rPr>
          <w:rFonts w:ascii="Arial" w:cs="Arial" w:eastAsia="Arial" w:hAnsi="Arial"/>
          <w:sz w:val="15"/>
          <w:szCs w:val="15"/>
          <w:color w:val="auto"/>
        </w:rPr>
      </w:pPr>
    </w:p>
    <w:p>
      <w:pPr>
        <w:jc w:val="both"/>
        <w:ind w:left="300" w:right="1239" w:firstLine="248"/>
        <w:spacing w:after="0" w:line="253" w:lineRule="auto"/>
        <w:tabs>
          <w:tab w:leader="none" w:pos="863"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by either Parent or the Company if the Merger shall not have been consummated on or before September 30, 2012;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 to terminate this Agreement under this Section 7.1(b) shall not be available to a Party whose failure to fulfill any obligation under this Agreement has been the cause of, or resulted in, the failure of the Merger to have been consummated on or before such date;</w:t>
      </w:r>
    </w:p>
    <w:p>
      <w:pPr>
        <w:spacing w:after="0" w:line="77" w:lineRule="exact"/>
        <w:rPr>
          <w:rFonts w:ascii="Arial" w:cs="Arial" w:eastAsia="Arial" w:hAnsi="Arial"/>
          <w:sz w:val="17"/>
          <w:szCs w:val="17"/>
          <w:color w:val="auto"/>
        </w:rPr>
      </w:pPr>
    </w:p>
    <w:p>
      <w:pPr>
        <w:jc w:val="both"/>
        <w:ind w:left="300" w:right="1239" w:firstLine="248"/>
        <w:spacing w:after="0" w:line="280" w:lineRule="auto"/>
        <w:tabs>
          <w:tab w:leader="none" w:pos="82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by either Parent or the Company, if there shall have been any law enacted by a Governmental Authority prohibiting the consummation of the Merger, or any Governmental Authority having competent jurisdiction shall have issued an order or taken any other action, in each case, which restrains, enjoins or otherwise prohibits the Merger;</w:t>
      </w:r>
    </w:p>
    <w:p>
      <w:pPr>
        <w:spacing w:after="0" w:line="57" w:lineRule="exact"/>
        <w:rPr>
          <w:rFonts w:ascii="Arial" w:cs="Arial" w:eastAsia="Arial" w:hAnsi="Arial"/>
          <w:sz w:val="16"/>
          <w:szCs w:val="16"/>
          <w:color w:val="auto"/>
        </w:rPr>
      </w:pPr>
    </w:p>
    <w:p>
      <w:pPr>
        <w:jc w:val="both"/>
        <w:ind w:left="300" w:right="1239" w:firstLine="248"/>
        <w:spacing w:after="0" w:line="249" w:lineRule="auto"/>
        <w:tabs>
          <w:tab w:leader="none" w:pos="92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by Parent or the Company if the Parent Special Meeting shall have been held and completed (including any adjournments or postponements thereof), Parent’s stockholders shall have taken a final vote on a proposal to adopt this Agreement and approve the transactions contemplated hereby, including the Merger, and the Parent Stockholder Approval shall not have been obtained;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party shall not be permitted to terminate this Agreement pursuant to this Section 7.1(d) if the failure to obtain the Parent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200" w:lineRule="exact"/>
        <w:rPr>
          <w:sz w:val="20"/>
          <w:szCs w:val="20"/>
          <w:color w:val="auto"/>
        </w:rPr>
      </w:pPr>
    </w:p>
    <w:p>
      <w:pPr>
        <w:spacing w:after="0" w:line="297"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6" w:name="page337"/>
    <w:bookmarkEnd w:id="33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67" w:lineRule="auto"/>
        <w:tabs>
          <w:tab w:leader="none" w:pos="888" w:val="left"/>
        </w:tabs>
        <w:numPr>
          <w:ilvl w:val="1"/>
          <w:numId w:val="247"/>
        </w:numPr>
        <w:rPr>
          <w:rFonts w:ascii="Arial" w:cs="Arial" w:eastAsia="Arial" w:hAnsi="Arial"/>
          <w:sz w:val="16"/>
          <w:szCs w:val="16"/>
          <w:color w:val="auto"/>
        </w:rPr>
      </w:pPr>
      <w:r>
        <w:rPr>
          <w:rFonts w:ascii="Arial" w:cs="Arial" w:eastAsia="Arial" w:hAnsi="Arial"/>
          <w:sz w:val="16"/>
          <w:szCs w:val="16"/>
          <w:color w:val="auto"/>
        </w:rPr>
        <w:t>by Parent or the Company if the Company Special Meeting shall have been held and completed (including any adjournments or postponements thereof), the Company’s stockholders shall have taken a final vote on a proposal to adopt this Agreement and approve the transactions contemplated hereby, including the Merger, and the Company Stockholder Approval shall not have been obtained; provided, however, that a party shall not be permitted to terminate this Agreement pursuant to this Section 7.1(e) if the failure to obtain the Company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70" w:lineRule="exact"/>
        <w:rPr>
          <w:rFonts w:ascii="Arial" w:cs="Arial" w:eastAsia="Arial" w:hAnsi="Arial"/>
          <w:sz w:val="16"/>
          <w:szCs w:val="16"/>
          <w:color w:val="auto"/>
        </w:rPr>
      </w:pPr>
    </w:p>
    <w:p>
      <w:pPr>
        <w:jc w:val="both"/>
        <w:ind w:left="300" w:right="1239" w:firstLine="248"/>
        <w:spacing w:after="0" w:line="266" w:lineRule="auto"/>
        <w:tabs>
          <w:tab w:leader="none" w:pos="843" w:val="left"/>
        </w:tabs>
        <w:numPr>
          <w:ilvl w:val="1"/>
          <w:numId w:val="247"/>
        </w:numPr>
        <w:rPr>
          <w:rFonts w:ascii="Arial" w:cs="Arial" w:eastAsia="Arial" w:hAnsi="Arial"/>
          <w:sz w:val="16"/>
          <w:szCs w:val="16"/>
          <w:color w:val="auto"/>
        </w:rPr>
      </w:pPr>
      <w:r>
        <w:rPr>
          <w:rFonts w:ascii="Arial" w:cs="Arial" w:eastAsia="Arial" w:hAnsi="Arial"/>
          <w:sz w:val="16"/>
          <w:szCs w:val="16"/>
          <w:color w:val="auto"/>
        </w:rPr>
        <w:t>by Parent, if (i) the Board of Directors of the Company, or any authorized committee thereof, shall have effected a Company Board Recommendation Change; (ii) the Board of Directors of the Company, or any authorized committee thereof shall have failed to present and recommend the approval and adoption of this Agreement and the Merger to the stockholders of the Company, or withdrawn or modified in a manner adverse to Parent, its recommendation or approval of the Merger and this Agreement; (iii) Company shall have entered, or caused the Company or its Subsidiaries to enter, into any letter of intent, agreement in principle, term sheet, merger agreement, acquisition agreement or other similar agreement related to any Company Acquisition Proposal; (iv) Company shall have breached Section 4.2; or (v) the Board of Directors of Company, or any authorized committee thereof shall have resolved to do any of the foregoing;</w:t>
      </w:r>
    </w:p>
    <w:p>
      <w:pPr>
        <w:spacing w:after="0" w:line="72" w:lineRule="exact"/>
        <w:rPr>
          <w:rFonts w:ascii="Arial" w:cs="Arial" w:eastAsia="Arial" w:hAnsi="Arial"/>
          <w:sz w:val="16"/>
          <w:szCs w:val="16"/>
          <w:color w:val="auto"/>
        </w:rPr>
      </w:pPr>
    </w:p>
    <w:p>
      <w:pPr>
        <w:jc w:val="both"/>
        <w:ind w:left="300" w:right="1239" w:firstLine="248"/>
        <w:spacing w:after="0" w:line="283" w:lineRule="auto"/>
        <w:tabs>
          <w:tab w:leader="none" w:pos="847" w:val="left"/>
        </w:tabs>
        <w:numPr>
          <w:ilvl w:val="1"/>
          <w:numId w:val="247"/>
        </w:numPr>
        <w:rPr>
          <w:rFonts w:ascii="Arial" w:cs="Arial" w:eastAsia="Arial" w:hAnsi="Arial"/>
          <w:sz w:val="15"/>
          <w:szCs w:val="15"/>
          <w:color w:val="auto"/>
        </w:rPr>
      </w:pPr>
      <w:r>
        <w:rPr>
          <w:rFonts w:ascii="Arial" w:cs="Arial" w:eastAsia="Arial" w:hAnsi="Arial"/>
          <w:sz w:val="15"/>
          <w:szCs w:val="15"/>
          <w:color w:val="auto"/>
        </w:rPr>
        <w:t>by Company, if (i) the Board of Directors of Parent, or any authorized committee thereof, shall have effected a Parent Board Recommendation Change; (ii) the Board of Directors of Parent, or any authorized committee thereof shall have failed to present and recommend the approval and adoption of this Agreement and the Merger to the stockholders of Parent, or withdrawn or modified in a manner adverse to Company, its recommendation or approval of the Merger and this Agreement;</w:t>
      </w:r>
    </w:p>
    <w:p>
      <w:pPr>
        <w:jc w:val="both"/>
        <w:ind w:left="300" w:right="1239" w:hanging="2"/>
        <w:spacing w:after="0" w:line="247" w:lineRule="auto"/>
        <w:tabs>
          <w:tab w:leader="none" w:pos="59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Parent shall have entered, or caused the Parent or its Subsidiaries to enter, into any letter of intent, agreement in principle, term sheet, merger agreement, acquisition agreement or other similar agreement related to any Parent Acquisition Proposal; (iv) Parent shall have breached Section 4.3; (v) Parent shall have failed to include the Parent Board Recommendation in the Proxy Statement or (vi) the Board of Directors of Parent, or any authorized committee thereof shall have resolved to do any of the foregoing;</w:t>
      </w:r>
    </w:p>
    <w:p>
      <w:pPr>
        <w:spacing w:after="0" w:line="84" w:lineRule="exact"/>
        <w:rPr>
          <w:rFonts w:ascii="Arial" w:cs="Arial" w:eastAsia="Arial" w:hAnsi="Arial"/>
          <w:sz w:val="17"/>
          <w:szCs w:val="17"/>
          <w:color w:val="auto"/>
        </w:rPr>
      </w:pPr>
    </w:p>
    <w:p>
      <w:pPr>
        <w:jc w:val="both"/>
        <w:ind w:left="300" w:right="1239" w:firstLine="248"/>
        <w:spacing w:after="0" w:line="270" w:lineRule="auto"/>
        <w:tabs>
          <w:tab w:leader="none" w:pos="829" w:val="left"/>
        </w:tabs>
        <w:numPr>
          <w:ilvl w:val="1"/>
          <w:numId w:val="248"/>
        </w:numPr>
        <w:rPr>
          <w:rFonts w:ascii="Arial" w:cs="Arial" w:eastAsia="Arial" w:hAnsi="Arial"/>
          <w:sz w:val="16"/>
          <w:szCs w:val="16"/>
          <w:color w:val="auto"/>
        </w:rPr>
      </w:pPr>
      <w:r>
        <w:rPr>
          <w:rFonts w:ascii="Arial" w:cs="Arial" w:eastAsia="Arial" w:hAnsi="Arial"/>
          <w:sz w:val="16"/>
          <w:szCs w:val="16"/>
          <w:color w:val="auto"/>
        </w:rPr>
        <w:t>by Parent, if neither Parent nor Merger Sub is then in material breach of its obligations or representations and warranties under this Agreement, and if (i) the Company breaches its representations and warranties herein such that Section 6.2(a) would not be satisfied or (ii) there has been a breach on the part of the Company of any of its covenants or agreements contained in this Agreement such that Section 6.2(b) would not be satisfied, and, in both case (i) and case (ii), such breach cannot be cured or has not been cured within fifteen (15) days after notice thereof to the Company;</w:t>
      </w:r>
    </w:p>
    <w:p>
      <w:pPr>
        <w:spacing w:after="0" w:line="67" w:lineRule="exact"/>
        <w:rPr>
          <w:rFonts w:ascii="Arial" w:cs="Arial" w:eastAsia="Arial" w:hAnsi="Arial"/>
          <w:sz w:val="16"/>
          <w:szCs w:val="16"/>
          <w:color w:val="auto"/>
        </w:rPr>
      </w:pPr>
    </w:p>
    <w:p>
      <w:pPr>
        <w:jc w:val="both"/>
        <w:ind w:left="300" w:right="1239" w:firstLine="248"/>
        <w:spacing w:after="0" w:line="292" w:lineRule="auto"/>
        <w:tabs>
          <w:tab w:leader="none" w:pos="861" w:val="left"/>
        </w:tabs>
        <w:numPr>
          <w:ilvl w:val="1"/>
          <w:numId w:val="248"/>
        </w:numPr>
        <w:rPr>
          <w:rFonts w:ascii="Arial" w:cs="Arial" w:eastAsia="Arial" w:hAnsi="Arial"/>
          <w:sz w:val="15"/>
          <w:szCs w:val="15"/>
          <w:color w:val="auto"/>
        </w:rPr>
      </w:pPr>
      <w:r>
        <w:rPr>
          <w:rFonts w:ascii="Arial" w:cs="Arial" w:eastAsia="Arial" w:hAnsi="Arial"/>
          <w:sz w:val="15"/>
          <w:szCs w:val="15"/>
          <w:color w:val="auto"/>
        </w:rPr>
        <w:t>by the Company, if it is not then in material breach of its obligations, representations and warranties under this Agreement, and if (i) either Parent or Merger Sub breaches its representations and warranties herein such that Section 6.3(a) would not be satisfied; or (ii) there has been a breach on the part of Parent or Merger Sub of any of their respective covenants or agreements contained in this Agreement such that Section 6.3(b) would not be satisfied, and, in both case (i) and case (ii), such breach cannot be cured or has not been cured within fifteen (15) days after notice thereof to Parent;</w:t>
      </w:r>
    </w:p>
    <w:p>
      <w:pPr>
        <w:spacing w:after="0" w:line="53" w:lineRule="exact"/>
        <w:rPr>
          <w:rFonts w:ascii="Arial" w:cs="Arial" w:eastAsia="Arial" w:hAnsi="Arial"/>
          <w:sz w:val="15"/>
          <w:szCs w:val="15"/>
          <w:color w:val="auto"/>
        </w:rPr>
      </w:pPr>
    </w:p>
    <w:p>
      <w:pPr>
        <w:jc w:val="both"/>
        <w:ind w:left="300" w:right="1239" w:firstLine="248"/>
        <w:spacing w:after="0" w:line="285" w:lineRule="auto"/>
        <w:tabs>
          <w:tab w:leader="none" w:pos="840" w:val="left"/>
        </w:tabs>
        <w:numPr>
          <w:ilvl w:val="1"/>
          <w:numId w:val="248"/>
        </w:numPr>
        <w:rPr>
          <w:rFonts w:ascii="Arial" w:cs="Arial" w:eastAsia="Arial" w:hAnsi="Arial"/>
          <w:sz w:val="15"/>
          <w:szCs w:val="15"/>
          <w:color w:val="auto"/>
        </w:rPr>
      </w:pPr>
      <w:r>
        <w:rPr>
          <w:rFonts w:ascii="Arial" w:cs="Arial" w:eastAsia="Arial" w:hAnsi="Arial"/>
          <w:sz w:val="15"/>
          <w:szCs w:val="15"/>
          <w:color w:val="auto"/>
        </w:rPr>
        <w:t>(A) by Parent, if at any time prior to obtaining the Parent Stockholder Approval, Parent determines to enter into a definitive agreement relating to a Parent Acquisition Proposal that the Board of Directors of Parent has determined constitutes a Parent Superior Proposal; provided that the (i) the Board of Directors of Parent shall have effected a Parent Board Recommendation Change in accordance with Section 4.3(c) and shall have complied with all provisions of Section 4.3; (ii) Parent is not in breach in any material respect with the terms of this Agreement; (iii) Parent shall have entered into a definitive agreement relating to the Parent Acquisition Proposal and (iv) concurrently with the termination of this Agreement, Parent pays the Termination Fee payable to the Company pursuant to Section 7.3(c) or (B) by Company, if Company determines to enter into a definitive agreement relating to a Company Acquisition Proposal that the Board of Directors of Company has determined constitutes a Company Superior Proposal; provided that the (i) the Board of Directors of Company shall have effected a</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7" w:name="page338"/>
    <w:bookmarkEnd w:id="3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97" w:lineRule="auto"/>
        <w:rPr>
          <w:sz w:val="20"/>
          <w:szCs w:val="20"/>
          <w:color w:val="auto"/>
        </w:rPr>
      </w:pPr>
      <w:r>
        <w:rPr>
          <w:rFonts w:ascii="Arial" w:cs="Arial" w:eastAsia="Arial" w:hAnsi="Arial"/>
          <w:sz w:val="15"/>
          <w:szCs w:val="15"/>
          <w:color w:val="auto"/>
        </w:rPr>
        <w:t>Company Board Recommendation Change in accordance with Section 4.2(c) and shall have complied with all provisions of Section 4.2; (ii) Company is not in breach in any material respect with the terms of this Agreement; (iii) Company shall have entered into a definitive agreement relating to the Company Acquisition Proposal and (iv) concurrently with the termination of this Agreement, Company pays the Company Termination Fee payable to the Parent pursuant to Section 7.3(b); or</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(k) by the Company, at any time, upon the payment to Parent of the fee set forth in Section 7.3(b).</w:t>
      </w:r>
    </w:p>
    <w:p>
      <w:pPr>
        <w:spacing w:after="0" w:line="10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Effect of Termination</w:t>
      </w:r>
      <w:r>
        <w:rPr>
          <w:rFonts w:ascii="Arial" w:cs="Arial" w:eastAsia="Arial" w:hAnsi="Arial"/>
          <w:sz w:val="15"/>
          <w:szCs w:val="15"/>
          <w:color w:val="auto"/>
        </w:rPr>
        <w:t>. Except as provided in this Section 7.2, in the event of the termination of this Agreement pursuant to Section 7.1, this Agreement (other than this Section 7.2 and Sections 5.2(b), 5.8, 7.3 and Article VIII, each of which shall survive such termination) will forthwith become void, and there will be no liability on the part of Parent, Merger Sub or the Company or any of their respective officers or directors to the other and all rights and obligations of any Party will cease, except, subject to Section 7.3(g), that nothing herein will relieve any Party from liability for any breach, prior to termination of this Agreement in accordance with its terms, of any representation, warranty, covenant or agreement contained in this Agreement or from any obligation to pay, if and as applicable, the Company Termination Fee or the Parent Termination Fee.</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Fees and Expenses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6" w:lineRule="auto"/>
        <w:tabs>
          <w:tab w:leader="none" w:pos="876" w:val="left"/>
        </w:tabs>
        <w:numPr>
          <w:ilvl w:val="0"/>
          <w:numId w:val="249"/>
        </w:numPr>
        <w:rPr>
          <w:rFonts w:ascii="Arial" w:cs="Arial" w:eastAsia="Arial" w:hAnsi="Arial"/>
          <w:sz w:val="17"/>
          <w:szCs w:val="17"/>
          <w:color w:val="auto"/>
        </w:rPr>
      </w:pPr>
      <w:r>
        <w:rPr>
          <w:rFonts w:ascii="Arial" w:cs="Arial" w:eastAsia="Arial" w:hAnsi="Arial"/>
          <w:sz w:val="17"/>
          <w:szCs w:val="17"/>
          <w:color w:val="auto"/>
        </w:rPr>
        <w:t>Except as set forth in this Section 7.3, all fees and expenses incurred in connection with this Agreement and the transactions contemplated hereby shall be paid by the Party incurring such fees and expenses, whether or not the Merger is consummated.</w:t>
      </w:r>
    </w:p>
    <w:p>
      <w:pPr>
        <w:spacing w:after="0" w:line="76" w:lineRule="exact"/>
        <w:rPr>
          <w:rFonts w:ascii="Arial" w:cs="Arial" w:eastAsia="Arial" w:hAnsi="Arial"/>
          <w:sz w:val="17"/>
          <w:szCs w:val="17"/>
          <w:color w:val="auto"/>
        </w:rPr>
      </w:pPr>
    </w:p>
    <w:p>
      <w:pPr>
        <w:jc w:val="both"/>
        <w:ind w:left="300" w:right="1239" w:firstLine="248"/>
        <w:spacing w:after="0" w:line="251" w:lineRule="auto"/>
        <w:tabs>
          <w:tab w:leader="none" w:pos="852"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In the event that either (A) the Company terminates this Agreement pursuant to Section 7.1(j)(B) or 7.1(k) or (B) the Parent or the Company validly terminates this Agreement pursuant to Section 7.1(e) or Section 7.1(f), then the Company shall pay to Parent, simultaneously with such termination of this Agreement, a fee in cash equal to $5,000,000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 Fee</w:t>
      </w:r>
      <w:r>
        <w:rPr>
          <w:rFonts w:ascii="Arial" w:cs="Arial" w:eastAsia="Arial" w:hAnsi="Arial"/>
          <w:sz w:val="17"/>
          <w:szCs w:val="17"/>
          <w:color w:val="auto"/>
        </w:rPr>
        <w:t>”), which Company Termination Fee shall be payable by wire transfer of immediately available funds to an</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specified by Parent.</w:t>
      </w:r>
    </w:p>
    <w:p>
      <w:pPr>
        <w:spacing w:after="0" w:line="80" w:lineRule="exact"/>
        <w:rPr>
          <w:rFonts w:ascii="Arial" w:cs="Arial" w:eastAsia="Arial" w:hAnsi="Arial"/>
          <w:sz w:val="17"/>
          <w:szCs w:val="17"/>
          <w:color w:val="auto"/>
        </w:rPr>
      </w:pPr>
    </w:p>
    <w:p>
      <w:pPr>
        <w:jc w:val="both"/>
        <w:ind w:left="300" w:right="1239" w:firstLine="248"/>
        <w:spacing w:after="0" w:line="285" w:lineRule="auto"/>
        <w:tabs>
          <w:tab w:leader="none" w:pos="853" w:val="left"/>
        </w:tabs>
        <w:numPr>
          <w:ilvl w:val="0"/>
          <w:numId w:val="249"/>
        </w:numPr>
        <w:rPr>
          <w:rFonts w:ascii="Arial" w:cs="Arial" w:eastAsia="Arial" w:hAnsi="Arial"/>
          <w:sz w:val="15"/>
          <w:szCs w:val="15"/>
          <w:color w:val="auto"/>
        </w:rPr>
      </w:pPr>
      <w:r>
        <w:rPr>
          <w:rFonts w:ascii="Arial" w:cs="Arial" w:eastAsia="Arial" w:hAnsi="Arial"/>
          <w:sz w:val="15"/>
          <w:szCs w:val="15"/>
          <w:color w:val="auto"/>
        </w:rPr>
        <w:t>In the event that (i) the Company validly terminates this Agreement pursuant to Section 7.1(g) or (ii) Parent validly terminates this Agreement pursuant to Section 7.1(j)(A), then, in any such case, Parent shall pay to the Company, simultaneously with such termination of this Agreement, a fee (the “</w:t>
      </w:r>
      <w:r>
        <w:rPr>
          <w:rFonts w:ascii="Arial" w:cs="Arial" w:eastAsia="Arial" w:hAnsi="Arial"/>
          <w:sz w:val="15"/>
          <w:szCs w:val="15"/>
          <w:b w:val="1"/>
          <w:bCs w:val="1"/>
          <w:color w:val="auto"/>
        </w:rPr>
        <w:t>Parent Termination Fee</w:t>
      </w:r>
      <w:r>
        <w:rPr>
          <w:rFonts w:ascii="Arial" w:cs="Arial" w:eastAsia="Arial" w:hAnsi="Arial"/>
          <w:sz w:val="15"/>
          <w:szCs w:val="15"/>
          <w:color w:val="auto"/>
        </w:rPr>
        <w:t>”) equal to 5% of the consideration paid to all security holders of Parent in connection with the Parent Superior Proposal in the same form as such consideration is paid to such security holders (i.e., 5% of the cash, securities and any other form of consideration paid in connection with the Parent Superior Proposal), which Parent Termination Fee, to the extent it is cash, shall be payable by wire transfer of immediately available funds to an account specified by the Company; provided, that, notwithstanding anything to the contrary set forth herein, a Parent Termination Fee shall only be payable if the termination of this Agreement is in connection with or solely due to the Parent entering into an agreement for a Parent Superior Proposal.</w:t>
      </w:r>
    </w:p>
    <w:p>
      <w:pPr>
        <w:spacing w:after="0" w:line="61" w:lineRule="exact"/>
        <w:rPr>
          <w:rFonts w:ascii="Arial" w:cs="Arial" w:eastAsia="Arial" w:hAnsi="Arial"/>
          <w:sz w:val="15"/>
          <w:szCs w:val="15"/>
          <w:color w:val="auto"/>
        </w:rPr>
      </w:pPr>
    </w:p>
    <w:p>
      <w:pPr>
        <w:jc w:val="both"/>
        <w:ind w:left="300" w:right="1239" w:firstLine="248"/>
        <w:spacing w:after="0" w:line="265" w:lineRule="auto"/>
        <w:tabs>
          <w:tab w:leader="none" w:pos="85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In the event that this Agreement is validly terminated by Parent pursuant to Section 7.1(b), Section 7.1(d) or Section 7.1(h), and at or prior to the time of such termination, a Parent Acquisition Proposal has either previously been publicly announced (or has become publicly known) or has been proposed or communicated to Parent and (ii) within six (6) months following the termination of this Agreement, (y) Parent enters into a definitive agreement with respect to such previously proposed, communicated, known or announced Parent Acquisition Proposal or (z) such previously proposed, communicated, known or announced Parent Acquisition Proposal is otherwise consummated, then, in any such case, Parent shall pay to the Company the Parent Termination Fee, by wire transfer of immediately available funds to an account or accounts designated in writing by the Company, within two (2) Business Days after the execution of such agreement or after such transaction is consummated, as applicable (provided that for purposes of the foregoing clause (B) each reference to “20%” in the definition of Parent Acquisition Proposal shall be deemed to be a reference to “35%”).</w:t>
      </w:r>
    </w:p>
    <w:p>
      <w:pPr>
        <w:spacing w:after="0" w:line="200" w:lineRule="exact"/>
        <w:rPr>
          <w:sz w:val="20"/>
          <w:szCs w:val="20"/>
          <w:color w:val="auto"/>
        </w:rPr>
      </w:pPr>
    </w:p>
    <w:p>
      <w:pPr>
        <w:spacing w:after="0" w:line="287"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8" w:name="page339"/>
    <w:bookmarkEnd w:id="3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85" w:lineRule="auto"/>
        <w:tabs>
          <w:tab w:leader="none" w:pos="834" w:val="left"/>
        </w:tabs>
        <w:numPr>
          <w:ilvl w:val="0"/>
          <w:numId w:val="250"/>
        </w:numPr>
        <w:rPr>
          <w:rFonts w:ascii="Arial" w:cs="Arial" w:eastAsia="Arial" w:hAnsi="Arial"/>
          <w:sz w:val="15"/>
          <w:szCs w:val="15"/>
          <w:color w:val="auto"/>
        </w:rPr>
      </w:pPr>
      <w:r>
        <w:rPr>
          <w:rFonts w:ascii="Arial" w:cs="Arial" w:eastAsia="Arial" w:hAnsi="Arial"/>
          <w:sz w:val="15"/>
          <w:szCs w:val="15"/>
          <w:color w:val="auto"/>
        </w:rPr>
        <w:t>In the event that this Agreement is validly terminated by the Company pursuant to Section 7.1(b) or Section 7.1(i) and at or prior to the time of such termination, a Company Acquisition Proposal has either previously been publicly announced (or has become publicly known) or has been proposed or communicated to the Company and (ii) within six (6) months following the termination of this Agreement, (A) the Company enters into a definitive agreement with respect to such previously proposed, communicated, known or announced Company Acquisition Proposal or (B) such previously proposed, communicated, known or announced Company Acquisition Proposal is otherwise consummated, then, in any such case, Company shall pay to the Parent the Company Termination Fee, by wire transfer of immediately available funds to an account or accounts designated in writing by the Parent, within two (2) Business Days after the execution of such agreement or after such transaction is consummated, as applicable (provided that for purposes of the foregoing clause (B) each reference to “20%” in the definition of Company Acquisition Proposal shall be deemed to be a reference to “35%”).</w:t>
      </w:r>
    </w:p>
    <w:p>
      <w:pPr>
        <w:spacing w:after="0" w:line="56" w:lineRule="exact"/>
        <w:rPr>
          <w:rFonts w:ascii="Arial" w:cs="Arial" w:eastAsia="Arial" w:hAnsi="Arial"/>
          <w:sz w:val="15"/>
          <w:szCs w:val="15"/>
          <w:color w:val="auto"/>
        </w:rPr>
      </w:pPr>
    </w:p>
    <w:p>
      <w:pPr>
        <w:jc w:val="both"/>
        <w:ind w:left="300" w:right="1239" w:firstLine="248"/>
        <w:spacing w:after="0" w:line="285" w:lineRule="auto"/>
        <w:tabs>
          <w:tab w:leader="none" w:pos="841" w:val="left"/>
        </w:tabs>
        <w:numPr>
          <w:ilvl w:val="0"/>
          <w:numId w:val="250"/>
        </w:numPr>
        <w:rPr>
          <w:rFonts w:ascii="Arial" w:cs="Arial" w:eastAsia="Arial" w:hAnsi="Arial"/>
          <w:sz w:val="15"/>
          <w:szCs w:val="15"/>
          <w:color w:val="auto"/>
        </w:rPr>
      </w:pPr>
      <w:r>
        <w:rPr>
          <w:rFonts w:ascii="Arial" w:cs="Arial" w:eastAsia="Arial" w:hAnsi="Arial"/>
          <w:sz w:val="15"/>
          <w:szCs w:val="15"/>
          <w:color w:val="auto"/>
        </w:rPr>
        <w:t xml:space="preserve">Each of the Company and Parent acknowledges and agrees that the agreements contained in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are an integral part of the transactions contemplated by this Agreement, and that, without these agreements, neither the Company nor Parent would have entered into this Agreement; accordingly, if the Company or Parent fails promptly to pay the Parent Termination Fee or the Company Termination Fee when due pursuant to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and, in order to obtain such payment, either Parent or the Company, as applicable, commences an Action that results in an award against the Company or Parent, as applicable, for such fee, the Company or Parent, as applicable, shall pay the other Party its costs and expenses (including reasonable attorneys’ fees and expenses) in connection with such Action, together with interest on the amount of the applicable fee from the date such payment was required to be made until the date of payment at the prime lending rate as published in </w:t>
      </w:r>
      <w:r>
        <w:rPr>
          <w:rFonts w:ascii="Arial" w:cs="Arial" w:eastAsia="Arial" w:hAnsi="Arial"/>
          <w:sz w:val="15"/>
          <w:szCs w:val="15"/>
          <w:i w:val="1"/>
          <w:iCs w:val="1"/>
          <w:color w:val="auto"/>
        </w:rPr>
        <w:t>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Wall Street Journal </w:t>
      </w:r>
      <w:r>
        <w:rPr>
          <w:rFonts w:ascii="Arial" w:cs="Arial" w:eastAsia="Arial" w:hAnsi="Arial"/>
          <w:sz w:val="15"/>
          <w:szCs w:val="15"/>
          <w:color w:val="auto"/>
        </w:rPr>
        <w:t>in effect on the date such payment was required to be made. Under no circumstances shall any Party be</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to may more than one fee in respect of termination under this Section 7.3.</w:t>
      </w:r>
    </w:p>
    <w:p>
      <w:pPr>
        <w:spacing w:after="0" w:line="56" w:lineRule="exact"/>
        <w:rPr>
          <w:rFonts w:ascii="Arial" w:cs="Arial" w:eastAsia="Arial" w:hAnsi="Arial"/>
          <w:sz w:val="15"/>
          <w:szCs w:val="15"/>
          <w:color w:val="auto"/>
        </w:rPr>
      </w:pPr>
    </w:p>
    <w:p>
      <w:pPr>
        <w:jc w:val="both"/>
        <w:ind w:left="300" w:right="1239" w:firstLine="248"/>
        <w:spacing w:after="0" w:line="266" w:lineRule="auto"/>
        <w:tabs>
          <w:tab w:leader="none" w:pos="87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 each of Parent and Merger Sub acknowledges and agrees that if Parent is entitled to receive the Company Termination Fee, the right to receive such payment shall be the sole and exclusive remedy for the termination of this Agreement and such payment shall be the full and final payment for any such termination pursuant to Section 7.1 hereof and Parent and Merger Sub shall be deemed to have waived any and all claims and held Company harmless in exchange for such payment, and (ii) the Company acknowledges and agrees that if the Company is entitled to receive the Parent Termination Fee, the right to receive such payment shall be the sole and exclusive remedy for the termination of this Agreement and such payment shall be the full and final payment for any such termination pursuant to Section 7.1 hereof and the Company shall be deemed to have waived any and all claims and held Parent and Merger Sub harmless in exchange for such payment</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by the Parties by action taken by or on behalf of their respective Boards of Directors at any time prior to the Effective Time subject to the applicable provisions of the DGCL. This Agreement may not be amended except by an instrument in writing signed by all of the Parties.</w:t>
      </w:r>
    </w:p>
    <w:p>
      <w:pPr>
        <w:spacing w:after="0" w:line="7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may extend the time for the performance of any of the obligations or other acts required hereunder, waive any inaccuracies in the representations and warranties contained herein or in any document delivered pursuant hereto and waive compliance with any of the agreements or conditions contained herein. Any such extension or waiver shall be valid only if set forth in an instrument signed by the Party to be bound thereby.</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9" w:name="page340"/>
    <w:bookmarkEnd w:id="33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VIII</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GENERAL PROVISIONS</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which are required or permitted hereunder shall be in writing and sufficient if delivered personally or sent by nationally-recognized overnight courier or by registered or certified mail, postage prepaid, return receipt requested, or by electronic mail, with a copy thereof to be delivered by mail (as aforesaid) within 24 hours of such electronic mail, or by telecopier, with confirmation as provided above addressed as follows:</w:t>
      </w:r>
    </w:p>
    <w:p>
      <w:pPr>
        <w:spacing w:after="0" w:line="62" w:lineRule="exact"/>
        <w:rPr>
          <w:sz w:val="20"/>
          <w:szCs w:val="20"/>
          <w:color w:val="auto"/>
        </w:rPr>
      </w:pPr>
    </w:p>
    <w:p>
      <w:pPr>
        <w:ind w:left="820" w:hanging="272"/>
        <w:spacing w:after="0"/>
        <w:tabs>
          <w:tab w:leader="none" w:pos="82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to Parent or Merger Sub:</w:t>
      </w:r>
    </w:p>
    <w:p>
      <w:pPr>
        <w:spacing w:after="0" w:line="105"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7"/>
          <w:szCs w:val="17"/>
          <w:color w:val="auto"/>
        </w:rPr>
        <w:t>VRINGO, INC.</w:t>
      </w:r>
    </w:p>
    <w:p>
      <w:pPr>
        <w:spacing w:after="0" w:line="31" w:lineRule="exact"/>
        <w:rPr>
          <w:rFonts w:ascii="Arial" w:cs="Arial" w:eastAsia="Arial" w:hAnsi="Arial"/>
          <w:sz w:val="17"/>
          <w:szCs w:val="17"/>
          <w:color w:val="auto"/>
        </w:rPr>
      </w:pPr>
    </w:p>
    <w:p>
      <w:pPr>
        <w:ind w:left="800" w:right="7259"/>
        <w:spacing w:after="0" w:line="222" w:lineRule="auto"/>
        <w:rPr>
          <w:rFonts w:ascii="Arial" w:cs="Arial" w:eastAsia="Arial" w:hAnsi="Arial"/>
          <w:sz w:val="17"/>
          <w:szCs w:val="17"/>
          <w:color w:val="auto"/>
        </w:rPr>
      </w:pPr>
      <w:r>
        <w:rPr>
          <w:rFonts w:ascii="Arial" w:cs="Arial" w:eastAsia="Arial" w:hAnsi="Arial"/>
          <w:sz w:val="17"/>
          <w:szCs w:val="17"/>
          <w:color w:val="auto"/>
        </w:rPr>
        <w:t>44 West 28</w:t>
      </w:r>
      <w:r>
        <w:rPr>
          <w:rFonts w:ascii="Arial" w:cs="Arial" w:eastAsia="Arial" w:hAnsi="Arial"/>
          <w:sz w:val="27"/>
          <w:szCs w:val="27"/>
          <w:color w:val="auto"/>
          <w:vertAlign w:val="superscript"/>
        </w:rPr>
        <w:t>th</w:t>
      </w:r>
      <w:r>
        <w:rPr>
          <w:rFonts w:ascii="Arial" w:cs="Arial" w:eastAsia="Arial" w:hAnsi="Arial"/>
          <w:sz w:val="17"/>
          <w:szCs w:val="17"/>
          <w:color w:val="auto"/>
        </w:rPr>
        <w:t>Street, Suite 1414 New York, NY 10001 Telecopier: 509-271-5246</w:t>
      </w:r>
    </w:p>
    <w:p>
      <w:pPr>
        <w:ind w:left="800"/>
        <w:spacing w:after="0"/>
        <w:rPr>
          <w:rFonts w:ascii="Arial" w:cs="Arial" w:eastAsia="Arial" w:hAnsi="Arial"/>
          <w:sz w:val="17"/>
          <w:szCs w:val="17"/>
          <w:color w:val="auto"/>
        </w:rPr>
      </w:pPr>
      <w:r>
        <w:rPr>
          <w:rFonts w:ascii="Arial" w:cs="Arial" w:eastAsia="Arial" w:hAnsi="Arial"/>
          <w:sz w:val="17"/>
          <w:szCs w:val="17"/>
          <w:color w:val="auto"/>
        </w:rPr>
        <w:t>E-Mail: andrew.perlman@vringo.com</w:t>
      </w:r>
    </w:p>
    <w:p>
      <w:pPr>
        <w:spacing w:after="0" w:line="5" w:lineRule="exact"/>
        <w:rPr>
          <w:rFonts w:ascii="Arial" w:cs="Arial" w:eastAsia="Arial" w:hAnsi="Arial"/>
          <w:sz w:val="17"/>
          <w:szCs w:val="17"/>
          <w:color w:val="auto"/>
        </w:rPr>
      </w:pPr>
    </w:p>
    <w:p>
      <w:pPr>
        <w:ind w:left="800" w:right="7439"/>
        <w:spacing w:after="0" w:line="361" w:lineRule="auto"/>
        <w:rPr>
          <w:rFonts w:ascii="Arial" w:cs="Arial" w:eastAsia="Arial" w:hAnsi="Arial"/>
          <w:sz w:val="17"/>
          <w:szCs w:val="17"/>
          <w:color w:val="auto"/>
        </w:rPr>
      </w:pPr>
      <w:r>
        <w:rPr>
          <w:rFonts w:ascii="Arial" w:cs="Arial" w:eastAsia="Arial" w:hAnsi="Arial"/>
          <w:sz w:val="17"/>
          <w:szCs w:val="17"/>
          <w:color w:val="auto"/>
        </w:rPr>
        <w:t>Attention: Andrew Perlman With copies to:</w:t>
      </w:r>
    </w:p>
    <w:p>
      <w:pPr>
        <w:spacing w:after="0" w:line="1" w:lineRule="exact"/>
        <w:rPr>
          <w:rFonts w:ascii="Arial" w:cs="Arial" w:eastAsia="Arial" w:hAnsi="Arial"/>
          <w:sz w:val="17"/>
          <w:szCs w:val="17"/>
          <w:color w:val="auto"/>
        </w:rPr>
      </w:pPr>
    </w:p>
    <w:p>
      <w:pPr>
        <w:ind w:left="800" w:right="5759"/>
        <w:spacing w:after="0" w:line="253" w:lineRule="auto"/>
        <w:rPr>
          <w:rFonts w:ascii="Arial" w:cs="Arial" w:eastAsia="Arial" w:hAnsi="Arial"/>
          <w:sz w:val="17"/>
          <w:szCs w:val="17"/>
          <w:color w:val="auto"/>
        </w:rPr>
      </w:pPr>
      <w:r>
        <w:rPr>
          <w:rFonts w:ascii="Arial" w:cs="Arial" w:eastAsia="Arial" w:hAnsi="Arial"/>
          <w:sz w:val="17"/>
          <w:szCs w:val="17"/>
          <w:color w:val="auto"/>
        </w:rPr>
        <w:t>Mintz, Levin, Cohn, Ferris, Glovsky and Popeo, P.C. 666 Third Avenue</w:t>
      </w:r>
    </w:p>
    <w:p>
      <w:pPr>
        <w:spacing w:after="0" w:line="1" w:lineRule="exact"/>
        <w:rPr>
          <w:rFonts w:ascii="Arial" w:cs="Arial" w:eastAsia="Arial" w:hAnsi="Arial"/>
          <w:sz w:val="17"/>
          <w:szCs w:val="17"/>
          <w:color w:val="auto"/>
        </w:rPr>
      </w:pPr>
    </w:p>
    <w:p>
      <w:pPr>
        <w:ind w:left="800" w:right="7399"/>
        <w:spacing w:after="0" w:line="291" w:lineRule="auto"/>
        <w:rPr>
          <w:rFonts w:ascii="Arial" w:cs="Arial" w:eastAsia="Arial" w:hAnsi="Arial"/>
          <w:sz w:val="17"/>
          <w:szCs w:val="17"/>
          <w:color w:val="auto"/>
        </w:rPr>
      </w:pPr>
      <w:r>
        <w:rPr>
          <w:rFonts w:ascii="Arial" w:cs="Arial" w:eastAsia="Arial" w:hAnsi="Arial"/>
          <w:sz w:val="15"/>
          <w:szCs w:val="15"/>
          <w:color w:val="auto"/>
        </w:rPr>
        <w:t>New York, NY 10017 Telecopier: 212-983-3115 E-Mail: KKoch@mintz.com Attention: Ken Koch</w:t>
      </w:r>
    </w:p>
    <w:p>
      <w:pPr>
        <w:spacing w:after="0" w:line="53" w:lineRule="exact"/>
        <w:rPr>
          <w:rFonts w:ascii="Arial" w:cs="Arial" w:eastAsia="Arial" w:hAnsi="Arial"/>
          <w:sz w:val="17"/>
          <w:szCs w:val="17"/>
          <w:color w:val="auto"/>
        </w:rPr>
      </w:pPr>
    </w:p>
    <w:p>
      <w:pPr>
        <w:ind w:left="820" w:hanging="272"/>
        <w:spacing w:after="0"/>
        <w:tabs>
          <w:tab w:leader="none" w:pos="82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to the Company:</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INNOVATE/PROTECT, INC.</w:t>
      </w:r>
    </w:p>
    <w:p>
      <w:pPr>
        <w:ind w:left="800"/>
        <w:spacing w:after="0" w:line="218" w:lineRule="auto"/>
        <w:rPr>
          <w:sz w:val="20"/>
          <w:szCs w:val="20"/>
          <w:color w:val="auto"/>
        </w:rPr>
      </w:pPr>
      <w:r>
        <w:rPr>
          <w:rFonts w:ascii="Arial" w:cs="Arial" w:eastAsia="Arial" w:hAnsi="Arial"/>
          <w:sz w:val="17"/>
          <w:szCs w:val="17"/>
          <w:color w:val="auto"/>
        </w:rPr>
        <w:t>380 Madison Avenue, 22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p>
      <w:pPr>
        <w:ind w:left="800"/>
        <w:spacing w:after="0"/>
        <w:rPr>
          <w:sz w:val="20"/>
          <w:szCs w:val="20"/>
          <w:color w:val="auto"/>
        </w:rPr>
      </w:pPr>
      <w:r>
        <w:rPr>
          <w:rFonts w:ascii="Arial" w:cs="Arial" w:eastAsia="Arial" w:hAnsi="Arial"/>
          <w:sz w:val="17"/>
          <w:szCs w:val="17"/>
          <w:color w:val="auto"/>
        </w:rPr>
        <w:t>New York, NY 10017</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Telecopier: (646) 532-6775</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E-Mail: aberger@innovateprotect.com</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Attention: Alexander R. Berger</w:t>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With a copies to:</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Weinberg Zareh &amp; Geyerhahn LLP</w:t>
      </w:r>
    </w:p>
    <w:p>
      <w:pPr>
        <w:ind w:left="800"/>
        <w:spacing w:after="0" w:line="218" w:lineRule="auto"/>
        <w:rPr>
          <w:sz w:val="20"/>
          <w:szCs w:val="20"/>
          <w:color w:val="auto"/>
        </w:rPr>
      </w:pPr>
      <w:r>
        <w:rPr>
          <w:rFonts w:ascii="Arial" w:cs="Arial" w:eastAsia="Arial" w:hAnsi="Arial"/>
          <w:sz w:val="17"/>
          <w:szCs w:val="17"/>
          <w:color w:val="auto"/>
        </w:rPr>
        <w:t>161 West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Street, Suite 12G</w:t>
      </w:r>
    </w:p>
    <w:p>
      <w:pPr>
        <w:ind w:left="800"/>
        <w:spacing w:after="0"/>
        <w:rPr>
          <w:sz w:val="20"/>
          <w:szCs w:val="20"/>
          <w:color w:val="auto"/>
        </w:rPr>
      </w:pPr>
      <w:r>
        <w:rPr>
          <w:rFonts w:ascii="Arial" w:cs="Arial" w:eastAsia="Arial" w:hAnsi="Arial"/>
          <w:sz w:val="17"/>
          <w:szCs w:val="17"/>
          <w:color w:val="auto"/>
        </w:rPr>
        <w:t>New York, New York 10023</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E-Mail: seth@wzgllp.com</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Attention: Seth Weinberg</w:t>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Hudson Bay Master Fund Ltd.</w:t>
      </w:r>
    </w:p>
    <w:p>
      <w:pPr>
        <w:ind w:left="800"/>
        <w:spacing w:after="0" w:line="218" w:lineRule="auto"/>
        <w:rPr>
          <w:sz w:val="20"/>
          <w:szCs w:val="20"/>
          <w:color w:val="auto"/>
        </w:rPr>
      </w:pPr>
      <w:r>
        <w:rPr>
          <w:rFonts w:ascii="Arial" w:cs="Arial" w:eastAsia="Arial" w:hAnsi="Arial"/>
          <w:sz w:val="17"/>
          <w:szCs w:val="17"/>
          <w:color w:val="auto"/>
        </w:rPr>
        <w:t>777 Third Avenue,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800"/>
        <w:spacing w:after="0"/>
        <w:rPr>
          <w:sz w:val="20"/>
          <w:szCs w:val="20"/>
          <w:color w:val="auto"/>
        </w:rPr>
      </w:pPr>
      <w:r>
        <w:rPr>
          <w:rFonts w:ascii="Arial" w:cs="Arial" w:eastAsia="Arial" w:hAnsi="Arial"/>
          <w:sz w:val="17"/>
          <w:szCs w:val="17"/>
          <w:color w:val="auto"/>
        </w:rPr>
        <w:t>New York, NY 10017</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Telecopier: (212) 571-1325</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E-Mail: investments@hudsonbaycapital.com</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Attention: Yoav Roth</w:t>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Schulte Roth &amp; Zabel LLP</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919 Third Avenue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New York, New York 10022</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Telecopier: (212) 593-5955</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E-Mail: eleazer.klein@srz.com</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Attention: Eleazer Klein</w:t>
      </w:r>
    </w:p>
    <w:p>
      <w:pPr>
        <w:spacing w:after="0" w:line="200" w:lineRule="exact"/>
        <w:rPr>
          <w:sz w:val="20"/>
          <w:szCs w:val="20"/>
          <w:color w:val="auto"/>
        </w:rPr>
      </w:pP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40" w:name="page341"/>
    <w:bookmarkEnd w:id="3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2" w:lineRule="auto"/>
        <w:rPr>
          <w:sz w:val="20"/>
          <w:szCs w:val="20"/>
          <w:color w:val="auto"/>
        </w:rPr>
      </w:pPr>
      <w:r>
        <w:rPr>
          <w:rFonts w:ascii="Arial" w:cs="Arial" w:eastAsia="Arial" w:hAnsi="Arial"/>
          <w:sz w:val="15"/>
          <w:szCs w:val="15"/>
          <w:color w:val="auto"/>
        </w:rPr>
        <w:t>or to such other address as the party to whom notice is to be given may have furnished to the other party in writing in accordance herewith. All such notices or communications shall be deemed to be received (i) in the case of personal delivery, on the date of such delivery; (ii) in the case of nationally-recognized overnight courier, on the next Business Day after the date when sent; (iii) in the case of facsimile transmission or telecopier or electronic mail, upon confirmed receipt; and (iv) in the case of mailing, on the third Business Day following the date on which the piece of mail containing such communication was posted.</w:t>
      </w:r>
    </w:p>
    <w:p>
      <w:pPr>
        <w:spacing w:after="0" w:line="53"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Interpretation</w:t>
      </w:r>
      <w:r>
        <w:rPr>
          <w:rFonts w:ascii="Arial" w:cs="Arial" w:eastAsia="Arial" w:hAnsi="Arial"/>
          <w:sz w:val="15"/>
          <w:szCs w:val="15"/>
          <w:color w:val="auto"/>
        </w:rPr>
        <w:t>. When a reference is made in this Agreement to Sections, subsections, Schedules or Exhibits, such reference shall be to a Section, subsection, Schedule or Exhibit to this Agreement unless otherwise indicated. The words “include,” “includes” and “including” when used herein shall be deemed in each case to be followed by the words “without limitation.” The word “herein” and similar references mean, except where a specific Section or Article reference is expressly indicated, the entire Agreement rather than any specific Section or Article. The table of contents and the headings contained in this Agreement are for reference purposes only and shall not affect in any way the meaning or interpretation of this Agreement.</w:t>
      </w:r>
    </w:p>
    <w:p>
      <w:pPr>
        <w:spacing w:after="0" w:line="53"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extent possible.</w:t>
      </w:r>
    </w:p>
    <w:p>
      <w:pPr>
        <w:spacing w:after="0" w:line="53"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all exhibits and schedules hereto and thereto), any non-disclosure or other agreement pertaining to the treatment of confidential information by and between the parties hereto (or any of them), and any other documents and instruments delivered in connection herewith constitute the entire agreement and supersede all prior agreements and undertakings, both written and oral, among the Parties with respect to the subject matter hereof.</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not be assigned by operation of law or otherwise, except that Parent and Merger Sub may assign all or any of their rights hereunder to any Affiliate, provided that no such assignment shall relieve Parent or Merger Sub, as the case may be, of its obligations hereunder.</w:t>
      </w:r>
    </w:p>
    <w:p>
      <w:pPr>
        <w:spacing w:after="0" w:line="76"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Parties in Interest</w:t>
      </w:r>
      <w:r>
        <w:rPr>
          <w:rFonts w:ascii="Arial" w:cs="Arial" w:eastAsia="Arial" w:hAnsi="Arial"/>
          <w:sz w:val="15"/>
          <w:szCs w:val="15"/>
          <w:color w:val="auto"/>
        </w:rPr>
        <w:t xml:space="preserve">.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the provisions of Article I and Sections 5.9 and 5.10 are intended for the benefit of each of the individuals specified therein and their successors and assigns.</w:t>
      </w:r>
    </w:p>
    <w:p>
      <w:pPr>
        <w:spacing w:after="0" w:line="4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Failure or Indulgence Not Waiver; Remedies Cumulative</w:t>
      </w:r>
      <w:r>
        <w:rPr>
          <w:rFonts w:ascii="Arial" w:cs="Arial" w:eastAsia="Arial" w:hAnsi="Arial"/>
          <w:sz w:val="17"/>
          <w:szCs w:val="17"/>
          <w:color w:val="auto"/>
        </w:rPr>
        <w:t>. No failure or delay on the part of any Party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Governing Law; Enforcement</w:t>
      </w:r>
      <w:r>
        <w:rPr>
          <w:rFonts w:ascii="Arial" w:cs="Arial" w:eastAsia="Arial" w:hAnsi="Arial"/>
          <w:sz w:val="17"/>
          <w:szCs w:val="17"/>
          <w:color w:val="auto"/>
        </w:rPr>
        <w:t>.</w:t>
      </w:r>
    </w:p>
    <w:p>
      <w:pPr>
        <w:spacing w:after="0" w:line="105" w:lineRule="exact"/>
        <w:rPr>
          <w:sz w:val="20"/>
          <w:szCs w:val="20"/>
          <w:color w:val="auto"/>
        </w:rPr>
      </w:pPr>
    </w:p>
    <w:p>
      <w:pPr>
        <w:ind w:left="300" w:right="1239" w:firstLine="248"/>
        <w:spacing w:after="0" w:line="267" w:lineRule="auto"/>
        <w:tabs>
          <w:tab w:leader="none" w:pos="843"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This Agreement and the rights and duties of the Parties hereunder shall be governed by, and construed in accordance with, the law of the State of New York, except to the extent required under Delaware law.</w:t>
      </w:r>
    </w:p>
    <w:p>
      <w:pPr>
        <w:spacing w:after="0" w:line="66" w:lineRule="exact"/>
        <w:rPr>
          <w:rFonts w:ascii="Arial" w:cs="Arial" w:eastAsia="Arial" w:hAnsi="Arial"/>
          <w:sz w:val="17"/>
          <w:szCs w:val="17"/>
          <w:color w:val="auto"/>
        </w:rPr>
      </w:pPr>
    </w:p>
    <w:p>
      <w:pPr>
        <w:jc w:val="both"/>
        <w:ind w:left="300" w:right="1239" w:firstLine="248"/>
        <w:spacing w:after="0" w:line="270" w:lineRule="auto"/>
        <w:tabs>
          <w:tab w:leader="none" w:pos="84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state courts in the State of New York, this being in addition to any other remedy to which they are entitled at law or in equity. In addition, each of the Parties: (i) consents to submit itself to</w:t>
      </w: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41" w:name="page342"/>
    <w:bookmarkEnd w:id="34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8" w:lineRule="auto"/>
        <w:rPr>
          <w:sz w:val="20"/>
          <w:szCs w:val="20"/>
          <w:color w:val="auto"/>
        </w:rPr>
      </w:pPr>
      <w:r>
        <w:rPr>
          <w:rFonts w:ascii="Arial" w:cs="Arial" w:eastAsia="Arial" w:hAnsi="Arial"/>
          <w:sz w:val="15"/>
          <w:szCs w:val="15"/>
          <w:color w:val="auto"/>
        </w:rPr>
        <w:t>the personal jurisdiction of the state courts of the State of New York in the event any dispute arises out of this Agreement or any transaction contemplated hereby; (ii) agrees that it will not attempt to deny or defeat personal jurisdiction by motion or other request for leave from any such court; (iii) waives any right to trial by jury with respect to any action related to or arising out of this Agreement or any transaction contemplated hereby; (iv) consents to service of process by delivery pursuant to Section 8.1 hereof; and (v) irrevocably and unconditionally waives (and agrees not to plead or claim) any objection to the laying of venue of any action, suit or proceeding arising out of this Agreement or the transactions contemplated hereby in any New York State court or any Federal Court of the United States of America sitting in New York City, New York.</w:t>
      </w:r>
    </w:p>
    <w:p>
      <w:pPr>
        <w:spacing w:after="0" w:line="5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and by the different Parties in separate counterparts, each of which when executed shall be deemed to be an original but all of which taken together shall constitute one and the same agreement.</w:t>
      </w:r>
    </w:p>
    <w:p>
      <w:pPr>
        <w:spacing w:after="0" w:line="172"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[REMAINDER OF PAGE INTENTIONALLY LEFT BLANK]</w:t>
      </w:r>
    </w:p>
    <w:p>
      <w:pPr>
        <w:spacing w:after="0" w:line="200" w:lineRule="exact"/>
        <w:rPr>
          <w:sz w:val="20"/>
          <w:szCs w:val="20"/>
          <w:color w:val="auto"/>
        </w:rPr>
      </w:pPr>
    </w:p>
    <w:p>
      <w:pPr>
        <w:spacing w:after="0" w:line="32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42" w:name="page343"/>
    <w:bookmarkEnd w:id="34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IN WITNESS WHEREOF, Parent, Merger Sub and the Company have caused this Agreement to be executed as of the date first written above by their respective officers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48215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jc w:val="center"/>
        <w:ind w:right="419"/>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tbl>
      <w:tblPr>
        <w:tblLayout w:type="fixed"/>
        <w:tblInd w:w="4280" w:type="dxa"/>
        <w:tblCellMar>
          <w:top w:w="0" w:type="dxa"/>
          <w:left w:w="0" w:type="dxa"/>
          <w:bottom w:w="0" w:type="dxa"/>
          <w:right w:w="0" w:type="dxa"/>
        </w:tblCellMar>
      </w:tblPr>
      <w:tr>
        <w:trPr>
          <w:trHeight w:val="200"/>
        </w:trPr>
        <w:tc>
          <w:tcPr>
            <w:tcW w:w="340" w:type="dxa"/>
            <w:vAlign w:val="bottom"/>
          </w:tcPr>
          <w:p>
            <w:pPr>
              <w:spacing w:after="0"/>
              <w:rPr>
                <w:sz w:val="20"/>
                <w:szCs w:val="20"/>
                <w:color w:val="auto"/>
              </w:rPr>
            </w:pPr>
            <w:r>
              <w:rPr>
                <w:rFonts w:ascii="Arial" w:cs="Arial" w:eastAsia="Arial" w:hAnsi="Arial"/>
                <w:sz w:val="17"/>
                <w:szCs w:val="17"/>
                <w:color w:val="auto"/>
              </w:rPr>
              <w:t>By</w:t>
            </w:r>
          </w:p>
        </w:tc>
        <w:tc>
          <w:tcPr>
            <w:tcW w:w="3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D. Perlman</w:t>
            </w:r>
          </w:p>
        </w:tc>
      </w:tr>
      <w:tr>
        <w:trPr>
          <w:trHeight w:val="181"/>
        </w:trPr>
        <w:tc>
          <w:tcPr>
            <w:tcW w:w="340" w:type="dxa"/>
            <w:vAlign w:val="bottom"/>
          </w:tcPr>
          <w:p>
            <w:pPr>
              <w:spacing w:after="0"/>
              <w:rPr>
                <w:sz w:val="15"/>
                <w:szCs w:val="15"/>
                <w:color w:val="auto"/>
              </w:rPr>
            </w:pPr>
          </w:p>
        </w:tc>
        <w:tc>
          <w:tcPr>
            <w:tcW w:w="3000" w:type="dxa"/>
            <w:vAlign w:val="bottom"/>
          </w:tcPr>
          <w:p>
            <w:pPr>
              <w:spacing w:after="0" w:line="180" w:lineRule="exact"/>
              <w:rPr>
                <w:sz w:val="20"/>
                <w:szCs w:val="20"/>
                <w:color w:val="auto"/>
              </w:rPr>
            </w:pPr>
            <w:r>
              <w:rPr>
                <w:rFonts w:ascii="Arial" w:cs="Arial" w:eastAsia="Arial" w:hAnsi="Arial"/>
                <w:sz w:val="17"/>
                <w:szCs w:val="17"/>
                <w:color w:val="auto"/>
              </w:rPr>
              <w:t>Name: Andrew D. Perlman</w:t>
            </w:r>
          </w:p>
        </w:tc>
      </w:tr>
      <w:tr>
        <w:trPr>
          <w:trHeight w:val="196"/>
        </w:trPr>
        <w:tc>
          <w:tcPr>
            <w:tcW w:w="34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Title: CEO</w:t>
            </w:r>
          </w:p>
        </w:tc>
      </w:tr>
      <w:tr>
        <w:trPr>
          <w:trHeight w:val="204"/>
        </w:trPr>
        <w:tc>
          <w:tcPr>
            <w:tcW w:w="3340" w:type="dxa"/>
            <w:vAlign w:val="bottom"/>
            <w:gridSpan w:val="2"/>
          </w:tcPr>
          <w:p>
            <w:pPr>
              <w:spacing w:after="0"/>
              <w:rPr>
                <w:sz w:val="20"/>
                <w:szCs w:val="20"/>
                <w:color w:val="auto"/>
              </w:rPr>
            </w:pPr>
            <w:r>
              <w:rPr>
                <w:rFonts w:ascii="Arial" w:cs="Arial" w:eastAsia="Arial" w:hAnsi="Arial"/>
                <w:sz w:val="17"/>
                <w:szCs w:val="17"/>
                <w:b w:val="1"/>
                <w:bCs w:val="1"/>
                <w:color w:val="auto"/>
              </w:rPr>
              <w:t>VIP MERGER SUB, INC.</w:t>
            </w:r>
          </w:p>
        </w:tc>
      </w:tr>
      <w:tr>
        <w:trPr>
          <w:trHeight w:val="213"/>
        </w:trPr>
        <w:tc>
          <w:tcPr>
            <w:tcW w:w="340" w:type="dxa"/>
            <w:vAlign w:val="bottom"/>
          </w:tcPr>
          <w:p>
            <w:pPr>
              <w:spacing w:after="0"/>
              <w:rPr>
                <w:sz w:val="20"/>
                <w:szCs w:val="20"/>
                <w:color w:val="auto"/>
              </w:rPr>
            </w:pPr>
            <w:r>
              <w:rPr>
                <w:rFonts w:ascii="Arial" w:cs="Arial" w:eastAsia="Arial" w:hAnsi="Arial"/>
                <w:sz w:val="17"/>
                <w:szCs w:val="17"/>
                <w:color w:val="auto"/>
              </w:rPr>
              <w:t>By</w:t>
            </w:r>
          </w:p>
        </w:tc>
        <w:tc>
          <w:tcPr>
            <w:tcW w:w="3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D. Perlman</w:t>
            </w:r>
          </w:p>
        </w:tc>
      </w:tr>
      <w:tr>
        <w:trPr>
          <w:trHeight w:val="195"/>
        </w:trPr>
        <w:tc>
          <w:tcPr>
            <w:tcW w:w="34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Name: Andrew D. Perlman</w:t>
            </w:r>
          </w:p>
        </w:tc>
      </w:tr>
    </w:tbl>
    <w:p>
      <w:pPr>
        <w:ind w:left="4620"/>
        <w:spacing w:after="0"/>
        <w:rPr>
          <w:sz w:val="20"/>
          <w:szCs w:val="20"/>
          <w:color w:val="auto"/>
        </w:rPr>
      </w:pPr>
      <w:r>
        <w:rPr>
          <w:rFonts w:ascii="Arial" w:cs="Arial" w:eastAsia="Arial" w:hAnsi="Arial"/>
          <w:sz w:val="17"/>
          <w:szCs w:val="17"/>
          <w:color w:val="auto"/>
        </w:rPr>
        <w:t>Title: President</w:t>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INNOVATE/PROTECT, INC.</w:t>
      </w:r>
    </w:p>
    <w:p>
      <w:pPr>
        <w:spacing w:after="0" w:line="5" w:lineRule="exact"/>
        <w:rPr>
          <w:sz w:val="20"/>
          <w:szCs w:val="20"/>
          <w:color w:val="auto"/>
        </w:rPr>
      </w:pPr>
    </w:p>
    <w:p>
      <w:pPr>
        <w:ind w:left="4280"/>
        <w:spacing w:after="0"/>
        <w:tabs>
          <w:tab w:leader="none" w:pos="46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Alexander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3175</wp:posOffset>
            </wp:positionV>
            <wp:extent cx="190182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7"/>
          <w:szCs w:val="17"/>
          <w:color w:val="auto"/>
        </w:rPr>
        <w:t>Name: Alexander Berger</w:t>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Title: COO and Director</w:t>
      </w:r>
    </w:p>
    <w:p>
      <w:pPr>
        <w:spacing w:after="0" w:line="200" w:lineRule="exact"/>
        <w:rPr>
          <w:sz w:val="20"/>
          <w:szCs w:val="20"/>
          <w:color w:val="auto"/>
        </w:rPr>
      </w:pP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3" w:name="page344"/>
    <w:bookmarkEnd w:id="34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Exhibit B</w:t>
      </w:r>
    </w:p>
    <w:p>
      <w:pPr>
        <w:spacing w:after="0" w:line="20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FORM OF CERTIFICATE OF MERGER</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Delaware Corporation)</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INTO</w:t>
      </w:r>
    </w:p>
    <w:p>
      <w:pPr>
        <w:spacing w:after="0" w:line="20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VIP MERGER SUB, INC.</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(a Delaware Corporation)</w:t>
      </w:r>
    </w:p>
    <w:p>
      <w:pPr>
        <w:spacing w:after="0" w:line="93"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Pursuant to the provisions of Section 251(c)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the undersigned corporation hereby certifies as follows:</w:t>
      </w:r>
    </w:p>
    <w:p>
      <w:pPr>
        <w:spacing w:after="0" w:line="66" w:lineRule="exact"/>
        <w:rPr>
          <w:sz w:val="20"/>
          <w:szCs w:val="20"/>
          <w:color w:val="auto"/>
        </w:rPr>
      </w:pPr>
    </w:p>
    <w:p>
      <w:pPr>
        <w:jc w:val="both"/>
        <w:ind w:left="520" w:right="1239" w:hanging="260"/>
        <w:spacing w:after="0" w:line="256" w:lineRule="auto"/>
        <w:tabs>
          <w:tab w:leader="none" w:pos="52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constituent corporations are VIP Merger Sub, Inc., a Delaware corporation (sometimes referred to hereafter as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and Innovate/Protect, Inc., a Delaware corporation (together with the Surviving Corporation, the “</w:t>
      </w:r>
      <w:r>
        <w:rPr>
          <w:rFonts w:ascii="Arial" w:cs="Arial" w:eastAsia="Arial" w:hAnsi="Arial"/>
          <w:sz w:val="17"/>
          <w:szCs w:val="17"/>
          <w:u w:val="single" w:color="auto"/>
          <w:color w:val="auto"/>
        </w:rPr>
        <w:t>Constituent Corporations</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An Agreement and Plan of Merger, dated as of March __, 2012,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has been approved, adopted, certified, executed and acknowledged by each of the Constituent Corporations in accordance with Section 251 and 228 of the DGCL.</w:t>
      </w:r>
    </w:p>
    <w:p>
      <w:pPr>
        <w:spacing w:after="0" w:line="7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VIP Merger Sub, Inc. shall be the surviving corporation in the merger except that the name of the Surviving Corporation will become Innovate/Protect, Inc.</w:t>
      </w:r>
    </w:p>
    <w:p>
      <w:pPr>
        <w:spacing w:after="0" w:line="66" w:lineRule="exact"/>
        <w:rPr>
          <w:rFonts w:ascii="Arial" w:cs="Arial" w:eastAsia="Arial" w:hAnsi="Arial"/>
          <w:sz w:val="17"/>
          <w:szCs w:val="17"/>
          <w:color w:val="auto"/>
        </w:rPr>
      </w:pPr>
    </w:p>
    <w:p>
      <w:pPr>
        <w:ind w:left="520" w:right="1239" w:hanging="260"/>
        <w:spacing w:after="0" w:line="335" w:lineRule="auto"/>
        <w:tabs>
          <w:tab w:leader="none" w:pos="52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The Certificate of Incorporation of Merger Sub shall be the Certificate of Incorporation of the Surviving Corporation, except that Article First thereof shall be amended to read as follows: “The name of the Corporation is Innovate/Protect, Inc.”.</w:t>
      </w:r>
    </w:p>
    <w:p>
      <w:pPr>
        <w:spacing w:after="0" w:line="19" w:lineRule="exact"/>
        <w:rPr>
          <w:rFonts w:ascii="Arial" w:cs="Arial" w:eastAsia="Arial" w:hAnsi="Arial"/>
          <w:sz w:val="15"/>
          <w:szCs w:val="15"/>
          <w:color w:val="auto"/>
        </w:rPr>
      </w:pPr>
    </w:p>
    <w:p>
      <w:pPr>
        <w:ind w:left="520" w:right="1239" w:hanging="260"/>
        <w:spacing w:after="0" w:line="267" w:lineRule="auto"/>
        <w:tabs>
          <w:tab w:leader="none" w:pos="52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 copy of the executed Merger Agreement is on file at the office of the Surviving Corporation, the address of which is as follows:</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44 West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Suite 1414</w:t>
      </w:r>
    </w:p>
    <w:p>
      <w:pPr>
        <w:ind w:left="540"/>
        <w:spacing w:after="0"/>
        <w:rPr>
          <w:sz w:val="20"/>
          <w:szCs w:val="20"/>
          <w:color w:val="auto"/>
        </w:rPr>
      </w:pPr>
      <w:r>
        <w:rPr>
          <w:rFonts w:ascii="Arial" w:cs="Arial" w:eastAsia="Arial" w:hAnsi="Arial"/>
          <w:sz w:val="17"/>
          <w:szCs w:val="17"/>
          <w:color w:val="auto"/>
        </w:rPr>
        <w:t>New York, NY 10001</w:t>
      </w:r>
    </w:p>
    <w:p>
      <w:pPr>
        <w:spacing w:after="0" w:line="91" w:lineRule="exact"/>
        <w:rPr>
          <w:sz w:val="20"/>
          <w:szCs w:val="20"/>
          <w:color w:val="auto"/>
        </w:rPr>
      </w:pPr>
    </w:p>
    <w:p>
      <w:pPr>
        <w:ind w:left="520" w:right="1239" w:hanging="260"/>
        <w:spacing w:after="0" w:line="267" w:lineRule="auto"/>
        <w:tabs>
          <w:tab w:leader="none" w:pos="52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 copy of the Merger Agreement will be furnished by the Surviving Corporation, on request and without cost, to any stockholder of either Constituent Corporation.</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This Certificate of Merger (“</w:t>
      </w:r>
      <w:r>
        <w:rPr>
          <w:rFonts w:ascii="Arial" w:cs="Arial" w:eastAsia="Arial" w:hAnsi="Arial"/>
          <w:sz w:val="17"/>
          <w:szCs w:val="17"/>
          <w:u w:val="single" w:color="auto"/>
          <w:color w:val="auto"/>
        </w:rPr>
        <w:t>Certificate</w:t>
      </w:r>
      <w:r>
        <w:rPr>
          <w:rFonts w:ascii="Arial" w:cs="Arial" w:eastAsia="Arial" w:hAnsi="Arial"/>
          <w:sz w:val="17"/>
          <w:szCs w:val="17"/>
          <w:color w:val="auto"/>
        </w:rPr>
        <w:t>”) shall be effective at such time as this Certificate is filed with the Secretary of the State of Delaware in accordance with the provisions of Section 103 and 251(c) of the DGCL.</w:t>
      </w:r>
    </w:p>
    <w:p>
      <w:pPr>
        <w:spacing w:after="0" w:line="66"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IN WITNESS WHEREOF, the Surviving Corporation has caused this Certificate of Merger to be executed by a duly authorized officer as of _____________ 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215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7"/>
          <w:szCs w:val="17"/>
          <w:b w:val="1"/>
          <w:bCs w:val="1"/>
          <w:color w:val="auto"/>
        </w:rPr>
        <w:t>VIP MERGER SUB, INC.</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3175</wp:posOffset>
            </wp:positionV>
            <wp:extent cx="190182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4" w:name="page345"/>
    <w:bookmarkEnd w:id="3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20"/>
        <w:spacing w:after="0"/>
        <w:rPr>
          <w:sz w:val="20"/>
          <w:szCs w:val="20"/>
          <w:color w:val="auto"/>
        </w:rPr>
      </w:pPr>
      <w:r>
        <w:rPr>
          <w:rFonts w:ascii="Arial" w:cs="Arial" w:eastAsia="Arial" w:hAnsi="Arial"/>
          <w:sz w:val="15"/>
          <w:szCs w:val="15"/>
          <w:color w:val="auto"/>
        </w:rPr>
        <w:t>Exhibit H</w:t>
      </w:r>
    </w:p>
    <w:p>
      <w:pPr>
        <w:spacing w:after="0" w:line="124" w:lineRule="exact"/>
        <w:rPr>
          <w:sz w:val="20"/>
          <w:szCs w:val="20"/>
          <w:color w:val="auto"/>
        </w:rPr>
      </w:pPr>
    </w:p>
    <w:p>
      <w:pPr>
        <w:jc w:val="both"/>
        <w:ind w:left="40" w:right="1239"/>
        <w:spacing w:after="0" w:line="265" w:lineRule="auto"/>
        <w:rPr>
          <w:sz w:val="20"/>
          <w:szCs w:val="20"/>
          <w:color w:val="auto"/>
        </w:rPr>
      </w:pPr>
      <w:r>
        <w:rPr>
          <w:rFonts w:ascii="Arial" w:cs="Arial" w:eastAsia="Arial" w:hAnsi="Arial"/>
          <w:sz w:val="16"/>
          <w:szCs w:val="16"/>
          <w:b w:val="1"/>
          <w:bCs w:val="1"/>
          <w:color w:val="auto"/>
        </w:rPr>
        <w:t>THE ISSUANCE AND SALE OF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 13(a) HEREOF. THE PRINCIPAL REPRESENTED BY THIS NOTE MAY BE LESS THAN THE AMOUNTS SET FORTH ON THE FACE HEREOF.</w:t>
      </w:r>
    </w:p>
    <w:p>
      <w:pPr>
        <w:spacing w:after="0" w:line="17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w:t>
      </w:r>
    </w:p>
    <w:p>
      <w:pPr>
        <w:spacing w:after="0" w:line="109"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FORM OF AMENDED AND RESTATED SENIOR SECURED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215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tabs>
          <w:tab w:leader="none" w:pos="4620" w:val="left"/>
        </w:tabs>
        <w:rPr>
          <w:sz w:val="20"/>
          <w:szCs w:val="20"/>
          <w:color w:val="auto"/>
        </w:rPr>
      </w:pPr>
      <w:r>
        <w:rPr>
          <w:rFonts w:ascii="Arial" w:cs="Arial" w:eastAsia="Arial" w:hAnsi="Arial"/>
          <w:sz w:val="17"/>
          <w:szCs w:val="17"/>
          <w:color w:val="auto"/>
        </w:rPr>
        <w:t>Original Issuance Date: June 22, 2011</w:t>
      </w:r>
      <w:r>
        <w:rPr>
          <w:sz w:val="20"/>
          <w:szCs w:val="20"/>
          <w:color w:val="auto"/>
        </w:rPr>
        <w:tab/>
      </w:r>
      <w:r>
        <w:rPr>
          <w:rFonts w:ascii="Arial" w:cs="Arial" w:eastAsia="Arial" w:hAnsi="Arial"/>
          <w:sz w:val="15"/>
          <w:szCs w:val="15"/>
          <w:color w:val="auto"/>
        </w:rPr>
        <w:t>Original Principal Amount: U.S. $3,200,000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Amendment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Restatement Date: [________ ___,] 2012</w:t>
      </w:r>
    </w:p>
    <w:p>
      <w:pPr>
        <w:spacing w:after="0" w:line="89"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b w:val="1"/>
          <w:bCs w:val="1"/>
          <w:color w:val="auto"/>
        </w:rPr>
        <w:t xml:space="preserve">FOR VALUE RECEIVED, </w:t>
      </w:r>
      <w:r>
        <w:rPr>
          <w:rFonts w:ascii="Arial" w:cs="Arial" w:eastAsia="Arial" w:hAnsi="Arial"/>
          <w:sz w:val="15"/>
          <w:szCs w:val="15"/>
          <w:color w:val="auto"/>
        </w:rPr>
        <w:t>INNOVATE/PROTECT,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hereby promises to pay</w:t>
      </w:r>
      <w:r>
        <w:rPr>
          <w:rFonts w:ascii="Arial" w:cs="Arial" w:eastAsia="Arial" w:hAnsi="Arial"/>
          <w:sz w:val="15"/>
          <w:szCs w:val="15"/>
          <w:b w:val="1"/>
          <w:bCs w:val="1"/>
          <w:color w:val="auto"/>
        </w:rPr>
        <w:t xml:space="preserve"> </w:t>
      </w:r>
      <w:r>
        <w:rPr>
          <w:rFonts w:ascii="Arial" w:cs="Arial" w:eastAsia="Arial" w:hAnsi="Arial"/>
          <w:sz w:val="15"/>
          <w:szCs w:val="15"/>
          <w:color w:val="auto"/>
        </w:rPr>
        <w:t>to HUDSON BAY MASTER FUND LTD. or registered assigns (the “</w:t>
      </w:r>
      <w:r>
        <w:rPr>
          <w:rFonts w:ascii="Arial" w:cs="Arial" w:eastAsia="Arial" w:hAnsi="Arial"/>
          <w:sz w:val="15"/>
          <w:szCs w:val="15"/>
          <w:b w:val="1"/>
          <w:bCs w:val="1"/>
          <w:color w:val="auto"/>
        </w:rPr>
        <w:t>Holder</w:t>
      </w:r>
      <w:r>
        <w:rPr>
          <w:rFonts w:ascii="Arial" w:cs="Arial" w:eastAsia="Arial" w:hAnsi="Arial"/>
          <w:sz w:val="15"/>
          <w:szCs w:val="15"/>
          <w:color w:val="auto"/>
        </w:rPr>
        <w:t>”) the amount set out above as the Original Principal Amount (as reduced pursuant to the terms hereof pursuant to redemption or otherwise, the “</w:t>
      </w:r>
      <w:r>
        <w:rPr>
          <w:rFonts w:ascii="Arial" w:cs="Arial" w:eastAsia="Arial" w:hAnsi="Arial"/>
          <w:sz w:val="15"/>
          <w:szCs w:val="15"/>
          <w:b w:val="1"/>
          <w:bCs w:val="1"/>
          <w:color w:val="auto"/>
        </w:rPr>
        <w:t>Principal</w:t>
      </w:r>
      <w:r>
        <w:rPr>
          <w:rFonts w:ascii="Arial" w:cs="Arial" w:eastAsia="Arial" w:hAnsi="Arial"/>
          <w:sz w:val="15"/>
          <w:szCs w:val="15"/>
          <w:color w:val="auto"/>
        </w:rPr>
        <w:t>”) when due, whether upon the Maturity Date (as defined below), acceleration, redemption or otherwise (in each case in accordance with the terms hereof) and to pay interest (“</w:t>
      </w:r>
      <w:r>
        <w:rPr>
          <w:rFonts w:ascii="Arial" w:cs="Arial" w:eastAsia="Arial" w:hAnsi="Arial"/>
          <w:sz w:val="15"/>
          <w:szCs w:val="15"/>
          <w:b w:val="1"/>
          <w:bCs w:val="1"/>
          <w:color w:val="auto"/>
        </w:rPr>
        <w:t>Interest</w:t>
      </w:r>
      <w:r>
        <w:rPr>
          <w:rFonts w:ascii="Arial" w:cs="Arial" w:eastAsia="Arial" w:hAnsi="Arial"/>
          <w:sz w:val="15"/>
          <w:szCs w:val="15"/>
          <w:color w:val="auto"/>
        </w:rPr>
        <w:t>”) on any outstanding Principal at the applicable Interest Rate from the date set out above as the Original Issuance Date (the “</w:t>
      </w:r>
      <w:r>
        <w:rPr>
          <w:rFonts w:ascii="Arial" w:cs="Arial" w:eastAsia="Arial" w:hAnsi="Arial"/>
          <w:sz w:val="15"/>
          <w:szCs w:val="15"/>
          <w:b w:val="1"/>
          <w:bCs w:val="1"/>
          <w:color w:val="auto"/>
        </w:rPr>
        <w:t>Issuance Date</w:t>
      </w:r>
      <w:r>
        <w:rPr>
          <w:rFonts w:ascii="Arial" w:cs="Arial" w:eastAsia="Arial" w:hAnsi="Arial"/>
          <w:sz w:val="15"/>
          <w:szCs w:val="15"/>
          <w:color w:val="auto"/>
        </w:rPr>
        <w:t>”) until the same becomes due and payable, whether upon an Interest Date (as defined below), the Maturity Date, acceleration, redemption or otherwise (in each case in accordance with the terms hereof). This Senior Secured Note (including all Senior Secured Notes issued in exchange, transfer or replacement hereof, this “</w:t>
      </w:r>
      <w:r>
        <w:rPr>
          <w:rFonts w:ascii="Arial" w:cs="Arial" w:eastAsia="Arial" w:hAnsi="Arial"/>
          <w:sz w:val="15"/>
          <w:szCs w:val="15"/>
          <w:b w:val="1"/>
          <w:bCs w:val="1"/>
          <w:color w:val="auto"/>
        </w:rPr>
        <w:t>Note</w:t>
      </w:r>
      <w:r>
        <w:rPr>
          <w:rFonts w:ascii="Arial" w:cs="Arial" w:eastAsia="Arial" w:hAnsi="Arial"/>
          <w:sz w:val="15"/>
          <w:szCs w:val="15"/>
          <w:color w:val="auto"/>
        </w:rPr>
        <w:t>”) was issued pursuant to the Subscription Agreement on June 22, 2011. Certain capitalized terms used herein are defined in Section 25.</w:t>
      </w:r>
    </w:p>
    <w:p>
      <w:pPr>
        <w:spacing w:after="0" w:line="59" w:lineRule="exact"/>
        <w:rPr>
          <w:sz w:val="20"/>
          <w:szCs w:val="20"/>
          <w:color w:val="auto"/>
        </w:rPr>
      </w:pPr>
    </w:p>
    <w:p>
      <w:pPr>
        <w:jc w:val="both"/>
        <w:ind w:left="40" w:right="1239" w:firstLine="258"/>
        <w:spacing w:after="0" w:line="285" w:lineRule="auto"/>
        <w:tabs>
          <w:tab w:leader="none" w:pos="569" w:val="left"/>
        </w:tabs>
        <w:numPr>
          <w:ilvl w:val="0"/>
          <w:numId w:val="255"/>
        </w:numPr>
        <w:rPr>
          <w:rFonts w:ascii="Arial" w:cs="Arial" w:eastAsia="Arial" w:hAnsi="Arial"/>
          <w:sz w:val="15"/>
          <w:szCs w:val="15"/>
          <w:color w:val="auto"/>
        </w:rPr>
      </w:pPr>
      <w:r>
        <w:rPr>
          <w:rFonts w:ascii="Arial" w:cs="Arial" w:eastAsia="Arial" w:hAnsi="Arial"/>
          <w:sz w:val="15"/>
          <w:szCs w:val="15"/>
          <w:u w:val="single" w:color="auto"/>
          <w:color w:val="auto"/>
        </w:rPr>
        <w:t>PAYMENTS OF PRINCIPAL</w:t>
      </w:r>
      <w:r>
        <w:rPr>
          <w:rFonts w:ascii="Arial" w:cs="Arial" w:eastAsia="Arial" w:hAnsi="Arial"/>
          <w:sz w:val="15"/>
          <w:szCs w:val="15"/>
          <w:color w:val="auto"/>
        </w:rPr>
        <w:t>. On the Maturity Date, the Company shall pay to the Holder an amount in cash representing all outstanding Principal, accrued and unpaid Interest and accrued and unpaid Late Charges on such Principal and Interest. The “</w:t>
      </w:r>
      <w:r>
        <w:rPr>
          <w:rFonts w:ascii="Arial" w:cs="Arial" w:eastAsia="Arial" w:hAnsi="Arial"/>
          <w:sz w:val="15"/>
          <w:szCs w:val="15"/>
          <w:b w:val="1"/>
          <w:bCs w:val="1"/>
          <w:color w:val="auto"/>
        </w:rPr>
        <w:t>Maturity Date</w:t>
      </w:r>
      <w:r>
        <w:rPr>
          <w:rFonts w:ascii="Arial" w:cs="Arial" w:eastAsia="Arial" w:hAnsi="Arial"/>
          <w:sz w:val="15"/>
          <w:szCs w:val="15"/>
          <w:color w:val="auto"/>
        </w:rPr>
        <w:t>” shall be June 22, 2013, as may be extended at the option of the Holder (i) in the event that, and for so long as, an Event of Default (as defined in Section 4(a))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5(b)) is delivered prior to the Maturity Date. Other than as specifically permitted by this Note, the Company may not prepay any portion of the outstanding Principal, accrued and unpaid Interest or accrued and unpaid Late Charges on Principal and Interest, if any.</w:t>
      </w:r>
    </w:p>
    <w:p>
      <w:pPr>
        <w:spacing w:after="0" w:line="56" w:lineRule="exact"/>
        <w:rPr>
          <w:rFonts w:ascii="Arial" w:cs="Arial" w:eastAsia="Arial" w:hAnsi="Arial"/>
          <w:sz w:val="15"/>
          <w:szCs w:val="15"/>
          <w:color w:val="auto"/>
        </w:rPr>
      </w:pPr>
    </w:p>
    <w:p>
      <w:pPr>
        <w:jc w:val="both"/>
        <w:ind w:left="40" w:right="1239" w:firstLine="258"/>
        <w:spacing w:after="0" w:line="256" w:lineRule="auto"/>
        <w:tabs>
          <w:tab w:leader="none" w:pos="606"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INTEREST; INTEREST RATE</w:t>
      </w:r>
      <w:r>
        <w:rPr>
          <w:rFonts w:ascii="Arial" w:cs="Arial" w:eastAsia="Arial" w:hAnsi="Arial"/>
          <w:sz w:val="17"/>
          <w:szCs w:val="17"/>
          <w:color w:val="auto"/>
        </w:rPr>
        <w:t>. (a) Interest on this Note shall commence accruing on the Issuance Date and shall be computed on the basis of a 360-day year and twelve 30-day months and shall be payable in arrears on the first calendar day of each Calendar Quarter after the Issuance Date (each, an “</w:t>
      </w:r>
      <w:r>
        <w:rPr>
          <w:rFonts w:ascii="Arial" w:cs="Arial" w:eastAsia="Arial" w:hAnsi="Arial"/>
          <w:sz w:val="17"/>
          <w:szCs w:val="17"/>
          <w:b w:val="1"/>
          <w:bCs w:val="1"/>
          <w:color w:val="auto"/>
        </w:rPr>
        <w:t>Interest Date</w:t>
      </w:r>
      <w:r>
        <w:rPr>
          <w:rFonts w:ascii="Arial" w:cs="Arial" w:eastAsia="Arial" w:hAnsi="Arial"/>
          <w:sz w:val="17"/>
          <w:szCs w:val="17"/>
          <w:color w:val="auto"/>
        </w:rPr>
        <w:t>”)</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5" w:name="page346"/>
    <w:bookmarkEnd w:id="3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309" w:lineRule="auto"/>
        <w:rPr>
          <w:sz w:val="20"/>
          <w:szCs w:val="20"/>
          <w:color w:val="auto"/>
        </w:rPr>
      </w:pPr>
      <w:r>
        <w:rPr>
          <w:rFonts w:ascii="Arial" w:cs="Arial" w:eastAsia="Arial" w:hAnsi="Arial"/>
          <w:sz w:val="15"/>
          <w:szCs w:val="15"/>
          <w:color w:val="auto"/>
        </w:rPr>
        <w:t>with the first Interest Date being July 1, 2011. Interest shall be payable in cash on each Interest Date, to the record holder of this Note on the applicable Interest Date (“</w:t>
      </w:r>
      <w:r>
        <w:rPr>
          <w:rFonts w:ascii="Arial" w:cs="Arial" w:eastAsia="Arial" w:hAnsi="Arial"/>
          <w:sz w:val="15"/>
          <w:szCs w:val="15"/>
          <w:b w:val="1"/>
          <w:bCs w:val="1"/>
          <w:color w:val="auto"/>
        </w:rPr>
        <w:t>Interest</w:t>
      </w:r>
      <w:r>
        <w:rPr>
          <w:rFonts w:ascii="Arial" w:cs="Arial" w:eastAsia="Arial" w:hAnsi="Arial"/>
          <w:sz w:val="15"/>
          <w:szCs w:val="15"/>
          <w:color w:val="auto"/>
        </w:rPr>
        <w:t>”) It is understood and agreed that Interest has been paid through January 1, 2012.</w:t>
      </w:r>
      <w:r>
        <w:rPr>
          <w:rFonts w:ascii="Arial" w:cs="Arial" w:eastAsia="Arial" w:hAnsi="Arial"/>
          <w:sz w:val="24"/>
          <w:szCs w:val="24"/>
          <w:color w:val="auto"/>
          <w:vertAlign w:val="superscript"/>
        </w:rPr>
        <w:t>(1)</w:t>
      </w:r>
    </w:p>
    <w:p>
      <w:pPr>
        <w:jc w:val="both"/>
        <w:ind w:left="300" w:right="1239" w:firstLine="248"/>
        <w:spacing w:after="0" w:line="288" w:lineRule="auto"/>
        <w:tabs>
          <w:tab w:leader="none" w:pos="825" w:val="left"/>
        </w:tabs>
        <w:numPr>
          <w:ilvl w:val="2"/>
          <w:numId w:val="256"/>
        </w:numPr>
        <w:rPr>
          <w:rFonts w:ascii="Arial" w:cs="Arial" w:eastAsia="Arial" w:hAnsi="Arial"/>
          <w:sz w:val="15"/>
          <w:szCs w:val="15"/>
          <w:color w:val="auto"/>
        </w:rPr>
      </w:pPr>
      <w:r>
        <w:rPr>
          <w:rFonts w:ascii="Arial" w:cs="Arial" w:eastAsia="Arial" w:hAnsi="Arial"/>
          <w:sz w:val="15"/>
          <w:szCs w:val="15"/>
          <w:color w:val="auto"/>
        </w:rPr>
        <w:t>From and after the occurrence and during the continuance of an Event of Default, the Interest Rate shall be increased to eighteen percent (18%). In the event that such Event of Default is subsequently cured,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cure of such Event of Default.</w:t>
      </w:r>
    </w:p>
    <w:p>
      <w:pPr>
        <w:spacing w:after="0" w:line="49" w:lineRule="exact"/>
        <w:rPr>
          <w:rFonts w:ascii="Arial" w:cs="Arial" w:eastAsia="Arial" w:hAnsi="Arial"/>
          <w:sz w:val="15"/>
          <w:szCs w:val="15"/>
          <w:color w:val="auto"/>
        </w:rPr>
      </w:pPr>
    </w:p>
    <w:p>
      <w:pPr>
        <w:jc w:val="both"/>
        <w:ind w:left="40" w:right="1239" w:firstLine="258"/>
        <w:spacing w:after="0" w:line="282" w:lineRule="auto"/>
        <w:tabs>
          <w:tab w:leader="none" w:pos="606" w:val="left"/>
        </w:tabs>
        <w:numPr>
          <w:ilvl w:val="1"/>
          <w:numId w:val="257"/>
        </w:numPr>
        <w:rPr>
          <w:rFonts w:ascii="Arial" w:cs="Arial" w:eastAsia="Arial" w:hAnsi="Arial"/>
          <w:sz w:val="15"/>
          <w:szCs w:val="15"/>
          <w:color w:val="auto"/>
        </w:rPr>
      </w:pPr>
      <w:r>
        <w:rPr>
          <w:rFonts w:ascii="Arial" w:cs="Arial" w:eastAsia="Arial" w:hAnsi="Arial"/>
          <w:sz w:val="15"/>
          <w:szCs w:val="15"/>
          <w:u w:val="single" w:color="auto"/>
          <w:color w:val="auto"/>
        </w:rPr>
        <w:t>REGISTRATION; BOOK-ENTRY</w:t>
      </w:r>
      <w:r>
        <w:rPr>
          <w:rFonts w:ascii="Arial" w:cs="Arial" w:eastAsia="Arial" w:hAnsi="Arial"/>
          <w:sz w:val="15"/>
          <w:szCs w:val="15"/>
          <w:color w:val="auto"/>
        </w:rPr>
        <w:t>. The Company shall maintain a register (the “</w:t>
      </w:r>
      <w:r>
        <w:rPr>
          <w:rFonts w:ascii="Arial" w:cs="Arial" w:eastAsia="Arial" w:hAnsi="Arial"/>
          <w:sz w:val="15"/>
          <w:szCs w:val="15"/>
          <w:b w:val="1"/>
          <w:bCs w:val="1"/>
          <w:color w:val="auto"/>
        </w:rPr>
        <w:t>Register</w:t>
      </w:r>
      <w:r>
        <w:rPr>
          <w:rFonts w:ascii="Arial" w:cs="Arial" w:eastAsia="Arial" w:hAnsi="Arial"/>
          <w:sz w:val="15"/>
          <w:szCs w:val="15"/>
          <w:color w:val="auto"/>
        </w:rPr>
        <w:t>”) for the recordation of the names and addresses of the holders of each Note and the principal amount of the Notes held by such holders (the “</w:t>
      </w:r>
      <w:r>
        <w:rPr>
          <w:rFonts w:ascii="Arial" w:cs="Arial" w:eastAsia="Arial" w:hAnsi="Arial"/>
          <w:sz w:val="15"/>
          <w:szCs w:val="15"/>
          <w:b w:val="1"/>
          <w:bCs w:val="1"/>
          <w:color w:val="auto"/>
        </w:rPr>
        <w:t>Registered</w:t>
      </w:r>
      <w:r>
        <w:rPr>
          <w:rFonts w:ascii="Arial" w:cs="Arial" w:eastAsia="Arial" w:hAnsi="Arial"/>
          <w:sz w:val="15"/>
          <w:szCs w:val="15"/>
          <w:color w:val="auto"/>
        </w:rPr>
        <w:t xml:space="preserve"> </w:t>
      </w:r>
      <w:r>
        <w:rPr>
          <w:rFonts w:ascii="Arial" w:cs="Arial" w:eastAsia="Arial" w:hAnsi="Arial"/>
          <w:sz w:val="15"/>
          <w:szCs w:val="15"/>
          <w:b w:val="1"/>
          <w:bCs w:val="1"/>
          <w:color w:val="auto"/>
        </w:rPr>
        <w:t>Notes</w:t>
      </w:r>
      <w:r>
        <w:rPr>
          <w:rFonts w:ascii="Arial" w:cs="Arial" w:eastAsia="Arial" w:hAnsi="Arial"/>
          <w:sz w:val="15"/>
          <w:szCs w:val="15"/>
          <w:color w:val="auto"/>
        </w:rPr>
        <w:t>”). The entries in the Register shall be conclusive and binding for all purposes absent manifest error. The Company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or sold in whole or in part only by registration of such assignment or sale on the Register. Upon its receipt of a request to assign or sell all or part of any Registered Note by a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13. Notwithstanding anything to the contrary in this Section 3, the Holder may assign any Note or any portion thereof to an Affiliate of such Holder or a related fund of such Holder without delivering a request to assign or sell such Note to the Company and the recordation of such assignment or sale in the Register (a “</w:t>
      </w:r>
      <w:r>
        <w:rPr>
          <w:rFonts w:ascii="Arial" w:cs="Arial" w:eastAsia="Arial" w:hAnsi="Arial"/>
          <w:sz w:val="15"/>
          <w:szCs w:val="15"/>
          <w:b w:val="1"/>
          <w:bCs w:val="1"/>
          <w:color w:val="auto"/>
        </w:rPr>
        <w:t>Related Party Assignment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that (x) the Company may continue to deal solely with such assigning or selling Holder unless and until such Holder has delivered a request to assign or sell such Note or portion thereof to the Company for recordation in the Register; (y) the failure of such assigning or selling Holder to deliver a request to assign or sell such Note or portion thereof to the Company shall not affect the legality, validity, or binding effect of such assignment or sale and (z) such assigning or selling Holder shall, acting solely for this purpose as a non-fiduciary agent of the Company, maintain a register (the “</w:t>
      </w:r>
      <w:r>
        <w:rPr>
          <w:rFonts w:ascii="Arial" w:cs="Arial" w:eastAsia="Arial" w:hAnsi="Arial"/>
          <w:sz w:val="15"/>
          <w:szCs w:val="15"/>
          <w:b w:val="1"/>
          <w:bCs w:val="1"/>
          <w:color w:val="auto"/>
        </w:rPr>
        <w:t>Related Party Register</w:t>
      </w:r>
      <w:r>
        <w:rPr>
          <w:rFonts w:ascii="Arial" w:cs="Arial" w:eastAsia="Arial" w:hAnsi="Arial"/>
          <w:sz w:val="15"/>
          <w:szCs w:val="15"/>
          <w:color w:val="auto"/>
        </w:rPr>
        <w:t>”) comparable to the Register on behalf of the Company, and any such assignment or sale shall be effective upon recordation of such assignment or sale in the Related Party Register.</w:t>
      </w:r>
    </w:p>
    <w:p>
      <w:pPr>
        <w:spacing w:after="0" w:line="64" w:lineRule="exact"/>
        <w:rPr>
          <w:rFonts w:ascii="Arial" w:cs="Arial" w:eastAsia="Arial" w:hAnsi="Arial"/>
          <w:sz w:val="15"/>
          <w:szCs w:val="15"/>
          <w:color w:val="auto"/>
        </w:rPr>
      </w:pPr>
    </w:p>
    <w:p>
      <w:pPr>
        <w:ind w:left="580" w:hanging="282"/>
        <w:spacing w:after="0"/>
        <w:tabs>
          <w:tab w:leader="none" w:pos="580"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RIGHTS UPON EVENT OF DEFAULT</w:t>
      </w:r>
      <w:r>
        <w:rPr>
          <w:rFonts w:ascii="Arial" w:cs="Arial" w:eastAsia="Arial" w:hAnsi="Arial"/>
          <w:sz w:val="17"/>
          <w:szCs w:val="17"/>
          <w:color w:val="auto"/>
        </w:rPr>
        <w:t>.</w:t>
      </w:r>
    </w:p>
    <w:p>
      <w:pPr>
        <w:spacing w:after="0" w:line="101" w:lineRule="exact"/>
        <w:rPr>
          <w:rFonts w:ascii="Arial" w:cs="Arial" w:eastAsia="Arial" w:hAnsi="Arial"/>
          <w:sz w:val="17"/>
          <w:szCs w:val="17"/>
          <w:color w:val="auto"/>
        </w:rPr>
      </w:pPr>
    </w:p>
    <w:p>
      <w:pPr>
        <w:ind w:left="300" w:right="1239" w:firstLine="248"/>
        <w:spacing w:after="0" w:line="272" w:lineRule="auto"/>
        <w:tabs>
          <w:tab w:leader="none" w:pos="819" w:val="left"/>
        </w:tabs>
        <w:numPr>
          <w:ilvl w:val="2"/>
          <w:numId w:val="257"/>
        </w:numPr>
        <w:rPr>
          <w:rFonts w:ascii="Arial" w:cs="Arial" w:eastAsia="Arial" w:hAnsi="Arial"/>
          <w:sz w:val="17"/>
          <w:szCs w:val="17"/>
          <w:color w:val="auto"/>
        </w:rPr>
      </w:pPr>
      <w:r>
        <w:rPr>
          <w:rFonts w:ascii="Arial" w:cs="Arial" w:eastAsia="Arial" w:hAnsi="Arial"/>
          <w:sz w:val="17"/>
          <w:szCs w:val="17"/>
          <w:u w:val="single" w:color="auto"/>
          <w:color w:val="auto"/>
        </w:rPr>
        <w:t>Event of Default</w:t>
      </w:r>
      <w:r>
        <w:rPr>
          <w:rFonts w:ascii="Arial" w:cs="Arial" w:eastAsia="Arial" w:hAnsi="Arial"/>
          <w:sz w:val="17"/>
          <w:szCs w:val="17"/>
          <w:color w:val="auto"/>
        </w:rPr>
        <w:t>. Each of the following events shall constitute an “</w:t>
      </w:r>
      <w:r>
        <w:rPr>
          <w:rFonts w:ascii="Arial" w:cs="Arial" w:eastAsia="Arial" w:hAnsi="Arial"/>
          <w:sz w:val="17"/>
          <w:szCs w:val="17"/>
          <w:b w:val="1"/>
          <w:bCs w:val="1"/>
          <w:color w:val="auto"/>
        </w:rPr>
        <w:t>Event of Default</w:t>
      </w:r>
      <w:r>
        <w:rPr>
          <w:rFonts w:ascii="Arial" w:cs="Arial" w:eastAsia="Arial" w:hAnsi="Arial"/>
          <w:sz w:val="17"/>
          <w:szCs w:val="17"/>
          <w:color w:val="auto"/>
        </w:rPr>
        <w:t>” upon receipt by the Company of a notice thereof by the Holder:</w:t>
      </w:r>
    </w:p>
    <w:p>
      <w:pPr>
        <w:spacing w:after="0" w:line="62" w:lineRule="exact"/>
        <w:rPr>
          <w:rFonts w:ascii="Arial" w:cs="Arial" w:eastAsia="Arial" w:hAnsi="Arial"/>
          <w:sz w:val="17"/>
          <w:szCs w:val="17"/>
          <w:color w:val="auto"/>
        </w:rPr>
      </w:pPr>
    </w:p>
    <w:p>
      <w:pPr>
        <w:jc w:val="both"/>
        <w:ind w:left="540" w:right="1239" w:firstLine="259"/>
        <w:spacing w:after="0" w:line="256" w:lineRule="auto"/>
        <w:tabs>
          <w:tab w:leader="none" w:pos="1051" w:val="left"/>
        </w:tabs>
        <w:numPr>
          <w:ilvl w:val="3"/>
          <w:numId w:val="257"/>
        </w:numPr>
        <w:rPr>
          <w:rFonts w:ascii="Arial" w:cs="Arial" w:eastAsia="Arial" w:hAnsi="Arial"/>
          <w:sz w:val="17"/>
          <w:szCs w:val="17"/>
          <w:color w:val="auto"/>
        </w:rPr>
      </w:pPr>
      <w:r>
        <w:rPr>
          <w:rFonts w:ascii="Arial" w:cs="Arial" w:eastAsia="Arial" w:hAnsi="Arial"/>
          <w:sz w:val="17"/>
          <w:szCs w:val="17"/>
          <w:color w:val="auto"/>
        </w:rPr>
        <w:t>the Company’s failure to pay to the Holder any amount of Principal (including, without limitation, any redemption payments), Interest, Late Charges or other amounts when and as due under this Note or any other Note Transaction Document (as defined below);</w:t>
      </w:r>
    </w:p>
    <w:p>
      <w:pPr>
        <w:spacing w:after="0" w:line="76" w:lineRule="exact"/>
        <w:rPr>
          <w:rFonts w:ascii="Arial" w:cs="Arial" w:eastAsia="Arial" w:hAnsi="Arial"/>
          <w:sz w:val="17"/>
          <w:szCs w:val="17"/>
          <w:color w:val="auto"/>
        </w:rPr>
      </w:pPr>
    </w:p>
    <w:p>
      <w:pPr>
        <w:ind w:left="540" w:right="1239" w:firstLine="259"/>
        <w:spacing w:after="0" w:line="267" w:lineRule="auto"/>
        <w:tabs>
          <w:tab w:leader="none" w:pos="1094" w:val="left"/>
        </w:tabs>
        <w:numPr>
          <w:ilvl w:val="3"/>
          <w:numId w:val="257"/>
        </w:numPr>
        <w:rPr>
          <w:rFonts w:ascii="Arial" w:cs="Arial" w:eastAsia="Arial" w:hAnsi="Arial"/>
          <w:sz w:val="17"/>
          <w:szCs w:val="17"/>
          <w:color w:val="auto"/>
        </w:rPr>
      </w:pPr>
      <w:r>
        <w:rPr>
          <w:rFonts w:ascii="Arial" w:cs="Arial" w:eastAsia="Arial" w:hAnsi="Arial"/>
          <w:sz w:val="17"/>
          <w:szCs w:val="17"/>
          <w:color w:val="auto"/>
        </w:rPr>
        <w:t>any default under, redemption of or acceleration prior to maturity of any Indebtedness of any Note Party or any of its Subsidiaries;</w:t>
      </w:r>
    </w:p>
    <w:p>
      <w:pPr>
        <w:spacing w:after="0" w:line="66" w:lineRule="exact"/>
        <w:rPr>
          <w:rFonts w:ascii="Arial" w:cs="Arial" w:eastAsia="Arial" w:hAnsi="Arial"/>
          <w:sz w:val="17"/>
          <w:szCs w:val="17"/>
          <w:color w:val="auto"/>
        </w:rPr>
      </w:pPr>
    </w:p>
    <w:p>
      <w:pPr>
        <w:jc w:val="both"/>
        <w:ind w:left="540" w:right="1239" w:firstLine="259"/>
        <w:spacing w:after="0" w:line="287" w:lineRule="auto"/>
        <w:tabs>
          <w:tab w:leader="none" w:pos="1139" w:val="left"/>
        </w:tabs>
        <w:numPr>
          <w:ilvl w:val="3"/>
          <w:numId w:val="257"/>
        </w:numPr>
        <w:rPr>
          <w:rFonts w:ascii="Arial" w:cs="Arial" w:eastAsia="Arial" w:hAnsi="Arial"/>
          <w:sz w:val="15"/>
          <w:szCs w:val="15"/>
          <w:color w:val="auto"/>
        </w:rPr>
      </w:pPr>
      <w:r>
        <w:rPr>
          <w:rFonts w:ascii="Arial" w:cs="Arial" w:eastAsia="Arial" w:hAnsi="Arial"/>
          <w:sz w:val="15"/>
          <w:szCs w:val="15"/>
          <w:color w:val="auto"/>
        </w:rPr>
        <w:t>any Note Party or any of its Subsidiaries, pursuant to or within the meaning of Title 11, U.S. Code, or any similar Federal, foreign or state law for the relief of debtors (collectively, “</w:t>
      </w:r>
      <w:r>
        <w:rPr>
          <w:rFonts w:ascii="Arial" w:cs="Arial" w:eastAsia="Arial" w:hAnsi="Arial"/>
          <w:sz w:val="15"/>
          <w:szCs w:val="15"/>
          <w:b w:val="1"/>
          <w:bCs w:val="1"/>
          <w:color w:val="auto"/>
        </w:rPr>
        <w:t>Bankruptcy Law</w:t>
      </w:r>
      <w:r>
        <w:rPr>
          <w:rFonts w:ascii="Arial" w:cs="Arial" w:eastAsia="Arial" w:hAnsi="Arial"/>
          <w:sz w:val="15"/>
          <w:szCs w:val="15"/>
          <w:color w:val="auto"/>
        </w:rPr>
        <w:t>”), (A) commences a voluntary case,</w:t>
      </w:r>
    </w:p>
    <w:p>
      <w:pPr>
        <w:jc w:val="both"/>
        <w:ind w:left="540" w:right="1239"/>
        <w:spacing w:after="0" w:line="272" w:lineRule="auto"/>
        <w:rPr>
          <w:rFonts w:ascii="Arial" w:cs="Arial" w:eastAsia="Arial" w:hAnsi="Arial"/>
          <w:sz w:val="15"/>
          <w:szCs w:val="15"/>
          <w:color w:val="auto"/>
        </w:rPr>
      </w:pPr>
      <w:r>
        <w:rPr>
          <w:rFonts w:ascii="Arial" w:cs="Arial" w:eastAsia="Arial" w:hAnsi="Arial"/>
          <w:sz w:val="16"/>
          <w:szCs w:val="16"/>
          <w:color w:val="auto"/>
        </w:rPr>
        <w:t>(B) consents to the entry of an order for relief against it in an involuntary case, (C) consents to the appointment of a receiver, trustee, assignee, liquidator or similar official (a “</w:t>
      </w:r>
      <w:r>
        <w:rPr>
          <w:rFonts w:ascii="Arial" w:cs="Arial" w:eastAsia="Arial" w:hAnsi="Arial"/>
          <w:sz w:val="16"/>
          <w:szCs w:val="16"/>
          <w:b w:val="1"/>
          <w:bCs w:val="1"/>
          <w:color w:val="auto"/>
        </w:rPr>
        <w:t>Custodian</w:t>
      </w:r>
      <w:r>
        <w:rPr>
          <w:rFonts w:ascii="Arial" w:cs="Arial" w:eastAsia="Arial" w:hAnsi="Arial"/>
          <w:sz w:val="16"/>
          <w:szCs w:val="16"/>
          <w:color w:val="auto"/>
        </w:rPr>
        <w:t>”), (D) makes a general assignment for the benefit of its creditors or (E) admits in writing that it is generally unable to pay its debts as they become due;</w:t>
      </w:r>
    </w:p>
    <w:p>
      <w:pPr>
        <w:spacing w:after="0" w:line="63" w:lineRule="exact"/>
        <w:rPr>
          <w:rFonts w:ascii="Arial" w:cs="Arial" w:eastAsia="Arial" w:hAnsi="Arial"/>
          <w:sz w:val="15"/>
          <w:szCs w:val="15"/>
          <w:color w:val="auto"/>
        </w:rPr>
      </w:pPr>
    </w:p>
    <w:p>
      <w:pPr>
        <w:ind w:left="540" w:right="1239" w:firstLine="259"/>
        <w:spacing w:after="0" w:line="267" w:lineRule="auto"/>
        <w:tabs>
          <w:tab w:leader="none" w:pos="1128" w:val="left"/>
        </w:tabs>
        <w:numPr>
          <w:ilvl w:val="3"/>
          <w:numId w:val="257"/>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Law that (A) is for relief against any Note Party or any of its Subsidiaries in an involuntary case,</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280" w:hanging="233"/>
        <w:spacing w:after="0"/>
        <w:tabs>
          <w:tab w:leader="none" w:pos="28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be updated assuming the transaction closes after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-282575</wp:posOffset>
            </wp:positionV>
            <wp:extent cx="57277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6" w:name="page347"/>
    <w:bookmarkEnd w:id="3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40" w:right="1239" w:firstLine="8"/>
        <w:spacing w:after="0" w:line="267" w:lineRule="auto"/>
        <w:tabs>
          <w:tab w:leader="none" w:pos="80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appoints a Custodian of any Note Party or any of its Subsidiaries or (C) orders the liquidation of any Note Party or any of its Subsidiaries;</w:t>
      </w:r>
    </w:p>
    <w:p>
      <w:pPr>
        <w:spacing w:after="0" w:line="66" w:lineRule="exact"/>
        <w:rPr>
          <w:rFonts w:ascii="Arial" w:cs="Arial" w:eastAsia="Arial" w:hAnsi="Arial"/>
          <w:sz w:val="17"/>
          <w:szCs w:val="17"/>
          <w:color w:val="auto"/>
        </w:rPr>
      </w:pPr>
    </w:p>
    <w:p>
      <w:pPr>
        <w:jc w:val="both"/>
        <w:ind w:left="540" w:right="1239" w:firstLine="259"/>
        <w:spacing w:after="0" w:line="286" w:lineRule="auto"/>
        <w:tabs>
          <w:tab w:leader="none" w:pos="1069" w:val="left"/>
        </w:tabs>
        <w:numPr>
          <w:ilvl w:val="1"/>
          <w:numId w:val="259"/>
        </w:numPr>
        <w:rPr>
          <w:rFonts w:ascii="Arial" w:cs="Arial" w:eastAsia="Arial" w:hAnsi="Arial"/>
          <w:sz w:val="15"/>
          <w:szCs w:val="15"/>
          <w:color w:val="auto"/>
        </w:rPr>
      </w:pPr>
      <w:r>
        <w:rPr>
          <w:rFonts w:ascii="Arial" w:cs="Arial" w:eastAsia="Arial" w:hAnsi="Arial"/>
          <w:sz w:val="15"/>
          <w:szCs w:val="15"/>
          <w:color w:val="auto"/>
        </w:rPr>
        <w:t>a final judgment or judgments for the payment of money aggregating in excess of $250,000 are rendered against any Note Party or any of its Subsidiaries and which judgments are not, within sixty (60) days after the entry thereof, bonded, discharged or stayed pending appeal, or are not discharged within sixty (60) days after the expiration of such stay; provided, however, that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such Person will receive the proceeds of such insurance or indemnity within thirty (30) days of the issuance of such judgment;</w:t>
      </w:r>
    </w:p>
    <w:p>
      <w:pPr>
        <w:spacing w:after="0" w:line="59" w:lineRule="exact"/>
        <w:rPr>
          <w:rFonts w:ascii="Arial" w:cs="Arial" w:eastAsia="Arial" w:hAnsi="Arial"/>
          <w:sz w:val="15"/>
          <w:szCs w:val="15"/>
          <w:color w:val="auto"/>
        </w:rPr>
      </w:pPr>
    </w:p>
    <w:p>
      <w:pPr>
        <w:ind w:left="540" w:right="1239" w:firstLine="259"/>
        <w:spacing w:after="0" w:line="267" w:lineRule="auto"/>
        <w:tabs>
          <w:tab w:leader="none" w:pos="1149" w:val="left"/>
        </w:tabs>
        <w:numPr>
          <w:ilvl w:val="1"/>
          <w:numId w:val="259"/>
        </w:numPr>
        <w:rPr>
          <w:rFonts w:ascii="Arial" w:cs="Arial" w:eastAsia="Arial" w:hAnsi="Arial"/>
          <w:sz w:val="17"/>
          <w:szCs w:val="17"/>
          <w:color w:val="auto"/>
        </w:rPr>
      </w:pPr>
      <w:r>
        <w:rPr>
          <w:rFonts w:ascii="Arial" w:cs="Arial" w:eastAsia="Arial" w:hAnsi="Arial"/>
          <w:sz w:val="17"/>
          <w:szCs w:val="17"/>
          <w:color w:val="auto"/>
        </w:rPr>
        <w:t>any Note Party breaches any material representation, warranty, covenant or other term or condition of any Note Transaction Document;</w:t>
      </w:r>
    </w:p>
    <w:p>
      <w:pPr>
        <w:spacing w:after="0" w:line="66" w:lineRule="exact"/>
        <w:rPr>
          <w:rFonts w:ascii="Arial" w:cs="Arial" w:eastAsia="Arial" w:hAnsi="Arial"/>
          <w:sz w:val="17"/>
          <w:szCs w:val="17"/>
          <w:color w:val="auto"/>
        </w:rPr>
      </w:pPr>
    </w:p>
    <w:p>
      <w:pPr>
        <w:ind w:left="1180" w:hanging="381"/>
        <w:spacing w:after="0"/>
        <w:tabs>
          <w:tab w:leader="none" w:pos="118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any material breach or material failure in any respect to comply with Section 10 of this Note;</w:t>
      </w:r>
    </w:p>
    <w:p>
      <w:pPr>
        <w:spacing w:after="0" w:line="105" w:lineRule="exact"/>
        <w:rPr>
          <w:rFonts w:ascii="Arial" w:cs="Arial" w:eastAsia="Arial" w:hAnsi="Arial"/>
          <w:sz w:val="17"/>
          <w:szCs w:val="17"/>
          <w:color w:val="auto"/>
        </w:rPr>
      </w:pPr>
    </w:p>
    <w:p>
      <w:pPr>
        <w:ind w:left="540" w:right="1239" w:firstLine="259"/>
        <w:spacing w:after="0" w:line="267" w:lineRule="auto"/>
        <w:tabs>
          <w:tab w:leader="none" w:pos="121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any Note Party or any of its Subsidiaries shall fail to perform or comply in any material respect with any covenant or agreement contained in the Security Documents to which it is a party;</w:t>
      </w:r>
    </w:p>
    <w:p>
      <w:pPr>
        <w:spacing w:after="0" w:line="66" w:lineRule="exact"/>
        <w:rPr>
          <w:rFonts w:ascii="Arial" w:cs="Arial" w:eastAsia="Arial" w:hAnsi="Arial"/>
          <w:sz w:val="17"/>
          <w:szCs w:val="17"/>
          <w:color w:val="auto"/>
        </w:rPr>
      </w:pPr>
    </w:p>
    <w:p>
      <w:pPr>
        <w:jc w:val="both"/>
        <w:ind w:left="540" w:right="1239" w:firstLine="259"/>
        <w:spacing w:after="0" w:line="288" w:lineRule="auto"/>
        <w:tabs>
          <w:tab w:leader="none" w:pos="1140" w:val="left"/>
        </w:tabs>
        <w:numPr>
          <w:ilvl w:val="1"/>
          <w:numId w:val="259"/>
        </w:numPr>
        <w:rPr>
          <w:rFonts w:ascii="Arial" w:cs="Arial" w:eastAsia="Arial" w:hAnsi="Arial"/>
          <w:sz w:val="15"/>
          <w:szCs w:val="15"/>
          <w:color w:val="auto"/>
        </w:rPr>
      </w:pPr>
      <w:r>
        <w:rPr>
          <w:rFonts w:ascii="Arial" w:cs="Arial" w:eastAsia="Arial" w:hAnsi="Arial"/>
          <w:sz w:val="15"/>
          <w:szCs w:val="15"/>
          <w:color w:val="auto"/>
        </w:rPr>
        <w:t>any material provision of any Security Document (as determined by the Holder) shall at any time for any reason (other than pursuant to the express terms thereof) cease to be valid and binding on or enforceable against any Note Party or any Subsidiary intended to be a party thereto (except the guaranty obligations of Vringo, Ltd. with respect to the Guaranty to which it is a party), or the validity or enforceability thereof shall be contested by any party thereto, or a proceeding shall be commenced by any Note Party or any Subsidiary or any governmental authority having jurisdiction over any of them, seeking to establish the invalidity or unenforceability thereof, or any Note Party or any Subsidiary shall deny in writing that it has any liability or obligation purported to be created under any Security Document;</w:t>
      </w:r>
    </w:p>
    <w:p>
      <w:pPr>
        <w:spacing w:after="0" w:line="54" w:lineRule="exact"/>
        <w:rPr>
          <w:rFonts w:ascii="Arial" w:cs="Arial" w:eastAsia="Arial" w:hAnsi="Arial"/>
          <w:sz w:val="15"/>
          <w:szCs w:val="15"/>
          <w:color w:val="auto"/>
        </w:rPr>
      </w:pPr>
    </w:p>
    <w:p>
      <w:pPr>
        <w:jc w:val="both"/>
        <w:ind w:left="540" w:right="1239" w:firstLine="259"/>
        <w:spacing w:after="0" w:line="274" w:lineRule="auto"/>
        <w:tabs>
          <w:tab w:leader="none" w:pos="107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any Security Document, after delivery thereof pursuant hereto, shall for any reason fail or cease to create a valid and perfected (except as otherwise provided by Section 5(n) of the Security Agreement) and, except to the extent permitted by the terms hereof or thereof, first priority Lien in favor of the Holder for the benefit of the holders of the Notes on any Collateral (as defined in the Security Agreement) purported to be covered thereby;</w:t>
      </w:r>
    </w:p>
    <w:p>
      <w:pPr>
        <w:spacing w:after="0" w:line="61" w:lineRule="exact"/>
        <w:rPr>
          <w:rFonts w:ascii="Arial" w:cs="Arial" w:eastAsia="Arial" w:hAnsi="Arial"/>
          <w:sz w:val="16"/>
          <w:szCs w:val="16"/>
          <w:color w:val="auto"/>
        </w:rPr>
      </w:pPr>
    </w:p>
    <w:p>
      <w:pPr>
        <w:jc w:val="both"/>
        <w:ind w:left="540" w:right="1239" w:firstLine="259"/>
        <w:spacing w:after="0" w:line="251" w:lineRule="auto"/>
        <w:tabs>
          <w:tab w:leader="none" w:pos="1128" w:val="left"/>
        </w:tabs>
        <w:numPr>
          <w:ilvl w:val="1"/>
          <w:numId w:val="259"/>
        </w:numPr>
        <w:rPr>
          <w:rFonts w:ascii="Arial" w:cs="Arial" w:eastAsia="Arial" w:hAnsi="Arial"/>
          <w:sz w:val="17"/>
          <w:szCs w:val="17"/>
          <w:color w:val="auto"/>
        </w:rPr>
      </w:pPr>
      <w:r>
        <w:rPr>
          <w:rFonts w:ascii="Arial" w:cs="Arial" w:eastAsia="Arial" w:hAnsi="Arial"/>
          <w:sz w:val="17"/>
          <w:szCs w:val="17"/>
          <w:color w:val="auto"/>
        </w:rPr>
        <w:t>any material damage to, or loss, theft or destruction of, a material amount of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any Note Party or any Subsidiary, if any such event or circumstance could reasonably be expected to have a Material Adverse Effect.</w:t>
      </w:r>
    </w:p>
    <w:p>
      <w:pPr>
        <w:spacing w:after="0" w:line="80" w:lineRule="exact"/>
        <w:rPr>
          <w:sz w:val="20"/>
          <w:szCs w:val="20"/>
          <w:color w:val="auto"/>
        </w:rPr>
      </w:pPr>
    </w:p>
    <w:p>
      <w:pPr>
        <w:jc w:val="both"/>
        <w:ind w:left="300" w:right="1239" w:firstLine="248"/>
        <w:spacing w:after="0" w:line="285" w:lineRule="auto"/>
        <w:tabs>
          <w:tab w:leader="none" w:pos="841" w:val="left"/>
        </w:tabs>
        <w:numPr>
          <w:ilvl w:val="0"/>
          <w:numId w:val="260"/>
        </w:numPr>
        <w:rPr>
          <w:rFonts w:ascii="Arial" w:cs="Arial" w:eastAsia="Arial" w:hAnsi="Arial"/>
          <w:sz w:val="15"/>
          <w:szCs w:val="15"/>
          <w:color w:val="auto"/>
        </w:rPr>
      </w:pPr>
      <w:r>
        <w:rPr>
          <w:rFonts w:ascii="Arial" w:cs="Arial" w:eastAsia="Arial" w:hAnsi="Arial"/>
          <w:sz w:val="15"/>
          <w:szCs w:val="15"/>
          <w:u w:val="single" w:color="auto"/>
          <w:color w:val="auto"/>
        </w:rPr>
        <w:t>Redemption Right</w:t>
      </w:r>
      <w:r>
        <w:rPr>
          <w:rFonts w:ascii="Arial" w:cs="Arial" w:eastAsia="Arial" w:hAnsi="Arial"/>
          <w:sz w:val="15"/>
          <w:szCs w:val="15"/>
          <w:color w:val="auto"/>
        </w:rPr>
        <w:t>. On and after a Default Date, with respect to this Note, the Company shall within one (1) Business Day deliver written notice thereof via facsimile and overnight courier (an “</w:t>
      </w:r>
      <w:r>
        <w:rPr>
          <w:rFonts w:ascii="Arial" w:cs="Arial" w:eastAsia="Arial" w:hAnsi="Arial"/>
          <w:sz w:val="15"/>
          <w:szCs w:val="15"/>
          <w:b w:val="1"/>
          <w:bCs w:val="1"/>
          <w:color w:val="auto"/>
        </w:rPr>
        <w:t>Event of Default Notice</w:t>
      </w:r>
      <w:r>
        <w:rPr>
          <w:rFonts w:ascii="Arial" w:cs="Arial" w:eastAsia="Arial" w:hAnsi="Arial"/>
          <w:sz w:val="15"/>
          <w:szCs w:val="15"/>
          <w:color w:val="auto"/>
        </w:rPr>
        <w:t>”) to the Holder. At any time after the earlier of the Holder’s receipt of an Event of Default Notice and the Default Date, the Holder may require the Company to redeem (an “</w:t>
      </w:r>
      <w:r>
        <w:rPr>
          <w:rFonts w:ascii="Arial" w:cs="Arial" w:eastAsia="Arial" w:hAnsi="Arial"/>
          <w:sz w:val="15"/>
          <w:szCs w:val="15"/>
          <w:b w:val="1"/>
          <w:bCs w:val="1"/>
          <w:color w:val="auto"/>
        </w:rPr>
        <w:t>Event of Default Redemption</w:t>
      </w:r>
      <w:r>
        <w:rPr>
          <w:rFonts w:ascii="Arial" w:cs="Arial" w:eastAsia="Arial" w:hAnsi="Arial"/>
          <w:sz w:val="15"/>
          <w:szCs w:val="15"/>
          <w:color w:val="auto"/>
        </w:rPr>
        <w:t>”) all or any portion of this Note by delivering written notice thereof (the “</w:t>
      </w:r>
      <w:r>
        <w:rPr>
          <w:rFonts w:ascii="Arial" w:cs="Arial" w:eastAsia="Arial" w:hAnsi="Arial"/>
          <w:sz w:val="15"/>
          <w:szCs w:val="15"/>
          <w:b w:val="1"/>
          <w:bCs w:val="1"/>
          <w:color w:val="auto"/>
        </w:rPr>
        <w:t>Event of Default Redemption Notice</w:t>
      </w:r>
      <w:r>
        <w:rPr>
          <w:rFonts w:ascii="Arial" w:cs="Arial" w:eastAsia="Arial" w:hAnsi="Arial"/>
          <w:sz w:val="15"/>
          <w:szCs w:val="15"/>
          <w:color w:val="auto"/>
        </w:rPr>
        <w:t>”) to the Company, which Event of Default Redemption Notice shall indicate the portion of this Note the Holder is electing to redeem; provided, that, an Event of Default Redemption Notice may only be delivered so long as an Event of Default is continuing. Each portion of this Note subject to redemption by the Company pursuant to this Section 4(b) shall be redeemed by the Company in cash at a price equal to 125% of the Redemption Amount to be redeemed (the “</w:t>
      </w:r>
      <w:r>
        <w:rPr>
          <w:rFonts w:ascii="Arial" w:cs="Arial" w:eastAsia="Arial" w:hAnsi="Arial"/>
          <w:sz w:val="15"/>
          <w:szCs w:val="15"/>
          <w:b w:val="1"/>
          <w:bCs w:val="1"/>
          <w:color w:val="auto"/>
        </w:rPr>
        <w:t>Event of Default Redemption Price</w:t>
      </w:r>
      <w:r>
        <w:rPr>
          <w:rFonts w:ascii="Arial" w:cs="Arial" w:eastAsia="Arial" w:hAnsi="Arial"/>
          <w:sz w:val="15"/>
          <w:szCs w:val="15"/>
          <w:color w:val="auto"/>
        </w:rPr>
        <w:t>”). Redemptions required by this Section 4(b) shall be made in accordance with the provisions of Section 8. To the extent redemptions required by this Section 4(b)</w:t>
      </w:r>
    </w:p>
    <w:p>
      <w:pPr>
        <w:spacing w:after="0" w:line="200" w:lineRule="exact"/>
        <w:rPr>
          <w:sz w:val="20"/>
          <w:szCs w:val="20"/>
          <w:color w:val="auto"/>
        </w:rPr>
      </w:pPr>
    </w:p>
    <w:p>
      <w:pPr>
        <w:spacing w:after="0" w:line="27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7" w:name="page348"/>
    <w:bookmarkEnd w:id="3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49" w:lineRule="auto"/>
        <w:rPr>
          <w:sz w:val="20"/>
          <w:szCs w:val="20"/>
          <w:color w:val="auto"/>
        </w:rPr>
      </w:pPr>
      <w:r>
        <w:rPr>
          <w:rFonts w:ascii="Arial" w:cs="Arial" w:eastAsia="Arial" w:hAnsi="Arial"/>
          <w:sz w:val="17"/>
          <w:szCs w:val="17"/>
          <w:color w:val="auto"/>
        </w:rPr>
        <w:t>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4(b),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4(b) is intended by the parties to be, and shall be deemed, a reasonable estimate of the Holder’s actual loss of its investment opportunity and not as a penalty.</w:t>
      </w:r>
    </w:p>
    <w:p>
      <w:pPr>
        <w:spacing w:after="0" w:line="84" w:lineRule="exact"/>
        <w:rPr>
          <w:sz w:val="20"/>
          <w:szCs w:val="20"/>
          <w:color w:val="auto"/>
        </w:rPr>
      </w:pPr>
    </w:p>
    <w:p>
      <w:pPr>
        <w:ind w:left="580" w:hanging="282"/>
        <w:spacing w:after="0"/>
        <w:tabs>
          <w:tab w:leader="none" w:pos="580"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RIGHTS UPON FUNDAMENTAL TRANSACTION AND CHANGE OF CONTROL</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83" w:lineRule="auto"/>
        <w:tabs>
          <w:tab w:leader="none" w:pos="832" w:val="left"/>
        </w:tabs>
        <w:numPr>
          <w:ilvl w:val="1"/>
          <w:numId w:val="261"/>
        </w:numPr>
        <w:rPr>
          <w:rFonts w:ascii="Arial" w:cs="Arial" w:eastAsia="Arial" w:hAnsi="Arial"/>
          <w:sz w:val="15"/>
          <w:szCs w:val="15"/>
          <w:color w:val="auto"/>
        </w:rPr>
      </w:pPr>
      <w:r>
        <w:rPr>
          <w:rFonts w:ascii="Arial" w:cs="Arial" w:eastAsia="Arial" w:hAnsi="Arial"/>
          <w:sz w:val="15"/>
          <w:szCs w:val="15"/>
          <w:u w:val="single" w:color="auto"/>
          <w:color w:val="auto"/>
        </w:rPr>
        <w:t>Assumption</w:t>
      </w:r>
      <w:r>
        <w:rPr>
          <w:rFonts w:ascii="Arial" w:cs="Arial" w:eastAsia="Arial" w:hAnsi="Arial"/>
          <w:sz w:val="15"/>
          <w:szCs w:val="15"/>
          <w:color w:val="auto"/>
        </w:rPr>
        <w:t>. The Company shall not enter into or be party to a Fundamental Transaction unless the Successor Entity assumes in writing all of the obligations of the Company under this Note and the other Note Transaction Documents in accordance with the provisions of this Section 5(a) pursuant to written agreements in form and substance reasonably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and the interest rates of the Note then outstanding held by such holder, having similar ranking and security to the Note, and satisfactory to the Holder. Upon the occurrence of any Fundamental Transaction, the Successor Entity shall succeed to, and be substituted for (so that from and after the date of such Fundamental Transaction, the provisions of this Note referring to the “Company” shall refer instead to the Successor Entity), and may exercise every right and power of the Company and shall assume all of the obligations of the Company under this Note with the same effect as if such Successor Entity had been named as the Company herein. The provisions of this Section shall apply similarly and equally to successive Fundamental Transactions and shall be applied without regard to any limitations on the redemption of this Note.</w:t>
      </w:r>
    </w:p>
    <w:p>
      <w:pPr>
        <w:spacing w:after="0" w:line="62" w:lineRule="exact"/>
        <w:rPr>
          <w:rFonts w:ascii="Arial" w:cs="Arial" w:eastAsia="Arial" w:hAnsi="Arial"/>
          <w:sz w:val="15"/>
          <w:szCs w:val="15"/>
          <w:color w:val="auto"/>
        </w:rPr>
      </w:pPr>
    </w:p>
    <w:p>
      <w:pPr>
        <w:jc w:val="both"/>
        <w:ind w:left="300" w:right="1239" w:firstLine="248"/>
        <w:spacing w:after="0" w:line="282" w:lineRule="auto"/>
        <w:tabs>
          <w:tab w:leader="none" w:pos="829" w:val="left"/>
        </w:tabs>
        <w:numPr>
          <w:ilvl w:val="1"/>
          <w:numId w:val="261"/>
        </w:numPr>
        <w:rPr>
          <w:rFonts w:ascii="Arial" w:cs="Arial" w:eastAsia="Arial" w:hAnsi="Arial"/>
          <w:sz w:val="15"/>
          <w:szCs w:val="15"/>
          <w:color w:val="auto"/>
        </w:rPr>
      </w:pPr>
      <w:r>
        <w:rPr>
          <w:rFonts w:ascii="Arial" w:cs="Arial" w:eastAsia="Arial" w:hAnsi="Arial"/>
          <w:sz w:val="15"/>
          <w:szCs w:val="15"/>
          <w:u w:val="single" w:color="auto"/>
          <w:color w:val="auto"/>
        </w:rPr>
        <w:t>Redemption Right</w:t>
      </w:r>
      <w:r>
        <w:rPr>
          <w:rFonts w:ascii="Arial" w:cs="Arial" w:eastAsia="Arial" w:hAnsi="Arial"/>
          <w:sz w:val="15"/>
          <w:szCs w:val="15"/>
          <w:color w:val="auto"/>
        </w:rPr>
        <w:t>. No sooner than fifteen (15) days nor later than ten (10) days prior to the consummation of a Change of Control, but not prior to the public announcement of such Change of Control, the Company shall deliver written notice thereof via facsimile and overnight courier to the Holder (a “</w:t>
      </w:r>
      <w:r>
        <w:rPr>
          <w:rFonts w:ascii="Arial" w:cs="Arial" w:eastAsia="Arial" w:hAnsi="Arial"/>
          <w:sz w:val="15"/>
          <w:szCs w:val="15"/>
          <w:b w:val="1"/>
          <w:bCs w:val="1"/>
          <w:color w:val="auto"/>
        </w:rPr>
        <w:t>Change of Control Notice</w:t>
      </w:r>
      <w:r>
        <w:rPr>
          <w:rFonts w:ascii="Arial" w:cs="Arial" w:eastAsia="Arial" w:hAnsi="Arial"/>
          <w:sz w:val="15"/>
          <w:szCs w:val="15"/>
          <w:color w:val="auto"/>
        </w:rPr>
        <w:t>”). At any time during the period beginning after the Holder’s receipt of a Change of Control Notice and ending twenty (20) Business Days after the date of the consummation of such Change of Control, the Holder may require the Company to redeem (a “</w:t>
      </w:r>
      <w:r>
        <w:rPr>
          <w:rFonts w:ascii="Arial" w:cs="Arial" w:eastAsia="Arial" w:hAnsi="Arial"/>
          <w:sz w:val="15"/>
          <w:szCs w:val="15"/>
          <w:b w:val="1"/>
          <w:bCs w:val="1"/>
          <w:color w:val="auto"/>
        </w:rPr>
        <w:t>Change of Control</w:t>
      </w:r>
      <w:r>
        <w:rPr>
          <w:rFonts w:ascii="Arial" w:cs="Arial" w:eastAsia="Arial" w:hAnsi="Arial"/>
          <w:sz w:val="15"/>
          <w:szCs w:val="15"/>
          <w:color w:val="auto"/>
        </w:rPr>
        <w:t xml:space="preserve"> </w:t>
      </w:r>
      <w:r>
        <w:rPr>
          <w:rFonts w:ascii="Arial" w:cs="Arial" w:eastAsia="Arial" w:hAnsi="Arial"/>
          <w:sz w:val="15"/>
          <w:szCs w:val="15"/>
          <w:b w:val="1"/>
          <w:bCs w:val="1"/>
          <w:color w:val="auto"/>
        </w:rPr>
        <w:t>Redemption</w:t>
      </w:r>
      <w:r>
        <w:rPr>
          <w:rFonts w:ascii="Arial" w:cs="Arial" w:eastAsia="Arial" w:hAnsi="Arial"/>
          <w:sz w:val="15"/>
          <w:szCs w:val="15"/>
          <w:color w:val="auto"/>
        </w:rPr>
        <w:t>”) all or any portion of this Note by delivering written notice thereof (“</w:t>
      </w:r>
      <w:r>
        <w:rPr>
          <w:rFonts w:ascii="Arial" w:cs="Arial" w:eastAsia="Arial" w:hAnsi="Arial"/>
          <w:sz w:val="15"/>
          <w:szCs w:val="15"/>
          <w:b w:val="1"/>
          <w:bCs w:val="1"/>
          <w:color w:val="auto"/>
        </w:rPr>
        <w:t>Change of Control Redemption Notice</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and the date thereof, the “</w:t>
      </w:r>
      <w:r>
        <w:rPr>
          <w:rFonts w:ascii="Arial" w:cs="Arial" w:eastAsia="Arial" w:hAnsi="Arial"/>
          <w:sz w:val="15"/>
          <w:szCs w:val="15"/>
          <w:b w:val="1"/>
          <w:bCs w:val="1"/>
          <w:color w:val="auto"/>
        </w:rPr>
        <w:t>Change of Control Redemption Notice Date</w:t>
      </w:r>
      <w:r>
        <w:rPr>
          <w:rFonts w:ascii="Arial" w:cs="Arial" w:eastAsia="Arial" w:hAnsi="Arial"/>
          <w:sz w:val="15"/>
          <w:szCs w:val="15"/>
          <w:color w:val="auto"/>
        </w:rPr>
        <w:t>”) to the Company, which Change of Control Redemption Notice shall indicate the Redemption Amount the Holder is electing to require the Company to redeem. The portion of this Note subject to redemption pursuant to this Section 5(b) shall be redeemed by the Company in cash at a price equal to 125% of the Redemption Amount to be redeemed. Redemptions required by this Section 5 shall be made in accordance with the provisions of Section 8 and shall have priority to payments to stockholders in connection with a Change of Control. To the extent redemptions required by this Section 5(b)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5(b) is intended by the parties to be, and shall be deemed, a reasonable estimate of the Holder’s actual loss of its investment opportunity and not as a penalty.</w:t>
      </w:r>
    </w:p>
    <w:p>
      <w:pPr>
        <w:spacing w:after="0" w:line="60" w:lineRule="exact"/>
        <w:rPr>
          <w:rFonts w:ascii="Arial" w:cs="Arial" w:eastAsia="Arial" w:hAnsi="Arial"/>
          <w:sz w:val="15"/>
          <w:szCs w:val="15"/>
          <w:color w:val="auto"/>
        </w:rPr>
      </w:pPr>
    </w:p>
    <w:p>
      <w:pPr>
        <w:jc w:val="both"/>
        <w:ind w:left="40" w:right="1239" w:firstLine="258"/>
        <w:spacing w:after="0" w:line="251" w:lineRule="auto"/>
        <w:tabs>
          <w:tab w:leader="none" w:pos="581"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OPTIONAL REDEMPTION RIGHT</w:t>
      </w:r>
      <w:r>
        <w:rPr>
          <w:rFonts w:ascii="Arial" w:cs="Arial" w:eastAsia="Arial" w:hAnsi="Arial"/>
          <w:sz w:val="17"/>
          <w:szCs w:val="17"/>
          <w:color w:val="auto"/>
        </w:rPr>
        <w:t>. From and after the date upon which (i) the Company and its Subsidiaries has more than $15,000,000 in the aggregate of cash and Cash Equivalents, the Holder may, within 10 days of receipt of the Optional Redemption Notice, require the Company to redeem up to 50% of the outstanding principal amount of this Note, (ii) the Company and its Subsidiaries has more than $20,000,000 in the aggregate of cash and Cash Equivalents, the Holder may, within 10 days of receipt of the</w:t>
      </w:r>
    </w:p>
    <w:p>
      <w:pPr>
        <w:spacing w:after="0" w:line="200" w:lineRule="exact"/>
        <w:rPr>
          <w:sz w:val="20"/>
          <w:szCs w:val="20"/>
          <w:color w:val="auto"/>
        </w:rPr>
      </w:pPr>
    </w:p>
    <w:p>
      <w:pPr>
        <w:spacing w:after="0" w:line="29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8" w:name="page349"/>
    <w:bookmarkEnd w:id="3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Optional Redemption Notice, require the Company to redeem up to 100% of the outstanding principal of this Note, (iii) the Company and its Subsidiaries receives proceeds in excess of $500,000 in the aggregate (for all such transactions after the Amendment and Restatement Date of this Note) from the issuance of any equity or indebtedness of the Company or any of its Subsidiaries (excluding any proceeds received upon the exercise of options or warrants which are outstanding on the day immediately preceding the Amendment and Restatement Date, provided that the terms of such options or warrants are not amended, modified or changed on or after the Amendment and Restatement Date), the Holder may, within 10 days of receipt of the Optional Redemption Notice, require the Company to redeem the outstanding principal under this Note in an amount equal to up to 20% of the proceeds of the issuance of any such equity or indebtedness (each such occurrence described in clauses (i) through (iii) above, an “</w:t>
      </w:r>
      <w:r>
        <w:rPr>
          <w:rFonts w:ascii="Arial" w:cs="Arial" w:eastAsia="Arial" w:hAnsi="Arial"/>
          <w:sz w:val="15"/>
          <w:szCs w:val="15"/>
          <w:b w:val="1"/>
          <w:bCs w:val="1"/>
          <w:color w:val="auto"/>
        </w:rPr>
        <w:t>Optional Redemption</w:t>
      </w:r>
      <w:r>
        <w:rPr>
          <w:rFonts w:ascii="Arial" w:cs="Arial" w:eastAsia="Arial" w:hAnsi="Arial"/>
          <w:sz w:val="15"/>
          <w:szCs w:val="15"/>
          <w:color w:val="auto"/>
        </w:rPr>
        <w:t>”), in each case by delivering written notice thereof (the “</w:t>
      </w:r>
      <w:r>
        <w:rPr>
          <w:rFonts w:ascii="Arial" w:cs="Arial" w:eastAsia="Arial" w:hAnsi="Arial"/>
          <w:sz w:val="15"/>
          <w:szCs w:val="15"/>
          <w:b w:val="1"/>
          <w:bCs w:val="1"/>
          <w:color w:val="auto"/>
        </w:rPr>
        <w:t>Optional Redemption Notice</w:t>
      </w:r>
      <w:r>
        <w:rPr>
          <w:rFonts w:ascii="Arial" w:cs="Arial" w:eastAsia="Arial" w:hAnsi="Arial"/>
          <w:sz w:val="15"/>
          <w:szCs w:val="15"/>
          <w:color w:val="auto"/>
        </w:rPr>
        <w:t>”) to the Company within the time periods set forth above, which Optional Redemption Notice shall indicate the portion of this Note the Holder is electing to redeem. Each portion of this Note subject to redemption by the Company pursuant to this Section 6 shall be redeemed by the Company in cash at a price equal to 100% of the Redemption Amount to be redeemed (the “</w:t>
      </w:r>
      <w:r>
        <w:rPr>
          <w:rFonts w:ascii="Arial" w:cs="Arial" w:eastAsia="Arial" w:hAnsi="Arial"/>
          <w:sz w:val="15"/>
          <w:szCs w:val="15"/>
          <w:b w:val="1"/>
          <w:bCs w:val="1"/>
          <w:color w:val="auto"/>
        </w:rPr>
        <w:t>Optional</w:t>
      </w:r>
      <w:r>
        <w:rPr>
          <w:rFonts w:ascii="Arial" w:cs="Arial" w:eastAsia="Arial" w:hAnsi="Arial"/>
          <w:sz w:val="15"/>
          <w:szCs w:val="15"/>
          <w:color w:val="auto"/>
        </w:rPr>
        <w:t xml:space="preserve"> </w:t>
      </w:r>
      <w:r>
        <w:rPr>
          <w:rFonts w:ascii="Arial" w:cs="Arial" w:eastAsia="Arial" w:hAnsi="Arial"/>
          <w:sz w:val="15"/>
          <w:szCs w:val="15"/>
          <w:b w:val="1"/>
          <w:bCs w:val="1"/>
          <w:color w:val="auto"/>
        </w:rPr>
        <w:t>Redemption Price</w:t>
      </w:r>
      <w:r>
        <w:rPr>
          <w:rFonts w:ascii="Arial" w:cs="Arial" w:eastAsia="Arial" w:hAnsi="Arial"/>
          <w:sz w:val="15"/>
          <w:szCs w:val="15"/>
          <w:color w:val="auto"/>
        </w:rPr>
        <w:t>”). Redemptions required by this Section 6 shall be made in accordance with the provisions of Section 8. To the</w:t>
      </w:r>
      <w:r>
        <w:rPr>
          <w:rFonts w:ascii="Arial" w:cs="Arial" w:eastAsia="Arial" w:hAnsi="Arial"/>
          <w:sz w:val="15"/>
          <w:szCs w:val="15"/>
          <w:b w:val="1"/>
          <w:bCs w:val="1"/>
          <w:color w:val="auto"/>
        </w:rPr>
        <w:t xml:space="preserve"> </w:t>
      </w:r>
      <w:r>
        <w:rPr>
          <w:rFonts w:ascii="Arial" w:cs="Arial" w:eastAsia="Arial" w:hAnsi="Arial"/>
          <w:sz w:val="15"/>
          <w:szCs w:val="15"/>
          <w:color w:val="auto"/>
        </w:rPr>
        <w:t>extent redemptions required by this Section 6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6, the Holder’s damages would be uncertain and difficult to estimate because of the parties’ inability to predict future interest rates and the uncertainty of the availability of a suitable substitute investment opportunity for the Holder.</w:t>
      </w:r>
    </w:p>
    <w:p>
      <w:pPr>
        <w:spacing w:after="0" w:line="264" w:lineRule="exact"/>
        <w:rPr>
          <w:sz w:val="20"/>
          <w:szCs w:val="20"/>
          <w:color w:val="auto"/>
        </w:rPr>
      </w:pPr>
    </w:p>
    <w:p>
      <w:pPr>
        <w:jc w:val="both"/>
        <w:ind w:left="40" w:right="1239" w:firstLine="258"/>
        <w:spacing w:after="0" w:line="251" w:lineRule="auto"/>
        <w:tabs>
          <w:tab w:leader="none" w:pos="594" w:val="left"/>
        </w:tabs>
        <w:numPr>
          <w:ilvl w:val="1"/>
          <w:numId w:val="262"/>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80" w:lineRule="exact"/>
        <w:rPr>
          <w:rFonts w:ascii="Arial" w:cs="Arial" w:eastAsia="Arial" w:hAnsi="Arial"/>
          <w:sz w:val="17"/>
          <w:szCs w:val="17"/>
          <w:color w:val="auto"/>
        </w:rPr>
      </w:pPr>
    </w:p>
    <w:p>
      <w:pPr>
        <w:ind w:left="580" w:hanging="282"/>
        <w:spacing w:after="0"/>
        <w:tabs>
          <w:tab w:leader="none" w:pos="580" w:val="left"/>
        </w:tabs>
        <w:numPr>
          <w:ilvl w:val="1"/>
          <w:numId w:val="262"/>
        </w:numPr>
        <w:rPr>
          <w:rFonts w:ascii="Arial" w:cs="Arial" w:eastAsia="Arial" w:hAnsi="Arial"/>
          <w:sz w:val="15"/>
          <w:szCs w:val="15"/>
          <w:color w:val="auto"/>
        </w:rPr>
      </w:pPr>
      <w:r>
        <w:rPr>
          <w:rFonts w:ascii="Arial" w:cs="Arial" w:eastAsia="Arial" w:hAnsi="Arial"/>
          <w:sz w:val="15"/>
          <w:szCs w:val="15"/>
          <w:u w:val="single" w:color="auto"/>
          <w:color w:val="auto"/>
        </w:rPr>
        <w:t>REDEMPTIONS</w:t>
      </w:r>
      <w:r>
        <w:rPr>
          <w:rFonts w:ascii="Arial" w:cs="Arial" w:eastAsia="Arial" w:hAnsi="Arial"/>
          <w:sz w:val="15"/>
          <w:szCs w:val="15"/>
          <w:color w:val="auto"/>
        </w:rPr>
        <w:t>. The Company shall deliver the applicable Event of Default Redemption Price to the Holder within five</w:t>
      </w:r>
    </w:p>
    <w:p>
      <w:pPr>
        <w:spacing w:after="0" w:line="40" w:lineRule="exact"/>
        <w:rPr>
          <w:rFonts w:ascii="Arial" w:cs="Arial" w:eastAsia="Arial" w:hAnsi="Arial"/>
          <w:sz w:val="15"/>
          <w:szCs w:val="15"/>
          <w:color w:val="auto"/>
        </w:rPr>
      </w:pPr>
    </w:p>
    <w:p>
      <w:pPr>
        <w:jc w:val="both"/>
        <w:ind w:left="40" w:right="1239" w:firstLine="7"/>
        <w:spacing w:after="0" w:line="281" w:lineRule="auto"/>
        <w:tabs>
          <w:tab w:leader="none" w:pos="309" w:val="left"/>
        </w:tabs>
        <w:numPr>
          <w:ilvl w:val="0"/>
          <w:numId w:val="263"/>
        </w:numPr>
        <w:rPr>
          <w:rFonts w:ascii="Arial" w:cs="Arial" w:eastAsia="Arial" w:hAnsi="Arial"/>
          <w:sz w:val="15"/>
          <w:szCs w:val="15"/>
          <w:color w:val="auto"/>
        </w:rPr>
      </w:pPr>
      <w:r>
        <w:rPr>
          <w:rFonts w:ascii="Arial" w:cs="Arial" w:eastAsia="Arial" w:hAnsi="Arial"/>
          <w:sz w:val="15"/>
          <w:szCs w:val="15"/>
          <w:color w:val="auto"/>
        </w:rPr>
        <w:t>Business Days after the Company’s receipt of the Holder’s Event of Default Redemption Notice (the “</w:t>
      </w:r>
      <w:r>
        <w:rPr>
          <w:rFonts w:ascii="Arial" w:cs="Arial" w:eastAsia="Arial" w:hAnsi="Arial"/>
          <w:sz w:val="15"/>
          <w:szCs w:val="15"/>
          <w:b w:val="1"/>
          <w:bCs w:val="1"/>
          <w:color w:val="auto"/>
        </w:rPr>
        <w:t>Event of Default</w:t>
      </w:r>
      <w:r>
        <w:rPr>
          <w:rFonts w:ascii="Arial" w:cs="Arial" w:eastAsia="Arial" w:hAnsi="Arial"/>
          <w:sz w:val="15"/>
          <w:szCs w:val="15"/>
          <w:color w:val="auto"/>
        </w:rPr>
        <w:t xml:space="preserve"> </w:t>
      </w:r>
      <w:r>
        <w:rPr>
          <w:rFonts w:ascii="Arial" w:cs="Arial" w:eastAsia="Arial" w:hAnsi="Arial"/>
          <w:sz w:val="15"/>
          <w:szCs w:val="15"/>
          <w:b w:val="1"/>
          <w:bCs w:val="1"/>
          <w:color w:val="auto"/>
        </w:rPr>
        <w:t>Redemption Date</w:t>
      </w:r>
      <w:r>
        <w:rPr>
          <w:rFonts w:ascii="Arial" w:cs="Arial" w:eastAsia="Arial" w:hAnsi="Arial"/>
          <w:sz w:val="15"/>
          <w:szCs w:val="15"/>
          <w:color w:val="auto"/>
        </w:rPr>
        <w:t>”). If the Holder has submitted a Change of Control Redemption Notice in accordance with Section 5(b),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shall deliver the applicable Change of Control Redemption Price to the Holder (i) concurrently with the consummation of such Change of Control if such notice is received prior to the consummation of such Change of Control and (ii) within five (5) Business Days after the Company’s receipt of such notice otherwise (such date, the “</w:t>
      </w:r>
      <w:r>
        <w:rPr>
          <w:rFonts w:ascii="Arial" w:cs="Arial" w:eastAsia="Arial" w:hAnsi="Arial"/>
          <w:sz w:val="15"/>
          <w:szCs w:val="15"/>
          <w:b w:val="1"/>
          <w:bCs w:val="1"/>
          <w:color w:val="auto"/>
        </w:rPr>
        <w:t>Change of Control Redemption Date</w:t>
      </w:r>
      <w:r>
        <w:rPr>
          <w:rFonts w:ascii="Arial" w:cs="Arial" w:eastAsia="Arial" w:hAnsi="Arial"/>
          <w:sz w:val="15"/>
          <w:szCs w:val="15"/>
          <w:color w:val="auto"/>
        </w:rPr>
        <w:t>”). The Company shall deliver the applicable Optional Redemption Price to the Holder within five (5) Business Days after the Company’s receipt of the Holder’s Optional Redemption Notice (the “</w:t>
      </w:r>
      <w:r>
        <w:rPr>
          <w:rFonts w:ascii="Arial" w:cs="Arial" w:eastAsia="Arial" w:hAnsi="Arial"/>
          <w:sz w:val="15"/>
          <w:szCs w:val="15"/>
          <w:b w:val="1"/>
          <w:bCs w:val="1"/>
          <w:color w:val="auto"/>
        </w:rPr>
        <w:t>Optional Redemption Date</w:t>
      </w:r>
      <w:r>
        <w:rPr>
          <w:rFonts w:ascii="Arial" w:cs="Arial" w:eastAsia="Arial" w:hAnsi="Arial"/>
          <w:sz w:val="15"/>
          <w:szCs w:val="15"/>
          <w:color w:val="auto"/>
        </w:rPr>
        <w:t>”). In the event of a redemption of less than all of the Redemption Amount of this Note, the Company shall promptly cause to be issued and delivered to the Holder a new Note (in accordance with Section 13(d))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Redemption Amount that was submitted for redemption and for which the applicable Redemption Price (together with any Late Charges thereon) has not been paid. Upon the Company’s receipt of such notice, (x) the applicable Redemption Notice shall be null and void with respect to such Redemption Amount, (y) the Company shall immediately return this Note, or issue a new Note (in accordance with Section 13(d)) to the Holder representing such Redemption Amount to be redeemed. The Holder’s delivery of a notice voiding a Redemption Notice and exercise of its rights following such notice shall not affect the Company’s obligations to make any payments of Late Charges which have accrued prior to the date of such notice with respect to the Redemption Amount subject to such notice.</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9" w:name="page350"/>
    <w:bookmarkEnd w:id="3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8"/>
        <w:spacing w:after="0" w:line="267" w:lineRule="auto"/>
        <w:tabs>
          <w:tab w:leader="none" w:pos="569"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The Holder shall have no voting rights as the holder of this Note, except as required by law, including, but not limited to, the laws of the State of Delaware, and as expressly provided in this Note.</w:t>
      </w:r>
    </w:p>
    <w:p>
      <w:pPr>
        <w:spacing w:after="0" w:line="66" w:lineRule="exact"/>
        <w:rPr>
          <w:rFonts w:ascii="Arial" w:cs="Arial" w:eastAsia="Arial" w:hAnsi="Arial"/>
          <w:sz w:val="17"/>
          <w:szCs w:val="17"/>
          <w:color w:val="auto"/>
        </w:rPr>
      </w:pPr>
    </w:p>
    <w:p>
      <w:pPr>
        <w:ind w:left="660" w:hanging="362"/>
        <w:spacing w:after="0"/>
        <w:tabs>
          <w:tab w:leader="none" w:pos="660"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COVENANTS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300" w:right="1239" w:firstLine="248"/>
        <w:spacing w:after="0" w:line="267" w:lineRule="auto"/>
        <w:tabs>
          <w:tab w:leader="none" w:pos="832"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Rank</w:t>
      </w:r>
      <w:r>
        <w:rPr>
          <w:rFonts w:ascii="Arial" w:cs="Arial" w:eastAsia="Arial" w:hAnsi="Arial"/>
          <w:sz w:val="17"/>
          <w:szCs w:val="17"/>
          <w:color w:val="auto"/>
        </w:rPr>
        <w:t>. All payments due under this Note shall be senior to all other Indebtedness of the Company and its Subsidiaries other than Permitted Senior Indebtedness.</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54"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Incurrence of Indebtedness</w:t>
      </w:r>
      <w:r>
        <w:rPr>
          <w:rFonts w:ascii="Arial" w:cs="Arial" w:eastAsia="Arial" w:hAnsi="Arial"/>
          <w:sz w:val="17"/>
          <w:szCs w:val="17"/>
          <w:color w:val="auto"/>
        </w:rPr>
        <w:t>. So long as this Note is outstanding, the Company shall (and shall use its commercially reasonable efforts to cause the Parent and the Parent’s other Subsidiaries) not, and the Company shall not permit any of its Subsidiaries to, directly or indirectly, incur or guarantee, assume or suffer to exist any Indebtedness, other than Permitted Indebtedness.</w:t>
      </w:r>
    </w:p>
    <w:p>
      <w:pPr>
        <w:spacing w:after="0" w:line="77" w:lineRule="exact"/>
        <w:rPr>
          <w:rFonts w:ascii="Arial" w:cs="Arial" w:eastAsia="Arial" w:hAnsi="Arial"/>
          <w:sz w:val="17"/>
          <w:szCs w:val="17"/>
          <w:color w:val="auto"/>
        </w:rPr>
      </w:pPr>
    </w:p>
    <w:p>
      <w:pPr>
        <w:jc w:val="both"/>
        <w:ind w:left="300" w:right="1239" w:firstLine="248"/>
        <w:spacing w:after="0" w:line="251" w:lineRule="auto"/>
        <w:tabs>
          <w:tab w:leader="none" w:pos="832"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Existence of Liens</w:t>
      </w:r>
      <w:r>
        <w:rPr>
          <w:rFonts w:ascii="Arial" w:cs="Arial" w:eastAsia="Arial" w:hAnsi="Arial"/>
          <w:sz w:val="17"/>
          <w:szCs w:val="17"/>
          <w:color w:val="auto"/>
        </w:rPr>
        <w:t>. So long as this Note is outstanding, the Company shall (and shall use its commercially reasonable efforts to cause the Parent and the Parent’s other Subsidiaries) not, and the Company shall not permit any of its Subsidiaries to,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7"/>
          <w:szCs w:val="17"/>
          <w:b w:val="1"/>
          <w:bCs w:val="1"/>
          <w:color w:val="auto"/>
        </w:rPr>
        <w:t>Liens</w:t>
      </w:r>
      <w:r>
        <w:rPr>
          <w:rFonts w:ascii="Arial" w:cs="Arial" w:eastAsia="Arial" w:hAnsi="Arial"/>
          <w:sz w:val="17"/>
          <w:szCs w:val="17"/>
          <w:color w:val="auto"/>
        </w:rPr>
        <w:t>”) other than Permitted Liens.</w:t>
      </w:r>
    </w:p>
    <w:p>
      <w:pPr>
        <w:spacing w:after="0" w:line="80" w:lineRule="exact"/>
        <w:rPr>
          <w:rFonts w:ascii="Arial" w:cs="Arial" w:eastAsia="Arial" w:hAnsi="Arial"/>
          <w:sz w:val="17"/>
          <w:szCs w:val="17"/>
          <w:color w:val="auto"/>
        </w:rPr>
      </w:pPr>
    </w:p>
    <w:p>
      <w:pPr>
        <w:jc w:val="both"/>
        <w:ind w:left="300" w:right="1239" w:firstLine="248"/>
        <w:spacing w:after="0" w:line="249" w:lineRule="auto"/>
        <w:tabs>
          <w:tab w:leader="none" w:pos="829"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Restricted Payments</w:t>
      </w:r>
      <w:r>
        <w:rPr>
          <w:rFonts w:ascii="Arial" w:cs="Arial" w:eastAsia="Arial" w:hAnsi="Arial"/>
          <w:sz w:val="17"/>
          <w:szCs w:val="17"/>
          <w:color w:val="auto"/>
        </w:rPr>
        <w:t>. The Company shall (and shall use its commercially reasonable efforts to cause the Parent and the Parent’s other Subsidiaries) not, and the Company shall not permit any of its Subsidiaries to,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this Note),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spacing w:after="0" w:line="81" w:lineRule="exact"/>
        <w:rPr>
          <w:rFonts w:ascii="Arial" w:cs="Arial" w:eastAsia="Arial" w:hAnsi="Arial"/>
          <w:sz w:val="17"/>
          <w:szCs w:val="17"/>
          <w:color w:val="auto"/>
        </w:rPr>
      </w:pPr>
    </w:p>
    <w:p>
      <w:pPr>
        <w:jc w:val="both"/>
        <w:ind w:left="300" w:right="1239" w:firstLine="248"/>
        <w:spacing w:after="0" w:line="307" w:lineRule="auto"/>
        <w:tabs>
          <w:tab w:leader="none" w:pos="832" w:val="left"/>
        </w:tabs>
        <w:numPr>
          <w:ilvl w:val="1"/>
          <w:numId w:val="264"/>
        </w:numPr>
        <w:rPr>
          <w:rFonts w:ascii="Arial" w:cs="Arial" w:eastAsia="Arial" w:hAnsi="Arial"/>
          <w:sz w:val="15"/>
          <w:szCs w:val="15"/>
          <w:color w:val="auto"/>
        </w:rPr>
      </w:pPr>
      <w:r>
        <w:rPr>
          <w:rFonts w:ascii="Arial" w:cs="Arial" w:eastAsia="Arial" w:hAnsi="Arial"/>
          <w:sz w:val="15"/>
          <w:szCs w:val="15"/>
          <w:u w:val="single" w:color="auto"/>
          <w:color w:val="auto"/>
        </w:rPr>
        <w:t>Restriction on Redemption</w:t>
      </w:r>
      <w:r>
        <w:rPr>
          <w:rFonts w:ascii="Arial" w:cs="Arial" w:eastAsia="Arial" w:hAnsi="Arial"/>
          <w:sz w:val="15"/>
          <w:szCs w:val="15"/>
          <w:color w:val="auto"/>
        </w:rPr>
        <w:t>. Until this Note has been redeemed or otherwise satisfied in accordance with its terms, the Company shall (and shall use its commercially reasonable efforts to cause the Parent and the Parent’s other Subsidiaries) not, directly or indirectly, redeem or repurchase its capital stock without the prior express written consent of the Holder.</w:t>
      </w:r>
    </w:p>
    <w:p>
      <w:pPr>
        <w:spacing w:after="0" w:line="39" w:lineRule="exact"/>
        <w:rPr>
          <w:rFonts w:ascii="Arial" w:cs="Arial" w:eastAsia="Arial" w:hAnsi="Arial"/>
          <w:sz w:val="15"/>
          <w:szCs w:val="15"/>
          <w:color w:val="auto"/>
        </w:rPr>
      </w:pPr>
    </w:p>
    <w:p>
      <w:pPr>
        <w:ind w:left="800" w:hanging="252"/>
        <w:spacing w:after="0"/>
        <w:tabs>
          <w:tab w:leader="none" w:pos="800"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[Intentionally Omitted]</w:t>
      </w:r>
    </w:p>
    <w:p>
      <w:pPr>
        <w:spacing w:after="0" w:line="105" w:lineRule="exact"/>
        <w:rPr>
          <w:rFonts w:ascii="Arial" w:cs="Arial" w:eastAsia="Arial" w:hAnsi="Arial"/>
          <w:sz w:val="17"/>
          <w:szCs w:val="17"/>
          <w:color w:val="auto"/>
        </w:rPr>
      </w:pPr>
    </w:p>
    <w:p>
      <w:pPr>
        <w:jc w:val="both"/>
        <w:ind w:left="300" w:right="1239" w:firstLine="248"/>
        <w:spacing w:after="0" w:line="285" w:lineRule="auto"/>
        <w:tabs>
          <w:tab w:leader="none" w:pos="829" w:val="left"/>
        </w:tabs>
        <w:numPr>
          <w:ilvl w:val="1"/>
          <w:numId w:val="264"/>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 The Company shall (and shall use its commercially reasonable efforts to cause the Parent and the Parent’s other Subsidiaries) not, and the Company shall not permit any of its Subsidiaries, directly or indirectly, to encumber or allow any Liens on,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Company and its Subsidiaries and the Parent and the Parent’s other Subsidiaries connected with and symbolized thereby, know-how, operating manuals, trade secret rights, rights to unpatented inventions, and any claims for damage by way of any past, present, or future infringement of any of the foregoing, other than Permitted Liens.</w:t>
      </w:r>
    </w:p>
    <w:p>
      <w:pPr>
        <w:spacing w:after="0" w:line="61" w:lineRule="exact"/>
        <w:rPr>
          <w:rFonts w:ascii="Arial" w:cs="Arial" w:eastAsia="Arial" w:hAnsi="Arial"/>
          <w:sz w:val="15"/>
          <w:szCs w:val="15"/>
          <w:color w:val="auto"/>
        </w:rPr>
      </w:pPr>
    </w:p>
    <w:p>
      <w:pPr>
        <w:jc w:val="both"/>
        <w:ind w:left="300" w:right="1239" w:firstLine="248"/>
        <w:spacing w:after="0" w:line="270" w:lineRule="auto"/>
        <w:tabs>
          <w:tab w:leader="none" w:pos="866" w:val="left"/>
        </w:tabs>
        <w:numPr>
          <w:ilvl w:val="1"/>
          <w:numId w:val="264"/>
        </w:numPr>
        <w:rPr>
          <w:rFonts w:ascii="Arial" w:cs="Arial" w:eastAsia="Arial" w:hAnsi="Arial"/>
          <w:sz w:val="16"/>
          <w:szCs w:val="16"/>
          <w:color w:val="auto"/>
        </w:rPr>
      </w:pP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 The Company shall (and shall use its commercially reasonable efforts to cause the Parent and the Parent’s other Subsidiaries to)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50" w:name="page351"/>
    <w:bookmarkEnd w:id="3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0" w:lineRule="auto"/>
        <w:tabs>
          <w:tab w:leader="none" w:pos="829" w:val="left"/>
        </w:tabs>
        <w:numPr>
          <w:ilvl w:val="1"/>
          <w:numId w:val="265"/>
        </w:numPr>
        <w:rPr>
          <w:rFonts w:ascii="Arial" w:cs="Arial" w:eastAsia="Arial" w:hAnsi="Arial"/>
          <w:sz w:val="17"/>
          <w:szCs w:val="17"/>
          <w:color w:val="auto"/>
        </w:rPr>
      </w:pPr>
      <w:r>
        <w:rPr>
          <w:rFonts w:ascii="Arial" w:cs="Arial" w:eastAsia="Arial" w:hAnsi="Arial"/>
          <w:sz w:val="17"/>
          <w:szCs w:val="17"/>
          <w:u w:val="single" w:color="auto"/>
          <w:color w:val="auto"/>
        </w:rPr>
        <w:t>Maintenance of Properties, Etc</w:t>
      </w:r>
      <w:r>
        <w:rPr>
          <w:rFonts w:ascii="Arial" w:cs="Arial" w:eastAsia="Arial" w:hAnsi="Arial"/>
          <w:sz w:val="17"/>
          <w:szCs w:val="17"/>
          <w:color w:val="auto"/>
        </w:rPr>
        <w:t>. The Company shall (and shall use its commercially reasonable efforts to cause the Parent and the Parent’s other Subsidiaries to)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81" w:lineRule="exact"/>
        <w:rPr>
          <w:rFonts w:ascii="Arial" w:cs="Arial" w:eastAsia="Arial" w:hAnsi="Arial"/>
          <w:sz w:val="17"/>
          <w:szCs w:val="17"/>
          <w:color w:val="auto"/>
        </w:rPr>
      </w:pPr>
    </w:p>
    <w:p>
      <w:pPr>
        <w:jc w:val="both"/>
        <w:ind w:left="300" w:right="1239" w:firstLine="248"/>
        <w:spacing w:after="0" w:line="290" w:lineRule="auto"/>
        <w:tabs>
          <w:tab w:leader="none" w:pos="817" w:val="left"/>
        </w:tabs>
        <w:numPr>
          <w:ilvl w:val="1"/>
          <w:numId w:val="265"/>
        </w:numPr>
        <w:rPr>
          <w:rFonts w:ascii="Arial" w:cs="Arial" w:eastAsia="Arial" w:hAnsi="Arial"/>
          <w:sz w:val="15"/>
          <w:szCs w:val="15"/>
          <w:color w:val="auto"/>
        </w:rPr>
      </w:pPr>
      <w:r>
        <w:rPr>
          <w:rFonts w:ascii="Arial" w:cs="Arial" w:eastAsia="Arial" w:hAnsi="Arial"/>
          <w:sz w:val="15"/>
          <w:szCs w:val="15"/>
          <w:u w:val="single" w:color="auto"/>
          <w:color w:val="auto"/>
        </w:rPr>
        <w:t>Maintenance of Insurance</w:t>
      </w:r>
      <w:r>
        <w:rPr>
          <w:rFonts w:ascii="Arial" w:cs="Arial" w:eastAsia="Arial" w:hAnsi="Arial"/>
          <w:sz w:val="15"/>
          <w:szCs w:val="15"/>
          <w:color w:val="auto"/>
        </w:rPr>
        <w:t>. The Company shall (and shall use its commercially reasonable efforts to cause the Parent and the Parent’s other Subsidiaries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52" w:lineRule="exact"/>
        <w:rPr>
          <w:rFonts w:ascii="Arial" w:cs="Arial" w:eastAsia="Arial" w:hAnsi="Arial"/>
          <w:sz w:val="15"/>
          <w:szCs w:val="15"/>
          <w:color w:val="auto"/>
        </w:rPr>
      </w:pPr>
    </w:p>
    <w:p>
      <w:pPr>
        <w:ind w:left="40" w:right="1239" w:firstLine="258"/>
        <w:spacing w:after="0" w:line="267" w:lineRule="auto"/>
        <w:tabs>
          <w:tab w:leader="none" w:pos="646"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VOTE TO ISSUE, OR CHANGE THE TERMS OF, NOTES</w:t>
      </w:r>
      <w:r>
        <w:rPr>
          <w:rFonts w:ascii="Arial" w:cs="Arial" w:eastAsia="Arial" w:hAnsi="Arial"/>
          <w:sz w:val="17"/>
          <w:szCs w:val="17"/>
          <w:color w:val="auto"/>
        </w:rPr>
        <w:t>. The consent of the Holder shall be required for any change or amendment to this Note.</w:t>
      </w:r>
    </w:p>
    <w:p>
      <w:pPr>
        <w:spacing w:after="0" w:line="66" w:lineRule="exact"/>
        <w:rPr>
          <w:rFonts w:ascii="Arial" w:cs="Arial" w:eastAsia="Arial" w:hAnsi="Arial"/>
          <w:sz w:val="17"/>
          <w:szCs w:val="17"/>
          <w:color w:val="auto"/>
        </w:rPr>
      </w:pPr>
    </w:p>
    <w:p>
      <w:pPr>
        <w:ind w:left="660" w:hanging="362"/>
        <w:spacing w:after="0"/>
        <w:tabs>
          <w:tab w:leader="none" w:pos="660" w:val="left"/>
        </w:tabs>
        <w:numPr>
          <w:ilvl w:val="0"/>
          <w:numId w:val="266"/>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This Note may be offered, sold, assigned or transferred by the Holder without the consent of the Company.</w:t>
      </w:r>
    </w:p>
    <w:p>
      <w:pPr>
        <w:spacing w:after="0" w:line="128" w:lineRule="exact"/>
        <w:rPr>
          <w:rFonts w:ascii="Arial" w:cs="Arial" w:eastAsia="Arial" w:hAnsi="Arial"/>
          <w:sz w:val="15"/>
          <w:szCs w:val="15"/>
          <w:color w:val="auto"/>
        </w:rPr>
      </w:pPr>
    </w:p>
    <w:p>
      <w:pPr>
        <w:ind w:left="660" w:hanging="362"/>
        <w:spacing w:after="0"/>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REISSUANCE OF THIS NOTE</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67" w:lineRule="auto"/>
        <w:tabs>
          <w:tab w:leader="none" w:pos="882"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If this Note is to be transferred, the Holder shall surrender this Note to the Company, whereupon the Company will forthwith issue and deliver upon the order of the Holder a new Note (in accordance with Section 13(d)), registered as the Holder may request, representing the outstanding Principal being transferred by the Holder and, if less then the entire outstanding Principal is being transferred, a new Note (in accordance with Section 13(d)) to the Holder representing the outstanding Principal not being transferred. The Holder and any assignee, by acceptance of this Note, acknowledge and agree that, following redemption of any portion of this Note, the outstanding Principal represented by this Note may be less than the Principal stated on the face of this Note.</w:t>
      </w:r>
    </w:p>
    <w:p>
      <w:pPr>
        <w:spacing w:after="0" w:line="70" w:lineRule="exact"/>
        <w:rPr>
          <w:rFonts w:ascii="Arial" w:cs="Arial" w:eastAsia="Arial" w:hAnsi="Arial"/>
          <w:sz w:val="16"/>
          <w:szCs w:val="16"/>
          <w:color w:val="auto"/>
        </w:rPr>
      </w:pPr>
    </w:p>
    <w:p>
      <w:pPr>
        <w:jc w:val="both"/>
        <w:ind w:left="300" w:right="1239" w:firstLine="248"/>
        <w:spacing w:after="0" w:line="251" w:lineRule="auto"/>
        <w:tabs>
          <w:tab w:leader="none" w:pos="841"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Note</w:t>
      </w:r>
      <w:r>
        <w:rPr>
          <w:rFonts w:ascii="Arial" w:cs="Arial" w:eastAsia="Arial" w:hAnsi="Arial"/>
          <w:sz w:val="17"/>
          <w:szCs w:val="17"/>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 (in accordance with Section 13(d)) representing the outstanding Principal.</w:t>
      </w:r>
    </w:p>
    <w:p>
      <w:pPr>
        <w:spacing w:after="0" w:line="80" w:lineRule="exact"/>
        <w:rPr>
          <w:rFonts w:ascii="Arial" w:cs="Arial" w:eastAsia="Arial" w:hAnsi="Arial"/>
          <w:sz w:val="17"/>
          <w:szCs w:val="17"/>
          <w:color w:val="auto"/>
        </w:rPr>
      </w:pPr>
    </w:p>
    <w:p>
      <w:pPr>
        <w:jc w:val="both"/>
        <w:ind w:left="300" w:right="1239" w:firstLine="248"/>
        <w:spacing w:after="0" w:line="297" w:lineRule="auto"/>
        <w:tabs>
          <w:tab w:leader="none" w:pos="832" w:val="left"/>
        </w:tabs>
        <w:numPr>
          <w:ilvl w:val="1"/>
          <w:numId w:val="266"/>
        </w:numPr>
        <w:rPr>
          <w:rFonts w:ascii="Arial" w:cs="Arial" w:eastAsia="Arial" w:hAnsi="Arial"/>
          <w:sz w:val="15"/>
          <w:szCs w:val="15"/>
          <w:color w:val="auto"/>
        </w:rPr>
      </w:pPr>
      <w:r>
        <w:rPr>
          <w:rFonts w:ascii="Arial" w:cs="Arial" w:eastAsia="Arial" w:hAnsi="Arial"/>
          <w:sz w:val="15"/>
          <w:szCs w:val="15"/>
          <w:u w:val="single" w:color="auto"/>
          <w:color w:val="auto"/>
        </w:rPr>
        <w:t>Note Exchangeable for Different Denominations</w:t>
      </w:r>
      <w:r>
        <w:rPr>
          <w:rFonts w:ascii="Arial" w:cs="Arial" w:eastAsia="Arial" w:hAnsi="Arial"/>
          <w:sz w:val="15"/>
          <w:szCs w:val="15"/>
          <w:color w:val="auto"/>
        </w:rPr>
        <w:t>. This Note is exchangeable, upon the surrender hereof by the Holder at the principal office of the Company, for a new Note or Notes (in accordance with Section 13(d)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48" w:lineRule="exact"/>
        <w:rPr>
          <w:rFonts w:ascii="Arial" w:cs="Arial" w:eastAsia="Arial" w:hAnsi="Arial"/>
          <w:sz w:val="15"/>
          <w:szCs w:val="15"/>
          <w:color w:val="auto"/>
        </w:rPr>
      </w:pPr>
    </w:p>
    <w:p>
      <w:pPr>
        <w:jc w:val="both"/>
        <w:ind w:left="300" w:right="1239" w:firstLine="248"/>
        <w:spacing w:after="0" w:line="286" w:lineRule="auto"/>
        <w:tabs>
          <w:tab w:leader="none" w:pos="854" w:val="left"/>
        </w:tabs>
        <w:numPr>
          <w:ilvl w:val="1"/>
          <w:numId w:val="266"/>
        </w:numPr>
        <w:rPr>
          <w:rFonts w:ascii="Arial" w:cs="Arial" w:eastAsia="Arial" w:hAnsi="Arial"/>
          <w:sz w:val="15"/>
          <w:szCs w:val="15"/>
          <w:color w:val="auto"/>
        </w:rPr>
      </w:pPr>
      <w:r>
        <w:rPr>
          <w:rFonts w:ascii="Arial" w:cs="Arial" w:eastAsia="Arial" w:hAnsi="Arial"/>
          <w:sz w:val="15"/>
          <w:szCs w:val="15"/>
          <w:u w:val="single" w:color="auto"/>
          <w:color w:val="auto"/>
        </w:rPr>
        <w:t>Issuance of New Notes</w:t>
      </w:r>
      <w:r>
        <w:rPr>
          <w:rFonts w:ascii="Arial" w:cs="Arial" w:eastAsia="Arial" w:hAnsi="Arial"/>
          <w:sz w:val="15"/>
          <w:szCs w:val="15"/>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13(a) or Section 13(c),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if any, on the Principal and Interest of this Note, from the Issuance Date.</w:t>
      </w: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51" w:name="page352"/>
    <w:bookmarkEnd w:id="3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660" w:hanging="362"/>
        <w:spacing w:after="0"/>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70" w:lineRule="auto"/>
        <w:tabs>
          <w:tab w:leader="none" w:pos="784" w:val="left"/>
        </w:tabs>
        <w:numPr>
          <w:ilvl w:val="1"/>
          <w:numId w:val="267"/>
        </w:numPr>
        <w:rPr>
          <w:rFonts w:ascii="Arial" w:cs="Arial" w:eastAsia="Arial" w:hAnsi="Arial"/>
          <w:sz w:val="16"/>
          <w:szCs w:val="16"/>
          <w:color w:val="auto"/>
        </w:rPr>
      </w:pPr>
      <w:r>
        <w:rPr>
          <w:rFonts w:ascii="Arial" w:cs="Arial" w:eastAsia="Arial" w:hAnsi="Arial"/>
          <w:sz w:val="16"/>
          <w:szCs w:val="16"/>
          <w:color w:val="auto"/>
        </w:rPr>
        <w:t>Any and all payments made by the Corporation hereunder, including any on account of Interest or Late Charges, must be made by it without any a deduction or withholding for or on account of any tax, levy, impost, duty or other charge or withholding of a similar nature (including any related penalty or interest) from a payment under this Note (a “</w:t>
      </w:r>
      <w:r>
        <w:rPr>
          <w:rFonts w:ascii="Arial" w:cs="Arial" w:eastAsia="Arial" w:hAnsi="Arial"/>
          <w:sz w:val="16"/>
          <w:szCs w:val="16"/>
          <w:b w:val="1"/>
          <w:bCs w:val="1"/>
          <w:color w:val="auto"/>
        </w:rPr>
        <w:t>Tax Deduction</w:t>
      </w:r>
      <w:r>
        <w:rPr>
          <w:rFonts w:ascii="Arial" w:cs="Arial" w:eastAsia="Arial" w:hAnsi="Arial"/>
          <w:sz w:val="16"/>
          <w:szCs w:val="16"/>
          <w:color w:val="auto"/>
        </w:rPr>
        <w:t>”), unless a Tax Deduction is required by law. If the Corporation is aware that it must make a Tax Deduction (or that there is a change in the rate or the basis of a Tax Deduction), it must notify the Holder promptly.</w:t>
      </w:r>
    </w:p>
    <w:p>
      <w:pPr>
        <w:spacing w:after="0" w:line="67" w:lineRule="exact"/>
        <w:rPr>
          <w:rFonts w:ascii="Arial" w:cs="Arial" w:eastAsia="Arial" w:hAnsi="Arial"/>
          <w:sz w:val="16"/>
          <w:szCs w:val="16"/>
          <w:color w:val="auto"/>
        </w:rPr>
      </w:pPr>
    </w:p>
    <w:p>
      <w:pPr>
        <w:ind w:left="840" w:hanging="292"/>
        <w:spacing w:after="0"/>
        <w:tabs>
          <w:tab w:leader="none" w:pos="840" w:val="left"/>
        </w:tabs>
        <w:numPr>
          <w:ilvl w:val="1"/>
          <w:numId w:val="267"/>
        </w:numPr>
        <w:rPr>
          <w:rFonts w:ascii="Arial" w:cs="Arial" w:eastAsia="Arial" w:hAnsi="Arial"/>
          <w:sz w:val="15"/>
          <w:szCs w:val="15"/>
          <w:color w:val="auto"/>
        </w:rPr>
      </w:pPr>
      <w:r>
        <w:rPr>
          <w:rFonts w:ascii="Arial" w:cs="Arial" w:eastAsia="Arial" w:hAnsi="Arial"/>
          <w:sz w:val="15"/>
          <w:szCs w:val="15"/>
          <w:color w:val="auto"/>
        </w:rPr>
        <w:t>If the Corporation is required to make a Tax Deduction from or in respect to any sum payable hereunder to the Holder,</w:t>
      </w:r>
    </w:p>
    <w:p>
      <w:pPr>
        <w:spacing w:after="0" w:line="40" w:lineRule="exact"/>
        <w:rPr>
          <w:rFonts w:ascii="Arial" w:cs="Arial" w:eastAsia="Arial" w:hAnsi="Arial"/>
          <w:sz w:val="15"/>
          <w:szCs w:val="15"/>
          <w:color w:val="auto"/>
        </w:rPr>
      </w:pPr>
    </w:p>
    <w:p>
      <w:pPr>
        <w:jc w:val="both"/>
        <w:ind w:left="300" w:right="1239"/>
        <w:spacing w:after="0" w:line="285" w:lineRule="auto"/>
        <w:rPr>
          <w:rFonts w:ascii="Arial" w:cs="Arial" w:eastAsia="Arial" w:hAnsi="Arial"/>
          <w:sz w:val="15"/>
          <w:szCs w:val="15"/>
          <w:color w:val="auto"/>
        </w:rPr>
      </w:pPr>
      <w:r>
        <w:rPr>
          <w:rFonts w:ascii="Arial" w:cs="Arial" w:eastAsia="Arial" w:hAnsi="Arial"/>
          <w:sz w:val="15"/>
          <w:szCs w:val="15"/>
          <w:color w:val="auto"/>
        </w:rPr>
        <w:t>(i) the sum payable shall be increased by the amount by which the sum payable would otherwise have to be increased (the “</w:t>
      </w:r>
      <w:r>
        <w:rPr>
          <w:rFonts w:ascii="Arial" w:cs="Arial" w:eastAsia="Arial" w:hAnsi="Arial"/>
          <w:sz w:val="15"/>
          <w:szCs w:val="15"/>
          <w:b w:val="1"/>
          <w:bCs w:val="1"/>
          <w:color w:val="auto"/>
        </w:rPr>
        <w:t>tax</w:t>
      </w:r>
      <w:r>
        <w:rPr>
          <w:rFonts w:ascii="Arial" w:cs="Arial" w:eastAsia="Arial" w:hAnsi="Arial"/>
          <w:sz w:val="15"/>
          <w:szCs w:val="15"/>
          <w:color w:val="auto"/>
        </w:rPr>
        <w:t xml:space="preserve"> </w:t>
      </w:r>
      <w:r>
        <w:rPr>
          <w:rFonts w:ascii="Arial" w:cs="Arial" w:eastAsia="Arial" w:hAnsi="Arial"/>
          <w:sz w:val="15"/>
          <w:szCs w:val="15"/>
          <w:b w:val="1"/>
          <w:bCs w:val="1"/>
          <w:color w:val="auto"/>
        </w:rPr>
        <w:t>gross up amount</w:t>
      </w:r>
      <w:r>
        <w:rPr>
          <w:rFonts w:ascii="Arial" w:cs="Arial" w:eastAsia="Arial" w:hAnsi="Arial"/>
          <w:sz w:val="15"/>
          <w:szCs w:val="15"/>
          <w:color w:val="auto"/>
        </w:rPr>
        <w:t>”) to ensure that after making all required deductions (including deductions applicable to the tax gross-up</w:t>
      </w:r>
      <w:r>
        <w:rPr>
          <w:rFonts w:ascii="Arial" w:cs="Arial" w:eastAsia="Arial" w:hAnsi="Arial"/>
          <w:sz w:val="15"/>
          <w:szCs w:val="15"/>
          <w:b w:val="1"/>
          <w:bCs w:val="1"/>
          <w:color w:val="auto"/>
        </w:rPr>
        <w:t xml:space="preserve"> </w:t>
      </w:r>
      <w:r>
        <w:rPr>
          <w:rFonts w:ascii="Arial" w:cs="Arial" w:eastAsia="Arial" w:hAnsi="Arial"/>
          <w:sz w:val="15"/>
          <w:szCs w:val="15"/>
          <w:color w:val="auto"/>
        </w:rPr>
        <w:t>amount) the Holder would receive an amount equal to the sum it would have received had no such Tax Deductions been made, (ii) the Company shall make such Tax Deductions and (iii) the Company shall pay the full amount withheld or deducted to the applicable governmental authority within the time required. As soon as practicable after making a Tax Deduction or a payment required in connection with a Tax Deduction, the Corporation must deliver to the Holder any official receipt or form, if any, provided by or required by the taxing authority to whom the Tax Deduction was paid.</w:t>
      </w:r>
    </w:p>
    <w:p>
      <w:pPr>
        <w:spacing w:after="0" w:line="57" w:lineRule="exact"/>
        <w:rPr>
          <w:rFonts w:ascii="Arial" w:cs="Arial" w:eastAsia="Arial" w:hAnsi="Arial"/>
          <w:sz w:val="15"/>
          <w:szCs w:val="15"/>
          <w:color w:val="auto"/>
        </w:rPr>
      </w:pPr>
    </w:p>
    <w:p>
      <w:pPr>
        <w:ind w:left="300" w:right="1239" w:firstLine="248"/>
        <w:spacing w:after="0" w:line="267" w:lineRule="auto"/>
        <w:tabs>
          <w:tab w:leader="none" w:pos="891"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obligations of the Corporation under this Section 14 shall survive the termination of this Note and the payment of the Note and all other amounts payable hereunder.</w:t>
      </w:r>
    </w:p>
    <w:p>
      <w:pPr>
        <w:spacing w:after="0" w:line="66" w:lineRule="exact"/>
        <w:rPr>
          <w:rFonts w:ascii="Arial" w:cs="Arial" w:eastAsia="Arial" w:hAnsi="Arial"/>
          <w:sz w:val="17"/>
          <w:szCs w:val="17"/>
          <w:color w:val="auto"/>
        </w:rPr>
      </w:pPr>
    </w:p>
    <w:p>
      <w:pPr>
        <w:jc w:val="both"/>
        <w:ind w:left="40" w:right="1239" w:firstLine="258"/>
        <w:spacing w:after="0" w:line="284" w:lineRule="auto"/>
        <w:tabs>
          <w:tab w:leader="none" w:pos="715" w:val="left"/>
        </w:tabs>
        <w:numPr>
          <w:ilvl w:val="0"/>
          <w:numId w:val="267"/>
        </w:numPr>
        <w:rPr>
          <w:rFonts w:ascii="Arial" w:cs="Arial" w:eastAsia="Arial" w:hAnsi="Arial"/>
          <w:sz w:val="15"/>
          <w:szCs w:val="15"/>
          <w:color w:val="auto"/>
        </w:rPr>
      </w:pPr>
      <w:r>
        <w:rPr>
          <w:rFonts w:ascii="Arial" w:cs="Arial" w:eastAsia="Arial" w:hAnsi="Arial"/>
          <w:sz w:val="15"/>
          <w:szCs w:val="15"/>
          <w:u w:val="single" w:color="auto"/>
          <w:color w:val="auto"/>
        </w:rPr>
        <w:t>REMEDIES, CHARACTERIZATIONS, OTHER OBLIGATIONS, BREACHES AND INJUNCTIVE RELIEF</w:t>
      </w:r>
      <w:r>
        <w:rPr>
          <w:rFonts w:ascii="Arial" w:cs="Arial" w:eastAsia="Arial" w:hAnsi="Arial"/>
          <w:sz w:val="15"/>
          <w:szCs w:val="15"/>
          <w:color w:val="auto"/>
        </w:rPr>
        <w:t>. The remedies provided in this Note shall be cumulative and in addition to all other remedies available under this Note and any of the other Note Transaction Documents at law or in equity (including a decree of specific performance and/or other injunctive relief), and nothing herein shall limit the Holder’s right to pursue actual and consequential damages for any failure by the Company to comply with the terms of this Note. Amounts set forth or provided for herein with respect to payments, redemption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60" w:lineRule="exact"/>
        <w:rPr>
          <w:rFonts w:ascii="Arial" w:cs="Arial" w:eastAsia="Arial" w:hAnsi="Arial"/>
          <w:sz w:val="15"/>
          <w:szCs w:val="15"/>
          <w:color w:val="auto"/>
        </w:rPr>
      </w:pPr>
    </w:p>
    <w:p>
      <w:pPr>
        <w:jc w:val="both"/>
        <w:ind w:left="40" w:right="1239" w:firstLine="258"/>
        <w:spacing w:after="0" w:line="290" w:lineRule="auto"/>
        <w:tabs>
          <w:tab w:leader="none" w:pos="665" w:val="left"/>
        </w:tabs>
        <w:numPr>
          <w:ilvl w:val="0"/>
          <w:numId w:val="267"/>
        </w:numPr>
        <w:rPr>
          <w:rFonts w:ascii="Arial" w:cs="Arial" w:eastAsia="Arial" w:hAnsi="Arial"/>
          <w:sz w:val="15"/>
          <w:szCs w:val="15"/>
          <w:color w:val="auto"/>
        </w:rPr>
      </w:pPr>
      <w:r>
        <w:rPr>
          <w:rFonts w:ascii="Arial" w:cs="Arial" w:eastAsia="Arial" w:hAnsi="Arial"/>
          <w:sz w:val="15"/>
          <w:szCs w:val="15"/>
          <w:u w:val="single" w:color="auto"/>
          <w:color w:val="auto"/>
        </w:rPr>
        <w:t>PAYMENT OF COLLECTION, ENFORCEMENT AND OTHER COSTS</w:t>
      </w:r>
      <w:r>
        <w:rPr>
          <w:rFonts w:ascii="Arial" w:cs="Arial" w:eastAsia="Arial" w:hAnsi="Arial"/>
          <w:sz w:val="15"/>
          <w:szCs w:val="15"/>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spacing w:after="0" w:line="52" w:lineRule="exact"/>
        <w:rPr>
          <w:rFonts w:ascii="Arial" w:cs="Arial" w:eastAsia="Arial" w:hAnsi="Arial"/>
          <w:sz w:val="15"/>
          <w:szCs w:val="15"/>
          <w:color w:val="auto"/>
        </w:rPr>
      </w:pPr>
    </w:p>
    <w:p>
      <w:pPr>
        <w:jc w:val="both"/>
        <w:ind w:left="40" w:right="1239" w:firstLine="258"/>
        <w:spacing w:after="0" w:line="256" w:lineRule="auto"/>
        <w:tabs>
          <w:tab w:leader="none" w:pos="665"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CONSTRUCTION; HEADINGS</w:t>
      </w:r>
      <w:r>
        <w:rPr>
          <w:rFonts w:ascii="Arial" w:cs="Arial" w:eastAsia="Arial" w:hAnsi="Arial"/>
          <w:sz w:val="17"/>
          <w:szCs w:val="17"/>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w:t>
      </w:r>
    </w:p>
    <w:p>
      <w:pPr>
        <w:spacing w:after="0" w:line="76" w:lineRule="exact"/>
        <w:rPr>
          <w:rFonts w:ascii="Arial" w:cs="Arial" w:eastAsia="Arial" w:hAnsi="Arial"/>
          <w:sz w:val="17"/>
          <w:szCs w:val="17"/>
          <w:color w:val="auto"/>
        </w:rPr>
      </w:pPr>
    </w:p>
    <w:p>
      <w:pPr>
        <w:jc w:val="both"/>
        <w:ind w:left="40" w:right="1239" w:firstLine="258"/>
        <w:spacing w:after="0" w:line="256" w:lineRule="auto"/>
        <w:tabs>
          <w:tab w:leader="none" w:pos="652"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FAILURE OR INDULGENCE NOT WAIVER</w:t>
      </w:r>
      <w:r>
        <w:rPr>
          <w:rFonts w:ascii="Arial" w:cs="Arial" w:eastAsia="Arial" w:hAnsi="Arial"/>
          <w:sz w:val="17"/>
          <w:szCs w:val="17"/>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2" w:name="page353"/>
    <w:bookmarkEnd w:id="3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8"/>
        <w:spacing w:after="0" w:line="285" w:lineRule="auto"/>
        <w:tabs>
          <w:tab w:leader="none" w:pos="665" w:val="left"/>
        </w:tabs>
        <w:numPr>
          <w:ilvl w:val="0"/>
          <w:numId w:val="268"/>
        </w:numPr>
        <w:rPr>
          <w:rFonts w:ascii="Arial" w:cs="Arial" w:eastAsia="Arial" w:hAnsi="Arial"/>
          <w:sz w:val="15"/>
          <w:szCs w:val="15"/>
          <w:color w:val="auto"/>
        </w:rPr>
      </w:pPr>
      <w:r>
        <w:rPr>
          <w:rFonts w:ascii="Arial" w:cs="Arial" w:eastAsia="Arial" w:hAnsi="Arial"/>
          <w:sz w:val="15"/>
          <w:szCs w:val="15"/>
          <w:u w:val="single" w:color="auto"/>
          <w:color w:val="auto"/>
        </w:rPr>
        <w:t>DISPUTE RESOLUTION</w:t>
      </w:r>
      <w:r>
        <w:rPr>
          <w:rFonts w:ascii="Arial" w:cs="Arial" w:eastAsia="Arial" w:hAnsi="Arial"/>
          <w:sz w:val="15"/>
          <w:szCs w:val="15"/>
          <w:color w:val="auto"/>
        </w:rPr>
        <w:t>. In the case of a dispute as to the determination of any Redemption Price, the Company shall submit the disputed determinations or arithmetic calculations via facsimile within one (1) Business Day of receipt, or deemed receipt, of the Redemption Notice or other event giving rise to such dispute, as the case may be, to the Holder. If the Holder and the Company are unable to agree upon such determination or calculation within one (1) Business Day of such disputed determination or arithmetic calculation being submitted to the Holder, then the Company shall, within one (1) Business Day submit via facsimile the disputed arithmetic calculation of the Redemption Price to an independent, outside accountant, selected by the Holder and approved by the Company, such approval not to be unreasonably withheld or delayed. The Company, at the Company’s expense, shall cause the accountant to perform the determinations or calculations and notify the Company and the Holder of the results no later than five (5) Business Days from the time it receives the disputed determinations or calculations. Such accountant’s determination or calculation, as the case may be, shall be binding upon all parties absent demonstrable error.</w:t>
      </w:r>
    </w:p>
    <w:p>
      <w:pPr>
        <w:spacing w:after="0" w:line="56" w:lineRule="exact"/>
        <w:rPr>
          <w:rFonts w:ascii="Arial" w:cs="Arial" w:eastAsia="Arial" w:hAnsi="Arial"/>
          <w:sz w:val="15"/>
          <w:szCs w:val="15"/>
          <w:color w:val="auto"/>
        </w:rPr>
      </w:pPr>
    </w:p>
    <w:p>
      <w:pPr>
        <w:ind w:left="660" w:hanging="362"/>
        <w:spacing w:after="0"/>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NOTICES; PAYMENTS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92" w:lineRule="auto"/>
        <w:tabs>
          <w:tab w:leader="none" w:pos="832" w:val="left"/>
        </w:tabs>
        <w:numPr>
          <w:ilvl w:val="1"/>
          <w:numId w:val="268"/>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notices, consents, waivers or other communications required or permitted to be given under the terms of this Note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in each case properly addressed to the party to receive the same. The addresses and facsimile numbers for such communications shall be:</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the Company:</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Innovate/Protect, Inc.</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c/o Vringo, Inc.</w:t>
      </w:r>
    </w:p>
    <w:p>
      <w:pPr>
        <w:ind w:left="800"/>
        <w:spacing w:after="0" w:line="208" w:lineRule="auto"/>
        <w:rPr>
          <w:sz w:val="20"/>
          <w:szCs w:val="20"/>
          <w:color w:val="auto"/>
        </w:rPr>
      </w:pPr>
      <w:r>
        <w:rPr>
          <w:rFonts w:ascii="Arial" w:cs="Arial" w:eastAsia="Arial" w:hAnsi="Arial"/>
          <w:sz w:val="17"/>
          <w:szCs w:val="17"/>
          <w:color w:val="auto"/>
        </w:rPr>
        <w:t>44 West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New York, NY 10001</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Telephone:(212) 571-1244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Facsimile: (646) 214-7946</w:t>
      </w:r>
    </w:p>
    <w:p>
      <w:pPr>
        <w:spacing w:after="0" w:line="105"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4"/>
          <w:szCs w:val="14"/>
          <w:color w:val="auto"/>
        </w:rPr>
        <w:t>aberger@smartsearchlabs.com</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Attention: Chief Operating Officer</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to:</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Ellenoff Grossman &amp; Schole LLP</w:t>
      </w:r>
    </w:p>
    <w:p>
      <w:pPr>
        <w:ind w:left="800"/>
        <w:spacing w:after="0" w:line="218" w:lineRule="auto"/>
        <w:rPr>
          <w:sz w:val="20"/>
          <w:szCs w:val="20"/>
          <w:color w:val="auto"/>
        </w:rPr>
      </w:pPr>
      <w:r>
        <w:rPr>
          <w:rFonts w:ascii="Arial" w:cs="Arial" w:eastAsia="Arial" w:hAnsi="Arial"/>
          <w:sz w:val="17"/>
          <w:szCs w:val="17"/>
          <w:color w:val="auto"/>
        </w:rPr>
        <w:t>150 East 42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Street</w:t>
      </w:r>
    </w:p>
    <w:p>
      <w:pPr>
        <w:ind w:left="800"/>
        <w:spacing w:after="0"/>
        <w:rPr>
          <w:sz w:val="20"/>
          <w:szCs w:val="20"/>
          <w:color w:val="auto"/>
        </w:rPr>
      </w:pPr>
      <w:r>
        <w:rPr>
          <w:rFonts w:ascii="Arial" w:cs="Arial" w:eastAsia="Arial" w:hAnsi="Arial"/>
          <w:sz w:val="17"/>
          <w:szCs w:val="17"/>
          <w:color w:val="auto"/>
        </w:rPr>
        <w:t>New York, NY 10017</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Telephone:(212) 370-1300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Facsimile: (212) 370-7889</w:t>
      </w:r>
    </w:p>
    <w:p>
      <w:pPr>
        <w:spacing w:after="0" w:line="105"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4"/>
          <w:szCs w:val="14"/>
          <w:color w:val="auto"/>
        </w:rPr>
        <w:t>bigrossman@egsllp.com</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Attention: Barry I. Grossman, Esq.</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the Buyer:</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Hudson Bay Master Fund Ltd.</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c/o Hudson Bay Capital Management LP</w:t>
      </w:r>
    </w:p>
    <w:p>
      <w:pPr>
        <w:ind w:left="800"/>
        <w:spacing w:after="0" w:line="208" w:lineRule="auto"/>
        <w:rPr>
          <w:sz w:val="20"/>
          <w:szCs w:val="20"/>
          <w:color w:val="auto"/>
        </w:rPr>
      </w:pPr>
      <w:r>
        <w:rPr>
          <w:rFonts w:ascii="Arial" w:cs="Arial" w:eastAsia="Arial" w:hAnsi="Arial"/>
          <w:sz w:val="17"/>
          <w:szCs w:val="17"/>
          <w:color w:val="auto"/>
        </w:rPr>
        <w:t>777 Third Avenue,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New York, NY 10017</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Telephone:(212) 571-1244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Facsimile: (646) 214-7946</w:t>
      </w:r>
    </w:p>
    <w:p>
      <w:pPr>
        <w:spacing w:after="0" w:line="105"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4"/>
          <w:szCs w:val="14"/>
          <w:color w:val="auto"/>
        </w:rPr>
        <w:t>investments@hudsonbaycapital.com</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operations@hudsonbaycapital.com</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Attention: Yoav Roth</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53" w:name="page354"/>
    <w:bookmarkEnd w:id="3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(for informational purposes only) to:</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Schulte Roth &amp; Zabel LLP</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919 Third Avenue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New York, New York 10022</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Telephone:(212) 756-2000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Facsimile: (212) 593-5955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Attention: Eleazer N. Klein, Esq.</w:t>
      </w:r>
    </w:p>
    <w:p>
      <w:pPr>
        <w:spacing w:after="0" w:line="105"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5"/>
          <w:szCs w:val="15"/>
          <w:color w:val="auto"/>
        </w:rPr>
        <w:t>eleazer.klein@srz.com</w:t>
      </w:r>
    </w:p>
    <w:p>
      <w:pPr>
        <w:spacing w:after="0" w:line="105" w:lineRule="exact"/>
        <w:rPr>
          <w:sz w:val="20"/>
          <w:szCs w:val="20"/>
          <w:color w:val="auto"/>
        </w:rPr>
      </w:pPr>
    </w:p>
    <w:p>
      <w:pPr>
        <w:jc w:val="both"/>
        <w:ind w:left="300" w:right="1239"/>
        <w:spacing w:after="0" w:line="264" w:lineRule="auto"/>
        <w:rPr>
          <w:sz w:val="20"/>
          <w:szCs w:val="20"/>
          <w:color w:val="auto"/>
        </w:rPr>
      </w:pPr>
      <w:r>
        <w:rPr>
          <w:rFonts w:ascii="Arial" w:cs="Arial" w:eastAsia="Arial" w:hAnsi="Arial"/>
          <w:sz w:val="16"/>
          <w:szCs w:val="16"/>
          <w:color w:val="auto"/>
        </w:rPr>
        <w:t>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at least twenty (20) days prior to the date on which the Company closes its books or takes a record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77" w:lineRule="exact"/>
        <w:rPr>
          <w:sz w:val="20"/>
          <w:szCs w:val="20"/>
          <w:color w:val="auto"/>
        </w:rPr>
      </w:pPr>
    </w:p>
    <w:p>
      <w:pPr>
        <w:jc w:val="both"/>
        <w:ind w:left="300" w:right="1239" w:firstLine="248"/>
        <w:spacing w:after="0" w:line="264" w:lineRule="auto"/>
        <w:tabs>
          <w:tab w:leader="none" w:pos="854" w:val="left"/>
        </w:tabs>
        <w:numPr>
          <w:ilvl w:val="1"/>
          <w:numId w:val="269"/>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Whenever any payment of cash is to be made by the Company to any Person pursuant to this Note, such payment shall be made in lawful money of the United States of America by a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and, in the case of any Interest Date which is not the date on which this Note is paid in full, the extension of the due date thereof shall not be taken into account for purposes of determining the amount of Interest due on such date. Any amount of Principal or other amounts due under the Note Transaction Documents which is not paid when due shall result in a late charge being incurred and payable by the Company in an amount equal to interest on such amount at the rate of twenty four percent (24%) per annum from the Default Date due until the same is paid in full (“</w:t>
      </w:r>
      <w:r>
        <w:rPr>
          <w:rFonts w:ascii="Arial" w:cs="Arial" w:eastAsia="Arial" w:hAnsi="Arial"/>
          <w:sz w:val="16"/>
          <w:szCs w:val="16"/>
          <w:b w:val="1"/>
          <w:bCs w:val="1"/>
          <w:color w:val="auto"/>
        </w:rPr>
        <w:t>Late</w:t>
      </w:r>
      <w:r>
        <w:rPr>
          <w:rFonts w:ascii="Arial" w:cs="Arial" w:eastAsia="Arial" w:hAnsi="Arial"/>
          <w:sz w:val="16"/>
          <w:szCs w:val="16"/>
          <w:color w:val="auto"/>
        </w:rPr>
        <w:t xml:space="preserve"> </w:t>
      </w:r>
      <w:r>
        <w:rPr>
          <w:rFonts w:ascii="Arial" w:cs="Arial" w:eastAsia="Arial" w:hAnsi="Arial"/>
          <w:sz w:val="16"/>
          <w:szCs w:val="16"/>
          <w:b w:val="1"/>
          <w:bCs w:val="1"/>
          <w:color w:val="auto"/>
        </w:rPr>
        <w:t>Charge</w:t>
      </w:r>
      <w:r>
        <w:rPr>
          <w:rFonts w:ascii="Arial" w:cs="Arial" w:eastAsia="Arial" w:hAnsi="Arial"/>
          <w:sz w:val="16"/>
          <w:szCs w:val="16"/>
          <w:color w:val="auto"/>
        </w:rPr>
        <w:t>”).</w:t>
      </w:r>
    </w:p>
    <w:p>
      <w:pPr>
        <w:spacing w:after="0" w:line="77" w:lineRule="exact"/>
        <w:rPr>
          <w:rFonts w:ascii="Arial" w:cs="Arial" w:eastAsia="Arial" w:hAnsi="Arial"/>
          <w:sz w:val="16"/>
          <w:szCs w:val="16"/>
          <w:color w:val="auto"/>
        </w:rPr>
      </w:pPr>
    </w:p>
    <w:p>
      <w:pPr>
        <w:jc w:val="both"/>
        <w:ind w:left="40" w:right="1239" w:firstLine="258"/>
        <w:spacing w:after="0" w:line="256" w:lineRule="auto"/>
        <w:tabs>
          <w:tab w:leader="none" w:pos="652"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76" w:lineRule="exact"/>
        <w:rPr>
          <w:rFonts w:ascii="Arial" w:cs="Arial" w:eastAsia="Arial" w:hAnsi="Arial"/>
          <w:sz w:val="17"/>
          <w:szCs w:val="17"/>
          <w:color w:val="auto"/>
        </w:rPr>
      </w:pPr>
    </w:p>
    <w:p>
      <w:pPr>
        <w:ind w:left="40" w:right="1239" w:firstLine="258"/>
        <w:spacing w:after="0" w:line="299" w:lineRule="auto"/>
        <w:tabs>
          <w:tab w:leader="none" w:pos="652"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WAIVER OF NOTICE</w:t>
      </w:r>
      <w:r>
        <w:rPr>
          <w:rFonts w:ascii="Arial" w:cs="Arial" w:eastAsia="Arial" w:hAnsi="Arial"/>
          <w:sz w:val="16"/>
          <w:szCs w:val="16"/>
          <w:color w:val="auto"/>
        </w:rPr>
        <w:t>. To the extent permitted by law, the Company hereby waives demand, notice, protest and all other demands and notices in connection with the delivery, acceptance, performance, default or enforcement of this Note.</w:t>
      </w:r>
    </w:p>
    <w:p>
      <w:pPr>
        <w:spacing w:after="0" w:line="42" w:lineRule="exact"/>
        <w:rPr>
          <w:rFonts w:ascii="Arial" w:cs="Arial" w:eastAsia="Arial" w:hAnsi="Arial"/>
          <w:sz w:val="16"/>
          <w:szCs w:val="16"/>
          <w:color w:val="auto"/>
        </w:rPr>
      </w:pPr>
    </w:p>
    <w:p>
      <w:pPr>
        <w:jc w:val="both"/>
        <w:ind w:left="40" w:right="1239" w:firstLine="258"/>
        <w:spacing w:after="0" w:line="266" w:lineRule="auto"/>
        <w:tabs>
          <w:tab w:leader="none" w:pos="677"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4" w:name="page355"/>
    <w:bookmarkEnd w:id="3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 xml:space="preserve">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such party at the address it set forth on the signature page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5"/>
          <w:szCs w:val="15"/>
          <w:b w:val="1"/>
          <w:bCs w:val="1"/>
          <w:color w:val="auto"/>
        </w:rPr>
        <w:t>THE COMPANY HEREBY IRREVOCABLY</w:t>
      </w:r>
    </w:p>
    <w:p>
      <w:pPr>
        <w:spacing w:after="0" w:line="1" w:lineRule="exact"/>
        <w:rPr>
          <w:sz w:val="20"/>
          <w:szCs w:val="20"/>
          <w:color w:val="auto"/>
        </w:rPr>
      </w:pPr>
    </w:p>
    <w:p>
      <w:pPr>
        <w:jc w:val="both"/>
        <w:ind w:left="40" w:right="1239"/>
        <w:spacing w:after="0" w:line="249" w:lineRule="auto"/>
        <w:rPr>
          <w:sz w:val="20"/>
          <w:szCs w:val="20"/>
          <w:color w:val="auto"/>
        </w:rPr>
      </w:pPr>
      <w:r>
        <w:rPr>
          <w:rFonts w:ascii="Arial" w:cs="Arial" w:eastAsia="Arial" w:hAnsi="Arial"/>
          <w:sz w:val="17"/>
          <w:szCs w:val="17"/>
          <w:b w:val="1"/>
          <w:bCs w:val="1"/>
          <w:color w:val="auto"/>
        </w:rPr>
        <w:t>WAIVES ANY RIGHT IT MAY HAVE, AND AGREES NOT TO REQUEST, A JURY TRIAL FOR THE ADJUDICATION OF ANY DISPUTE HEREUNDER OR IN CONNECTION WITH OR ARISING OUT OF THIS NOTE OR ANY TRANSACTION CONTEMPLATED HEREBY.</w:t>
      </w:r>
    </w:p>
    <w:p>
      <w:pPr>
        <w:spacing w:after="0" w:line="81" w:lineRule="exact"/>
        <w:rPr>
          <w:sz w:val="20"/>
          <w:szCs w:val="20"/>
          <w:color w:val="auto"/>
        </w:rPr>
      </w:pPr>
    </w:p>
    <w:p>
      <w:pPr>
        <w:jc w:val="both"/>
        <w:ind w:left="40" w:right="1239" w:firstLine="258"/>
        <w:spacing w:after="0" w:line="285" w:lineRule="auto"/>
        <w:tabs>
          <w:tab w:leader="none" w:pos="740" w:val="left"/>
        </w:tabs>
        <w:numPr>
          <w:ilvl w:val="0"/>
          <w:numId w:val="271"/>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61" w:lineRule="exact"/>
        <w:rPr>
          <w:rFonts w:ascii="Arial" w:cs="Arial" w:eastAsia="Arial" w:hAnsi="Arial"/>
          <w:sz w:val="15"/>
          <w:szCs w:val="15"/>
          <w:color w:val="auto"/>
        </w:rPr>
      </w:pPr>
    </w:p>
    <w:p>
      <w:pPr>
        <w:ind w:left="660" w:hanging="362"/>
        <w:spacing w:after="0"/>
        <w:tabs>
          <w:tab w:leader="none" w:pos="660"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Note, the following terms shall have the following meanings:</w:t>
      </w:r>
    </w:p>
    <w:p>
      <w:pPr>
        <w:spacing w:after="0" w:line="101" w:lineRule="exact"/>
        <w:rPr>
          <w:rFonts w:ascii="Arial" w:cs="Arial" w:eastAsia="Arial" w:hAnsi="Arial"/>
          <w:sz w:val="17"/>
          <w:szCs w:val="17"/>
          <w:color w:val="auto"/>
        </w:rPr>
      </w:pPr>
    </w:p>
    <w:p>
      <w:pPr>
        <w:ind w:left="820" w:hanging="272"/>
        <w:spacing w:after="0"/>
        <w:tabs>
          <w:tab w:leader="none" w:pos="82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has the meaning set forth in Rule 405 under the Securities Act of 1933, as amended.</w:t>
      </w:r>
    </w:p>
    <w:p>
      <w:pPr>
        <w:spacing w:after="0" w:line="105" w:lineRule="exact"/>
        <w:rPr>
          <w:rFonts w:ascii="Arial" w:cs="Arial" w:eastAsia="Arial" w:hAnsi="Arial"/>
          <w:sz w:val="17"/>
          <w:szCs w:val="17"/>
          <w:color w:val="auto"/>
        </w:rPr>
      </w:pPr>
    </w:p>
    <w:p>
      <w:pPr>
        <w:ind w:left="300" w:right="1239" w:firstLine="248"/>
        <w:spacing w:after="0" w:line="272" w:lineRule="auto"/>
        <w:tabs>
          <w:tab w:leader="none" w:pos="841" w:val="left"/>
        </w:tabs>
        <w:numPr>
          <w:ilvl w:val="1"/>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Saturday, Sunday or other day on which commercial banks in The City of New York are authorized or required by law to remain closed.</w:t>
      </w:r>
    </w:p>
    <w:p>
      <w:pPr>
        <w:spacing w:after="0" w:line="58" w:lineRule="exact"/>
        <w:rPr>
          <w:rFonts w:ascii="Arial" w:cs="Arial" w:eastAsia="Arial" w:hAnsi="Arial"/>
          <w:sz w:val="17"/>
          <w:szCs w:val="17"/>
          <w:color w:val="auto"/>
        </w:rPr>
      </w:pPr>
    </w:p>
    <w:p>
      <w:pPr>
        <w:jc w:val="both"/>
        <w:ind w:left="300" w:right="1239" w:firstLine="248"/>
        <w:spacing w:after="0" w:line="289" w:lineRule="auto"/>
        <w:tabs>
          <w:tab w:leader="none" w:pos="895" w:val="left"/>
        </w:tabs>
        <w:numPr>
          <w:ilvl w:val="1"/>
          <w:numId w:val="27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of Control</w:t>
      </w:r>
      <w:r>
        <w:rPr>
          <w:rFonts w:ascii="Arial" w:cs="Arial" w:eastAsia="Arial" w:hAnsi="Arial"/>
          <w:sz w:val="15"/>
          <w:szCs w:val="15"/>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49" w:lineRule="exact"/>
        <w:rPr>
          <w:rFonts w:ascii="Arial" w:cs="Arial" w:eastAsia="Arial" w:hAnsi="Arial"/>
          <w:sz w:val="15"/>
          <w:szCs w:val="15"/>
          <w:color w:val="auto"/>
        </w:rPr>
      </w:pPr>
    </w:p>
    <w:p>
      <w:pPr>
        <w:jc w:val="both"/>
        <w:ind w:left="300" w:right="1239" w:firstLine="248"/>
        <w:spacing w:after="0" w:line="254" w:lineRule="auto"/>
        <w:tabs>
          <w:tab w:leader="none" w:pos="854" w:val="left"/>
        </w:tabs>
        <w:numPr>
          <w:ilvl w:val="1"/>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of: the period beginning on and including January 1 and ending on and including March 31; the period beginning on and including April 1 and ending on and including June 30; the period beginning on and including July 1 and ending on and including September 30; and the period beginning on and including October 1 and ending on and including December 31.</w:t>
      </w:r>
    </w:p>
    <w:p>
      <w:pPr>
        <w:spacing w:after="0" w:line="74" w:lineRule="exact"/>
        <w:rPr>
          <w:rFonts w:ascii="Arial" w:cs="Arial" w:eastAsia="Arial" w:hAnsi="Arial"/>
          <w:sz w:val="17"/>
          <w:szCs w:val="17"/>
          <w:color w:val="auto"/>
        </w:rPr>
      </w:pPr>
    </w:p>
    <w:p>
      <w:pPr>
        <w:jc w:val="both"/>
        <w:ind w:left="300" w:right="1239" w:firstLine="248"/>
        <w:spacing w:after="0" w:line="294" w:lineRule="auto"/>
        <w:tabs>
          <w:tab w:leader="none" w:pos="820" w:val="left"/>
        </w:tabs>
        <w:numPr>
          <w:ilvl w:val="1"/>
          <w:numId w:val="27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Equivalents</w:t>
      </w:r>
      <w:r>
        <w:rPr>
          <w:rFonts w:ascii="Arial" w:cs="Arial" w:eastAsia="Arial" w:hAnsi="Arial"/>
          <w:sz w:val="15"/>
          <w:szCs w:val="15"/>
          <w:color w:val="auto"/>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 1 by Moody’s or A 1 by Standard &amp; Poor’s; (c) certificates of deposit maturing not more than 270 days after the date of issue, issued by commercial banking institutions and money market or demand deposit</w:t>
      </w:r>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5" w:name="page356"/>
    <w:bookmarkEnd w:id="3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1" w:lineRule="auto"/>
        <w:rPr>
          <w:sz w:val="20"/>
          <w:szCs w:val="20"/>
          <w:color w:val="auto"/>
        </w:rPr>
      </w:pPr>
      <w:r>
        <w:rPr>
          <w:rFonts w:ascii="Arial" w:cs="Arial" w:eastAsia="Arial" w:hAnsi="Arial"/>
          <w:sz w:val="15"/>
          <w:szCs w:val="15"/>
          <w:color w:val="auto"/>
        </w:rPr>
        <w:t>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and (f) marketable tax exempt securities rated A or higher by Moody’s or A+ or higher by Standard</w:t>
      </w:r>
    </w:p>
    <w:p>
      <w:pPr>
        <w:spacing w:after="0" w:line="4" w:lineRule="exact"/>
        <w:rPr>
          <w:sz w:val="20"/>
          <w:szCs w:val="20"/>
          <w:color w:val="auto"/>
        </w:rPr>
      </w:pPr>
    </w:p>
    <w:p>
      <w:pPr>
        <w:ind w:left="460" w:hanging="162"/>
        <w:spacing w:after="0"/>
        <w:tabs>
          <w:tab w:leader="none" w:pos="4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Poor’s, in each case, maturing within six months from the date of acquisition thereof.</w:t>
      </w:r>
    </w:p>
    <w:p>
      <w:pPr>
        <w:spacing w:after="0" w:line="88" w:lineRule="exact"/>
        <w:rPr>
          <w:rFonts w:ascii="Arial" w:cs="Arial" w:eastAsia="Arial" w:hAnsi="Arial"/>
          <w:sz w:val="17"/>
          <w:szCs w:val="17"/>
          <w:color w:val="auto"/>
        </w:rPr>
      </w:pPr>
    </w:p>
    <w:p>
      <w:pPr>
        <w:ind w:left="800" w:hanging="252"/>
        <w:spacing w:after="0"/>
        <w:tabs>
          <w:tab w:leader="none" w:pos="80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the Company’s common stock, par value $0.0001 per share.</w:t>
      </w:r>
    </w:p>
    <w:p>
      <w:pPr>
        <w:spacing w:after="0" w:line="105" w:lineRule="exact"/>
        <w:rPr>
          <w:rFonts w:ascii="Arial" w:cs="Arial" w:eastAsia="Arial" w:hAnsi="Arial"/>
          <w:sz w:val="17"/>
          <w:szCs w:val="17"/>
          <w:color w:val="auto"/>
        </w:rPr>
      </w:pPr>
    </w:p>
    <w:p>
      <w:pPr>
        <w:jc w:val="both"/>
        <w:ind w:left="300" w:right="1239" w:firstLine="248"/>
        <w:spacing w:after="0" w:line="272" w:lineRule="auto"/>
        <w:tabs>
          <w:tab w:leader="none" w:pos="866" w:val="left"/>
        </w:tabs>
        <w:numPr>
          <w:ilvl w:val="1"/>
          <w:numId w:val="2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60" w:lineRule="exact"/>
        <w:rPr>
          <w:rFonts w:ascii="Arial" w:cs="Arial" w:eastAsia="Arial" w:hAnsi="Arial"/>
          <w:sz w:val="16"/>
          <w:szCs w:val="16"/>
          <w:color w:val="auto"/>
        </w:rPr>
      </w:pPr>
    </w:p>
    <w:p>
      <w:pPr>
        <w:ind w:left="300" w:right="1239" w:firstLine="248"/>
        <w:spacing w:after="0" w:line="272" w:lineRule="auto"/>
        <w:tabs>
          <w:tab w:leader="none" w:pos="829" w:val="left"/>
        </w:tabs>
        <w:numPr>
          <w:ilvl w:val="1"/>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Date</w:t>
      </w:r>
      <w:r>
        <w:rPr>
          <w:rFonts w:ascii="Arial" w:cs="Arial" w:eastAsia="Arial" w:hAnsi="Arial"/>
          <w:sz w:val="17"/>
          <w:szCs w:val="17"/>
          <w:color w:val="auto"/>
        </w:rPr>
        <w:t>” means the date that is four (4) days after the Holder gives notice of the existence of an Event of Default that has occurred and continued for at least eight (8) days.</w:t>
      </w:r>
    </w:p>
    <w:p>
      <w:pPr>
        <w:spacing w:after="0" w:line="58" w:lineRule="exact"/>
        <w:rPr>
          <w:rFonts w:ascii="Arial" w:cs="Arial" w:eastAsia="Arial" w:hAnsi="Arial"/>
          <w:sz w:val="17"/>
          <w:szCs w:val="17"/>
          <w:color w:val="auto"/>
        </w:rPr>
      </w:pPr>
    </w:p>
    <w:p>
      <w:pPr>
        <w:ind w:left="780" w:hanging="232"/>
        <w:spacing w:after="0"/>
        <w:tabs>
          <w:tab w:leader="none" w:pos="78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w:t>
      </w:r>
    </w:p>
    <w:p>
      <w:pPr>
        <w:spacing w:after="0" w:line="105" w:lineRule="exact"/>
        <w:rPr>
          <w:rFonts w:ascii="Arial" w:cs="Arial" w:eastAsia="Arial" w:hAnsi="Arial"/>
          <w:sz w:val="17"/>
          <w:szCs w:val="17"/>
          <w:color w:val="auto"/>
        </w:rPr>
      </w:pPr>
    </w:p>
    <w:p>
      <w:pPr>
        <w:jc w:val="both"/>
        <w:ind w:left="300" w:right="1239" w:firstLine="248"/>
        <w:spacing w:after="0" w:line="283" w:lineRule="auto"/>
        <w:tabs>
          <w:tab w:leader="none" w:pos="879" w:val="left"/>
        </w:tabs>
        <w:numPr>
          <w:ilvl w:val="1"/>
          <w:numId w:val="2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Fundamental Transaction</w:t>
      </w:r>
      <w:r>
        <w:rPr>
          <w:rFonts w:ascii="Arial" w:cs="Arial" w:eastAsia="Arial" w:hAnsi="Arial"/>
          <w:sz w:val="15"/>
          <w:szCs w:val="15"/>
          <w:color w:val="auto"/>
        </w:rPr>
        <w:t>” means that (A) the Company shall, directly or indirectly, in one or more related transactions, (i) consolidate or merge with or into (whether or not the Company is the surviving corporation) another Person or Persons, or (ii) sell, assign, transfer, convey or otherwise dispose of all or substantially all of the properties or assets of the Company to another Person, or (iii) allow another Person to make a purchase, tender or exchange offer that is accepted by the holders of more than the 50% of the outstanding shares of Voting Stock (not including any shares of Voting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(B)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59" w:lineRule="exact"/>
        <w:rPr>
          <w:rFonts w:ascii="Arial" w:cs="Arial" w:eastAsia="Arial" w:hAnsi="Arial"/>
          <w:sz w:val="15"/>
          <w:szCs w:val="15"/>
          <w:color w:val="auto"/>
        </w:rPr>
      </w:pPr>
    </w:p>
    <w:p>
      <w:pPr>
        <w:ind w:left="820" w:hanging="272"/>
        <w:spacing w:after="0"/>
        <w:tabs>
          <w:tab w:leader="none" w:pos="82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United States generally accepted accounting principles, consistently applied.</w:t>
      </w:r>
    </w:p>
    <w:p>
      <w:pPr>
        <w:spacing w:after="0" w:line="105" w:lineRule="exact"/>
        <w:rPr>
          <w:rFonts w:ascii="Arial" w:cs="Arial" w:eastAsia="Arial" w:hAnsi="Arial"/>
          <w:sz w:val="17"/>
          <w:szCs w:val="17"/>
          <w:color w:val="auto"/>
        </w:rPr>
      </w:pPr>
    </w:p>
    <w:p>
      <w:pPr>
        <w:jc w:val="both"/>
        <w:ind w:left="300" w:right="1239" w:firstLine="248"/>
        <w:spacing w:after="0" w:line="285" w:lineRule="auto"/>
        <w:tabs>
          <w:tab w:leader="none" w:pos="804" w:val="left"/>
        </w:tabs>
        <w:numPr>
          <w:ilvl w:val="1"/>
          <w:numId w:val="2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Indebtedness</w:t>
      </w:r>
      <w:r>
        <w:rPr>
          <w:rFonts w:ascii="Arial" w:cs="Arial" w:eastAsia="Arial" w:hAnsi="Arial"/>
          <w:sz w:val="15"/>
          <w:szCs w:val="15"/>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w:t>
      </w:r>
    </w:p>
    <w:p>
      <w:pPr>
        <w:spacing w:after="0" w:line="200" w:lineRule="exact"/>
        <w:rPr>
          <w:sz w:val="20"/>
          <w:szCs w:val="20"/>
          <w:color w:val="auto"/>
        </w:rPr>
      </w:pPr>
    </w:p>
    <w:p>
      <w:pPr>
        <w:spacing w:after="0" w:line="27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6" w:name="page357"/>
    <w:bookmarkEnd w:id="3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70" w:lineRule="auto"/>
        <w:rPr>
          <w:sz w:val="20"/>
          <w:szCs w:val="20"/>
          <w:color w:val="auto"/>
        </w:rPr>
      </w:pPr>
      <w:r>
        <w:rPr>
          <w:rFonts w:ascii="Arial" w:cs="Arial" w:eastAsia="Arial" w:hAnsi="Arial"/>
          <w:sz w:val="16"/>
          <w:szCs w:val="16"/>
          <w:color w:val="auto"/>
        </w:rPr>
        <w:t>(or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64" w:lineRule="exact"/>
        <w:rPr>
          <w:sz w:val="20"/>
          <w:szCs w:val="20"/>
          <w:color w:val="auto"/>
        </w:rPr>
      </w:pPr>
    </w:p>
    <w:p>
      <w:pPr>
        <w:ind w:left="880" w:hanging="332"/>
        <w:spacing w:after="0"/>
        <w:tabs>
          <w:tab w:leader="none" w:pos="88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w:t>
      </w:r>
      <w:r>
        <w:rPr>
          <w:rFonts w:ascii="Arial" w:cs="Arial" w:eastAsia="Arial" w:hAnsi="Arial"/>
          <w:sz w:val="17"/>
          <w:szCs w:val="17"/>
          <w:color w:val="auto"/>
        </w:rPr>
        <w:t>” means 0.46% per annum, subject to adjustment as set forth in Section 2.</w:t>
      </w:r>
    </w:p>
    <w:p>
      <w:pPr>
        <w:spacing w:after="0" w:line="105" w:lineRule="exact"/>
        <w:rPr>
          <w:rFonts w:ascii="Arial" w:cs="Arial" w:eastAsia="Arial" w:hAnsi="Arial"/>
          <w:sz w:val="17"/>
          <w:szCs w:val="17"/>
          <w:color w:val="auto"/>
        </w:rPr>
      </w:pPr>
    </w:p>
    <w:p>
      <w:pPr>
        <w:jc w:val="both"/>
        <w:ind w:left="300" w:right="1239" w:firstLine="248"/>
        <w:spacing w:after="0" w:line="252" w:lineRule="auto"/>
        <w:tabs>
          <w:tab w:leader="none" w:pos="829" w:val="left"/>
        </w:tabs>
        <w:numPr>
          <w:ilvl w:val="1"/>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any material adverse effect on the business, properties, assets, operations, results of operations, condition (financial or otherwise) or prospects of the Parent and its Subsidiaries, individually or taken as a whole, or on the transactions contemplated hereby or on the other Note Transaction Documents or by the agreements and instruments to be entered into in connection herewith or therewith, or on the authority or ability of the Company to perform its obligations under the Note Transaction Documents.</w:t>
      </w:r>
    </w:p>
    <w:p>
      <w:pPr>
        <w:spacing w:after="0" w:line="76" w:lineRule="exact"/>
        <w:rPr>
          <w:rFonts w:ascii="Arial" w:cs="Arial" w:eastAsia="Arial" w:hAnsi="Arial"/>
          <w:sz w:val="17"/>
          <w:szCs w:val="17"/>
          <w:color w:val="auto"/>
        </w:rPr>
      </w:pPr>
    </w:p>
    <w:p>
      <w:pPr>
        <w:ind w:left="300" w:right="1239" w:firstLine="248"/>
        <w:spacing w:after="0" w:line="272" w:lineRule="auto"/>
        <w:tabs>
          <w:tab w:leader="none" w:pos="879" w:val="left"/>
        </w:tabs>
        <w:numPr>
          <w:ilvl w:val="1"/>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Note Party</w:t>
      </w:r>
      <w:r>
        <w:rPr>
          <w:rFonts w:ascii="Arial" w:cs="Arial" w:eastAsia="Arial" w:hAnsi="Arial"/>
          <w:sz w:val="17"/>
          <w:szCs w:val="17"/>
          <w:color w:val="auto"/>
        </w:rPr>
        <w:t>” means each of the Company, the Parent and each other Subsidiary of the Parent party to any Note Transaction Document.</w:t>
      </w:r>
    </w:p>
    <w:p>
      <w:pPr>
        <w:spacing w:after="0" w:line="58" w:lineRule="exact"/>
        <w:rPr>
          <w:rFonts w:ascii="Arial" w:cs="Arial" w:eastAsia="Arial" w:hAnsi="Arial"/>
          <w:sz w:val="17"/>
          <w:szCs w:val="17"/>
          <w:color w:val="auto"/>
        </w:rPr>
      </w:pPr>
    </w:p>
    <w:p>
      <w:pPr>
        <w:ind w:left="820" w:hanging="272"/>
        <w:spacing w:after="0"/>
        <w:tabs>
          <w:tab w:leader="none" w:pos="82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Note Transaction Documents</w:t>
      </w:r>
      <w:r>
        <w:rPr>
          <w:rFonts w:ascii="Arial" w:cs="Arial" w:eastAsia="Arial" w:hAnsi="Arial"/>
          <w:sz w:val="17"/>
          <w:szCs w:val="17"/>
          <w:color w:val="auto"/>
        </w:rPr>
        <w:t>” means this Note and the Security Documents.</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 means Vringo, Inc., a Delaware corporation.</w:t>
      </w:r>
    </w:p>
    <w:p>
      <w:pPr>
        <w:spacing w:after="0" w:line="105" w:lineRule="exact"/>
        <w:rPr>
          <w:rFonts w:ascii="Arial" w:cs="Arial" w:eastAsia="Arial" w:hAnsi="Arial"/>
          <w:sz w:val="17"/>
          <w:szCs w:val="17"/>
          <w:color w:val="auto"/>
        </w:rPr>
      </w:pPr>
    </w:p>
    <w:p>
      <w:pPr>
        <w:jc w:val="both"/>
        <w:ind w:left="300" w:right="1239" w:firstLine="248"/>
        <w:spacing w:after="0" w:line="289" w:lineRule="auto"/>
        <w:tabs>
          <w:tab w:leader="none" w:pos="801" w:val="left"/>
        </w:tabs>
        <w:numPr>
          <w:ilvl w:val="1"/>
          <w:numId w:val="27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Indebtedness</w:t>
      </w:r>
      <w:r>
        <w:rPr>
          <w:rFonts w:ascii="Arial" w:cs="Arial" w:eastAsia="Arial" w:hAnsi="Arial"/>
          <w:sz w:val="15"/>
          <w:szCs w:val="15"/>
          <w:color w:val="auto"/>
        </w:rPr>
        <w:t>” means (i) Indebtedness evidenced by this Note, (ii) unsecured Indebtedness incurred by the Parent or any of its Subsidiaries that is made expressly subordinate in right of payment to the Indebtedness evidenced by this Note,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8% per annum, (iii) Specified Indebtedness and (iv) Indebtedness secured by Permitted Liens described in clauses (ii), (iii), (iv) and (v) of the definition of Permitted Liens.</w:t>
      </w:r>
    </w:p>
    <w:p>
      <w:pPr>
        <w:spacing w:after="0" w:line="49" w:lineRule="exact"/>
        <w:rPr>
          <w:rFonts w:ascii="Arial" w:cs="Arial" w:eastAsia="Arial" w:hAnsi="Arial"/>
          <w:sz w:val="15"/>
          <w:szCs w:val="15"/>
          <w:color w:val="auto"/>
        </w:rPr>
      </w:pPr>
    </w:p>
    <w:p>
      <w:pPr>
        <w:jc w:val="both"/>
        <w:ind w:left="300" w:right="1239" w:firstLine="248"/>
        <w:spacing w:after="0" w:line="280" w:lineRule="auto"/>
        <w:tabs>
          <w:tab w:leader="none" w:pos="873" w:val="left"/>
        </w:tabs>
        <w:numPr>
          <w:ilvl w:val="1"/>
          <w:numId w:val="27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Liens</w:t>
      </w:r>
      <w:r>
        <w:rPr>
          <w:rFonts w:ascii="Arial" w:cs="Arial" w:eastAsia="Arial" w:hAnsi="Arial"/>
          <w:sz w:val="15"/>
          <w:szCs w:val="15"/>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Parent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Parent’s business, not interfering in any material respect with the business of the Parent and its Subsidiaries taken as a whole, (vii) Liens in favor of customs and revenue authorities arising as a matter of law to secure payments of custom duties in connection with the importation of goods, and (viii) Liens arising from judgments, decrees or attachments in circumstances not constituting an Event of Default under Section 4(a)(v) and</w:t>
      </w:r>
    </w:p>
    <w:p>
      <w:pPr>
        <w:spacing w:after="0" w:line="4" w:lineRule="exact"/>
        <w:rPr>
          <w:rFonts w:ascii="Arial" w:cs="Arial" w:eastAsia="Arial" w:hAnsi="Arial"/>
          <w:sz w:val="15"/>
          <w:szCs w:val="15"/>
          <w:color w:val="auto"/>
        </w:rPr>
      </w:pPr>
    </w:p>
    <w:p>
      <w:pPr>
        <w:ind w:left="580" w:hanging="282"/>
        <w:spacing w:after="0"/>
        <w:tabs>
          <w:tab w:leader="none" w:pos="58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Liens securing Specified Indebtedness as described in such definition.</w:t>
      </w:r>
    </w:p>
    <w:p>
      <w:pPr>
        <w:spacing w:after="0" w:line="88" w:lineRule="exact"/>
        <w:rPr>
          <w:rFonts w:ascii="Arial" w:cs="Arial" w:eastAsia="Arial" w:hAnsi="Arial"/>
          <w:sz w:val="17"/>
          <w:szCs w:val="17"/>
          <w:color w:val="auto"/>
        </w:rPr>
      </w:pPr>
    </w:p>
    <w:p>
      <w:pPr>
        <w:jc w:val="both"/>
        <w:ind w:left="300" w:right="1239" w:firstLine="248"/>
        <w:spacing w:after="0" w:line="259" w:lineRule="auto"/>
        <w:tabs>
          <w:tab w:leader="none" w:pos="829" w:val="left"/>
        </w:tabs>
        <w:numPr>
          <w:ilvl w:val="1"/>
          <w:numId w:val="2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Senior Indebtedness</w:t>
      </w:r>
      <w:r>
        <w:rPr>
          <w:rFonts w:ascii="Arial" w:cs="Arial" w:eastAsia="Arial" w:hAnsi="Arial"/>
          <w:sz w:val="17"/>
          <w:szCs w:val="17"/>
          <w:color w:val="auto"/>
        </w:rPr>
        <w:t>” means the following Indebtedness (with applicable lien priorities which may be senior or junior, as the case may be and with payment priorities to the extent, but only to the extent, of any proceeds from the collateral which the holders of Permitted Senior</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7" w:name="page358"/>
    <w:bookmarkEnd w:id="3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6" w:lineRule="auto"/>
        <w:rPr>
          <w:sz w:val="20"/>
          <w:szCs w:val="20"/>
          <w:color w:val="auto"/>
        </w:rPr>
      </w:pPr>
      <w:r>
        <w:rPr>
          <w:rFonts w:ascii="Arial" w:cs="Arial" w:eastAsia="Arial" w:hAnsi="Arial"/>
          <w:sz w:val="17"/>
          <w:szCs w:val="17"/>
          <w:color w:val="auto"/>
        </w:rPr>
        <w:t>Indebtedness have a lien on and which lien is senior to the liens by which this Note is secured): (i) Indebtedness permitted under clause (iii) of the definition of Permitted Indebtedness and (ii) Indebtedness permitted under clause (iv) of the definition of Permitted Indebtedness.</w:t>
      </w:r>
    </w:p>
    <w:p>
      <w:pPr>
        <w:spacing w:after="0" w:line="72" w:lineRule="exact"/>
        <w:rPr>
          <w:sz w:val="20"/>
          <w:szCs w:val="20"/>
          <w:color w:val="auto"/>
        </w:rPr>
      </w:pPr>
    </w:p>
    <w:p>
      <w:pPr>
        <w:ind w:left="300" w:right="1239" w:firstLine="248"/>
        <w:spacing w:after="0" w:line="272" w:lineRule="auto"/>
        <w:tabs>
          <w:tab w:leader="none" w:pos="86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a limited liability company, a partnership, a joint venture, a corporation, a trust, an unincorporated organization, any other entity and a government or any department or agency thereof.</w:t>
      </w:r>
    </w:p>
    <w:p>
      <w:pPr>
        <w:spacing w:after="0" w:line="58" w:lineRule="exact"/>
        <w:rPr>
          <w:rFonts w:ascii="Arial" w:cs="Arial" w:eastAsia="Arial" w:hAnsi="Arial"/>
          <w:sz w:val="17"/>
          <w:szCs w:val="17"/>
          <w:color w:val="auto"/>
        </w:rPr>
      </w:pPr>
    </w:p>
    <w:p>
      <w:pPr>
        <w:ind w:left="300" w:right="1239" w:firstLine="248"/>
        <w:spacing w:after="0" w:line="272" w:lineRule="auto"/>
        <w:tabs>
          <w:tab w:leader="none" w:pos="85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Company Date</w:t>
      </w:r>
      <w:r>
        <w:rPr>
          <w:rFonts w:ascii="Arial" w:cs="Arial" w:eastAsia="Arial" w:hAnsi="Arial"/>
          <w:sz w:val="17"/>
          <w:szCs w:val="17"/>
          <w:color w:val="auto"/>
        </w:rPr>
        <w:t>” means the date the shares of Common Stock of the Company (or its successor by merger, recapitalization, reorganization, or otherwise) are registered under the Exchange Act.</w:t>
      </w:r>
    </w:p>
    <w:p>
      <w:pPr>
        <w:spacing w:after="0" w:line="58" w:lineRule="exact"/>
        <w:rPr>
          <w:rFonts w:ascii="Arial" w:cs="Arial" w:eastAsia="Arial" w:hAnsi="Arial"/>
          <w:sz w:val="17"/>
          <w:szCs w:val="17"/>
          <w:color w:val="auto"/>
        </w:rPr>
      </w:pPr>
    </w:p>
    <w:p>
      <w:pPr>
        <w:jc w:val="both"/>
        <w:ind w:left="300" w:right="1239" w:firstLine="248"/>
        <w:spacing w:after="0" w:line="259" w:lineRule="auto"/>
        <w:tabs>
          <w:tab w:leader="none" w:pos="86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Amount</w:t>
      </w:r>
      <w:r>
        <w:rPr>
          <w:rFonts w:ascii="Arial" w:cs="Arial" w:eastAsia="Arial" w:hAnsi="Arial"/>
          <w:sz w:val="17"/>
          <w:szCs w:val="17"/>
          <w:color w:val="auto"/>
        </w:rPr>
        <w:t>” means the sum of (A) the portion of the Principal to be redeemed or otherwise with respect to which this determination is being made, (B) accrued and unpaid Interest with respect to such Principal and (C) accrued and unpaid Late Charged with respect to such Principal and Interest.</w:t>
      </w:r>
    </w:p>
    <w:p>
      <w:pPr>
        <w:spacing w:after="0" w:line="68" w:lineRule="exact"/>
        <w:rPr>
          <w:rFonts w:ascii="Arial" w:cs="Arial" w:eastAsia="Arial" w:hAnsi="Arial"/>
          <w:sz w:val="17"/>
          <w:szCs w:val="17"/>
          <w:color w:val="auto"/>
        </w:rPr>
      </w:pPr>
    </w:p>
    <w:p>
      <w:pPr>
        <w:ind w:left="300" w:right="1239" w:firstLine="248"/>
        <w:spacing w:after="0" w:line="304" w:lineRule="auto"/>
        <w:tabs>
          <w:tab w:leader="none" w:pos="91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Notices</w:t>
      </w:r>
      <w:r>
        <w:rPr>
          <w:rFonts w:ascii="Arial" w:cs="Arial" w:eastAsia="Arial" w:hAnsi="Arial"/>
          <w:sz w:val="16"/>
          <w:szCs w:val="16"/>
          <w:color w:val="auto"/>
        </w:rPr>
        <w:t>” means, collectively, the Event of Default Redemption Notices, the Change of Control Redemption Notices and the Optional Redemption Notices, each of the foregoing, individually, a Redemption Notice.</w:t>
      </w:r>
    </w:p>
    <w:p>
      <w:pPr>
        <w:spacing w:after="0" w:line="35" w:lineRule="exact"/>
        <w:rPr>
          <w:rFonts w:ascii="Arial" w:cs="Arial" w:eastAsia="Arial" w:hAnsi="Arial"/>
          <w:sz w:val="16"/>
          <w:szCs w:val="16"/>
          <w:color w:val="auto"/>
        </w:rPr>
      </w:pPr>
    </w:p>
    <w:p>
      <w:pPr>
        <w:ind w:left="300" w:right="1239" w:firstLine="248"/>
        <w:spacing w:after="0" w:line="272" w:lineRule="auto"/>
        <w:tabs>
          <w:tab w:leader="none" w:pos="841" w:val="left"/>
        </w:tabs>
        <w:numPr>
          <w:ilvl w:val="0"/>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Prices</w:t>
      </w:r>
      <w:r>
        <w:rPr>
          <w:rFonts w:ascii="Arial" w:cs="Arial" w:eastAsia="Arial" w:hAnsi="Arial"/>
          <w:sz w:val="17"/>
          <w:szCs w:val="17"/>
          <w:color w:val="auto"/>
        </w:rPr>
        <w:t>” means, collectively, the Event of Default Redemption Price, the Change of Control Redemption Price and the Optional Redemption Prices, each of the foregoing, individually, a Redemption Price.</w:t>
      </w:r>
    </w:p>
    <w:p>
      <w:pPr>
        <w:spacing w:after="0" w:line="58" w:lineRule="exact"/>
        <w:rPr>
          <w:rFonts w:ascii="Arial" w:cs="Arial" w:eastAsia="Arial" w:hAnsi="Arial"/>
          <w:sz w:val="17"/>
          <w:szCs w:val="17"/>
          <w:color w:val="auto"/>
        </w:rPr>
      </w:pPr>
    </w:p>
    <w:p>
      <w:pPr>
        <w:jc w:val="both"/>
        <w:ind w:left="300" w:right="1239" w:firstLine="248"/>
        <w:spacing w:after="0" w:line="287" w:lineRule="auto"/>
        <w:tabs>
          <w:tab w:leader="none" w:pos="832" w:val="left"/>
        </w:tabs>
        <w:numPr>
          <w:ilvl w:val="0"/>
          <w:numId w:val="2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Security Documents</w:t>
      </w:r>
      <w:r>
        <w:rPr>
          <w:rFonts w:ascii="Arial" w:cs="Arial" w:eastAsia="Arial" w:hAnsi="Arial"/>
          <w:sz w:val="15"/>
          <w:szCs w:val="15"/>
          <w:color w:val="auto"/>
        </w:rPr>
        <w:t>” means (i) that certain Amended and Restated Pledge and Security Agreement, dated as of the date hereof, by and among Parent and its Subsidiaries pursuant to which Parent and its Subsidiaries granted security interests in and liens on their assets in favor of the Buyer (as defined therein) to secure their respective obligations under the Note Transaction Documents, (ii) that certain Amended and Restated Guaranty, dated as of the date hereof, by and among Parent and certain of its Subsidiaries pursuant to which Parent and such Subsidiaries guaranteed all of the obligations of the Company under the Note Transaction Documents in favor of the Buyer, and (iii) any ancillary agreements, instruments and other documents relating to the enforcement or protection of the Collateral, including, agreements, instruments and other documents to create or further the attachment, perfection or priority of the liens on and security interests in the Collateral.</w:t>
      </w:r>
    </w:p>
    <w:p>
      <w:pPr>
        <w:spacing w:after="0" w:line="54" w:lineRule="exact"/>
        <w:rPr>
          <w:sz w:val="20"/>
          <w:szCs w:val="20"/>
          <w:color w:val="auto"/>
        </w:rPr>
      </w:pPr>
    </w:p>
    <w:p>
      <w:pPr>
        <w:jc w:val="both"/>
        <w:ind w:left="300" w:right="1239" w:firstLine="248"/>
        <w:spacing w:after="0" w:line="266" w:lineRule="auto"/>
        <w:tabs>
          <w:tab w:leader="none" w:pos="93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Indebtedness</w:t>
      </w:r>
      <w:r>
        <w:rPr>
          <w:rFonts w:ascii="Arial" w:cs="Arial" w:eastAsia="Arial" w:hAnsi="Arial"/>
          <w:sz w:val="16"/>
          <w:szCs w:val="16"/>
          <w:color w:val="auto"/>
        </w:rPr>
        <w:t xml:space="preserve">” means, on or prior to the date that is 18 months after the first issuance of the Series A Preferred Stock (the “Series A Preferred Stock”) of the Parent to the Holder, Indebtedness, to the extent such Indebtedness (i) is issued or incurred with net proceeds to the Parent or (ii) will have an outstanding principal amount incurred plus accrued interest, as applicable, in an amount, individually or in the aggregate, up to $6,000,000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then outstanding principal amount of this Note;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Parent and its Subsidiaries shall be permitted to incur Indebtedness, provided, that the liens or other encumbrances, if any, on such Indebtedness cover only assets acquired after the initial issuance date of the Series A Preferred Stock, and the holder of such Indebtedness expressly subordinates to the holders of the Series A Preferred Stock with respect to assets owned by the Parent on or prior to such initial issuance date pursuant to a subordination agreement in form and substance reasonably satisfactory to the Required Holders (as defined in the instrument governing the Series A Preferred Stock).</w:t>
      </w:r>
    </w:p>
    <w:p>
      <w:pPr>
        <w:spacing w:after="0" w:line="65" w:lineRule="exact"/>
        <w:rPr>
          <w:rFonts w:ascii="Arial" w:cs="Arial" w:eastAsia="Arial" w:hAnsi="Arial"/>
          <w:sz w:val="16"/>
          <w:szCs w:val="16"/>
          <w:color w:val="auto"/>
        </w:rPr>
      </w:pPr>
    </w:p>
    <w:p>
      <w:pPr>
        <w:jc w:val="both"/>
        <w:ind w:left="300" w:right="1239" w:firstLine="248"/>
        <w:spacing w:after="0" w:line="309" w:lineRule="auto"/>
        <w:tabs>
          <w:tab w:leader="none" w:pos="937" w:val="left"/>
        </w:tabs>
        <w:numPr>
          <w:ilvl w:val="0"/>
          <w:numId w:val="2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Subscription Agreement</w:t>
      </w:r>
      <w:r>
        <w:rPr>
          <w:rFonts w:ascii="Arial" w:cs="Arial" w:eastAsia="Arial" w:hAnsi="Arial"/>
          <w:sz w:val="15"/>
          <w:szCs w:val="15"/>
          <w:color w:val="auto"/>
        </w:rPr>
        <w:t>” means that certain subscription agreement dated as of June 22, 2011 by and among the Company and the Holder pursuant to which the Company issued to the Holder this Note and certain shares of convertible preferred stock, as the same may be amended, restated, supplemented or otherwise modified from time to time.</w:t>
      </w:r>
    </w:p>
    <w:p>
      <w:pPr>
        <w:spacing w:after="0" w:line="35" w:lineRule="exact"/>
        <w:rPr>
          <w:rFonts w:ascii="Arial" w:cs="Arial" w:eastAsia="Arial" w:hAnsi="Arial"/>
          <w:sz w:val="15"/>
          <w:szCs w:val="15"/>
          <w:color w:val="auto"/>
        </w:rPr>
      </w:pPr>
    </w:p>
    <w:p>
      <w:pPr>
        <w:ind w:left="300" w:right="1239" w:firstLine="248"/>
        <w:spacing w:after="0" w:line="272" w:lineRule="auto"/>
        <w:tabs>
          <w:tab w:leader="none" w:pos="906" w:val="left"/>
        </w:tabs>
        <w:numPr>
          <w:ilvl w:val="0"/>
          <w:numId w:val="2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entity in which the Parent, directly or indirectly, owns at least a majority of the voting stock or voting securities.</w:t>
      </w:r>
    </w:p>
    <w:p>
      <w:pPr>
        <w:spacing w:after="0" w:line="58" w:lineRule="exact"/>
        <w:rPr>
          <w:rFonts w:ascii="Arial" w:cs="Arial" w:eastAsia="Arial" w:hAnsi="Arial"/>
          <w:sz w:val="17"/>
          <w:szCs w:val="17"/>
          <w:color w:val="auto"/>
        </w:rPr>
      </w:pPr>
    </w:p>
    <w:p>
      <w:pPr>
        <w:ind w:left="300" w:right="1239" w:firstLine="248"/>
        <w:spacing w:after="0" w:line="304" w:lineRule="auto"/>
        <w:tabs>
          <w:tab w:leader="none" w:pos="963" w:val="left"/>
        </w:tabs>
        <w:numPr>
          <w:ilvl w:val="0"/>
          <w:numId w:val="2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which may be the Company, formed by, resulting from or surviving any Fundamental Transaction or the Person with which such Fundamental Transaction shall have been made.</w:t>
      </w:r>
    </w:p>
    <w:p>
      <w:pPr>
        <w:spacing w:after="0" w:line="200" w:lineRule="exact"/>
        <w:rPr>
          <w:sz w:val="20"/>
          <w:szCs w:val="20"/>
          <w:color w:val="auto"/>
        </w:rPr>
      </w:pPr>
    </w:p>
    <w:p>
      <w:pPr>
        <w:spacing w:after="0" w:line="25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8" w:name="page359"/>
    <w:bookmarkEnd w:id="3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300" w:right="1239" w:firstLine="248"/>
        <w:spacing w:after="0" w:line="275" w:lineRule="auto"/>
        <w:tabs>
          <w:tab w:leader="none" w:pos="906" w:val="left"/>
        </w:tabs>
        <w:numPr>
          <w:ilvl w:val="1"/>
          <w:numId w:val="2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62" w:lineRule="exact"/>
        <w:rPr>
          <w:rFonts w:ascii="Arial" w:cs="Arial" w:eastAsia="Arial" w:hAnsi="Arial"/>
          <w:sz w:val="16"/>
          <w:szCs w:val="16"/>
          <w:color w:val="auto"/>
        </w:rPr>
      </w:pPr>
    </w:p>
    <w:p>
      <w:pPr>
        <w:jc w:val="both"/>
        <w:ind w:left="40" w:right="1239" w:firstLine="258"/>
        <w:spacing w:after="0" w:line="265" w:lineRule="auto"/>
        <w:tabs>
          <w:tab w:leader="none" w:pos="665"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Upon receipt or delivery by the Company of any notice in accordance with the terms of this Note after the Public Company Date, unless the Company has in good faith determined that the matters relating to such notice do not constitute material, nonpublic information relating to the Company or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In addition, contemporaneously with the occurrence of either event described in Sections 6(i) or 6(ii), the Company shall publicly disclose the occurrence of such event (whether by press release or otherwise).</w:t>
      </w:r>
    </w:p>
    <w:p>
      <w:pPr>
        <w:spacing w:after="0" w:line="69" w:lineRule="exact"/>
        <w:rPr>
          <w:rFonts w:ascii="Arial" w:cs="Arial" w:eastAsia="Arial" w:hAnsi="Arial"/>
          <w:sz w:val="16"/>
          <w:szCs w:val="16"/>
          <w:color w:val="auto"/>
        </w:rPr>
      </w:pPr>
    </w:p>
    <w:p>
      <w:pPr>
        <w:jc w:val="both"/>
        <w:ind w:left="40" w:right="1239" w:firstLine="258"/>
        <w:spacing w:after="0" w:line="251" w:lineRule="auto"/>
        <w:tabs>
          <w:tab w:leader="none" w:pos="665" w:val="left"/>
        </w:tabs>
        <w:numPr>
          <w:ilvl w:val="0"/>
          <w:numId w:val="278"/>
        </w:numPr>
        <w:rPr>
          <w:rFonts w:ascii="Arial" w:cs="Arial" w:eastAsia="Arial" w:hAnsi="Arial"/>
          <w:sz w:val="17"/>
          <w:szCs w:val="17"/>
          <w:color w:val="auto"/>
        </w:rPr>
      </w:pPr>
      <w:r>
        <w:rPr>
          <w:rFonts w:ascii="Arial" w:cs="Arial" w:eastAsia="Arial" w:hAnsi="Arial"/>
          <w:sz w:val="17"/>
          <w:szCs w:val="17"/>
          <w:b w:val="1"/>
          <w:bCs w:val="1"/>
          <w:u w:val="single" w:color="auto"/>
          <w:color w:val="auto"/>
        </w:rPr>
        <w:t>ASSUMPTION; AMENDMENT AND RESTATEMENT</w:t>
      </w:r>
      <w:r>
        <w:rPr>
          <w:rFonts w:ascii="Arial" w:cs="Arial" w:eastAsia="Arial" w:hAnsi="Arial"/>
          <w:sz w:val="17"/>
          <w:szCs w:val="17"/>
          <w:b w:val="1"/>
          <w:bCs w:val="1"/>
          <w:color w:val="auto"/>
        </w:rPr>
        <w:t>. This Note amends and restates in its entirety the Senior Secured Note, dated June 22, 2011, as amended, originally made by the Company (as successor to Labrador Search Corporation) to the order of the Holder (the “Original Note”). This Note shall not in any way constitute (i) an extinguishment of the indebtedness of the Company under the Original Note, (ii) a release or other discharge of the Company from any of its obligations and liabilities under the Original Note or any documents related thereto, or (iii) a novation of the Original Note.</w:t>
      </w:r>
    </w:p>
    <w:p>
      <w:pPr>
        <w:spacing w:after="0" w:line="8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9" w:name="page360"/>
    <w:bookmarkEnd w:id="3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IN WITNESS WHEREOF, the Company has caused this Note to be duly executed as of the Amendment and Restatement Date set out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215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7"/>
          <w:szCs w:val="17"/>
          <w:b w:val="1"/>
          <w:bCs w:val="1"/>
          <w:color w:val="auto"/>
        </w:rPr>
        <w:t>INNOVATE/PROTECT, INC.</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-123190</wp:posOffset>
            </wp:positionV>
            <wp:extent cx="190182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0" w:name="page361"/>
    <w:bookmarkEnd w:id="3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Exhibit I</w:t>
      </w:r>
    </w:p>
    <w:p>
      <w:pPr>
        <w:spacing w:after="0" w:line="201"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FORM OF AMENDED AND RESTATED PLEDGE AND SECURITY AGREEMENT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AMENDED AND RESTATED PLEDGE AND SECURITY AGREEMENT</w:t>
      </w:r>
      <w:r>
        <w:rPr>
          <w:rFonts w:ascii="Arial" w:cs="Arial" w:eastAsia="Arial" w:hAnsi="Arial"/>
          <w:sz w:val="17"/>
          <w:szCs w:val="17"/>
          <w:color w:val="auto"/>
        </w:rPr>
        <w:t>, dated as of [_______ __], 2012 (this</w:t>
      </w:r>
    </w:p>
    <w:p>
      <w:pPr>
        <w:spacing w:after="0" w:line="21" w:lineRule="exact"/>
        <w:rPr>
          <w:sz w:val="20"/>
          <w:szCs w:val="20"/>
          <w:color w:val="auto"/>
        </w:rPr>
      </w:pPr>
    </w:p>
    <w:p>
      <w:pPr>
        <w:jc w:val="both"/>
        <w:ind w:left="40" w:right="1239"/>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made by </w:t>
      </w:r>
      <w:r>
        <w:rPr>
          <w:rFonts w:ascii="Arial" w:cs="Arial" w:eastAsia="Arial" w:hAnsi="Arial"/>
          <w:sz w:val="16"/>
          <w:szCs w:val="16"/>
          <w:b w:val="1"/>
          <w:bCs w:val="1"/>
          <w:color w:val="auto"/>
        </w:rPr>
        <w:t>VRINGO, INC.</w:t>
      </w:r>
      <w:r>
        <w:rPr>
          <w:rFonts w:ascii="Arial" w:cs="Arial" w:eastAsia="Arial" w:hAnsi="Arial"/>
          <w:sz w:val="16"/>
          <w:szCs w:val="16"/>
          <w:color w:val="auto"/>
        </w:rPr>
        <w:t>,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each of its existing “Subsidiaries” (as defined in the Note defined below) as named on the signature pages hereto (collectively, the “</w:t>
      </w:r>
      <w:r>
        <w:rPr>
          <w:rFonts w:ascii="Arial" w:cs="Arial" w:eastAsia="Arial" w:hAnsi="Arial"/>
          <w:sz w:val="16"/>
          <w:szCs w:val="16"/>
          <w:b w:val="1"/>
          <w:bCs w:val="1"/>
          <w:color w:val="auto"/>
        </w:rPr>
        <w:t>Existing Subsidiaries</w:t>
      </w:r>
      <w:r>
        <w:rPr>
          <w:rFonts w:ascii="Arial" w:cs="Arial" w:eastAsia="Arial" w:hAnsi="Arial"/>
          <w:sz w:val="16"/>
          <w:szCs w:val="16"/>
          <w:color w:val="auto"/>
        </w:rPr>
        <w:t>”) and each other Subsidiary of the Company hereafter becoming party hereto (each individually referred to herein as a “</w:t>
      </w:r>
      <w:r>
        <w:rPr>
          <w:rFonts w:ascii="Arial" w:cs="Arial" w:eastAsia="Arial" w:hAnsi="Arial"/>
          <w:sz w:val="16"/>
          <w:szCs w:val="16"/>
          <w:b w:val="1"/>
          <w:bCs w:val="1"/>
          <w:color w:val="auto"/>
        </w:rPr>
        <w:t>New Subsidiary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New Subsidiaries</w:t>
      </w:r>
      <w:r>
        <w:rPr>
          <w:rFonts w:ascii="Arial" w:cs="Arial" w:eastAsia="Arial" w:hAnsi="Arial"/>
          <w:sz w:val="16"/>
          <w:szCs w:val="16"/>
          <w:color w:val="auto"/>
        </w:rPr>
        <w:t>,” together with the Company and the Existing Subsidiaries, each a “</w:t>
      </w:r>
      <w:r>
        <w:rPr>
          <w:rFonts w:ascii="Arial" w:cs="Arial" w:eastAsia="Arial" w:hAnsi="Arial"/>
          <w:sz w:val="16"/>
          <w:szCs w:val="16"/>
          <w:b w:val="1"/>
          <w:bCs w:val="1"/>
          <w:color w:val="auto"/>
        </w:rPr>
        <w:t>Grantor</w:t>
      </w:r>
      <w:r>
        <w:rPr>
          <w:rFonts w:ascii="Arial" w:cs="Arial" w:eastAsia="Arial" w:hAnsi="Arial"/>
          <w:sz w:val="16"/>
          <w:szCs w:val="16"/>
          <w:color w:val="auto"/>
        </w:rPr>
        <w:t>” and, collectively, the “</w:t>
      </w:r>
      <w:r>
        <w:rPr>
          <w:rFonts w:ascii="Arial" w:cs="Arial" w:eastAsia="Arial" w:hAnsi="Arial"/>
          <w:sz w:val="16"/>
          <w:szCs w:val="16"/>
          <w:b w:val="1"/>
          <w:bCs w:val="1"/>
          <w:color w:val="auto"/>
        </w:rPr>
        <w:t>Grantors</w:t>
      </w:r>
      <w:r>
        <w:rPr>
          <w:rFonts w:ascii="Arial" w:cs="Arial" w:eastAsia="Arial" w:hAnsi="Arial"/>
          <w:sz w:val="16"/>
          <w:szCs w:val="16"/>
          <w:color w:val="auto"/>
        </w:rPr>
        <w:t>”), in favor of Hudson Bay Master Fund Ltd. (the “</w:t>
      </w:r>
      <w:r>
        <w:rPr>
          <w:rFonts w:ascii="Arial" w:cs="Arial" w:eastAsia="Arial" w:hAnsi="Arial"/>
          <w:sz w:val="16"/>
          <w:szCs w:val="16"/>
          <w:b w:val="1"/>
          <w:bCs w:val="1"/>
          <w:color w:val="auto"/>
        </w:rPr>
        <w:t>Buyer</w:t>
      </w:r>
      <w:r>
        <w:rPr>
          <w:rFonts w:ascii="Arial" w:cs="Arial" w:eastAsia="Arial" w:hAnsi="Arial"/>
          <w:sz w:val="16"/>
          <w:szCs w:val="16"/>
          <w:color w:val="auto"/>
        </w:rPr>
        <w:t>”).</w:t>
      </w:r>
    </w:p>
    <w:p>
      <w:pPr>
        <w:spacing w:after="0" w:line="167"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u w:val="single" w:color="auto"/>
          <w:color w:val="auto"/>
        </w:rPr>
        <w:t>WITNESSETH</w:t>
      </w:r>
      <w:r>
        <w:rPr>
          <w:rFonts w:ascii="Arial" w:cs="Arial" w:eastAsia="Arial" w:hAnsi="Arial"/>
          <w:sz w:val="17"/>
          <w:szCs w:val="17"/>
          <w:b w:val="1"/>
          <w:bCs w:val="1"/>
          <w:color w:val="auto"/>
        </w:rPr>
        <w:t>:</w:t>
      </w:r>
    </w:p>
    <w:p>
      <w:pPr>
        <w:spacing w:after="0" w:line="105"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6"/>
          <w:szCs w:val="16"/>
          <w:color w:val="auto"/>
        </w:rPr>
        <w:t>WHEREAS, Innovate/Protect, Inc., a Delaware corporation formerly known as Labrador Search Corporation (“</w:t>
      </w:r>
      <w:r>
        <w:rPr>
          <w:rFonts w:ascii="Arial" w:cs="Arial" w:eastAsia="Arial" w:hAnsi="Arial"/>
          <w:sz w:val="16"/>
          <w:szCs w:val="16"/>
          <w:b w:val="1"/>
          <w:bCs w:val="1"/>
          <w:color w:val="auto"/>
        </w:rPr>
        <w:t>I/P</w:t>
      </w:r>
      <w:r>
        <w:rPr>
          <w:rFonts w:ascii="Arial" w:cs="Arial" w:eastAsia="Arial" w:hAnsi="Arial"/>
          <w:sz w:val="16"/>
          <w:szCs w:val="16"/>
          <w:color w:val="auto"/>
        </w:rPr>
        <w:t>”), and the Buyer are parties to the Subscription Agreement, dated as of June 22, 2011 (as amended, restated, supplemented or otherwise modified from time to time,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pursuant to which I/P sold, and the Buyer purchased the Senior Secured Note in the original principal amount of $3,200,000 (as such note may be amended, restated, replaced or otherwise modified from time to time in accordance with the terms thereof, the “</w:t>
      </w:r>
      <w:r>
        <w:rPr>
          <w:rFonts w:ascii="Arial" w:cs="Arial" w:eastAsia="Arial" w:hAnsi="Arial"/>
          <w:sz w:val="16"/>
          <w:szCs w:val="16"/>
          <w:b w:val="1"/>
          <w:bCs w:val="1"/>
          <w:color w:val="auto"/>
        </w:rPr>
        <w:t>Note</w:t>
      </w:r>
      <w:r>
        <w:rPr>
          <w:rFonts w:ascii="Arial" w:cs="Arial" w:eastAsia="Arial" w:hAnsi="Arial"/>
          <w:sz w:val="16"/>
          <w:szCs w:val="16"/>
          <w:color w:val="auto"/>
        </w:rPr>
        <w:t>”);</w:t>
      </w:r>
    </w:p>
    <w:p>
      <w:pPr>
        <w:spacing w:after="0" w:line="64"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WHEREAS, pursuant to a Pledge and Security Agreement dated as of June 22, 2011 (as amended or supplemented prior to the date hereof, the “</w:t>
      </w:r>
      <w:r>
        <w:rPr>
          <w:rFonts w:ascii="Arial" w:cs="Arial" w:eastAsia="Arial" w:hAnsi="Arial"/>
          <w:sz w:val="15"/>
          <w:szCs w:val="15"/>
          <w:b w:val="1"/>
          <w:bCs w:val="1"/>
          <w:color w:val="auto"/>
        </w:rPr>
        <w:t>Existing Security Agreement</w:t>
      </w:r>
      <w:r>
        <w:rPr>
          <w:rFonts w:ascii="Arial" w:cs="Arial" w:eastAsia="Arial" w:hAnsi="Arial"/>
          <w:sz w:val="15"/>
          <w:szCs w:val="15"/>
          <w:color w:val="auto"/>
        </w:rPr>
        <w:t>”), I/P, I/P Engine, Inc., a Virginia corporation formerly known as Smart Search Labs, Inc. (“</w:t>
      </w:r>
      <w:r>
        <w:rPr>
          <w:rFonts w:ascii="Arial" w:cs="Arial" w:eastAsia="Arial" w:hAnsi="Arial"/>
          <w:sz w:val="15"/>
          <w:szCs w:val="15"/>
          <w:b w:val="1"/>
          <w:bCs w:val="1"/>
          <w:color w:val="auto"/>
        </w:rPr>
        <w:t>I/P Engine</w:t>
      </w:r>
      <w:r>
        <w:rPr>
          <w:rFonts w:ascii="Arial" w:cs="Arial" w:eastAsia="Arial" w:hAnsi="Arial"/>
          <w:sz w:val="15"/>
          <w:szCs w:val="15"/>
          <w:color w:val="auto"/>
        </w:rPr>
        <w:t>”), I/P Labs, Inc., a Delaware corporation formerly known as Scottish Terrier Capital, Inc. (“</w:t>
      </w:r>
      <w:r>
        <w:rPr>
          <w:rFonts w:ascii="Arial" w:cs="Arial" w:eastAsia="Arial" w:hAnsi="Arial"/>
          <w:sz w:val="15"/>
          <w:szCs w:val="15"/>
          <w:b w:val="1"/>
          <w:bCs w:val="1"/>
          <w:color w:val="auto"/>
        </w:rPr>
        <w:t>I/P Labs</w:t>
      </w:r>
      <w:r>
        <w:rPr>
          <w:rFonts w:ascii="Arial" w:cs="Arial" w:eastAsia="Arial" w:hAnsi="Arial"/>
          <w:sz w:val="15"/>
          <w:szCs w:val="15"/>
          <w:color w:val="auto"/>
        </w:rPr>
        <w:t>” and together with I/P, I/P Engine, each individually referred to herein as an “</w:t>
      </w:r>
      <w:r>
        <w:rPr>
          <w:rFonts w:ascii="Arial" w:cs="Arial" w:eastAsia="Arial" w:hAnsi="Arial"/>
          <w:sz w:val="15"/>
          <w:szCs w:val="15"/>
          <w:b w:val="1"/>
          <w:bCs w:val="1"/>
          <w:color w:val="auto"/>
        </w:rPr>
        <w:t>Existing Grantor</w:t>
      </w:r>
      <w:r>
        <w:rPr>
          <w:rFonts w:ascii="Arial" w:cs="Arial" w:eastAsia="Arial" w:hAnsi="Arial"/>
          <w:sz w:val="15"/>
          <w:szCs w:val="15"/>
          <w:color w:val="auto"/>
        </w:rPr>
        <w:t>” and collectively as the “</w:t>
      </w:r>
      <w:r>
        <w:rPr>
          <w:rFonts w:ascii="Arial" w:cs="Arial" w:eastAsia="Arial" w:hAnsi="Arial"/>
          <w:sz w:val="15"/>
          <w:szCs w:val="15"/>
          <w:b w:val="1"/>
          <w:bCs w:val="1"/>
          <w:color w:val="auto"/>
        </w:rPr>
        <w:t>Existing</w:t>
      </w:r>
      <w:r>
        <w:rPr>
          <w:rFonts w:ascii="Arial" w:cs="Arial" w:eastAsia="Arial" w:hAnsi="Arial"/>
          <w:sz w:val="15"/>
          <w:szCs w:val="15"/>
          <w:color w:val="auto"/>
        </w:rPr>
        <w:t xml:space="preserve"> </w:t>
      </w:r>
      <w:r>
        <w:rPr>
          <w:rFonts w:ascii="Arial" w:cs="Arial" w:eastAsia="Arial" w:hAnsi="Arial"/>
          <w:sz w:val="15"/>
          <w:szCs w:val="15"/>
          <w:b w:val="1"/>
          <w:bCs w:val="1"/>
          <w:color w:val="auto"/>
        </w:rPr>
        <w:t>Grantors</w:t>
      </w:r>
      <w:r>
        <w:rPr>
          <w:rFonts w:ascii="Arial" w:cs="Arial" w:eastAsia="Arial" w:hAnsi="Arial"/>
          <w:sz w:val="15"/>
          <w:szCs w:val="15"/>
          <w:color w:val="auto"/>
        </w:rPr>
        <w:t>”), granted liens and security interests in the collateral described therein to the Buyer as security for the Existing</w:t>
      </w:r>
      <w:r>
        <w:rPr>
          <w:rFonts w:ascii="Arial" w:cs="Arial" w:eastAsia="Arial" w:hAnsi="Arial"/>
          <w:sz w:val="15"/>
          <w:szCs w:val="15"/>
          <w:b w:val="1"/>
          <w:bCs w:val="1"/>
          <w:color w:val="auto"/>
        </w:rPr>
        <w:t xml:space="preserve"> </w:t>
      </w:r>
      <w:r>
        <w:rPr>
          <w:rFonts w:ascii="Arial" w:cs="Arial" w:eastAsia="Arial" w:hAnsi="Arial"/>
          <w:sz w:val="15"/>
          <w:szCs w:val="15"/>
          <w:color w:val="auto"/>
        </w:rPr>
        <w:t>Grantors’ obligations under, among other things, the Subscription Agreement, the Note issued pursuant thereto and the other “Transaction Documents” (as defined in the Subscription Agreement), and has agreed to continue to secure certain of the Existing Grantor’s obligations thereunder pursuant to this amended and restated Agreement;</w:t>
      </w:r>
    </w:p>
    <w:p>
      <w:pPr>
        <w:spacing w:after="0" w:line="5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color w:val="auto"/>
        </w:rPr>
        <w:t>WHEREAS, the Company, I/P and Vringo Merger Sub, Inc. (“</w:t>
      </w:r>
      <w:r>
        <w:rPr>
          <w:rFonts w:ascii="Arial" w:cs="Arial" w:eastAsia="Arial" w:hAnsi="Arial"/>
          <w:sz w:val="16"/>
          <w:szCs w:val="16"/>
          <w:b w:val="1"/>
          <w:bCs w:val="1"/>
          <w:color w:val="auto"/>
        </w:rPr>
        <w:t>Merger Sub</w:t>
      </w:r>
      <w:r>
        <w:rPr>
          <w:rFonts w:ascii="Arial" w:cs="Arial" w:eastAsia="Arial" w:hAnsi="Arial"/>
          <w:sz w:val="16"/>
          <w:szCs w:val="16"/>
          <w:color w:val="auto"/>
        </w:rPr>
        <w:t>”), a wholly-owned subsidiary of the Company, have entered into that certain Agreement and Plan of Merger, dated as of March [__], 2012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among other things, I/P shall be merged with and into Merger Sub (the “</w:t>
      </w:r>
      <w:r>
        <w:rPr>
          <w:rFonts w:ascii="Arial" w:cs="Arial" w:eastAsia="Arial" w:hAnsi="Arial"/>
          <w:sz w:val="16"/>
          <w:szCs w:val="16"/>
          <w:b w:val="1"/>
          <w:bCs w:val="1"/>
          <w:color w:val="auto"/>
        </w:rPr>
        <w:t>Merger Transaction</w:t>
      </w:r>
      <w:r>
        <w:rPr>
          <w:rFonts w:ascii="Arial" w:cs="Arial" w:eastAsia="Arial" w:hAnsi="Arial"/>
          <w:sz w:val="16"/>
          <w:szCs w:val="16"/>
          <w:color w:val="auto"/>
        </w:rPr>
        <w:t>”);</w:t>
      </w:r>
    </w:p>
    <w:p>
      <w:pPr>
        <w:spacing w:after="0" w:line="57"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WHEREAS, the Company, as part of the Merger Transaction, has agreed to grant liens on and security interest in the collateral described hereunder, and the Company has agreed to cause Vringo, Ltd., an Israeli corporation (“</w:t>
      </w:r>
      <w:r>
        <w:rPr>
          <w:rFonts w:ascii="Arial" w:cs="Arial" w:eastAsia="Arial" w:hAnsi="Arial"/>
          <w:sz w:val="16"/>
          <w:szCs w:val="16"/>
          <w:b w:val="1"/>
          <w:bCs w:val="1"/>
          <w:color w:val="auto"/>
        </w:rPr>
        <w:t>Vringo Israel</w:t>
      </w:r>
      <w:r>
        <w:rPr>
          <w:rFonts w:ascii="Arial" w:cs="Arial" w:eastAsia="Arial" w:hAnsi="Arial"/>
          <w:sz w:val="16"/>
          <w:szCs w:val="16"/>
          <w:color w:val="auto"/>
        </w:rPr>
        <w:t>”), and Vringo Israel has agreed, to grant liens on and security interest in the collateral described hereunder;</w:t>
      </w:r>
    </w:p>
    <w:p>
      <w:pPr>
        <w:spacing w:after="0" w:line="5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WHEREAS, it is a condition precedent to the Buyer entering into certain transactions more fully described in the Merger Agreement that (i) the Existing Grantors confirm, ratify and reaffirm the liens on and security interests granted pursuant to the Existing Security Agreement in all personal property of each of the Existing Grantors to secure the obligations under the Note, and the other Note Transaction Documents, and (ii) the Company and each of the New Subsidiaries (each individually referred to herein as a “</w:t>
      </w:r>
      <w:r>
        <w:rPr>
          <w:rFonts w:ascii="Arial" w:cs="Arial" w:eastAsia="Arial" w:hAnsi="Arial"/>
          <w:sz w:val="16"/>
          <w:szCs w:val="16"/>
          <w:b w:val="1"/>
          <w:bCs w:val="1"/>
          <w:color w:val="auto"/>
        </w:rPr>
        <w:t>New Grantor</w:t>
      </w:r>
      <w:r>
        <w:rPr>
          <w:rFonts w:ascii="Arial" w:cs="Arial" w:eastAsia="Arial" w:hAnsi="Arial"/>
          <w:sz w:val="16"/>
          <w:szCs w:val="16"/>
          <w:color w:val="auto"/>
        </w:rPr>
        <w:t>” and collectively as the “</w:t>
      </w:r>
      <w:r>
        <w:rPr>
          <w:rFonts w:ascii="Arial" w:cs="Arial" w:eastAsia="Arial" w:hAnsi="Arial"/>
          <w:sz w:val="16"/>
          <w:szCs w:val="16"/>
          <w:b w:val="1"/>
          <w:bCs w:val="1"/>
          <w:color w:val="auto"/>
        </w:rPr>
        <w:t>New Grantors</w:t>
      </w:r>
      <w:r>
        <w:rPr>
          <w:rFonts w:ascii="Arial" w:cs="Arial" w:eastAsia="Arial" w:hAnsi="Arial"/>
          <w:sz w:val="16"/>
          <w:szCs w:val="16"/>
          <w:color w:val="auto"/>
        </w:rPr>
        <w:t>”), grant to the Buyer a security interest in all personal property of each of the New Subsidiaries to secure I/P’s obligations under the Note and the other Note Transaction Documents, and that each future Subsidiary of the Company becomes a party to this Agreement;</w:t>
      </w:r>
    </w:p>
    <w:p>
      <w:pPr>
        <w:spacing w:after="0" w:line="71"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WHEREAS, each of the Existing Subsidiaries, the Company and each other Grantor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Subsidiaries, the Company and each other Grantor and the Note; and</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1" w:name="page362"/>
    <w:bookmarkEnd w:id="3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WHEREAS, the Company and each other Grantor has determined that the execution, delivery and performance of this Agreement directly benefits, and are in the best interest of the Company and each other Grantor; and</w:t>
      </w:r>
    </w:p>
    <w:p>
      <w:pPr>
        <w:spacing w:after="0" w:line="6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NOW, THEREFORE, in consideration of the premises and the agreements herein and in order to induce the Buyer to perform under the Debt Assumption Agreement, each Grantor agrees with the Buyer as follows: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9" w:lineRule="auto"/>
        <w:tabs>
          <w:tab w:leader="none" w:pos="84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Reference is hereby made to the Note for a statement of the terms thereof. All terms used in this Agreement and the recitals hereto which are defined in the Note or in Articles 8 or 9 of the Uniform Commercial Code (the “</w:t>
      </w:r>
      <w:r>
        <w:rPr>
          <w:rFonts w:ascii="Arial" w:cs="Arial" w:eastAsia="Arial" w:hAnsi="Arial"/>
          <w:sz w:val="16"/>
          <w:szCs w:val="16"/>
          <w:b w:val="1"/>
          <w:bCs w:val="1"/>
          <w:color w:val="auto"/>
        </w:rPr>
        <w:t>Code</w:t>
      </w:r>
      <w:r>
        <w:rPr>
          <w:rFonts w:ascii="Arial" w:cs="Arial" w:eastAsia="Arial" w:hAnsi="Arial"/>
          <w:sz w:val="16"/>
          <w:szCs w:val="16"/>
          <w:color w:val="auto"/>
        </w:rPr>
        <w:t xml:space="preserve">”) as in effect from time to time in the State of New York, and which are not otherwise defined herein shall have the same meanings herein as set forth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terms used herein which are defined in the Code as in effect in the State of New York on the date hereof shall continue to have the same meaning notwithstanding any replacement or amendment of such statute except as the Buyer may otherwise determine.</w:t>
      </w:r>
    </w:p>
    <w:p>
      <w:pPr>
        <w:spacing w:after="0" w:line="65" w:lineRule="exact"/>
        <w:rPr>
          <w:rFonts w:ascii="Arial" w:cs="Arial" w:eastAsia="Arial" w:hAnsi="Arial"/>
          <w:sz w:val="16"/>
          <w:szCs w:val="16"/>
          <w:color w:val="auto"/>
        </w:rPr>
      </w:pPr>
    </w:p>
    <w:p>
      <w:pPr>
        <w:jc w:val="both"/>
        <w:ind w:left="300" w:right="1239" w:firstLine="248"/>
        <w:spacing w:after="0" w:line="251" w:lineRule="auto"/>
        <w:tabs>
          <w:tab w:leader="none" w:pos="886"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following terms shall have the respective meanings provided for in the Code: “Accounts”, “Cash Proceeds”, “Chattel Paper”, “Commercial Tort Claim”, “Commodity Account”, “Commodity Contracts”, “Deposit Account”, “Documents”, “Equipment”, “Fixtures”, “General Intangibles”, “Goods”, “Instruments”, “Inventory”, “Investment Property”, “Letter-of-Credit Rights”, “Noncash Proceeds”, “Payment Intangibles”, “Proceeds”, “Promissory Notes”, “Security”, “Record”, “Security Account”, “Software”, and “Supporting Obligations”.</w:t>
      </w:r>
    </w:p>
    <w:p>
      <w:pPr>
        <w:spacing w:after="0" w:line="80" w:lineRule="exact"/>
        <w:rPr>
          <w:rFonts w:ascii="Arial" w:cs="Arial" w:eastAsia="Arial" w:hAnsi="Arial"/>
          <w:sz w:val="17"/>
          <w:szCs w:val="17"/>
          <w:color w:val="auto"/>
        </w:rPr>
      </w:pPr>
    </w:p>
    <w:p>
      <w:pPr>
        <w:ind w:left="300" w:right="1239" w:firstLine="248"/>
        <w:spacing w:after="0" w:line="267" w:lineRule="auto"/>
        <w:tabs>
          <w:tab w:leader="none" w:pos="81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As used in this Agreement, the following terms shall have the respective meanings indicated below, such meanings to be applicable equally to both the singular and plural forms of such terms:</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w:t>
      </w:r>
    </w:p>
    <w:p>
      <w:pPr>
        <w:spacing w:after="0" w:line="105" w:lineRule="exact"/>
        <w:rPr>
          <w:sz w:val="20"/>
          <w:szCs w:val="20"/>
          <w:color w:val="auto"/>
        </w:rPr>
      </w:pPr>
    </w:p>
    <w:p>
      <w:pPr>
        <w:jc w:val="both"/>
        <w:ind w:left="540" w:right="1239" w:firstLine="251"/>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 Licenses</w:t>
      </w:r>
      <w:r>
        <w:rPr>
          <w:rFonts w:ascii="Arial" w:cs="Arial" w:eastAsia="Arial" w:hAnsi="Arial"/>
          <w:sz w:val="17"/>
          <w:szCs w:val="17"/>
          <w:color w:val="auto"/>
        </w:rPr>
        <w:t xml:space="preserve">” means all licenses, contracts or other agreements, whether written or oral, naming any Grantor as licensee or licensor and providing for the grant of any right to use or sell any works covered by any copyright (including, without limitation, all Copyright Licenses set forth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w:t>
      </w:r>
    </w:p>
    <w:p>
      <w:pPr>
        <w:spacing w:after="0" w:line="69" w:lineRule="exact"/>
        <w:rPr>
          <w:sz w:val="20"/>
          <w:szCs w:val="20"/>
          <w:color w:val="auto"/>
        </w:rPr>
      </w:pPr>
    </w:p>
    <w:p>
      <w:pPr>
        <w:jc w:val="both"/>
        <w:ind w:left="540" w:right="1239" w:firstLine="251"/>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Copyrights</w:t>
      </w:r>
      <w:r>
        <w:rPr>
          <w:rFonts w:ascii="Arial" w:cs="Arial" w:eastAsia="Arial" w:hAnsi="Arial"/>
          <w:sz w:val="15"/>
          <w:szCs w:val="15"/>
          <w:color w:val="auto"/>
        </w:rPr>
        <w:t xml:space="preserve">” means all domestic and foreign copyrights, whether registered or not, including, without limitation, all copyright rights throughout the universe (whether now or hereafter arising) in any and all media (whether now or hereafter developed), in and to all original works of authorship fixed in any tangible medium of expression, acquired or used by any Grantor (including, without limitation, all copyrights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all applications, registrations and recordings thereof (including, without limitation, applications, registrations and recordings in the United States Copyright Office or in any similar office or agency of the United States or any other country or any political subdivision thereof), and all reissues, divisions, continuations, continuations in part and extensions or renewals thereof.</w:t>
      </w:r>
    </w:p>
    <w:p>
      <w:pPr>
        <w:spacing w:after="0" w:line="50" w:lineRule="exact"/>
        <w:rPr>
          <w:sz w:val="20"/>
          <w:szCs w:val="20"/>
          <w:color w:val="auto"/>
        </w:rPr>
      </w:pPr>
    </w:p>
    <w:p>
      <w:pPr>
        <w:jc w:val="both"/>
        <w:ind w:left="540" w:right="1239" w:firstLine="251"/>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Event of Default</w:t>
      </w:r>
      <w:r>
        <w:rPr>
          <w:rFonts w:ascii="Arial" w:cs="Arial" w:eastAsia="Arial" w:hAnsi="Arial"/>
          <w:sz w:val="15"/>
          <w:szCs w:val="15"/>
          <w:color w:val="auto"/>
        </w:rPr>
        <w:t>” means (i) any defined event of default under any one or more of the Note Transaction Documents, in each instance, after giving effect to any notice, grace, or cure periods provided for in the applicable Note Transaction Document, (ii) the failure by the Company to pay any amounts when due under the Note or any other Note Transaction Document, or (iii) the breach of any representation, warranty or covenant by any Grantor under this Agreement.</w:t>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Issuer</w:t>
      </w:r>
      <w:r>
        <w:rPr>
          <w:rFonts w:ascii="Arial" w:cs="Arial" w:eastAsia="Arial" w:hAnsi="Arial"/>
          <w:sz w:val="17"/>
          <w:szCs w:val="17"/>
          <w:color w:val="auto"/>
        </w:rPr>
        <w:t>” has the meaning specified therefor in the definition of the term “Pledged Shares”.</w:t>
      </w:r>
    </w:p>
    <w:p>
      <w:pPr>
        <w:spacing w:after="0" w:line="105" w:lineRule="exact"/>
        <w:rPr>
          <w:sz w:val="20"/>
          <w:szCs w:val="20"/>
          <w:color w:val="auto"/>
        </w:rPr>
      </w:pPr>
    </w:p>
    <w:p>
      <w:pPr>
        <w:jc w:val="both"/>
        <w:ind w:left="540" w:right="1239" w:firstLine="25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Guaranty</w:t>
      </w:r>
      <w:r>
        <w:rPr>
          <w:rFonts w:ascii="Arial" w:cs="Arial" w:eastAsia="Arial" w:hAnsi="Arial"/>
          <w:sz w:val="17"/>
          <w:szCs w:val="17"/>
          <w:color w:val="auto"/>
        </w:rPr>
        <w:t>” means the Amended and Restated Guaranty, dated as of the date hereof, by the Existing Subsidiaries in favor of the Buyer.</w:t>
      </w:r>
    </w:p>
    <w:p>
      <w:pPr>
        <w:spacing w:after="0" w:line="58" w:lineRule="exact"/>
        <w:rPr>
          <w:sz w:val="20"/>
          <w:szCs w:val="20"/>
          <w:color w:val="auto"/>
        </w:rPr>
      </w:pPr>
    </w:p>
    <w:p>
      <w:pPr>
        <w:jc w:val="both"/>
        <w:ind w:left="540" w:right="1239" w:firstLine="251"/>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means any proceeding commenced by or against any Person under any provision of the Bankruptcy Code (Chapter 11 of Title 11 of the United States Code) or under any other bankruptcy or insolvency law, assignments for the benefit of creditors, formal or informal</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2" w:name="page363"/>
    <w:bookmarkEnd w:id="3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67" w:lineRule="auto"/>
        <w:rPr>
          <w:sz w:val="20"/>
          <w:szCs w:val="20"/>
          <w:color w:val="auto"/>
        </w:rPr>
      </w:pPr>
      <w:r>
        <w:rPr>
          <w:rFonts w:ascii="Arial" w:cs="Arial" w:eastAsia="Arial" w:hAnsi="Arial"/>
          <w:sz w:val="17"/>
          <w:szCs w:val="17"/>
          <w:color w:val="auto"/>
        </w:rPr>
        <w:t>moratoria, compositions, or extensions generally with creditors, or proceedings seeking reorganization, arrangement, or other similar relief.</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the Copyrights, Trademarks and Patents.</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Licenses</w:t>
      </w:r>
      <w:r>
        <w:rPr>
          <w:rFonts w:ascii="Arial" w:cs="Arial" w:eastAsia="Arial" w:hAnsi="Arial"/>
          <w:sz w:val="17"/>
          <w:szCs w:val="17"/>
          <w:color w:val="auto"/>
        </w:rPr>
        <w:t>” means the Copyright Licenses, the Trademark Licenses and the Patent Licenses.</w:t>
      </w:r>
    </w:p>
    <w:p>
      <w:pPr>
        <w:spacing w:after="0" w:line="105" w:lineRule="exact"/>
        <w:rPr>
          <w:sz w:val="20"/>
          <w:szCs w:val="20"/>
          <w:color w:val="auto"/>
        </w:rPr>
      </w:pPr>
    </w:p>
    <w:p>
      <w:pPr>
        <w:jc w:val="both"/>
        <w:ind w:left="540" w:right="1239" w:firstLine="25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mortgage, deed of trust, pledge, lien (statutory or otherwise), security interest, charge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w:t>
      </w:r>
    </w:p>
    <w:p>
      <w:pPr>
        <w:spacing w:after="0" w:line="105" w:lineRule="exact"/>
        <w:rPr>
          <w:sz w:val="20"/>
          <w:szCs w:val="20"/>
          <w:color w:val="auto"/>
        </w:rPr>
      </w:pPr>
    </w:p>
    <w:p>
      <w:pPr>
        <w:jc w:val="both"/>
        <w:ind w:left="540" w:right="1239" w:firstLine="25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 Licenses</w:t>
      </w:r>
      <w:r>
        <w:rPr>
          <w:rFonts w:ascii="Arial" w:cs="Arial" w:eastAsia="Arial" w:hAnsi="Arial"/>
          <w:sz w:val="16"/>
          <w:szCs w:val="16"/>
          <w:color w:val="auto"/>
        </w:rPr>
        <w:t xml:space="preserve">” means all licenses, contracts or other agreements, whether written or oral, naming any Grantor as licensee or licensor and providing for the grant of any right to manufacture, use or sell any invention covered by any Patent (including, without limitation, all Patent Licenses set forth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53" w:lineRule="exact"/>
        <w:rPr>
          <w:sz w:val="20"/>
          <w:szCs w:val="20"/>
          <w:color w:val="auto"/>
        </w:rPr>
      </w:pPr>
    </w:p>
    <w:p>
      <w:pPr>
        <w:jc w:val="both"/>
        <w:ind w:left="540" w:right="1239" w:firstLine="251"/>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Patents</w:t>
      </w:r>
      <w:r>
        <w:rPr>
          <w:rFonts w:ascii="Arial" w:cs="Arial" w:eastAsia="Arial" w:hAnsi="Arial"/>
          <w:sz w:val="15"/>
          <w:szCs w:val="15"/>
          <w:color w:val="auto"/>
        </w:rPr>
        <w:t xml:space="preserve">” means all domestic and foreign letters patent, design patents, utility patents, industrial designs, inventions, trade secrets, ideas, concepts, methods, techniques, processes, proprietary information, technology, know-how, formulae, rights of publicity and other general intangibles of like nature, of any Grantor, now existing or hereafter acquired (including, without limitation, all domestic and foreign letters patent, design patents, utility patents, industrial designs, inventions, trade secrets, ideas, concepts, methods, techniques, processes, proprietary information, technology, know-how and formulae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all applications, registrations and recordings thereof (including, without limitation, applications, registrations and recordings in the United States Patent and Trademark Office, or in any similar office or agency of the United States or any other country or any political subdivision thereof), and all reissues, divisions, continuations, continuations in part and extensions or renewals thereof.</w:t>
      </w:r>
    </w:p>
    <w:p>
      <w:pPr>
        <w:spacing w:after="0" w:line="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shall have the meaning as ascribed to such term in the Note.</w:t>
      </w:r>
    </w:p>
    <w:p>
      <w:pPr>
        <w:spacing w:after="0" w:line="105" w:lineRule="exact"/>
        <w:rPr>
          <w:sz w:val="20"/>
          <w:szCs w:val="20"/>
          <w:color w:val="auto"/>
        </w:rPr>
      </w:pPr>
    </w:p>
    <w:p>
      <w:pPr>
        <w:jc w:val="both"/>
        <w:ind w:left="540" w:right="1239" w:firstLine="251"/>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Pledged Debt</w:t>
      </w:r>
      <w:r>
        <w:rPr>
          <w:rFonts w:ascii="Arial" w:cs="Arial" w:eastAsia="Arial" w:hAnsi="Arial"/>
          <w:sz w:val="17"/>
          <w:szCs w:val="17"/>
          <w:color w:val="auto"/>
        </w:rPr>
        <w:t>” means the indebtedness described in Schedule VII hereto and all indebtedness from time to time owned or acquired by a Grantor, the promissory notes and other Instruments evidencing any or all of such indebtedness, and all interest, cash, Instruments, Investment Property, financial assets, securities, capital stock, other equity interests, stock options and commodity contracts, notes, debentures, bonds, promissory notes or other evidences of indebtedness and all other property from time to time received, receivable or otherwise distributed in respect of or in exchange for any or all of such indebtedness.</w:t>
      </w:r>
    </w:p>
    <w:p>
      <w:pPr>
        <w:spacing w:after="0" w:line="77" w:lineRule="exact"/>
        <w:rPr>
          <w:sz w:val="20"/>
          <w:szCs w:val="20"/>
          <w:color w:val="auto"/>
        </w:rPr>
      </w:pPr>
    </w:p>
    <w:p>
      <w:pPr>
        <w:jc w:val="both"/>
        <w:ind w:left="540" w:right="1239" w:firstLine="25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Pledged Interests</w:t>
      </w:r>
      <w:r>
        <w:rPr>
          <w:rFonts w:ascii="Arial" w:cs="Arial" w:eastAsia="Arial" w:hAnsi="Arial"/>
          <w:sz w:val="17"/>
          <w:szCs w:val="17"/>
          <w:color w:val="auto"/>
        </w:rPr>
        <w:t>” means, collectively, (a) the Pledged Debt, (b) the Pledged Shares and (c) all security entitlements in any and all of the foregoing.</w:t>
      </w:r>
    </w:p>
    <w:p>
      <w:pPr>
        <w:spacing w:after="0" w:line="5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Pledged Issuer</w:t>
      </w:r>
      <w:r>
        <w:rPr>
          <w:rFonts w:ascii="Arial" w:cs="Arial" w:eastAsia="Arial" w:hAnsi="Arial"/>
          <w:sz w:val="17"/>
          <w:szCs w:val="17"/>
          <w:color w:val="auto"/>
        </w:rPr>
        <w:t>” has the meaning specified therefor in the definition of the term “Pledged Shares”.</w:t>
      </w:r>
    </w:p>
    <w:p>
      <w:pPr>
        <w:spacing w:after="0" w:line="105" w:lineRule="exact"/>
        <w:rPr>
          <w:sz w:val="20"/>
          <w:szCs w:val="20"/>
          <w:color w:val="auto"/>
        </w:rPr>
      </w:pPr>
    </w:p>
    <w:p>
      <w:pPr>
        <w:jc w:val="both"/>
        <w:ind w:left="540" w:right="1239" w:firstLine="251"/>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Shares</w:t>
      </w:r>
      <w:r>
        <w:rPr>
          <w:rFonts w:ascii="Arial" w:cs="Arial" w:eastAsia="Arial" w:hAnsi="Arial"/>
          <w:sz w:val="15"/>
          <w:szCs w:val="15"/>
          <w:color w:val="auto"/>
        </w:rPr>
        <w:t>” means (a) the shares of capital stock or other equity interests described in Schedule VIII hereto, whether or not evidenced or represented by any stock certificate, certificated security or other Instrument, issued by the Persons described in such Schedule VIII (the “</w:t>
      </w:r>
      <w:r>
        <w:rPr>
          <w:rFonts w:ascii="Arial" w:cs="Arial" w:eastAsia="Arial" w:hAnsi="Arial"/>
          <w:sz w:val="15"/>
          <w:szCs w:val="15"/>
          <w:u w:val="single" w:color="auto"/>
          <w:color w:val="auto"/>
        </w:rPr>
        <w:t>Existing Issuers</w:t>
      </w:r>
      <w:r>
        <w:rPr>
          <w:rFonts w:ascii="Arial" w:cs="Arial" w:eastAsia="Arial" w:hAnsi="Arial"/>
          <w:sz w:val="15"/>
          <w:szCs w:val="15"/>
          <w:color w:val="auto"/>
        </w:rPr>
        <w:t>”), (b) the shares of capital stock or other equity interests at any time and from time to time acquired by a Grantor of any and all Persons now or hereafter existing (such Persons, together with the Existing Issuers, being hereinafter referred to collectively as the “</w:t>
      </w:r>
      <w:r>
        <w:rPr>
          <w:rFonts w:ascii="Arial" w:cs="Arial" w:eastAsia="Arial" w:hAnsi="Arial"/>
          <w:sz w:val="15"/>
          <w:szCs w:val="15"/>
          <w:u w:val="single" w:color="auto"/>
          <w:color w:val="auto"/>
        </w:rPr>
        <w:t>Pledged Issuers</w:t>
      </w:r>
      <w:r>
        <w:rPr>
          <w:rFonts w:ascii="Arial" w:cs="Arial" w:eastAsia="Arial" w:hAnsi="Arial"/>
          <w:sz w:val="15"/>
          <w:szCs w:val="15"/>
          <w:color w:val="auto"/>
        </w:rPr>
        <w:t>” and each individually as a “</w:t>
      </w:r>
      <w:r>
        <w:rPr>
          <w:rFonts w:ascii="Arial" w:cs="Arial" w:eastAsia="Arial" w:hAnsi="Arial"/>
          <w:sz w:val="15"/>
          <w:szCs w:val="15"/>
          <w:u w:val="single" w:color="auto"/>
          <w:color w:val="auto"/>
        </w:rPr>
        <w:t>Pledged Issuer</w:t>
      </w:r>
      <w:r>
        <w:rPr>
          <w:rFonts w:ascii="Arial" w:cs="Arial" w:eastAsia="Arial" w:hAnsi="Arial"/>
          <w:sz w:val="15"/>
          <w:szCs w:val="15"/>
          <w:color w:val="auto"/>
        </w:rPr>
        <w:t>”), whether or not evidenced or represented by any stock certificate, certificated security or other Instrument, and (c) the certificates representing such shares of capital stock, all options and other rights, contractual or otherwise, in respect thereof and all dividends, distributions, cash, Instruments, Investment Property, financial assets, securities, capital stock, other equity interests, stock options and commodity contracts, notes, debentures, bonds,</w:t>
      </w: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3" w:name="page364"/>
    <w:bookmarkEnd w:id="3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56" w:lineRule="auto"/>
        <w:rPr>
          <w:sz w:val="20"/>
          <w:szCs w:val="20"/>
          <w:color w:val="auto"/>
        </w:rPr>
      </w:pPr>
      <w:r>
        <w:rPr>
          <w:rFonts w:ascii="Arial" w:cs="Arial" w:eastAsia="Arial" w:hAnsi="Arial"/>
          <w:sz w:val="17"/>
          <w:szCs w:val="17"/>
          <w:color w:val="auto"/>
        </w:rPr>
        <w:t>promissory notes or other evidences of indebtedness and all other property (including, without limitation, any stock dividend and any distribution in connection with a stock split) from time to time received, receivable or otherwise distributed in respect of or in exchange for any or all of such capital stock.</w:t>
      </w:r>
    </w:p>
    <w:p>
      <w:pPr>
        <w:spacing w:after="0" w:line="72" w:lineRule="exact"/>
        <w:rPr>
          <w:sz w:val="20"/>
          <w:szCs w:val="20"/>
          <w:color w:val="auto"/>
        </w:rPr>
      </w:pPr>
    </w:p>
    <w:p>
      <w:pPr>
        <w:jc w:val="both"/>
        <w:ind w:left="540" w:right="1239" w:firstLine="251"/>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Trademark Licenses</w:t>
      </w:r>
      <w:r>
        <w:rPr>
          <w:rFonts w:ascii="Arial" w:cs="Arial" w:eastAsia="Arial" w:hAnsi="Arial"/>
          <w:sz w:val="15"/>
          <w:szCs w:val="15"/>
          <w:color w:val="auto"/>
        </w:rPr>
        <w:t xml:space="preserve">” means all licenses, contracts or other agreements, whether written or oral, naming any Grantor as licensor or licensee and providing for the grant of any right concerning any Trademark, together with any goodwill connected with and symbolized by any such trademark licenses, contracts or agreements and the right to prepare for sale or lease and sell or lease any and all Inventory now or hereafter owned by any Grantor and now or hereafter covered by such licenses (including, without limitation, all Trademark Licenses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46" w:lineRule="exact"/>
        <w:rPr>
          <w:sz w:val="20"/>
          <w:szCs w:val="20"/>
          <w:color w:val="auto"/>
        </w:rPr>
      </w:pPr>
    </w:p>
    <w:p>
      <w:pPr>
        <w:jc w:val="both"/>
        <w:ind w:left="540" w:right="1239" w:firstLine="251"/>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xml:space="preserve">” means all domestic and foreign trademarks, service marks, collective marks, certification marks, trade names, business names, d/b/a’s, Internet domain names, trade styles, designs, logos and other source or business identifiers and all general intangibles of like nature, now or hereafter owned, adopted, acquired or used by any Grantor (including, without limitation, all domestic and foreign trademarks, service marks, collective marks, certification marks, trade names, business names, d/b/a’s, Internet domain names, trade styles, designs, logos and other source or business identifiers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all applications, registrations and recordings thereof (including, without limitation, applications, registrations and recordings in the United States Patent and Trademark Office or in any similar office or agency of the United States, any state thereof or any other country or any political subdivision thereof), and all reissues, extensions or renewals thereof, together with all goodwill of the business symbolized by such marks and all customer lists, formulae and other Records of any Grantor relating to the distribution of products and services in connection with which any of such marks are used.</w:t>
      </w:r>
    </w:p>
    <w:p>
      <w:pPr>
        <w:spacing w:after="0" w:line="7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As collateral security for all of the Obligations, each New Grantor hereby pledges and assigns to the Buyer and grants to the Buyer a continuing security interest in, all personal property of such Grantor, wherever located and whether now or hereafter existing and whether now owned or hereafter acquired, of every kind and description, tangible or intangible (collectively, the “</w:t>
      </w:r>
      <w:r>
        <w:rPr>
          <w:rFonts w:ascii="Arial" w:cs="Arial" w:eastAsia="Arial" w:hAnsi="Arial"/>
          <w:sz w:val="16"/>
          <w:szCs w:val="16"/>
          <w:b w:val="1"/>
          <w:bCs w:val="1"/>
          <w:color w:val="auto"/>
        </w:rPr>
        <w:t>Collateral</w:t>
      </w:r>
      <w:r>
        <w:rPr>
          <w:rFonts w:ascii="Arial" w:cs="Arial" w:eastAsia="Arial" w:hAnsi="Arial"/>
          <w:sz w:val="16"/>
          <w:szCs w:val="16"/>
          <w:color w:val="auto"/>
        </w:rPr>
        <w:t>”), including, without limitation, the following:</w:t>
      </w:r>
    </w:p>
    <w:p>
      <w:pPr>
        <w:spacing w:after="0" w:line="62" w:lineRule="exact"/>
        <w:rPr>
          <w:sz w:val="20"/>
          <w:szCs w:val="20"/>
          <w:color w:val="auto"/>
        </w:rPr>
      </w:pPr>
    </w:p>
    <w:p>
      <w:pPr>
        <w:ind w:left="820" w:hanging="272"/>
        <w:spacing w:after="0"/>
        <w:tabs>
          <w:tab w:leader="none" w:pos="8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Accounts;</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Chattel Paper (whether tangible or electronic);</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the Commercial Tort Claims specified on </w:t>
      </w:r>
      <w:r>
        <w:rPr>
          <w:rFonts w:ascii="Arial" w:cs="Arial" w:eastAsia="Arial" w:hAnsi="Arial"/>
          <w:sz w:val="17"/>
          <w:szCs w:val="17"/>
          <w:u w:val="single" w:color="auto"/>
          <w:color w:val="auto"/>
        </w:rPr>
        <w:t>Schedule VI</w:t>
      </w:r>
      <w:r>
        <w:rPr>
          <w:rFonts w:ascii="Arial" w:cs="Arial" w:eastAsia="Arial" w:hAnsi="Arial"/>
          <w:sz w:val="17"/>
          <w:szCs w:val="17"/>
          <w:color w:val="auto"/>
        </w:rPr>
        <w:t xml:space="preserve"> hereto;</w:t>
      </w:r>
    </w:p>
    <w:p>
      <w:pPr>
        <w:spacing w:after="0" w:line="105" w:lineRule="exact"/>
        <w:rPr>
          <w:rFonts w:ascii="Arial" w:cs="Arial" w:eastAsia="Arial" w:hAnsi="Arial"/>
          <w:sz w:val="17"/>
          <w:szCs w:val="17"/>
          <w:color w:val="auto"/>
        </w:rPr>
      </w:pPr>
    </w:p>
    <w:p>
      <w:pPr>
        <w:jc w:val="both"/>
        <w:ind w:left="300" w:right="1239" w:firstLine="248"/>
        <w:spacing w:after="0" w:line="256" w:lineRule="auto"/>
        <w:tabs>
          <w:tab w:leader="none" w:pos="839"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Deposit Accounts (including, without limitation, all cash, and all other property from time to time deposited therein and the monies and property in the possession or under the control of the Buyer or any affiliate, representative, agent or correspondent of the Buyer;</w:t>
      </w:r>
    </w:p>
    <w:p>
      <w:pPr>
        <w:spacing w:after="0" w:line="76" w:lineRule="exact"/>
        <w:rPr>
          <w:rFonts w:ascii="Arial" w:cs="Arial" w:eastAsia="Arial" w:hAnsi="Arial"/>
          <w:sz w:val="17"/>
          <w:szCs w:val="17"/>
          <w:color w:val="auto"/>
        </w:rPr>
      </w:pPr>
    </w:p>
    <w:p>
      <w:pPr>
        <w:ind w:left="820" w:hanging="272"/>
        <w:spacing w:after="0"/>
        <w:tabs>
          <w:tab w:leader="none" w:pos="8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Documents;</w:t>
      </w:r>
    </w:p>
    <w:p>
      <w:pPr>
        <w:spacing w:after="0" w:line="105" w:lineRule="exact"/>
        <w:rPr>
          <w:rFonts w:ascii="Arial" w:cs="Arial" w:eastAsia="Arial" w:hAnsi="Arial"/>
          <w:sz w:val="17"/>
          <w:szCs w:val="17"/>
          <w:color w:val="auto"/>
        </w:rPr>
      </w:pPr>
    </w:p>
    <w:p>
      <w:pPr>
        <w:ind w:left="800" w:hanging="252"/>
        <w:spacing w:after="0"/>
        <w:tabs>
          <w:tab w:leader="none" w:pos="80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Equipment;</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Fixtures;</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General Intangibles (including, without limitation, all Payment Intangibles);</w:t>
      </w:r>
    </w:p>
    <w:p>
      <w:pPr>
        <w:spacing w:after="0" w:line="105" w:lineRule="exact"/>
        <w:rPr>
          <w:rFonts w:ascii="Arial" w:cs="Arial" w:eastAsia="Arial" w:hAnsi="Arial"/>
          <w:sz w:val="17"/>
          <w:szCs w:val="17"/>
          <w:color w:val="auto"/>
        </w:rPr>
      </w:pPr>
    </w:p>
    <w:p>
      <w:pPr>
        <w:ind w:left="780" w:hanging="232"/>
        <w:spacing w:after="0"/>
        <w:tabs>
          <w:tab w:leader="none" w:pos="7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Goods;</w:t>
      </w:r>
    </w:p>
    <w:p>
      <w:pPr>
        <w:spacing w:after="0" w:line="105" w:lineRule="exact"/>
        <w:rPr>
          <w:rFonts w:ascii="Arial" w:cs="Arial" w:eastAsia="Arial" w:hAnsi="Arial"/>
          <w:sz w:val="17"/>
          <w:szCs w:val="17"/>
          <w:color w:val="auto"/>
        </w:rPr>
      </w:pPr>
    </w:p>
    <w:p>
      <w:pPr>
        <w:ind w:left="780" w:hanging="232"/>
        <w:spacing w:after="0"/>
        <w:tabs>
          <w:tab w:leader="none" w:pos="7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Instruments (including, without limitation, Promissory Notes and each certificated Security);</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Inventory;</w:t>
      </w:r>
    </w:p>
    <w:p>
      <w:pPr>
        <w:spacing w:after="0" w:line="105" w:lineRule="exact"/>
        <w:rPr>
          <w:rFonts w:ascii="Arial" w:cs="Arial" w:eastAsia="Arial" w:hAnsi="Arial"/>
          <w:sz w:val="17"/>
          <w:szCs w:val="17"/>
          <w:color w:val="auto"/>
        </w:rPr>
      </w:pPr>
    </w:p>
    <w:p>
      <w:pPr>
        <w:ind w:left="780" w:hanging="232"/>
        <w:spacing w:after="0"/>
        <w:tabs>
          <w:tab w:leader="none" w:pos="7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Investment Property;</w:t>
      </w:r>
    </w:p>
    <w:p>
      <w:pPr>
        <w:spacing w:after="0" w:line="105" w:lineRule="exact"/>
        <w:rPr>
          <w:rFonts w:ascii="Arial" w:cs="Arial" w:eastAsia="Arial" w:hAnsi="Arial"/>
          <w:sz w:val="17"/>
          <w:szCs w:val="17"/>
          <w:color w:val="auto"/>
        </w:rPr>
      </w:pPr>
    </w:p>
    <w:p>
      <w:pPr>
        <w:ind w:left="880" w:hanging="332"/>
        <w:spacing w:after="0"/>
        <w:tabs>
          <w:tab w:leader="none" w:pos="8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Copyrights, Patents and Trademarks, and all Licenses;</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Letter-of-Credit Rights;</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all Supporting Obligations;</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4" w:name="page365"/>
    <w:bookmarkEnd w:id="3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0" w:hanging="272"/>
        <w:spacing w:after="0"/>
        <w:tabs>
          <w:tab w:leader="none" w:pos="8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all Pledged Interests;</w:t>
      </w:r>
    </w:p>
    <w:p>
      <w:pPr>
        <w:spacing w:after="0" w:line="105" w:lineRule="exact"/>
        <w:rPr>
          <w:rFonts w:ascii="Arial" w:cs="Arial" w:eastAsia="Arial" w:hAnsi="Arial"/>
          <w:sz w:val="17"/>
          <w:szCs w:val="17"/>
          <w:color w:val="auto"/>
        </w:rPr>
      </w:pPr>
    </w:p>
    <w:p>
      <w:pPr>
        <w:jc w:val="both"/>
        <w:ind w:left="300" w:right="1239" w:firstLine="248"/>
        <w:spacing w:after="0" w:line="285" w:lineRule="auto"/>
        <w:tabs>
          <w:tab w:leader="none" w:pos="871" w:val="left"/>
        </w:tabs>
        <w:numPr>
          <w:ilvl w:val="0"/>
          <w:numId w:val="281"/>
        </w:numPr>
        <w:rPr>
          <w:rFonts w:ascii="Arial" w:cs="Arial" w:eastAsia="Arial" w:hAnsi="Arial"/>
          <w:sz w:val="15"/>
          <w:szCs w:val="15"/>
          <w:color w:val="auto"/>
        </w:rPr>
      </w:pPr>
      <w:r>
        <w:rPr>
          <w:rFonts w:ascii="Arial" w:cs="Arial" w:eastAsia="Arial" w:hAnsi="Arial"/>
          <w:sz w:val="15"/>
          <w:szCs w:val="15"/>
          <w:color w:val="auto"/>
        </w:rPr>
        <w:t xml:space="preserve">all other tangible and intangible personal property of such Grantor (whether or not subject to the Code),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(including, without limitation, any proceeds of insurance thereon and all causes of action, claims and warranties now or hereafter held by such Grantor in respect of any of the items listed above), and all books, correspondence, files and other Records, including, without limitation, all tapes, desks, cards, Software, data and computer programs in the possession or under the control of such Grantor or any other Person from time to time acting for such Grantor that at any time evidence or contain information relating to any of the property described in the preceding clauses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or are otherwise necessary or helpful in the collection or realization thereof; and</w:t>
      </w:r>
    </w:p>
    <w:p>
      <w:pPr>
        <w:spacing w:after="0" w:line="61" w:lineRule="exact"/>
        <w:rPr>
          <w:rFonts w:ascii="Arial" w:cs="Arial" w:eastAsia="Arial" w:hAnsi="Arial"/>
          <w:sz w:val="15"/>
          <w:szCs w:val="15"/>
          <w:color w:val="auto"/>
        </w:rPr>
      </w:pPr>
    </w:p>
    <w:p>
      <w:pPr>
        <w:ind w:left="800" w:hanging="252"/>
        <w:spacing w:after="0"/>
        <w:tabs>
          <w:tab w:leader="none" w:pos="80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all Proceeds, including all Cash Proceeds and Noncash Proceeds, and products of any and all of the foregoing Collateral;</w:t>
      </w:r>
    </w:p>
    <w:p>
      <w:pPr>
        <w:spacing w:after="0" w:line="128"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in each case howsoever such Grantor’s interest therein may arise or appear (whether by ownership, security interest, claim or otherwise).</w:t>
      </w:r>
    </w:p>
    <w:p>
      <w:pPr>
        <w:spacing w:after="0" w:line="66" w:lineRule="exact"/>
        <w:rPr>
          <w:sz w:val="20"/>
          <w:szCs w:val="20"/>
          <w:color w:val="auto"/>
        </w:rPr>
      </w:pPr>
    </w:p>
    <w:p>
      <w:pPr>
        <w:jc w:val="both"/>
        <w:ind w:left="40" w:right="1239"/>
        <w:spacing w:after="0" w:line="250" w:lineRule="auto"/>
        <w:rPr>
          <w:sz w:val="20"/>
          <w:szCs w:val="20"/>
          <w:color w:val="auto"/>
        </w:rPr>
      </w:pPr>
      <w:r>
        <w:rPr>
          <w:rFonts w:ascii="Arial" w:cs="Arial" w:eastAsia="Arial" w:hAnsi="Arial"/>
          <w:sz w:val="17"/>
          <w:szCs w:val="17"/>
          <w:color w:val="auto"/>
        </w:rPr>
        <w:t>Each Existing Grantor hereby confirms, ratifies and reaffirms that the liens on and security interests granted pursuant to the Existing Security Agreement are continuing and are and shall remain unimpaired and continue to constitute fully perfected, first priority Liens in favor of the Buyer, with the same force, effect and priority in effect both immediately prior to and after entering into this Security Agreement and the other Transaction Documents entered into on or as of the date hereof. Each Existing Grantor hereby confirms and agrees that such Liens granted pursuant to the Existing Security Agreement will continue to secure all of the Obligations.</w:t>
      </w:r>
    </w:p>
    <w:p>
      <w:pPr>
        <w:spacing w:after="0" w:line="81"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Security for Obligations</w:t>
      </w:r>
      <w:r>
        <w:rPr>
          <w:rFonts w:ascii="Arial" w:cs="Arial" w:eastAsia="Arial" w:hAnsi="Arial"/>
          <w:sz w:val="15"/>
          <w:szCs w:val="15"/>
          <w:color w:val="auto"/>
        </w:rPr>
        <w:t>. The security interest created hereby in the Collateral constitutes continuing collateral security for all of the following obligations, whether now existing or hereafter incurred (collectively, the “</w:t>
      </w:r>
      <w:r>
        <w:rPr>
          <w:rFonts w:ascii="Arial" w:cs="Arial" w:eastAsia="Arial" w:hAnsi="Arial"/>
          <w:sz w:val="15"/>
          <w:szCs w:val="15"/>
          <w:b w:val="1"/>
          <w:bCs w:val="1"/>
          <w:color w:val="auto"/>
        </w:rPr>
        <w:t>Obligations</w:t>
      </w:r>
      <w:r>
        <w:rPr>
          <w:rFonts w:ascii="Arial" w:cs="Arial" w:eastAsia="Arial" w:hAnsi="Arial"/>
          <w:sz w:val="15"/>
          <w:szCs w:val="15"/>
          <w:color w:val="auto"/>
        </w:rPr>
        <w:t>”):</w:t>
      </w:r>
    </w:p>
    <w:p>
      <w:pPr>
        <w:spacing w:after="0" w:line="20" w:lineRule="exact"/>
        <w:rPr>
          <w:sz w:val="20"/>
          <w:szCs w:val="20"/>
          <w:color w:val="auto"/>
        </w:rPr>
      </w:pPr>
    </w:p>
    <w:p>
      <w:pPr>
        <w:jc w:val="both"/>
        <w:ind w:left="300" w:right="1239" w:firstLine="248"/>
        <w:spacing w:after="0" w:line="282" w:lineRule="auto"/>
        <w:tabs>
          <w:tab w:leader="none" w:pos="872" w:val="left"/>
        </w:tabs>
        <w:numPr>
          <w:ilvl w:val="1"/>
          <w:numId w:val="282"/>
        </w:numPr>
        <w:rPr>
          <w:rFonts w:ascii="Arial" w:cs="Arial" w:eastAsia="Arial" w:hAnsi="Arial"/>
          <w:sz w:val="15"/>
          <w:szCs w:val="15"/>
          <w:color w:val="auto"/>
        </w:rPr>
      </w:pPr>
      <w:r>
        <w:rPr>
          <w:rFonts w:ascii="Arial" w:cs="Arial" w:eastAsia="Arial" w:hAnsi="Arial"/>
          <w:sz w:val="15"/>
          <w:szCs w:val="15"/>
          <w:color w:val="auto"/>
        </w:rPr>
        <w:t>the prompt payment by each Grantor, as and when due and payable (by scheduled maturity, required prepayment, acceleration, demand or otherwise), of all amounts from time to time owing by it in respect of the Note, the Guaranty and the other Note Transaction Documents, including, without limitation, (A) all principal of and interest on the Note (including, without limitation, all interest that accrues after the commencement of any Insolvency Proceeding of any Grantor, whether or not the payment of such interest is unenforceable or is not allowable due to the existence of such Insolvency Proceeding), and</w:t>
      </w:r>
    </w:p>
    <w:p>
      <w:pPr>
        <w:spacing w:after="0" w:line="1" w:lineRule="exact"/>
        <w:rPr>
          <w:rFonts w:ascii="Arial" w:cs="Arial" w:eastAsia="Arial" w:hAnsi="Arial"/>
          <w:sz w:val="15"/>
          <w:szCs w:val="15"/>
          <w:color w:val="auto"/>
        </w:rPr>
      </w:pPr>
    </w:p>
    <w:p>
      <w:pPr>
        <w:ind w:left="560" w:hanging="262"/>
        <w:spacing w:after="0"/>
        <w:tabs>
          <w:tab w:leader="none" w:pos="5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all amounts from time to time owing by such Grantor under the Guaranty; and</w:t>
      </w:r>
    </w:p>
    <w:p>
      <w:pPr>
        <w:spacing w:after="0" w:line="92" w:lineRule="exact"/>
        <w:rPr>
          <w:rFonts w:ascii="Arial" w:cs="Arial" w:eastAsia="Arial" w:hAnsi="Arial"/>
          <w:sz w:val="17"/>
          <w:szCs w:val="17"/>
          <w:color w:val="auto"/>
        </w:rPr>
      </w:pPr>
    </w:p>
    <w:p>
      <w:pPr>
        <w:ind w:left="300" w:right="1239" w:firstLine="248"/>
        <w:spacing w:after="0" w:line="267" w:lineRule="auto"/>
        <w:tabs>
          <w:tab w:leader="none" w:pos="835" w:val="left"/>
        </w:tabs>
        <w:numPr>
          <w:ilvl w:val="1"/>
          <w:numId w:val="283"/>
        </w:numPr>
        <w:rPr>
          <w:rFonts w:ascii="Arial" w:cs="Arial" w:eastAsia="Arial" w:hAnsi="Arial"/>
          <w:sz w:val="17"/>
          <w:szCs w:val="17"/>
          <w:color w:val="auto"/>
        </w:rPr>
      </w:pPr>
      <w:r>
        <w:rPr>
          <w:rFonts w:ascii="Arial" w:cs="Arial" w:eastAsia="Arial" w:hAnsi="Arial"/>
          <w:sz w:val="17"/>
          <w:szCs w:val="17"/>
          <w:color w:val="auto"/>
        </w:rPr>
        <w:t>the due performance and observance by each Grantor of all of its other obligations from time to time existing in respect of any of the Note Transaction Documents for so long as the Note are outstanding.</w:t>
      </w:r>
    </w:p>
    <w:p>
      <w:pPr>
        <w:spacing w:after="0" w:line="6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Grantor (that is not an Existing Grantor) represents and warrants as to itself as follows:</w:t>
      </w:r>
    </w:p>
    <w:p>
      <w:pPr>
        <w:spacing w:after="0" w:line="66" w:lineRule="exact"/>
        <w:rPr>
          <w:sz w:val="20"/>
          <w:szCs w:val="20"/>
          <w:color w:val="auto"/>
        </w:rPr>
      </w:pPr>
    </w:p>
    <w:p>
      <w:pPr>
        <w:ind w:left="300" w:right="1239" w:firstLine="248"/>
        <w:spacing w:after="0" w:line="267" w:lineRule="auto"/>
        <w:tabs>
          <w:tab w:leader="none" w:pos="819"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sets forth (i) the exact legal name of such Grantor, and (ii) the organizational identification number of such Grantor or states that no such organizational identification number exists.</w:t>
      </w:r>
    </w:p>
    <w:p>
      <w:pPr>
        <w:spacing w:after="0" w:line="66" w:lineRule="exact"/>
        <w:rPr>
          <w:rFonts w:ascii="Arial" w:cs="Arial" w:eastAsia="Arial" w:hAnsi="Arial"/>
          <w:sz w:val="17"/>
          <w:szCs w:val="17"/>
          <w:color w:val="auto"/>
        </w:rPr>
      </w:pPr>
    </w:p>
    <w:p>
      <w:pPr>
        <w:jc w:val="both"/>
        <w:ind w:left="300" w:right="1239" w:firstLine="248"/>
        <w:spacing w:after="0" w:line="274" w:lineRule="auto"/>
        <w:tabs>
          <w:tab w:leader="none" w:pos="826"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There is no pending or written notice threatening any action, suit, proceeding or claim affecting such Grantor before any governmental authority or any arbitrator, or any order, judgment or award by any governmental authority or arbitrator, that may adversely affect the grant by such Grantor, or the perfection, of the security interest purported to be created hereby in the Collateral, or the exercise by the Buyer of any of its rights or remedies hereunder.</w:t>
      </w:r>
    </w:p>
    <w:p>
      <w:pPr>
        <w:spacing w:after="0" w:line="61" w:lineRule="exact"/>
        <w:rPr>
          <w:rFonts w:ascii="Arial" w:cs="Arial" w:eastAsia="Arial" w:hAnsi="Arial"/>
          <w:sz w:val="16"/>
          <w:szCs w:val="16"/>
          <w:color w:val="auto"/>
        </w:rPr>
      </w:pPr>
    </w:p>
    <w:p>
      <w:pPr>
        <w:jc w:val="both"/>
        <w:ind w:left="300" w:right="1239" w:firstLine="248"/>
        <w:spacing w:after="0" w:line="253" w:lineRule="auto"/>
        <w:tabs>
          <w:tab w:leader="none" w:pos="84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All Federal, state and local tax returns and other reports required by applicable law to be filed by such Grantor have been filed, or extensions have been obtained, and all taxes, assessments and other governmental charges imposed upon such Grantor or any property of such Grantor (including, without limitation, all federal income and social security taxes on employees’ wages) and which have become due</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5" w:name="page366"/>
    <w:bookmarkEnd w:id="3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and payable on or prior to the date hereof have been paid, except to the extent contested in good faith by proper proceedings which stay the imposition of any penalty, fine or Lien resulting from the non-payment thereof and with respect to which adequate reserves have been set aside for the payment thereof in accordance with generally accepted accounting principles consistently applied (“</w:t>
      </w:r>
      <w:r>
        <w:rPr>
          <w:rFonts w:ascii="Arial" w:cs="Arial" w:eastAsia="Arial" w:hAnsi="Arial"/>
          <w:sz w:val="17"/>
          <w:szCs w:val="17"/>
          <w:b w:val="1"/>
          <w:bCs w:val="1"/>
          <w:color w:val="auto"/>
        </w:rPr>
        <w:t>GAAP</w:t>
      </w:r>
      <w:r>
        <w:rPr>
          <w:rFonts w:ascii="Arial" w:cs="Arial" w:eastAsia="Arial" w:hAnsi="Arial"/>
          <w:sz w:val="17"/>
          <w:szCs w:val="17"/>
          <w:color w:val="auto"/>
        </w:rPr>
        <w:t>”).</w:t>
      </w:r>
    </w:p>
    <w:p>
      <w:pPr>
        <w:spacing w:after="0" w:line="78" w:lineRule="exact"/>
        <w:rPr>
          <w:sz w:val="20"/>
          <w:szCs w:val="20"/>
          <w:color w:val="auto"/>
        </w:rPr>
      </w:pPr>
    </w:p>
    <w:p>
      <w:pPr>
        <w:jc w:val="both"/>
        <w:ind w:left="300" w:right="1239" w:firstLine="248"/>
        <w:spacing w:after="0" w:line="281" w:lineRule="auto"/>
        <w:tabs>
          <w:tab w:leader="none" w:pos="846" w:val="left"/>
        </w:tabs>
        <w:numPr>
          <w:ilvl w:val="1"/>
          <w:numId w:val="285"/>
        </w:numPr>
        <w:rPr>
          <w:rFonts w:ascii="Arial" w:cs="Arial" w:eastAsia="Arial" w:hAnsi="Arial"/>
          <w:sz w:val="15"/>
          <w:szCs w:val="15"/>
          <w:color w:val="auto"/>
        </w:rPr>
      </w:pPr>
      <w:r>
        <w:rPr>
          <w:rFonts w:ascii="Arial" w:cs="Arial" w:eastAsia="Arial" w:hAnsi="Arial"/>
          <w:sz w:val="15"/>
          <w:szCs w:val="15"/>
          <w:color w:val="auto"/>
        </w:rPr>
        <w:t xml:space="preserve">All Equipment, Fixtures, Goods and Inventory of such Grantor now existing are, and all Equipment, Fixtures, Goods and Inventory of such Grantor hereafter existing will be, located and/or based at the addresses specified therefor in </w:t>
      </w:r>
      <w:r>
        <w:rPr>
          <w:rFonts w:ascii="Arial" w:cs="Arial" w:eastAsia="Arial" w:hAnsi="Arial"/>
          <w:sz w:val="15"/>
          <w:szCs w:val="15"/>
          <w:u w:val="single" w:color="auto"/>
          <w:color w:val="auto"/>
        </w:rPr>
        <w:t>Schedule III</w:t>
      </w:r>
      <w:r>
        <w:rPr>
          <w:rFonts w:ascii="Arial" w:cs="Arial" w:eastAsia="Arial" w:hAnsi="Arial"/>
          <w:sz w:val="15"/>
          <w:szCs w:val="15"/>
          <w:color w:val="auto"/>
        </w:rPr>
        <w:t xml:space="preserve"> hereto, except that such Grantor will give the Buyer not less than 30 days’ prior written notice of any change of the location of any such Collateral, other than to locations set forth on </w:t>
      </w:r>
      <w:r>
        <w:rPr>
          <w:rFonts w:ascii="Arial" w:cs="Arial" w:eastAsia="Arial" w:hAnsi="Arial"/>
          <w:sz w:val="15"/>
          <w:szCs w:val="15"/>
          <w:u w:val="single" w:color="auto"/>
          <w:color w:val="auto"/>
        </w:rPr>
        <w:t>Schedule III</w:t>
      </w:r>
      <w:r>
        <w:rPr>
          <w:rFonts w:ascii="Arial" w:cs="Arial" w:eastAsia="Arial" w:hAnsi="Arial"/>
          <w:sz w:val="15"/>
          <w:szCs w:val="15"/>
          <w:color w:val="auto"/>
        </w:rPr>
        <w:t xml:space="preserve"> and with respect to which the Buyer has filed financing statements and otherwise fully perfected its Liens thereon, subject to </w:t>
      </w:r>
      <w:r>
        <w:rPr>
          <w:rFonts w:ascii="Arial" w:cs="Arial" w:eastAsia="Arial" w:hAnsi="Arial"/>
          <w:sz w:val="15"/>
          <w:szCs w:val="15"/>
          <w:u w:val="single" w:color="auto"/>
          <w:color w:val="auto"/>
        </w:rPr>
        <w:t>Section 5(n)</w:t>
      </w:r>
      <w:r>
        <w:rPr>
          <w:rFonts w:ascii="Arial" w:cs="Arial" w:eastAsia="Arial" w:hAnsi="Arial"/>
          <w:sz w:val="15"/>
          <w:szCs w:val="15"/>
          <w:color w:val="auto"/>
        </w:rPr>
        <w:t xml:space="preserve"> hereof. Such Grantor’s chief place of business and chief executive office, the place where such Grantor keeps its Records concerning Accounts and all originals of all Chattel Paper are located at the addresses specified therefor in </w:t>
      </w:r>
      <w:r>
        <w:rPr>
          <w:rFonts w:ascii="Arial" w:cs="Arial" w:eastAsia="Arial" w:hAnsi="Arial"/>
          <w:sz w:val="15"/>
          <w:szCs w:val="15"/>
          <w:u w:val="single" w:color="auto"/>
          <w:color w:val="auto"/>
        </w:rPr>
        <w:t>Schedule III</w:t>
      </w:r>
      <w:r>
        <w:rPr>
          <w:rFonts w:ascii="Arial" w:cs="Arial" w:eastAsia="Arial" w:hAnsi="Arial"/>
          <w:sz w:val="15"/>
          <w:szCs w:val="15"/>
          <w:color w:val="auto"/>
        </w:rPr>
        <w:t xml:space="preserve"> hereto. None of the Accounts is evidenced by Promissory Notes or other Instruments. Set forth in </w:t>
      </w:r>
      <w:r>
        <w:rPr>
          <w:rFonts w:ascii="Arial" w:cs="Arial" w:eastAsia="Arial" w:hAnsi="Arial"/>
          <w:sz w:val="15"/>
          <w:szCs w:val="15"/>
          <w:u w:val="single" w:color="auto"/>
          <w:color w:val="auto"/>
        </w:rPr>
        <w:t>Schedule IV</w:t>
      </w:r>
      <w:r>
        <w:rPr>
          <w:rFonts w:ascii="Arial" w:cs="Arial" w:eastAsia="Arial" w:hAnsi="Arial"/>
          <w:sz w:val="15"/>
          <w:szCs w:val="15"/>
          <w:color w:val="auto"/>
        </w:rPr>
        <w:t xml:space="preserve"> hereto is a complete and accurate list, as of the date of this Agreement, of</w:t>
      </w:r>
    </w:p>
    <w:p>
      <w:pPr>
        <w:jc w:val="both"/>
        <w:ind w:left="300" w:right="1239" w:hanging="2"/>
        <w:spacing w:after="0" w:line="288" w:lineRule="auto"/>
        <w:tabs>
          <w:tab w:leader="none" w:pos="524" w:val="left"/>
        </w:tabs>
        <w:numPr>
          <w:ilvl w:val="0"/>
          <w:numId w:val="286"/>
        </w:numPr>
        <w:rPr>
          <w:rFonts w:ascii="Arial" w:cs="Arial" w:eastAsia="Arial" w:hAnsi="Arial"/>
          <w:sz w:val="15"/>
          <w:szCs w:val="15"/>
          <w:color w:val="auto"/>
        </w:rPr>
      </w:pPr>
      <w:r>
        <w:rPr>
          <w:rFonts w:ascii="Arial" w:cs="Arial" w:eastAsia="Arial" w:hAnsi="Arial"/>
          <w:sz w:val="15"/>
          <w:szCs w:val="15"/>
          <w:color w:val="auto"/>
        </w:rPr>
        <w:t xml:space="preserve">each Promissory Note, Security and other Instrument owned by each Grantor and (ii) each Deposit Account, Securities Account and Commodities Account of each Grantor, together with the name and address of each institution at which each such Account is maintained, the account number for each such Account and a description of the purpose of each such Account. Set forth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is a complete and correct list of each trade name used by each Grantor and the name of, and each trade name used by, each person from which such Grantor has acquired any substantial part of the Collateral.</w:t>
      </w:r>
    </w:p>
    <w:p>
      <w:pPr>
        <w:spacing w:after="0" w:line="55" w:lineRule="exact"/>
        <w:rPr>
          <w:rFonts w:ascii="Arial" w:cs="Arial" w:eastAsia="Arial" w:hAnsi="Arial"/>
          <w:sz w:val="15"/>
          <w:szCs w:val="15"/>
          <w:color w:val="auto"/>
        </w:rPr>
      </w:pPr>
    </w:p>
    <w:p>
      <w:pPr>
        <w:jc w:val="both"/>
        <w:ind w:left="300" w:right="1239" w:firstLine="248"/>
        <w:spacing w:after="0" w:line="285" w:lineRule="auto"/>
        <w:tabs>
          <w:tab w:leader="none" w:pos="847" w:val="left"/>
        </w:tabs>
        <w:numPr>
          <w:ilvl w:val="1"/>
          <w:numId w:val="286"/>
        </w:numPr>
        <w:rPr>
          <w:rFonts w:ascii="Arial" w:cs="Arial" w:eastAsia="Arial" w:hAnsi="Arial"/>
          <w:sz w:val="15"/>
          <w:szCs w:val="15"/>
          <w:color w:val="auto"/>
        </w:rPr>
      </w:pPr>
      <w:r>
        <w:rPr>
          <w:rFonts w:ascii="Arial" w:cs="Arial" w:eastAsia="Arial" w:hAnsi="Arial"/>
          <w:sz w:val="15"/>
          <w:szCs w:val="15"/>
          <w:color w:val="auto"/>
        </w:rPr>
        <w:t xml:space="preserve">Such Grantor has delivered or made available to the Buyer complete and correct copies of each License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including all schedules and exhibits thereto, which represents all of the Licenses existing on the date of this Agreement. Each such License sets forth the entire agreement and understanding of the parties thereto relating to the subject matter thereof, and there are no other agreements, arrangements or understandings, written or oral, relating to the matters covered thereby or the rights of such Grantor or any of its affiliates in respect thereof. Each material License now existing is, and any material License entered into in the future will be, the legal, valid and binding obligation of the parties thereto, enforceable against such parties in accordance with its terms, except as may be limited by applicable bankruptcy, insolvency, reorganization, moratorium, fraudulent conveyance, suretyship or other similar laws and equitable principles (regardless of whether enforcement is sought in equity or in law). No default under any material License by any such party has occurred, nor does any defense, offset, deduction or counterclaim exist thereunder in favor of any such party.</w:t>
      </w:r>
    </w:p>
    <w:p>
      <w:pPr>
        <w:spacing w:after="0" w:line="56" w:lineRule="exact"/>
        <w:rPr>
          <w:rFonts w:ascii="Arial" w:cs="Arial" w:eastAsia="Arial" w:hAnsi="Arial"/>
          <w:sz w:val="15"/>
          <w:szCs w:val="15"/>
          <w:color w:val="auto"/>
        </w:rPr>
      </w:pPr>
    </w:p>
    <w:p>
      <w:pPr>
        <w:jc w:val="both"/>
        <w:ind w:left="300" w:right="1239" w:firstLine="248"/>
        <w:spacing w:after="0" w:line="283" w:lineRule="auto"/>
        <w:tabs>
          <w:tab w:leader="none" w:pos="808" w:val="left"/>
        </w:tabs>
        <w:numPr>
          <w:ilvl w:val="1"/>
          <w:numId w:val="286"/>
        </w:numPr>
        <w:rPr>
          <w:rFonts w:ascii="Arial" w:cs="Arial" w:eastAsia="Arial" w:hAnsi="Arial"/>
          <w:sz w:val="15"/>
          <w:szCs w:val="15"/>
          <w:color w:val="auto"/>
        </w:rPr>
      </w:pPr>
      <w:r>
        <w:rPr>
          <w:rFonts w:ascii="Arial" w:cs="Arial" w:eastAsia="Arial" w:hAnsi="Arial"/>
          <w:sz w:val="15"/>
          <w:szCs w:val="15"/>
          <w:color w:val="auto"/>
        </w:rPr>
        <w:t xml:space="preserve">Such Grantor owns and controls, or otherwise possesses adequate rights to use, all Trademarks, Patents and Copyrights, which are the only trademarks, patents, copyrights, inventions, trade secrets, proprietary information and technology, know-how, formulae, rights of publicity necessary to conduct its business in substantially the same manner as conducted as of the date hereof.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sets forth a true and complete list of all registered copyrights, issued patents, Trademarks (including, without limitation, any Internet domain names and the registrar of each such Internet domain name), and Licenses annually owned or used by such Grantor as of the date hereof. To the best knowledge of each Grantor, all such Intellectual Property of such Grantor is subsisting and in full force and effect, has not been adjudged invalid or unenforceable, is valid and enforceable and has not been abandoned in whole or in part. Except as set forth in Schedule II, no such Intellectual Property is the subject of any licensing or franchising agreement. Such Grantor has no knowledge of any conflict with the rights of others to any Intellectual Property and, to the best knowledge of such Grantor, such Grantor is not now infringing or in conflict with any such rights of others in any material respect, and to the best knowledge of such Grantor, no other Person is now infringing or in conflict in any material respect with any such properties, assets and rights owned or used by such Grantor. Such Grantor has not received any notice that it is violating or has violated the trademarks, patents, copyrights, inventions, trade secrets, proprietary information and technology, know-how, formulae, rights of publicity or other intellectual property rights of any third party.</w:t>
      </w: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6" w:name="page367"/>
    <w:bookmarkEnd w:id="3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1" w:lineRule="auto"/>
        <w:tabs>
          <w:tab w:leader="none" w:pos="837"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Such Grantor is and will be at all times the sole and exclusive owner of, or otherwise has and will have adequate rights in, the Collateral free and clear of any Liens, except for Permitted Liens on any Collateral. No effective financing statement or other instrument similar in effect covering all or any part of the Collateral is on file in any recording or filing office except (A) such as may have been filed in favor of the Buyer relating to this Agreement, subject to </w:t>
      </w:r>
      <w:r>
        <w:rPr>
          <w:rFonts w:ascii="Arial" w:cs="Arial" w:eastAsia="Arial" w:hAnsi="Arial"/>
          <w:sz w:val="17"/>
          <w:szCs w:val="17"/>
          <w:u w:val="single" w:color="auto"/>
          <w:color w:val="auto"/>
        </w:rPr>
        <w:t>Section 5(n)</w:t>
      </w:r>
      <w:r>
        <w:rPr>
          <w:rFonts w:ascii="Arial" w:cs="Arial" w:eastAsia="Arial" w:hAnsi="Arial"/>
          <w:sz w:val="17"/>
          <w:szCs w:val="17"/>
          <w:color w:val="auto"/>
        </w:rPr>
        <w:t xml:space="preserve"> hereof, and (B) such as may have been filed to perfect any Permitted Liens.</w:t>
      </w:r>
    </w:p>
    <w:p>
      <w:pPr>
        <w:spacing w:after="0" w:line="80" w:lineRule="exact"/>
        <w:rPr>
          <w:rFonts w:ascii="Arial" w:cs="Arial" w:eastAsia="Arial" w:hAnsi="Arial"/>
          <w:sz w:val="17"/>
          <w:szCs w:val="17"/>
          <w:color w:val="auto"/>
        </w:rPr>
      </w:pPr>
    </w:p>
    <w:p>
      <w:pPr>
        <w:jc w:val="both"/>
        <w:ind w:left="300" w:right="1239" w:firstLine="248"/>
        <w:spacing w:after="0" w:line="256" w:lineRule="auto"/>
        <w:tabs>
          <w:tab w:leader="none" w:pos="848"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exercise by the Buyer of any of its rights and remedies hereunder will not contravene any law or any contractual restriction binding on or otherwise affecting such Grantor or any of its properties and will not result in or require the creation of any Lien, upon or with respect to any of its properties.</w:t>
      </w:r>
    </w:p>
    <w:p>
      <w:pPr>
        <w:spacing w:after="0" w:line="76" w:lineRule="exact"/>
        <w:rPr>
          <w:rFonts w:ascii="Arial" w:cs="Arial" w:eastAsia="Arial" w:hAnsi="Arial"/>
          <w:sz w:val="17"/>
          <w:szCs w:val="17"/>
          <w:color w:val="auto"/>
        </w:rPr>
      </w:pPr>
    </w:p>
    <w:p>
      <w:pPr>
        <w:jc w:val="both"/>
        <w:ind w:left="300" w:right="1239" w:firstLine="248"/>
        <w:spacing w:after="0" w:line="270" w:lineRule="auto"/>
        <w:tabs>
          <w:tab w:leader="none" w:pos="82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No authorization or approval or other action by, and no notice to or filing with, any governmental authority or other regulatory body, or any other Person, is required for (i) the grant by such Grantor or any perfection of the security interest which may be created hereby in the Collateral pursuant to Section 5(n), or (ii) the exercise by the Buyer of any of its rights and remedies hereunder, except (A) for the filing under the Uniform Commercial Code as in effect in the applicable jurisdiction of any financing statements which may be filed pursuant to </w:t>
      </w:r>
      <w:r>
        <w:rPr>
          <w:rFonts w:ascii="Arial" w:cs="Arial" w:eastAsia="Arial" w:hAnsi="Arial"/>
          <w:sz w:val="16"/>
          <w:szCs w:val="16"/>
          <w:u w:val="single" w:color="auto"/>
          <w:color w:val="auto"/>
        </w:rPr>
        <w:t>Section 5(n)</w:t>
      </w:r>
      <w:r>
        <w:rPr>
          <w:rFonts w:ascii="Arial" w:cs="Arial" w:eastAsia="Arial" w:hAnsi="Arial"/>
          <w:sz w:val="16"/>
          <w:szCs w:val="16"/>
          <w:color w:val="auto"/>
        </w:rPr>
        <w:t xml:space="preserve"> hereof.</w:t>
      </w:r>
    </w:p>
    <w:p>
      <w:pPr>
        <w:spacing w:after="0" w:line="67" w:lineRule="exact"/>
        <w:rPr>
          <w:rFonts w:ascii="Arial" w:cs="Arial" w:eastAsia="Arial" w:hAnsi="Arial"/>
          <w:sz w:val="16"/>
          <w:szCs w:val="16"/>
          <w:color w:val="auto"/>
        </w:rPr>
      </w:pPr>
    </w:p>
    <w:p>
      <w:pPr>
        <w:ind w:left="300" w:right="1239" w:firstLine="248"/>
        <w:spacing w:after="0" w:line="335" w:lineRule="auto"/>
        <w:tabs>
          <w:tab w:leader="none" w:pos="789" w:val="left"/>
        </w:tabs>
        <w:numPr>
          <w:ilvl w:val="0"/>
          <w:numId w:val="287"/>
        </w:numPr>
        <w:rPr>
          <w:rFonts w:ascii="Arial" w:cs="Arial" w:eastAsia="Arial" w:hAnsi="Arial"/>
          <w:sz w:val="15"/>
          <w:szCs w:val="15"/>
          <w:color w:val="auto"/>
        </w:rPr>
      </w:pPr>
      <w:r>
        <w:rPr>
          <w:rFonts w:ascii="Arial" w:cs="Arial" w:eastAsia="Arial" w:hAnsi="Arial"/>
          <w:sz w:val="15"/>
          <w:szCs w:val="15"/>
          <w:color w:val="auto"/>
        </w:rPr>
        <w:t>This Agreement creates in favor of the Buyer a legal, valid and enforceable (except to the extent such enforceability may be affected by the fact that it is not perfected) security interest in the Collateral, as security for the Obligations.</w:t>
      </w:r>
    </w:p>
    <w:p>
      <w:pPr>
        <w:spacing w:after="0" w:line="19" w:lineRule="exact"/>
        <w:rPr>
          <w:rFonts w:ascii="Arial" w:cs="Arial" w:eastAsia="Arial" w:hAnsi="Arial"/>
          <w:sz w:val="15"/>
          <w:szCs w:val="15"/>
          <w:color w:val="auto"/>
        </w:rPr>
      </w:pPr>
    </w:p>
    <w:p>
      <w:pPr>
        <w:ind w:left="300" w:right="1239" w:firstLine="248"/>
        <w:spacing w:after="0" w:line="267" w:lineRule="auto"/>
        <w:tabs>
          <w:tab w:leader="none" w:pos="82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As of the date hereof, such Grantor does not hold any Commercial Tort Claims nor is aware of any such pending claims, except for such claims described in </w:t>
      </w:r>
      <w:r>
        <w:rPr>
          <w:rFonts w:ascii="Arial" w:cs="Arial" w:eastAsia="Arial" w:hAnsi="Arial"/>
          <w:sz w:val="17"/>
          <w:szCs w:val="17"/>
          <w:u w:val="single" w:color="auto"/>
          <w:color w:val="auto"/>
        </w:rPr>
        <w:t>Schedule VI</w:t>
      </w:r>
      <w:r>
        <w:rPr>
          <w:rFonts w:ascii="Arial" w:cs="Arial" w:eastAsia="Arial" w:hAnsi="Arial"/>
          <w:sz w:val="17"/>
          <w:szCs w:val="17"/>
          <w:color w:val="auto"/>
        </w:rPr>
        <w:t>.</w:t>
      </w:r>
    </w:p>
    <w:p>
      <w:pPr>
        <w:spacing w:after="0" w:line="6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Covenants as to the Collateral</w:t>
      </w:r>
      <w:r>
        <w:rPr>
          <w:rFonts w:ascii="Arial" w:cs="Arial" w:eastAsia="Arial" w:hAnsi="Arial"/>
          <w:sz w:val="17"/>
          <w:szCs w:val="17"/>
          <w:color w:val="auto"/>
        </w:rPr>
        <w:t>. Subject in all respects to Section 5(n), so long as any of the Obligations shall remain outstanding, unless the Buyer shall otherwise consent in writing:</w:t>
      </w:r>
    </w:p>
    <w:p>
      <w:pPr>
        <w:spacing w:after="0" w:line="66" w:lineRule="exact"/>
        <w:rPr>
          <w:sz w:val="20"/>
          <w:szCs w:val="20"/>
          <w:color w:val="auto"/>
        </w:rPr>
      </w:pPr>
    </w:p>
    <w:p>
      <w:pPr>
        <w:jc w:val="both"/>
        <w:ind w:left="300" w:right="1239" w:firstLine="248"/>
        <w:spacing w:after="0" w:line="281" w:lineRule="auto"/>
        <w:tabs>
          <w:tab w:leader="none" w:pos="819" w:val="left"/>
        </w:tabs>
        <w:numPr>
          <w:ilvl w:val="0"/>
          <w:numId w:val="288"/>
        </w:numPr>
        <w:rPr>
          <w:rFonts w:ascii="Arial" w:cs="Arial" w:eastAsia="Arial" w:hAnsi="Arial"/>
          <w:sz w:val="15"/>
          <w:szCs w:val="15"/>
          <w:color w:val="auto"/>
        </w:rPr>
      </w:pPr>
      <w:r>
        <w:rPr>
          <w:rFonts w:ascii="Arial" w:cs="Arial" w:eastAsia="Arial" w:hAnsi="Arial"/>
          <w:sz w:val="15"/>
          <w:szCs w:val="15"/>
          <w:u w:val="single" w:color="auto"/>
          <w:color w:val="auto"/>
        </w:rPr>
        <w:t>Further Assurances</w:t>
      </w:r>
      <w:r>
        <w:rPr>
          <w:rFonts w:ascii="Arial" w:cs="Arial" w:eastAsia="Arial" w:hAnsi="Arial"/>
          <w:sz w:val="15"/>
          <w:szCs w:val="15"/>
          <w:color w:val="auto"/>
        </w:rPr>
        <w:t>. Each Grantor will at its expense, at any time and from time to time, promptly execute and deliver all further instruments and documents and take all further action that the Buyer may reasonably request in order to: (i) perfect and protect the security interest purported to be created hereby; (ii) enable the Buyer to exercise and enforce its rights and remedies hereunder in respect of the Collateral; or (iii) otherwise effect the purposes of this Agreement, including, without limitation: (A) marking conspicuously all Chattel Paper and each License and, at the request of the Buyer, each of its Records pertaining to the Collateral with a legend, in form and substance satisfactory to the Buyer, indicating that such Chattel Paper, License or Collateral is subject to the security interest created hereby, (B) delivering and pledging to the Buyer hereunder each Promissory Note, Security, Chattel Paper or other Instrument, now or hereafter owned by such Grantor, duly endorsed and accompanied by executed instruments of transfer or assignment, all in form and substance satisfactory to the Buyer, (C) executing and filing (to the extent, if any, that such Grantor’s signature is required thereon) or authenticating the filing of, such financing or continuation statements, or amendments thereto, as may be necessary or desirable or that the Buyer may request in order to perfect and preserve the security interest purported to be created hereby, (D) furnishing to the Buyer from time to time statements and schedules further identifying and describing the Collateral and such other reports in connection with the Collateral in each case as the Buyer may reasonably request, all in reasonable detail, (E) if any Collateral shall be in the possession of a third party, notifying such Person of the Buyer’s security interest created hereby and obtaining a written acknowledgment from such Person that such Person holds possession of the Collateral for the benefit of the Buyer, which such written acknowledgement shall be in form and substance satisfactory to the Buyer, (F) if at any time after the date hereof, such Grantor acquires or holds any Commercial Tort Claim, promptly notifying the Buyer in a writing signed by such Grantor setting forth a brief description of such Commercial Tort Claim and granting to the Buyer a security interest therein and in the proceeds thereof, which writing shall incorporate the provisions hereof and shall be in form and substance satisfactory to the Buyer, (G) upon the acquisition after the date hereof by such Grantor of any motor vehicle or other Equipment subject to a certificate of title or ownership (other than a Motor Vehicle or Equipment that is subject to a purchase money security interest), causing the Buyer to be listed as the lienholder on such certificate of title or ownership and delivering evidence of the same to the Buyer; and (H) taking all actions required by any earlier versions of the Uniform Commercial Code or by</w:t>
      </w:r>
    </w:p>
    <w:p>
      <w:pPr>
        <w:spacing w:after="0" w:line="200" w:lineRule="exact"/>
        <w:rPr>
          <w:sz w:val="20"/>
          <w:szCs w:val="20"/>
          <w:color w:val="auto"/>
        </w:rPr>
      </w:pPr>
    </w:p>
    <w:p>
      <w:pPr>
        <w:spacing w:after="0" w:line="27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7" w:name="page368"/>
    <w:bookmarkEnd w:id="3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other law, as applicable, in any relevant Uniform Commercial Code jurisdiction, or by other law as applicable in any foreign jurisdiction.</w:t>
      </w:r>
    </w:p>
    <w:p>
      <w:pPr>
        <w:spacing w:after="0" w:line="66" w:lineRule="exact"/>
        <w:rPr>
          <w:sz w:val="20"/>
          <w:szCs w:val="20"/>
          <w:color w:val="auto"/>
        </w:rPr>
      </w:pPr>
    </w:p>
    <w:p>
      <w:pPr>
        <w:jc w:val="both"/>
        <w:ind w:left="300" w:right="1239" w:firstLine="248"/>
        <w:spacing w:after="0" w:line="307" w:lineRule="auto"/>
        <w:tabs>
          <w:tab w:leader="none" w:pos="841" w:val="left"/>
        </w:tabs>
        <w:numPr>
          <w:ilvl w:val="0"/>
          <w:numId w:val="289"/>
        </w:numPr>
        <w:rPr>
          <w:rFonts w:ascii="Arial" w:cs="Arial" w:eastAsia="Arial" w:hAnsi="Arial"/>
          <w:sz w:val="15"/>
          <w:szCs w:val="15"/>
          <w:color w:val="auto"/>
        </w:rPr>
      </w:pPr>
      <w:r>
        <w:rPr>
          <w:rFonts w:ascii="Arial" w:cs="Arial" w:eastAsia="Arial" w:hAnsi="Arial"/>
          <w:sz w:val="15"/>
          <w:szCs w:val="15"/>
          <w:u w:val="single" w:color="auto"/>
          <w:color w:val="auto"/>
        </w:rPr>
        <w:t>Location of Equipment and Inventory</w:t>
      </w:r>
      <w:r>
        <w:rPr>
          <w:rFonts w:ascii="Arial" w:cs="Arial" w:eastAsia="Arial" w:hAnsi="Arial"/>
          <w:sz w:val="15"/>
          <w:szCs w:val="15"/>
          <w:color w:val="auto"/>
        </w:rPr>
        <w:t xml:space="preserve">. Each Grantor will keep the Equipment and Inventory at the locations specified therefor in </w:t>
      </w:r>
      <w:r>
        <w:rPr>
          <w:rFonts w:ascii="Arial" w:cs="Arial" w:eastAsia="Arial" w:hAnsi="Arial"/>
          <w:sz w:val="15"/>
          <w:szCs w:val="15"/>
          <w:u w:val="single" w:color="auto"/>
          <w:color w:val="auto"/>
        </w:rPr>
        <w:t>Section 4(g)</w:t>
      </w:r>
      <w:r>
        <w:rPr>
          <w:rFonts w:ascii="Arial" w:cs="Arial" w:eastAsia="Arial" w:hAnsi="Arial"/>
          <w:sz w:val="15"/>
          <w:szCs w:val="15"/>
          <w:color w:val="auto"/>
        </w:rPr>
        <w:t xml:space="preserve"> hereof or, upon not less than thirty (30) days’ prior written notice to the Buyer accompanied by a new </w:t>
      </w:r>
      <w:r>
        <w:rPr>
          <w:rFonts w:ascii="Arial" w:cs="Arial" w:eastAsia="Arial" w:hAnsi="Arial"/>
          <w:sz w:val="15"/>
          <w:szCs w:val="15"/>
          <w:u w:val="single" w:color="auto"/>
          <w:color w:val="auto"/>
        </w:rPr>
        <w:t>Schedule V</w:t>
      </w:r>
      <w:r>
        <w:rPr>
          <w:rFonts w:ascii="Arial" w:cs="Arial" w:eastAsia="Arial" w:hAnsi="Arial"/>
          <w:sz w:val="15"/>
          <w:szCs w:val="15"/>
          <w:color w:val="auto"/>
        </w:rPr>
        <w:t xml:space="preserve"> hereto indicating each new location of the Equipment and Inventory, at such other locations in the United States.</w:t>
      </w:r>
    </w:p>
    <w:p>
      <w:pPr>
        <w:spacing w:after="0" w:line="39" w:lineRule="exact"/>
        <w:rPr>
          <w:rFonts w:ascii="Arial" w:cs="Arial" w:eastAsia="Arial" w:hAnsi="Arial"/>
          <w:sz w:val="15"/>
          <w:szCs w:val="15"/>
          <w:color w:val="auto"/>
        </w:rPr>
      </w:pPr>
    </w:p>
    <w:p>
      <w:pPr>
        <w:jc w:val="both"/>
        <w:ind w:left="300" w:right="1239" w:firstLine="248"/>
        <w:spacing w:after="0" w:line="249" w:lineRule="auto"/>
        <w:tabs>
          <w:tab w:leader="none" w:pos="819"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Condition of Equipment</w:t>
      </w:r>
      <w:r>
        <w:rPr>
          <w:rFonts w:ascii="Arial" w:cs="Arial" w:eastAsia="Arial" w:hAnsi="Arial"/>
          <w:sz w:val="17"/>
          <w:szCs w:val="17"/>
          <w:color w:val="auto"/>
        </w:rPr>
        <w:t>. Each Grantor will maintain or cause the Equipment (necessary or useful to its business) to be maintained and preserved in good condition, repair and working order, ordinary wear and tear excepted, and will forthwith, or in the case of any loss or damage to any Equipment of such Grantor within a commercially reasonable time after the occurrence thereof, make or cause to be made all repairs, replacements and other improvements in connection therewith which are necessary or desirable, consistent with past practice, or which the Buyer may reasonably request to such end. Such Grantor will promptly furnish to the Buyer a statement describing in reasonable detail any such loss or damage in excess of $25,000 to any Equipment.</w:t>
      </w:r>
    </w:p>
    <w:p>
      <w:pPr>
        <w:spacing w:after="0" w:line="83" w:lineRule="exact"/>
        <w:rPr>
          <w:rFonts w:ascii="Arial" w:cs="Arial" w:eastAsia="Arial" w:hAnsi="Arial"/>
          <w:sz w:val="17"/>
          <w:szCs w:val="17"/>
          <w:color w:val="auto"/>
        </w:rPr>
      </w:pPr>
    </w:p>
    <w:p>
      <w:pPr>
        <w:jc w:val="both"/>
        <w:ind w:left="300" w:right="1239" w:firstLine="248"/>
        <w:spacing w:after="0" w:line="270" w:lineRule="auto"/>
        <w:tabs>
          <w:tab w:leader="none" w:pos="829"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Taxes, Etc</w:t>
      </w:r>
      <w:r>
        <w:rPr>
          <w:rFonts w:ascii="Arial" w:cs="Arial" w:eastAsia="Arial" w:hAnsi="Arial"/>
          <w:sz w:val="16"/>
          <w:szCs w:val="16"/>
          <w:color w:val="auto"/>
        </w:rPr>
        <w:t>. Each Grantor agrees to pay promptly when due all property and other taxes, assessments and governmental charges or levies imposed upon, and all claims (including claims for labor, materials and supplies) against, the Equipment and Inventory, except to the extent the validity thereof is being contested in good faith by proper proceedings which stay the imposition of any penalty, fine or Lien resulting from the non-payment thereof and with respect to which adequate reserves in accordance with GAAP have been set aside for the payment thereof.</w:t>
      </w:r>
    </w:p>
    <w:p>
      <w:pPr>
        <w:spacing w:after="0" w:line="67" w:lineRule="exact"/>
        <w:rPr>
          <w:rFonts w:ascii="Arial" w:cs="Arial" w:eastAsia="Arial" w:hAnsi="Arial"/>
          <w:sz w:val="16"/>
          <w:szCs w:val="16"/>
          <w:color w:val="auto"/>
        </w:rPr>
      </w:pPr>
    </w:p>
    <w:p>
      <w:pPr>
        <w:ind w:left="820" w:hanging="272"/>
        <w:spacing w:after="0"/>
        <w:tabs>
          <w:tab w:leader="none" w:pos="820"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263" w:lineRule="auto"/>
        <w:tabs>
          <w:tab w:leader="none" w:pos="1105" w:val="left"/>
        </w:tabs>
        <w:numPr>
          <w:ilvl w:val="1"/>
          <w:numId w:val="289"/>
        </w:numPr>
        <w:rPr>
          <w:rFonts w:ascii="Arial" w:cs="Arial" w:eastAsia="Arial" w:hAnsi="Arial"/>
          <w:sz w:val="16"/>
          <w:szCs w:val="16"/>
          <w:color w:val="auto"/>
        </w:rPr>
      </w:pPr>
      <w:r>
        <w:rPr>
          <w:rFonts w:ascii="Arial" w:cs="Arial" w:eastAsia="Arial" w:hAnsi="Arial"/>
          <w:sz w:val="16"/>
          <w:szCs w:val="16"/>
          <w:color w:val="auto"/>
        </w:rPr>
        <w:t>Each Grantor will, at its own expense, maintain insurance (including, without limitation, commercial general liability and property insurance) with respect to the Equipment and Inventory in such amounts, against such risks, in such form and with responsible and reputable insurance companies or associations as is required by any governmental authority having jurisdiction with respect thereto or as is carried by such Grantor as of the date hereof and in any event, in amount, adequacy and scope reasonably satisfactory to the Buyer. Each such policy for liability insurance shall provide for all losses to be paid on behalf of the Buyer and such Grantor as their respective interests may appear, and each policy for property damage insurance shall provide for all losses to be adjusted with, and paid directly to, the Buyer. Each such policy shall in addition (A) name the Buyer as an additional insured party thereunder (without any representation or warranty by or obligation upon the Buyer) as their interests may appear, (B) contain an agreement by the insurer that any loss thereunder shall be payable to the Buyer on its own account notwithstanding any action, inaction or breach of representation or warranty by such Grantor, (C) provide that there shall be no recourse against the Buyer for payment of premiums or other amounts with respect thereto, and (D) provide that at least 30 days’ prior written notice of cancellation, lapse, expiration or other adverse change shall be given to the Buyer by the insurer. Such Grantor will, if so requested by the Buyer, deliver to the Buyer original or duplicate policies of such insurance and, as often as the Buyer may reasonably request, a report of a reputable insurance broker with respect to such insurance. Such Grantor will also, at the request of the Buyer, execute and deliver instruments of assignment of such insurance policies and cause the respective insurers to acknowledge notice of such assignment.</w:t>
      </w:r>
    </w:p>
    <w:p>
      <w:pPr>
        <w:spacing w:after="0" w:line="80" w:lineRule="exact"/>
        <w:rPr>
          <w:rFonts w:ascii="Arial" w:cs="Arial" w:eastAsia="Arial" w:hAnsi="Arial"/>
          <w:sz w:val="16"/>
          <w:szCs w:val="16"/>
          <w:color w:val="auto"/>
        </w:rPr>
      </w:pPr>
    </w:p>
    <w:p>
      <w:pPr>
        <w:jc w:val="both"/>
        <w:ind w:left="540" w:right="1239" w:firstLine="259"/>
        <w:spacing w:after="0" w:line="267" w:lineRule="auto"/>
        <w:tabs>
          <w:tab w:leader="none" w:pos="1114"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Reimbursement under any liability insurance maintained by a Grantor pursuant to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may be paid directly to the Person who shall have incurred liability covered by such insurance. In the case of any loss involving damage to Equipment or Inventory, any proceeds of insurance maintained by a Grantor pursuant to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shall be paid to the Buyer (except as to which paragraph (iii) of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is not applicable), such Grantor will make or cause to be made the necessary repairs to or replacements of such Equipment or Inventory, and any proceeds of insurance maintained by such Grantor pursuant to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shall be paid by the Buyer to such Grantor as reimbursement for the costs of such repairs or replacements.</w:t>
      </w:r>
    </w:p>
    <w:p>
      <w:pPr>
        <w:spacing w:after="0" w:line="200" w:lineRule="exact"/>
        <w:rPr>
          <w:sz w:val="20"/>
          <w:szCs w:val="20"/>
          <w:color w:val="auto"/>
        </w:rPr>
      </w:pPr>
    </w:p>
    <w:p>
      <w:pPr>
        <w:spacing w:after="0" w:line="28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8" w:name="page369"/>
    <w:bookmarkEnd w:id="3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40" w:right="1239" w:firstLine="259"/>
        <w:spacing w:after="0" w:line="267" w:lineRule="auto"/>
        <w:tabs>
          <w:tab w:leader="none" w:pos="117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 xml:space="preserve">All insurance payments in respect of such Equipment or Inventory shall be paid to the Buyer and applied as specified in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hereof.</w:t>
      </w:r>
    </w:p>
    <w:p>
      <w:pPr>
        <w:spacing w:after="0" w:line="66" w:lineRule="exact"/>
        <w:rPr>
          <w:rFonts w:ascii="Arial" w:cs="Arial" w:eastAsia="Arial" w:hAnsi="Arial"/>
          <w:sz w:val="17"/>
          <w:szCs w:val="17"/>
          <w:color w:val="auto"/>
        </w:rPr>
      </w:pPr>
    </w:p>
    <w:p>
      <w:pPr>
        <w:ind w:left="800" w:hanging="252"/>
        <w:spacing w:after="0"/>
        <w:tabs>
          <w:tab w:leader="none" w:pos="800"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Provisions Concerning the Accounts and the Licenses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269" w:lineRule="auto"/>
        <w:tabs>
          <w:tab w:leader="none" w:pos="1055"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Each Grantor will (A) give the Buyer at least 30 days’ prior written notice of any change in such Grantor’s name, identity or organizational structure, (B) maintain its jurisdiction of incorporation as set forth in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hereto, (C) immediately notify the Buyer upon obtaining an organizational identification number, if on the date hereof such Grantor did not have such identification number, and (D) keep adequate records concerning the Accounts and Chattel Paper and permit representatives of the Buyer during normal business hours on reasonable notice to such Grantor, to inspect and make abstracts from such Records and Chattel Paper.</w:t>
      </w:r>
    </w:p>
    <w:p>
      <w:pPr>
        <w:spacing w:after="0" w:line="66" w:lineRule="exact"/>
        <w:rPr>
          <w:sz w:val="20"/>
          <w:szCs w:val="20"/>
          <w:color w:val="auto"/>
        </w:rPr>
      </w:pPr>
    </w:p>
    <w:p>
      <w:pPr>
        <w:jc w:val="both"/>
        <w:ind w:left="540" w:right="1239" w:firstLine="259"/>
        <w:spacing w:after="0" w:line="281" w:lineRule="auto"/>
        <w:tabs>
          <w:tab w:leader="none" w:pos="1104" w:val="left"/>
        </w:tabs>
        <w:numPr>
          <w:ilvl w:val="0"/>
          <w:numId w:val="292"/>
        </w:numPr>
        <w:rPr>
          <w:rFonts w:ascii="Arial" w:cs="Arial" w:eastAsia="Arial" w:hAnsi="Arial"/>
          <w:sz w:val="15"/>
          <w:szCs w:val="15"/>
          <w:color w:val="auto"/>
        </w:rPr>
      </w:pPr>
      <w:r>
        <w:rPr>
          <w:rFonts w:ascii="Arial" w:cs="Arial" w:eastAsia="Arial" w:hAnsi="Arial"/>
          <w:sz w:val="15"/>
          <w:szCs w:val="15"/>
          <w:color w:val="auto"/>
        </w:rPr>
        <w:t xml:space="preserve">Each Grantor will, except as otherwise provided in this subsection (f), continue to collect, at its own expense, all amounts due or to become due under the Accounts. In connection with such collections, such Grantor may (and, at the Buyer’s direction, will) take such action as such Grantor or the Buyer may deem necessary or advisable to enforce collection or performance of the Accounts;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Buyer shall have the right at any time, upon the occurrence and during the continuance of an Event of Default, to notify the account debtors or obligors under any Accounts of the assignment of such Accounts to the Buyer and to direct such account debtors or obligors to make payment of all amounts due or to become due to such Grantor thereunder directly to the Buyer or its designated agent and, upon such notification and at the expense of such Grantor and to the extent permitted by law, to enforce collection of any such Accounts and to adjust, settle or compromise the amount or payment thereof, in the same manner and to the same extent as such Grantor might have done. After receipt by a Grantor of a notice from the Buyer that the Buyer has notified, intends to notify, or has enforced or intends to enforce a Grantor’s rights against the account debtors or obligors under any Accounts as referred to in the proviso to the immediately preceding sentence, (A) all amounts and proceeds (including Instruments) received by such Grantor in respect of the Accounts shall be received in trust for the benefit of the Buyer hereunder, shall be segregated from other funds of such Grantor and shall be forthwith paid over to the Buyer in the same form as so received (with any necessary endorsement) to be held as cash collateral and applied as specified in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hereof, and (B) such Grantor will not adjust, settle or compromise the amount or payment of any Account or release wholly or partly any account debtor or obligor thereof or allow any credit or discount thereon. In addition, upon the occurrence and during the continuance of an Event of Default, the Buyer may (in its sole and absolute discretion) direct any or all of the banks and financial institutions with which such Grantor either maintains a Deposit Account or a lockbox or deposits the proceeds of any Accounts to send immediately to the Buyer by wire transfer (to such account as the Buyer shall specify, or in such other manner as the Buyer shall direct) all or a portion of such securities, cash, investments and other items held by such institution. Any such securities, cash, investments and other items so received by the Buyer shall (in the sole and absolute discretion of the Buyer) be held as additional Collateral for the Obligations or distributed in accordance with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hereof.</w:t>
      </w:r>
    </w:p>
    <w:p>
      <w:pPr>
        <w:spacing w:after="0" w:line="266" w:lineRule="exact"/>
        <w:rPr>
          <w:rFonts w:ascii="Arial" w:cs="Arial" w:eastAsia="Arial" w:hAnsi="Arial"/>
          <w:sz w:val="15"/>
          <w:szCs w:val="15"/>
          <w:color w:val="auto"/>
        </w:rPr>
      </w:pPr>
    </w:p>
    <w:p>
      <w:pPr>
        <w:jc w:val="both"/>
        <w:ind w:left="540" w:right="1239" w:firstLine="259"/>
        <w:spacing w:after="0" w:line="292" w:lineRule="auto"/>
        <w:tabs>
          <w:tab w:leader="none" w:pos="1132" w:val="left"/>
        </w:tabs>
        <w:numPr>
          <w:ilvl w:val="0"/>
          <w:numId w:val="292"/>
        </w:numPr>
        <w:rPr>
          <w:rFonts w:ascii="Arial" w:cs="Arial" w:eastAsia="Arial" w:hAnsi="Arial"/>
          <w:sz w:val="15"/>
          <w:szCs w:val="15"/>
          <w:color w:val="auto"/>
        </w:rPr>
      </w:pPr>
      <w:r>
        <w:rPr>
          <w:rFonts w:ascii="Arial" w:cs="Arial" w:eastAsia="Arial" w:hAnsi="Arial"/>
          <w:sz w:val="15"/>
          <w:szCs w:val="15"/>
          <w:color w:val="auto"/>
        </w:rPr>
        <w:t xml:space="preserve">Upon the occurrence and during the continuance of any breach or default under any material License referred to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by any party thereto other than a Grantor, the Grantor party thereto will, promptly after obtaining knowledge thereof, give the Buyer written notice of the nature and duration thereof, specifying what action, if any, it has taken and proposes to take with respect thereto and thereafter will take reasonable steps to protect and preserve its rights and remedies in respect of such breach or default, or will obtain or acquire an appropriate substitute License.</w:t>
      </w:r>
    </w:p>
    <w:p>
      <w:pPr>
        <w:spacing w:after="0" w:line="53" w:lineRule="exact"/>
        <w:rPr>
          <w:rFonts w:ascii="Arial" w:cs="Arial" w:eastAsia="Arial" w:hAnsi="Arial"/>
          <w:sz w:val="15"/>
          <w:szCs w:val="15"/>
          <w:color w:val="auto"/>
        </w:rPr>
      </w:pPr>
    </w:p>
    <w:p>
      <w:pPr>
        <w:jc w:val="both"/>
        <w:ind w:left="540" w:right="1239" w:firstLine="259"/>
        <w:spacing w:after="0" w:line="280" w:lineRule="auto"/>
        <w:tabs>
          <w:tab w:leader="none" w:pos="115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Each Grantor will, at its expense, promptly deliver to the Buyer a copy of each notice or other communication received by it by which any other party to any material License referred to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purports to exercise any of its rights or affect any of its obligations thereunder, together with a copy of any reply by such Grantor thereto.</w:t>
      </w:r>
    </w:p>
    <w:p>
      <w:pPr>
        <w:spacing w:after="0" w:line="200" w:lineRule="exact"/>
        <w:rPr>
          <w:sz w:val="20"/>
          <w:szCs w:val="20"/>
          <w:color w:val="auto"/>
        </w:rPr>
      </w:pPr>
    </w:p>
    <w:p>
      <w:pPr>
        <w:spacing w:after="0" w:line="27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9" w:name="page370"/>
    <w:bookmarkEnd w:id="3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firstLine="259"/>
        <w:spacing w:after="0" w:line="270" w:lineRule="auto"/>
        <w:tabs>
          <w:tab w:leader="none" w:pos="1106" w:val="left"/>
        </w:tabs>
        <w:numPr>
          <w:ilvl w:val="1"/>
          <w:numId w:val="293"/>
        </w:numPr>
        <w:rPr>
          <w:rFonts w:ascii="Arial" w:cs="Arial" w:eastAsia="Arial" w:hAnsi="Arial"/>
          <w:sz w:val="16"/>
          <w:szCs w:val="16"/>
          <w:color w:val="auto"/>
        </w:rPr>
      </w:pPr>
      <w:r>
        <w:rPr>
          <w:rFonts w:ascii="Arial" w:cs="Arial" w:eastAsia="Arial" w:hAnsi="Arial"/>
          <w:sz w:val="16"/>
          <w:szCs w:val="16"/>
          <w:color w:val="auto"/>
        </w:rPr>
        <w:t xml:space="preserve">Each Grantor will exercise promptly and diligently each and every right which it may have under each material License (other than any right of termination) and will duly perform and observe in all respects all of its obligations under each material License and will take all action reasonably necessary to maintain such Licenses in full force and effect. No Grantor will, without the prior written consent of the Buyer, cancel, terminate, amend or otherwise modify in any respect, or waive any provision of, any material License referred to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67" w:lineRule="exact"/>
        <w:rPr>
          <w:rFonts w:ascii="Arial" w:cs="Arial" w:eastAsia="Arial" w:hAnsi="Arial"/>
          <w:sz w:val="16"/>
          <w:szCs w:val="16"/>
          <w:color w:val="auto"/>
        </w:rPr>
      </w:pPr>
    </w:p>
    <w:p>
      <w:pPr>
        <w:ind w:left="820" w:hanging="272"/>
        <w:spacing w:after="0"/>
        <w:tabs>
          <w:tab w:leader="none" w:pos="820"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Transfers and Other Liens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307" w:lineRule="auto"/>
        <w:tabs>
          <w:tab w:leader="none" w:pos="1071" w:val="left"/>
        </w:tabs>
        <w:numPr>
          <w:ilvl w:val="1"/>
          <w:numId w:val="294"/>
        </w:numPr>
        <w:rPr>
          <w:rFonts w:ascii="Arial" w:cs="Arial" w:eastAsia="Arial" w:hAnsi="Arial"/>
          <w:sz w:val="15"/>
          <w:szCs w:val="15"/>
          <w:color w:val="auto"/>
        </w:rPr>
      </w:pPr>
      <w:r>
        <w:rPr>
          <w:rFonts w:ascii="Arial" w:cs="Arial" w:eastAsia="Arial" w:hAnsi="Arial"/>
          <w:sz w:val="15"/>
          <w:szCs w:val="15"/>
          <w:color w:val="auto"/>
        </w:rPr>
        <w:t>No Grantor will sell, assign (by operation of law or otherwise), lease, license, exchange or otherwise transfer or dispose of any of the Collateral, except (A) Inventory in the ordinary course of business, (B) worn-out or obsolete assets not necessary to the business, and (C) Accounts solely in accordance with the terms and conditions of the Factoring Agreement.</w:t>
      </w:r>
    </w:p>
    <w:p>
      <w:pPr>
        <w:spacing w:after="0" w:line="40" w:lineRule="exact"/>
        <w:rPr>
          <w:sz w:val="20"/>
          <w:szCs w:val="20"/>
          <w:color w:val="auto"/>
        </w:rPr>
      </w:pPr>
    </w:p>
    <w:p>
      <w:pPr>
        <w:ind w:left="540" w:right="1239" w:firstLine="259"/>
        <w:spacing w:after="0" w:line="267" w:lineRule="auto"/>
        <w:tabs>
          <w:tab w:leader="none" w:pos="114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No Grantor will create, suffer to exist or grant any Lien upon or with respect to any Collateral other than a Permitted Lien.</w:t>
      </w:r>
    </w:p>
    <w:p>
      <w:pPr>
        <w:spacing w:after="0" w:line="66" w:lineRule="exact"/>
        <w:rPr>
          <w:rFonts w:ascii="Arial" w:cs="Arial" w:eastAsia="Arial" w:hAnsi="Arial"/>
          <w:sz w:val="17"/>
          <w:szCs w:val="17"/>
          <w:color w:val="auto"/>
        </w:rPr>
      </w:pPr>
    </w:p>
    <w:p>
      <w:pPr>
        <w:ind w:left="820" w:hanging="272"/>
        <w:spacing w:after="0"/>
        <w:tabs>
          <w:tab w:leader="none" w:pos="820"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280" w:lineRule="auto"/>
        <w:tabs>
          <w:tab w:leader="none" w:pos="1033" w:val="left"/>
        </w:tabs>
        <w:numPr>
          <w:ilvl w:val="1"/>
          <w:numId w:val="296"/>
        </w:numPr>
        <w:rPr>
          <w:rFonts w:ascii="Arial" w:cs="Arial" w:eastAsia="Arial" w:hAnsi="Arial"/>
          <w:sz w:val="15"/>
          <w:szCs w:val="15"/>
          <w:color w:val="auto"/>
        </w:rPr>
      </w:pPr>
      <w:r>
        <w:rPr>
          <w:rFonts w:ascii="Arial" w:cs="Arial" w:eastAsia="Arial" w:hAnsi="Arial"/>
          <w:sz w:val="15"/>
          <w:szCs w:val="15"/>
          <w:color w:val="auto"/>
        </w:rPr>
        <w:t xml:space="preserve">Except as otherwise set forth herein, if applicable, each Grantor shall, upon the Buyer’s written request, duly execute and delivered the applicable Assignment for Security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Each Grantor (either itself or through licensees) will, and will cause each licensee thereof to, take all action necessary to maintain all of the Intellectual Property in full force and effect, including, without limitation, using the proper statutory notices and markings and using the Trademarks on each applicable trademark class of goods in order to so maintain the Trademarks in full force and free from any claim of abandonment for non-use, and such Grantor will not (nor permit any licensee thereof to) do any act or knowingly omit to do any act whereby any Intellectual Property may become invalidated;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so long as no Event of Default has occurred and is continuing, such Grantor shall not have an obligation to use or to maintain any Intellectual Property (A) that relates solely to any product or work, that has been, or is in the process of being, discontinued, abandoned or terminated, (B) that is being replaced with Intellectual Property substantially similar to the Intellectual Property that may be abandoned or otherwise become invalid, so long as the failure to use or maintain such Intellectual Property does not materially adversely affect the validity of such replacement Intellectual Property and so long as such replacement Intellectual Property is subject to the Lien created by this Agreement or (C) that is substantially the same as another Intellectual Property that is in full force, so long the failure to use or maintain such Intellectual Property does not materially adversely affect the validity of such replacement Intellectual Property and so long as such other Intellectual Property is subject to the Lien and security interest created by this Agreement. Each Grantor will cause to be taken all necessary steps in any proceeding before the United States Patent and Trademark Office and the United States Copyright Office or any similar office or agency in any other country or political subdivision thereof to maintain each registration of the Intellectual Property (other than the Intellectual Property described in the proviso to the immediately preceding sentence), including, without limitation, filing of renewals, affidavits of use, affidavits of incontestability and opposition, interference and cancellation proceedings and payment of maintenance fees, filing fees, taxes or other governmental fees in the ordinary course of business. If any Intellectual Property (other than Intellectual Property described in the proviso to the first sentence of subsection (i) of this clause (h)) is infringed, misappropriated, diluted or otherwise violated in any material respect by a third party, such Grantor shall (x) upon learning of such infringement, misappropriation, dilution or other violation, promptly notify the Buyer and (y) to the extent such Grantor shall deem appropriate under the circumstances, promptly sue for infringement, misappropriation, dilution or other violation, seek injunctive relief where appropriate and recover any and all damages for such infringement, misappropriation, dilution or other violation, or take such other actions as such Grantor shall deem appropriate under the circumstances to protect such Intellectual Property. Each Grantor shall furnish to the Buyer from time to time upon its request statements and schedules further identifying and describing the Intellectual Property and Licenses and such other reports in connection with the</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0" w:name="page371"/>
    <w:bookmarkEnd w:id="3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307" w:lineRule="auto"/>
        <w:rPr>
          <w:sz w:val="20"/>
          <w:szCs w:val="20"/>
          <w:color w:val="auto"/>
        </w:rPr>
      </w:pPr>
      <w:r>
        <w:rPr>
          <w:rFonts w:ascii="Arial" w:cs="Arial" w:eastAsia="Arial" w:hAnsi="Arial"/>
          <w:sz w:val="14"/>
          <w:szCs w:val="14"/>
          <w:color w:val="auto"/>
        </w:rPr>
        <w:t xml:space="preserve">Intellectual Property and Licenses as the Buyer may reasonably request, all in reasonable detail and promptly upon request of the Buyer, following receipt by the Buyer of any such statements, schedules or reports, such Grantor shall modify this Agreement by amending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as the case may be, to include any Intellectual Property and License, as the case may be, which becomes part of the Collateral under this Agreement and shall execute and authenticate such documents and do such acts as shall be necessary or, in the judgment of the Buyer, desirable to subject such Intellectual Property and Licenses to the Lien and security interest created by this Agreement. Notwithstanding anything herein to the contrary, upon the occurrence and during the continuance of an Event of Default, such Grantor may not abandon or otherwise permit any Intellectual Property to become invalid without the prior written consent of the Buyer, and if any Intellectual Property is infringed, misappropriated, diluted or otherwise violated in any material respect by a third party, such Grantor will take such action as the Buyer shall deem appropriate under the circumstances to protect such Intellectual Property.</w:t>
      </w:r>
    </w:p>
    <w:p>
      <w:pPr>
        <w:spacing w:after="0" w:line="46" w:lineRule="exact"/>
        <w:rPr>
          <w:sz w:val="20"/>
          <w:szCs w:val="20"/>
          <w:color w:val="auto"/>
        </w:rPr>
      </w:pPr>
    </w:p>
    <w:p>
      <w:pPr>
        <w:jc w:val="both"/>
        <w:ind w:left="540" w:right="1239" w:firstLine="259"/>
        <w:spacing w:after="0" w:line="284" w:lineRule="auto"/>
        <w:tabs>
          <w:tab w:leader="none" w:pos="1082" w:val="left"/>
        </w:tabs>
        <w:numPr>
          <w:ilvl w:val="1"/>
          <w:numId w:val="297"/>
        </w:numPr>
        <w:rPr>
          <w:rFonts w:ascii="Arial" w:cs="Arial" w:eastAsia="Arial" w:hAnsi="Arial"/>
          <w:sz w:val="15"/>
          <w:szCs w:val="15"/>
          <w:color w:val="auto"/>
        </w:rPr>
      </w:pPr>
      <w:r>
        <w:rPr>
          <w:rFonts w:ascii="Arial" w:cs="Arial" w:eastAsia="Arial" w:hAnsi="Arial"/>
          <w:sz w:val="15"/>
          <w:szCs w:val="15"/>
          <w:color w:val="auto"/>
        </w:rPr>
        <w:t>In no event shall a Grantor, either itself or through any agent, employee, licensee or designee, file an application for the registration of any Trademark or Copyright or the issuance of any Patent with the United States Patent and Trademark Office or the United States Copyright Office, as applicable, or in any similar office or agency of the United States or any country or any political subdivision thereof unless it gives the Buyer prior written notice thereof. Upon request of the Buyer, but except as otherwise set forth herein, each Grantor shall execute, authenticate and deliver any and all assignments, agreements, instruments, documents and papers as the Buyer may reasonably request to evidence the Buyer’s security interest hereunder in such Intellectual Property and the General Intangibles of such Grantor relating thereto or represented thereby, and such Grantor hereby appoints the Buyer its attorney-in-fact to execute and/or authenticate and file all such writings for the foregoing purposes, all acts of such attorney being hereby ratified and confirmed, and such power (being coupled with an interest) shall be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56" w:lineRule="exact"/>
        <w:rPr>
          <w:rFonts w:ascii="Arial" w:cs="Arial" w:eastAsia="Arial" w:hAnsi="Arial"/>
          <w:sz w:val="15"/>
          <w:szCs w:val="15"/>
          <w:color w:val="auto"/>
        </w:rPr>
      </w:pPr>
    </w:p>
    <w:p>
      <w:pPr>
        <w:jc w:val="both"/>
        <w:ind w:left="540" w:right="1239" w:firstLine="259"/>
        <w:spacing w:after="0" w:line="286" w:lineRule="auto"/>
        <w:tabs>
          <w:tab w:leader="none" w:pos="1159" w:val="left"/>
        </w:tabs>
        <w:numPr>
          <w:ilvl w:val="1"/>
          <w:numId w:val="297"/>
        </w:numPr>
        <w:rPr>
          <w:rFonts w:ascii="Arial" w:cs="Arial" w:eastAsia="Arial" w:hAnsi="Arial"/>
          <w:sz w:val="15"/>
          <w:szCs w:val="15"/>
          <w:color w:val="auto"/>
        </w:rPr>
      </w:pPr>
      <w:r>
        <w:rPr>
          <w:rFonts w:ascii="Arial" w:cs="Arial" w:eastAsia="Arial" w:hAnsi="Arial"/>
          <w:sz w:val="15"/>
          <w:szCs w:val="15"/>
          <w:color w:val="auto"/>
        </w:rPr>
        <w:t xml:space="preserve">Upon the Buyer’s request, each Grantor shall cause each domain registrar where any of such Grantor’s Internet domain names are registered, whether as of the date of this Agreement or at any time hereafter, to execute and deliver to the Buyer a domain name control agreement, in form and substance reasonably satisfactory to the Buyer, duly executed by such Grantor and such domain registrar, or enter into other arrangements in form and substance satisfactory to the Buyer, pursuant to which such domain registrar shall irrevocably agree, </w:t>
      </w:r>
      <w:r>
        <w:rPr>
          <w:rFonts w:ascii="Arial" w:cs="Arial" w:eastAsia="Arial" w:hAnsi="Arial"/>
          <w:sz w:val="15"/>
          <w:szCs w:val="15"/>
          <w:u w:val="single" w:color="auto"/>
          <w:color w:val="auto"/>
        </w:rPr>
        <w:t>inter alia</w:t>
      </w:r>
      <w:r>
        <w:rPr>
          <w:rFonts w:ascii="Arial" w:cs="Arial" w:eastAsia="Arial" w:hAnsi="Arial"/>
          <w:sz w:val="15"/>
          <w:szCs w:val="15"/>
          <w:color w:val="auto"/>
        </w:rPr>
        <w:t>, that (i) it will comply at any time with the instructions originated by the Buyer to such domain registrar directing substitution of the Buyer or its designee as the registered owner of such Internet domain names, without further consent of such Grantor, which instructions the Buyer will not give to such domain registrar in the absence of a continuing Event of Default.</w:t>
      </w:r>
    </w:p>
    <w:p>
      <w:pPr>
        <w:spacing w:after="0" w:line="59" w:lineRule="exact"/>
        <w:rPr>
          <w:rFonts w:ascii="Arial" w:cs="Arial" w:eastAsia="Arial" w:hAnsi="Arial"/>
          <w:sz w:val="15"/>
          <w:szCs w:val="15"/>
          <w:color w:val="auto"/>
        </w:rPr>
      </w:pPr>
    </w:p>
    <w:p>
      <w:pPr>
        <w:jc w:val="both"/>
        <w:ind w:left="300" w:right="1239" w:firstLine="248"/>
        <w:spacing w:after="0" w:line="264" w:lineRule="auto"/>
        <w:tabs>
          <w:tab w:leader="none" w:pos="829"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Deposit, Commodities and Securities Accounts</w:t>
      </w:r>
      <w:r>
        <w:rPr>
          <w:rFonts w:ascii="Arial" w:cs="Arial" w:eastAsia="Arial" w:hAnsi="Arial"/>
          <w:sz w:val="16"/>
          <w:szCs w:val="16"/>
          <w:color w:val="auto"/>
        </w:rPr>
        <w:t xml:space="preserve">. Upon the Buyer’s request, each Grantor shall cause each bank and other financial institution with an account referred to in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to execute and deliver to the Buyer a control agreement, in form and substance reasonably satisfactory to the Buyer, duly executed by such Grantor and such bank or financial institution, or enter into other arrangements in form and substance satisfactory to the Buyer, pursuant to which such institution shall irrevocably agree, </w:t>
      </w:r>
      <w:r>
        <w:rPr>
          <w:rFonts w:ascii="Arial" w:cs="Arial" w:eastAsia="Arial" w:hAnsi="Arial"/>
          <w:sz w:val="16"/>
          <w:szCs w:val="16"/>
          <w:u w:val="single" w:color="auto"/>
          <w:color w:val="auto"/>
        </w:rPr>
        <w:t>inter alia</w:t>
      </w:r>
      <w:r>
        <w:rPr>
          <w:rFonts w:ascii="Arial" w:cs="Arial" w:eastAsia="Arial" w:hAnsi="Arial"/>
          <w:sz w:val="16"/>
          <w:szCs w:val="16"/>
          <w:color w:val="auto"/>
        </w:rPr>
        <w:t>, that (i) it will comply at any time with the instructions originated by the Buyer to such bank or financial institution directing the disposition of cash, Commodity Contracts, securities, Investment Property and other items from time to time credited to such account, without further consent of such Grantor, which instructions the Buyer will not give to such bank or other financial institution in the absence of a continuing Event of Default, (ii) all cash, Commodity Contracts, securities, Investment Property and other items of such Grantor deposited with such institution shall be subject to a perfected, first priority security interest in favor of the Buyer, (iii) any right of set off, banker’s Lien or other similar Lien, security interest or encumbrance shall be fully waived as against the Buyer, and (iv) upon receipt of written notice from the Buyer during the continuance of an Event of</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1" w:name="page372"/>
    <w:bookmarkEnd w:id="3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2" w:lineRule="auto"/>
        <w:rPr>
          <w:sz w:val="20"/>
          <w:szCs w:val="20"/>
          <w:color w:val="auto"/>
        </w:rPr>
      </w:pPr>
      <w:r>
        <w:rPr>
          <w:rFonts w:ascii="Arial" w:cs="Arial" w:eastAsia="Arial" w:hAnsi="Arial"/>
          <w:sz w:val="15"/>
          <w:szCs w:val="15"/>
          <w:color w:val="auto"/>
        </w:rPr>
        <w:t xml:space="preserve">Default, such bank or financial institution shall immediately send to the Buyer by wire transfer (to such account as the Buyer shall specify, or in such other manner as the Buyer shall direct) all such cash, the value of any Commodity Contracts, securities, Investment Property and other items held by it. Without the prior written consent of the Buyer, such Grantor shall not make or maintain any Deposit Account, Commodity Account or Securities Account except for the accounts set forth in </w:t>
      </w:r>
      <w:r>
        <w:rPr>
          <w:rFonts w:ascii="Arial" w:cs="Arial" w:eastAsia="Arial" w:hAnsi="Arial"/>
          <w:sz w:val="15"/>
          <w:szCs w:val="15"/>
          <w:u w:val="single" w:color="auto"/>
          <w:color w:val="auto"/>
        </w:rPr>
        <w:t>Schedule IV</w:t>
      </w:r>
      <w:r>
        <w:rPr>
          <w:rFonts w:ascii="Arial" w:cs="Arial" w:eastAsia="Arial" w:hAnsi="Arial"/>
          <w:sz w:val="15"/>
          <w:szCs w:val="15"/>
          <w:color w:val="auto"/>
        </w:rPr>
        <w:t xml:space="preserve"> hereto. The provisions of this paragraph 5(i) shall not apply to (i) Deposit Accounts for which the Buyer is the depositary and</w:t>
      </w:r>
    </w:p>
    <w:p>
      <w:pPr>
        <w:spacing w:after="0" w:line="1" w:lineRule="exact"/>
        <w:rPr>
          <w:sz w:val="20"/>
          <w:szCs w:val="20"/>
          <w:color w:val="auto"/>
        </w:rPr>
      </w:pPr>
    </w:p>
    <w:p>
      <w:pPr>
        <w:ind w:left="300" w:right="1239" w:hanging="2"/>
        <w:spacing w:after="0" w:line="252" w:lineRule="auto"/>
        <w:tabs>
          <w:tab w:leader="none" w:pos="55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Deposit Accounts specially and exclusively used for payroll, payroll taxes and other employee wage and benefit payments to or for the benefit of a Grantor’s salaried employees.</w:t>
      </w:r>
    </w:p>
    <w:p>
      <w:pPr>
        <w:spacing w:after="0" w:line="78" w:lineRule="exact"/>
        <w:rPr>
          <w:rFonts w:ascii="Arial" w:cs="Arial" w:eastAsia="Arial" w:hAnsi="Arial"/>
          <w:sz w:val="17"/>
          <w:szCs w:val="17"/>
          <w:color w:val="auto"/>
        </w:rPr>
      </w:pPr>
    </w:p>
    <w:p>
      <w:pPr>
        <w:ind w:left="780" w:hanging="232"/>
        <w:spacing w:after="0"/>
        <w:tabs>
          <w:tab w:leader="none" w:pos="780"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Motor Vehicles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540" w:right="1239" w:firstLine="259"/>
        <w:spacing w:after="0" w:line="267" w:lineRule="auto"/>
        <w:tabs>
          <w:tab w:leader="none" w:pos="1074" w:val="left"/>
        </w:tabs>
        <w:numPr>
          <w:ilvl w:val="2"/>
          <w:numId w:val="299"/>
        </w:numPr>
        <w:rPr>
          <w:rFonts w:ascii="Arial" w:cs="Arial" w:eastAsia="Arial" w:hAnsi="Arial"/>
          <w:sz w:val="17"/>
          <w:szCs w:val="17"/>
          <w:color w:val="auto"/>
        </w:rPr>
      </w:pPr>
      <w:r>
        <w:rPr>
          <w:rFonts w:ascii="Arial" w:cs="Arial" w:eastAsia="Arial" w:hAnsi="Arial"/>
          <w:sz w:val="17"/>
          <w:szCs w:val="17"/>
          <w:color w:val="auto"/>
        </w:rPr>
        <w:t>Upon the Buyer’s written request, each Grantor shall deliver to the Buyer originals of the certificates of title or ownership for all motor vehicles owned by it with the Buyer listed as lienholder.</w:t>
      </w:r>
    </w:p>
    <w:p>
      <w:pPr>
        <w:spacing w:after="0" w:line="66" w:lineRule="exact"/>
        <w:rPr>
          <w:rFonts w:ascii="Arial" w:cs="Arial" w:eastAsia="Arial" w:hAnsi="Arial"/>
          <w:sz w:val="17"/>
          <w:szCs w:val="17"/>
          <w:color w:val="auto"/>
        </w:rPr>
      </w:pPr>
    </w:p>
    <w:p>
      <w:pPr>
        <w:jc w:val="both"/>
        <w:ind w:left="540" w:right="1239" w:firstLine="259"/>
        <w:spacing w:after="0" w:line="285" w:lineRule="auto"/>
        <w:tabs>
          <w:tab w:leader="none" w:pos="1100" w:val="left"/>
        </w:tabs>
        <w:numPr>
          <w:ilvl w:val="2"/>
          <w:numId w:val="299"/>
        </w:numPr>
        <w:rPr>
          <w:rFonts w:ascii="Arial" w:cs="Arial" w:eastAsia="Arial" w:hAnsi="Arial"/>
          <w:sz w:val="15"/>
          <w:szCs w:val="15"/>
          <w:color w:val="auto"/>
        </w:rPr>
      </w:pPr>
      <w:r>
        <w:rPr>
          <w:rFonts w:ascii="Arial" w:cs="Arial" w:eastAsia="Arial" w:hAnsi="Arial"/>
          <w:sz w:val="15"/>
          <w:szCs w:val="15"/>
          <w:color w:val="auto"/>
        </w:rPr>
        <w:t>Each Grantor hereby appoints the Buyer as its attorney-in-fact, effective the date hereof and terminating upon the termination of this Agreement, for the purpose of (A) executing on behalf of such Grantor title or ownership applications for filing with appropriate state agencies to enable motor vehicles now owned or hereafter acquired by such Grantor to be retitled and the Buyer listed as lienholder thereof, (B) filing such applications with such state agencies, and (C) executing such other documents and instruments on behalf of, and taking such other action in the name of, such Grantor as the Buyer may deem necessary or advisable to accomplish the purposes hereof (including, without limitation, for the purpose of creating in favor of the Buyer a perfected Lien on the motor vehicles and exercising the rights and remedies of the Buyer hereunder). This appointment as attorney-in-fact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56" w:lineRule="exact"/>
        <w:rPr>
          <w:rFonts w:ascii="Arial" w:cs="Arial" w:eastAsia="Arial" w:hAnsi="Arial"/>
          <w:sz w:val="15"/>
          <w:szCs w:val="15"/>
          <w:color w:val="auto"/>
        </w:rPr>
      </w:pPr>
    </w:p>
    <w:p>
      <w:pPr>
        <w:ind w:left="540" w:right="1239" w:firstLine="259"/>
        <w:spacing w:after="0" w:line="267" w:lineRule="auto"/>
        <w:tabs>
          <w:tab w:leader="none" w:pos="1153" w:val="left"/>
        </w:tabs>
        <w:numPr>
          <w:ilvl w:val="2"/>
          <w:numId w:val="299"/>
        </w:numPr>
        <w:rPr>
          <w:rFonts w:ascii="Arial" w:cs="Arial" w:eastAsia="Arial" w:hAnsi="Arial"/>
          <w:sz w:val="17"/>
          <w:szCs w:val="17"/>
          <w:color w:val="auto"/>
        </w:rPr>
      </w:pPr>
      <w:r>
        <w:rPr>
          <w:rFonts w:ascii="Arial" w:cs="Arial" w:eastAsia="Arial" w:hAnsi="Arial"/>
          <w:sz w:val="17"/>
          <w:szCs w:val="17"/>
          <w:color w:val="auto"/>
        </w:rPr>
        <w:t>Any certificates of title or ownership delivered pursuant to the terms hereof shall be accompanied by odometer statements for each motor vehicle covered thereby.</w:t>
      </w:r>
    </w:p>
    <w:p>
      <w:pPr>
        <w:spacing w:after="0" w:line="66" w:lineRule="exact"/>
        <w:rPr>
          <w:rFonts w:ascii="Arial" w:cs="Arial" w:eastAsia="Arial" w:hAnsi="Arial"/>
          <w:sz w:val="17"/>
          <w:szCs w:val="17"/>
          <w:color w:val="auto"/>
        </w:rPr>
      </w:pPr>
    </w:p>
    <w:p>
      <w:pPr>
        <w:jc w:val="both"/>
        <w:ind w:left="540" w:right="1239" w:firstLine="259"/>
        <w:spacing w:after="0" w:line="266" w:lineRule="auto"/>
        <w:tabs>
          <w:tab w:leader="none" w:pos="1123" w:val="left"/>
        </w:tabs>
        <w:numPr>
          <w:ilvl w:val="2"/>
          <w:numId w:val="299"/>
        </w:numPr>
        <w:rPr>
          <w:rFonts w:ascii="Arial" w:cs="Arial" w:eastAsia="Arial" w:hAnsi="Arial"/>
          <w:sz w:val="16"/>
          <w:szCs w:val="16"/>
          <w:color w:val="auto"/>
        </w:rPr>
      </w:pPr>
      <w:r>
        <w:rPr>
          <w:rFonts w:ascii="Arial" w:cs="Arial" w:eastAsia="Arial" w:hAnsi="Arial"/>
          <w:sz w:val="16"/>
          <w:szCs w:val="16"/>
          <w:color w:val="auto"/>
        </w:rPr>
        <w:t xml:space="preserve">So long as no Event of Default shall have occurred and be continuing, upon the request of such Grantor, the Buyer shall execute and deliver to such Grantor such instruments as such Grantor shall reasonably request to remove the notation of the Buyer as lienholder on any certificate of title for any motor vehicle;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instruments shall be delivered, and the release effective, only upon receipt by the Buyer of a certificate from such Grantor stating that such motor vehicle is to be sold or has suffered a casualty loss (with title thereto passing to the casualty insurance company therefor in settlement of the claim for such loss) and the amount that such Grantor will receive as sale proceeds or insurance proceeds. Any proceeds of such sale or casualty loss shall be paid to the Buyer hereunder immediately upon receipt, to be applied to the Obligations then outstanding.</w:t>
      </w:r>
    </w:p>
    <w:p>
      <w:pPr>
        <w:spacing w:after="0" w:line="72" w:lineRule="exact"/>
        <w:rPr>
          <w:rFonts w:ascii="Arial" w:cs="Arial" w:eastAsia="Arial" w:hAnsi="Arial"/>
          <w:sz w:val="16"/>
          <w:szCs w:val="16"/>
          <w:color w:val="auto"/>
        </w:rPr>
      </w:pPr>
    </w:p>
    <w:p>
      <w:pPr>
        <w:jc w:val="both"/>
        <w:ind w:left="300" w:right="1239" w:firstLine="248"/>
        <w:spacing w:after="0" w:line="253" w:lineRule="auto"/>
        <w:tabs>
          <w:tab w:leader="none" w:pos="829"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Control</w:t>
      </w:r>
      <w:r>
        <w:rPr>
          <w:rFonts w:ascii="Arial" w:cs="Arial" w:eastAsia="Arial" w:hAnsi="Arial"/>
          <w:sz w:val="17"/>
          <w:szCs w:val="17"/>
          <w:color w:val="auto"/>
        </w:rPr>
        <w:t>. Each Grantor hereby agrees to take any or all action that may be necessary or desirable or that the Buyer may request in order for the Buyer to obtain control in accordance with Sections 9-105 – 9-107 of the Code with respect to the following Collateral: (i) Electronic Chattel Paper, (ii) Investment Property, (iii) Pledged Interests and (iv) Letter-of-Credit Rights.</w:t>
      </w:r>
    </w:p>
    <w:p>
      <w:pPr>
        <w:spacing w:after="0" w:line="77" w:lineRule="exact"/>
        <w:rPr>
          <w:rFonts w:ascii="Arial" w:cs="Arial" w:eastAsia="Arial" w:hAnsi="Arial"/>
          <w:sz w:val="17"/>
          <w:szCs w:val="17"/>
          <w:color w:val="auto"/>
        </w:rPr>
      </w:pPr>
    </w:p>
    <w:p>
      <w:pPr>
        <w:jc w:val="both"/>
        <w:ind w:left="300" w:right="1239" w:firstLine="248"/>
        <w:spacing w:after="0" w:line="283" w:lineRule="auto"/>
        <w:tabs>
          <w:tab w:leader="none" w:pos="854" w:val="left"/>
        </w:tabs>
        <w:numPr>
          <w:ilvl w:val="1"/>
          <w:numId w:val="299"/>
        </w:numPr>
        <w:rPr>
          <w:rFonts w:ascii="Arial" w:cs="Arial" w:eastAsia="Arial" w:hAnsi="Arial"/>
          <w:sz w:val="15"/>
          <w:szCs w:val="15"/>
          <w:color w:val="auto"/>
        </w:rPr>
      </w:pPr>
      <w:r>
        <w:rPr>
          <w:rFonts w:ascii="Arial" w:cs="Arial" w:eastAsia="Arial" w:hAnsi="Arial"/>
          <w:sz w:val="15"/>
          <w:szCs w:val="15"/>
          <w:u w:val="single" w:color="auto"/>
          <w:color w:val="auto"/>
        </w:rPr>
        <w:t>Inspection and Reporting</w:t>
      </w:r>
      <w:r>
        <w:rPr>
          <w:rFonts w:ascii="Arial" w:cs="Arial" w:eastAsia="Arial" w:hAnsi="Arial"/>
          <w:sz w:val="15"/>
          <w:szCs w:val="15"/>
          <w:color w:val="auto"/>
        </w:rPr>
        <w:t>. Each Grantor shall permit the Buyer, or any agent or representatives thereof or such professionals or other Persons as the Buyer may designate, not more than once a year in the absence of an Event of Default, (i) to examine and make copies of and abstracts from such Grantor’s records and books of account, (ii) to visit and inspect its properties, (iii) to verify materials, leases, Instruments, Accounts, Inventory and other assets of such Grantor from time to time,</w:t>
      </w:r>
    </w:p>
    <w:p>
      <w:pPr>
        <w:ind w:left="300" w:right="1239" w:hanging="2"/>
        <w:spacing w:after="0" w:line="283" w:lineRule="auto"/>
        <w:tabs>
          <w:tab w:leader="none" w:pos="62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to conduct audits, physical counts, appraisals and/or valuations, examinations at the locations of such Grantor. Each Grantor shall also permit the Buyer, or any agent or representatives thereof or such professionals or other</w:t>
      </w:r>
    </w:p>
    <w:p>
      <w:pPr>
        <w:spacing w:after="0" w:line="200" w:lineRule="exact"/>
        <w:rPr>
          <w:sz w:val="20"/>
          <w:szCs w:val="20"/>
          <w:color w:val="auto"/>
        </w:rPr>
      </w:pPr>
    </w:p>
    <w:p>
      <w:pPr>
        <w:spacing w:after="0" w:line="268"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2" w:name="page373"/>
    <w:bookmarkEnd w:id="3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Persons as the Buyer may designate to discuss such Grantor’s affairs, finances and accounts with any of its officers subject to the execution by the Buyer or its designee(s) of a mutually agreeable confidentiality agreement.</w:t>
      </w:r>
    </w:p>
    <w:p>
      <w:pPr>
        <w:spacing w:after="0" w:line="66" w:lineRule="exact"/>
        <w:rPr>
          <w:sz w:val="20"/>
          <w:szCs w:val="20"/>
          <w:color w:val="auto"/>
        </w:rPr>
      </w:pPr>
    </w:p>
    <w:p>
      <w:pPr>
        <w:jc w:val="both"/>
        <w:ind w:left="300" w:right="1239" w:firstLine="248"/>
        <w:spacing w:after="0" w:line="274" w:lineRule="auto"/>
        <w:tabs>
          <w:tab w:leader="none" w:pos="875"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Future Subsidiaries</w:t>
      </w:r>
      <w:r>
        <w:rPr>
          <w:rFonts w:ascii="Arial" w:cs="Arial" w:eastAsia="Arial" w:hAnsi="Arial"/>
          <w:sz w:val="16"/>
          <w:szCs w:val="16"/>
          <w:color w:val="auto"/>
        </w:rPr>
        <w:t>. If any Grantor shall hereafter create or acquire any Subsidiary, simultaneously with the creation of acquisition of such Subsidiary, such Grantor shall cause such Subsidiary to become a party to this Agreement as an additional “Grantor” hereunder, and to duly execute and/or deliver such opinions of counsel and other documents, in form and substance acceptable to the Buyer, as the Buyer shall reasonably request with respect thereto.</w:t>
      </w:r>
    </w:p>
    <w:p>
      <w:pPr>
        <w:spacing w:after="0" w:line="61" w:lineRule="exact"/>
        <w:rPr>
          <w:rFonts w:ascii="Arial" w:cs="Arial" w:eastAsia="Arial" w:hAnsi="Arial"/>
          <w:sz w:val="16"/>
          <w:szCs w:val="16"/>
          <w:color w:val="auto"/>
        </w:rPr>
      </w:pPr>
    </w:p>
    <w:p>
      <w:pPr>
        <w:jc w:val="both"/>
        <w:ind w:left="300" w:right="1239" w:firstLine="248"/>
        <w:spacing w:after="0" w:line="267" w:lineRule="auto"/>
        <w:tabs>
          <w:tab w:leader="none" w:pos="866"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The Company and Vringo Israel</w:t>
      </w:r>
      <w:r>
        <w:rPr>
          <w:rFonts w:ascii="Arial" w:cs="Arial" w:eastAsia="Arial" w:hAnsi="Arial"/>
          <w:sz w:val="16"/>
          <w:szCs w:val="16"/>
          <w:color w:val="auto"/>
        </w:rPr>
        <w:t xml:space="preserve">. Notwithstanding anything contained in this Agreement, the Company and Vringo Israel shall not be required to take any action, including, without limitation, to perfect any lien on or security interest in, or otherwise protect or enforce the rights of the Buyer in, the Collateral, </w:t>
      </w:r>
      <w:r>
        <w:rPr>
          <w:rFonts w:ascii="Arial" w:cs="Arial" w:eastAsia="Arial" w:hAnsi="Arial"/>
          <w:sz w:val="16"/>
          <w:szCs w:val="16"/>
          <w:u w:val="single" w:color="auto"/>
          <w:color w:val="auto"/>
        </w:rPr>
        <w:t>provided that</w:t>
      </w:r>
      <w:r>
        <w:rPr>
          <w:rFonts w:ascii="Arial" w:cs="Arial" w:eastAsia="Arial" w:hAnsi="Arial"/>
          <w:sz w:val="16"/>
          <w:szCs w:val="16"/>
          <w:color w:val="auto"/>
        </w:rPr>
        <w:t>, on and after the Default Date and so long as an Event of Default is continuing, the Buyer, in its sole discretion, may require the Company or Vringo Israel to take any and all actions necessary or desirable in order to perfect its liens on and security interests in the Collateral and otherwise, to comply with the other covenants related to actions to be taken in respect of further insuring the attachment, perfection and priority of, or the ability of the Buyer to enforce the security interests in, the Collateral.</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Additional Provisions Concerning the Collateral</w:t>
      </w:r>
      <w:r>
        <w:rPr>
          <w:rFonts w:ascii="Arial" w:cs="Arial" w:eastAsia="Arial" w:hAnsi="Arial"/>
          <w:sz w:val="17"/>
          <w:szCs w:val="17"/>
          <w:color w:val="auto"/>
        </w:rPr>
        <w:t>. Subject to Section 5(n)</w:t>
      </w:r>
    </w:p>
    <w:p>
      <w:pPr>
        <w:spacing w:after="0" w:line="105" w:lineRule="exact"/>
        <w:rPr>
          <w:sz w:val="20"/>
          <w:szCs w:val="20"/>
          <w:color w:val="auto"/>
        </w:rPr>
      </w:pPr>
    </w:p>
    <w:p>
      <w:pPr>
        <w:jc w:val="both"/>
        <w:ind w:left="300" w:right="1239" w:firstLine="248"/>
        <w:spacing w:after="0" w:line="251" w:lineRule="auto"/>
        <w:tabs>
          <w:tab w:leader="none" w:pos="834" w:val="left"/>
        </w:tabs>
        <w:numPr>
          <w:ilvl w:val="0"/>
          <w:numId w:val="302"/>
        </w:numPr>
        <w:rPr>
          <w:rFonts w:ascii="Arial" w:cs="Arial" w:eastAsia="Arial" w:hAnsi="Arial"/>
          <w:sz w:val="17"/>
          <w:szCs w:val="17"/>
          <w:color w:val="auto"/>
        </w:rPr>
      </w:pPr>
      <w:r>
        <w:rPr>
          <w:rFonts w:ascii="Arial" w:cs="Arial" w:eastAsia="Arial" w:hAnsi="Arial"/>
          <w:sz w:val="17"/>
          <w:szCs w:val="17"/>
          <w:color w:val="auto"/>
        </w:rPr>
        <w:t>Each Grantor hereby (i) authorizes the Buyer to file one or more Uniform Commercial Code financing or continuation statements, and amendments thereto, relating to the Collateral, and (ii) ratifies such authorization to the extent that the Buyer has filed any such financing or continuation statements, or amendments thereto, prior to the date hereof. A photocopy or other reproduction of this Agreement or any financing statement covering the Collateral or any part thereof shall be sufficient as a financing statement where permitted by law.</w:t>
      </w:r>
    </w:p>
    <w:p>
      <w:pPr>
        <w:spacing w:after="0" w:line="80" w:lineRule="exact"/>
        <w:rPr>
          <w:rFonts w:ascii="Arial" w:cs="Arial" w:eastAsia="Arial" w:hAnsi="Arial"/>
          <w:sz w:val="17"/>
          <w:szCs w:val="17"/>
          <w:color w:val="auto"/>
        </w:rPr>
      </w:pPr>
    </w:p>
    <w:p>
      <w:pPr>
        <w:jc w:val="both"/>
        <w:ind w:left="300" w:right="1239" w:firstLine="248"/>
        <w:spacing w:after="0" w:line="283" w:lineRule="auto"/>
        <w:tabs>
          <w:tab w:leader="none" w:pos="857" w:val="left"/>
        </w:tabs>
        <w:numPr>
          <w:ilvl w:val="0"/>
          <w:numId w:val="302"/>
        </w:numPr>
        <w:rPr>
          <w:rFonts w:ascii="Arial" w:cs="Arial" w:eastAsia="Arial" w:hAnsi="Arial"/>
          <w:sz w:val="15"/>
          <w:szCs w:val="15"/>
          <w:color w:val="auto"/>
        </w:rPr>
      </w:pPr>
      <w:r>
        <w:rPr>
          <w:rFonts w:ascii="Arial" w:cs="Arial" w:eastAsia="Arial" w:hAnsi="Arial"/>
          <w:sz w:val="15"/>
          <w:szCs w:val="15"/>
          <w:color w:val="auto"/>
        </w:rPr>
        <w:t xml:space="preserve">Each Grantor hereby irrevocably appoints the Buyer as its attorney-in-fact and proxy, with full authority in the place and stead of such Grantor and in the name of such Grantor or otherwise, from time to time in the Buyer’s discretion, so long as an Event of Default shall have occurred and is continuing, to take any action and to execute any instrument which the Buyer may deem necessary or advisable to accomplish the purposes of this Agreement (subject to the rights of such Grantor under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hereof), including, without limitation, (i) to obtain and adjust insurance required to be paid to the Buyer pursuant to </w:t>
      </w:r>
      <w:r>
        <w:rPr>
          <w:rFonts w:ascii="Arial" w:cs="Arial" w:eastAsia="Arial" w:hAnsi="Arial"/>
          <w:sz w:val="15"/>
          <w:szCs w:val="15"/>
          <w:u w:val="single" w:color="auto"/>
          <w:color w:val="auto"/>
        </w:rPr>
        <w:t>Section 5(e)</w:t>
      </w:r>
      <w:r>
        <w:rPr>
          <w:rFonts w:ascii="Arial" w:cs="Arial" w:eastAsia="Arial" w:hAnsi="Arial"/>
          <w:sz w:val="15"/>
          <w:szCs w:val="15"/>
          <w:color w:val="auto"/>
        </w:rPr>
        <w:t xml:space="preserve"> hereof, (ii) to ask, demand, collect, sue for, recover, compound, receive and give acquittance and receipts for moneys due and to become due under or in respect of any Collateral, (iii) to receive, endorse, and collect any drafts or other instruments, documents and chattel paper in connection with clause (i) or (ii) above, (iv) to file any claims or take any action or institute any proceedings which the Buyer may deem necessary or desirable for the collection of any Collateral or otherwise to enforce the rights of the Buyer with respect to any Collateral, and (v) to execute assignments, licenses and other documents to enforce the rights of the Buyer with respect to any Collateral. This power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62" w:lineRule="exact"/>
        <w:rPr>
          <w:rFonts w:ascii="Arial" w:cs="Arial" w:eastAsia="Arial" w:hAnsi="Arial"/>
          <w:sz w:val="15"/>
          <w:szCs w:val="15"/>
          <w:color w:val="auto"/>
        </w:rPr>
      </w:pPr>
    </w:p>
    <w:p>
      <w:pPr>
        <w:jc w:val="both"/>
        <w:ind w:left="300" w:right="1239" w:firstLine="248"/>
        <w:spacing w:after="0" w:line="285" w:lineRule="auto"/>
        <w:tabs>
          <w:tab w:leader="none" w:pos="853" w:val="left"/>
        </w:tabs>
        <w:numPr>
          <w:ilvl w:val="0"/>
          <w:numId w:val="302"/>
        </w:numPr>
        <w:rPr>
          <w:rFonts w:ascii="Arial" w:cs="Arial" w:eastAsia="Arial" w:hAnsi="Arial"/>
          <w:sz w:val="15"/>
          <w:szCs w:val="15"/>
          <w:color w:val="auto"/>
        </w:rPr>
      </w:pPr>
      <w:r>
        <w:rPr>
          <w:rFonts w:ascii="Arial" w:cs="Arial" w:eastAsia="Arial" w:hAnsi="Arial"/>
          <w:sz w:val="15"/>
          <w:szCs w:val="15"/>
          <w:color w:val="auto"/>
        </w:rPr>
        <w:t>For the purpose of enabling the Buyer to exercise rights and remedies hereunder, at such time as the Buyer shall be lawfully entitled to exercise such rights and remedies upon and during an Event of Default, and for no other purpose, each Grantor hereby grants to the Buyer, to the extent assignable, an irrevocable, non-exclusive license (exercisable without payment of royalty or other compensation to such Grantor) to use, assign, license or sublicense any Intellectual Property now owned or hereafter acquired by such Grantor, wherever the same may be located, including in such license reasonable access to all media in which any of the licensed items may be recorded or stored and to all computer programs used for the compilation or printout thereof. Notwithstanding anything contained herein to the contrary, so long as no Event of Default shall have occurred and be continuing, such Grantor may exploit, use, enjoy, protect, license, sublicense, assign, sell, dispose of or take other actions with respect to the Intellectual Property in the ordinary course of its business. In furtherance of the foregoing, unless an Event of</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3" w:name="page374"/>
    <w:bookmarkEnd w:id="3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3" w:lineRule="auto"/>
        <w:rPr>
          <w:sz w:val="20"/>
          <w:szCs w:val="20"/>
          <w:color w:val="auto"/>
        </w:rPr>
      </w:pPr>
      <w:r>
        <w:rPr>
          <w:rFonts w:ascii="Arial" w:cs="Arial" w:eastAsia="Arial" w:hAnsi="Arial"/>
          <w:sz w:val="15"/>
          <w:szCs w:val="15"/>
          <w:color w:val="auto"/>
        </w:rPr>
        <w:t xml:space="preserve">Default shall have occurred and be continuing, the Buyer shall from time to time, upon the request of a Grantor, execute and deliver any instruments, certificates or other documents, in the form so requested, which such Grantor shall have certified are appropriate (in such Grantor’s judgment) to allow it to take any action permitted above (including relinquishment of the license provided pursuant to this clause (c) as to any Intellectual Property). Further, upon the indefeasible payment in full in cash of all obligations under the Note (together with any matured indemnification obligations as of the date of such payment, but excluding any inchoate or unmatured contingent indemnification obligations), the Buyer (subject to </w:t>
      </w:r>
      <w:r>
        <w:rPr>
          <w:rFonts w:ascii="Arial" w:cs="Arial" w:eastAsia="Arial" w:hAnsi="Arial"/>
          <w:sz w:val="15"/>
          <w:szCs w:val="15"/>
          <w:u w:val="single" w:color="auto"/>
          <w:color w:val="auto"/>
        </w:rPr>
        <w:t>Section 10(e)</w:t>
      </w:r>
      <w:r>
        <w:rPr>
          <w:rFonts w:ascii="Arial" w:cs="Arial" w:eastAsia="Arial" w:hAnsi="Arial"/>
          <w:sz w:val="15"/>
          <w:szCs w:val="15"/>
          <w:color w:val="auto"/>
        </w:rPr>
        <w:t xml:space="preserve"> hereof) shall release and reassign to such Grantor all of the Buyer’s right, title and interest in and to the Intellectual Property, and the Licenses, all without recourse, representation or warranty whatsoever. The exercise of rights and remedies hereunder by the Buyer shall not terminate the rights of the holders of any licenses or sublicenses theretofore granted by such Grantor in accordance with the second sentence of this clause (c). Each Grantor hereby releases the Buyer from any claims, causes of action and demands at any time arising out of or with respect to any actions taken or omitted to be taken by the Buyer under the powers of attorney granted herein other than actions taken or omitted to be taken through the Buyer’s gross negligence or willful misconduct, as determined by a final determination of a court of competent jurisdiction.</w:t>
      </w:r>
    </w:p>
    <w:p>
      <w:pPr>
        <w:spacing w:after="0" w:line="62" w:lineRule="exact"/>
        <w:rPr>
          <w:sz w:val="20"/>
          <w:szCs w:val="20"/>
          <w:color w:val="auto"/>
        </w:rPr>
      </w:pPr>
    </w:p>
    <w:p>
      <w:pPr>
        <w:jc w:val="both"/>
        <w:ind w:left="300" w:right="1239" w:firstLine="248"/>
        <w:spacing w:after="0" w:line="307" w:lineRule="auto"/>
        <w:tabs>
          <w:tab w:leader="none" w:pos="851" w:val="left"/>
        </w:tabs>
        <w:numPr>
          <w:ilvl w:val="0"/>
          <w:numId w:val="303"/>
        </w:numPr>
        <w:rPr>
          <w:rFonts w:ascii="Arial" w:cs="Arial" w:eastAsia="Arial" w:hAnsi="Arial"/>
          <w:sz w:val="15"/>
          <w:szCs w:val="15"/>
          <w:color w:val="auto"/>
        </w:rPr>
      </w:pPr>
      <w:r>
        <w:rPr>
          <w:rFonts w:ascii="Arial" w:cs="Arial" w:eastAsia="Arial" w:hAnsi="Arial"/>
          <w:sz w:val="15"/>
          <w:szCs w:val="15"/>
          <w:color w:val="auto"/>
        </w:rPr>
        <w:t xml:space="preserve">If a Grantor fails to perform any agreement contained herein, the Buyer may itself perform, or cause performance of, such agreement or obligation, in the name of such Grantor or the Buyer, and the expenses of the Buyer incurred in connection therewith shall be payable by such Grantor pursuant to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hereof and shall be secured by the Collateral.</w:t>
      </w:r>
    </w:p>
    <w:p>
      <w:pPr>
        <w:spacing w:after="0" w:line="39" w:lineRule="exact"/>
        <w:rPr>
          <w:rFonts w:ascii="Arial" w:cs="Arial" w:eastAsia="Arial" w:hAnsi="Arial"/>
          <w:sz w:val="15"/>
          <w:szCs w:val="15"/>
          <w:color w:val="auto"/>
        </w:rPr>
      </w:pPr>
    </w:p>
    <w:p>
      <w:pPr>
        <w:jc w:val="both"/>
        <w:ind w:left="300" w:right="1239" w:firstLine="248"/>
        <w:spacing w:after="0" w:line="274" w:lineRule="auto"/>
        <w:tabs>
          <w:tab w:leader="none" w:pos="821"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powers conferred on the Buyer hereunder are solely to protect its interest in the Collateral and shall not impose any duty upon it to exercise any such powers. Except for the safe custody of any Collateral in its possession and the accounting for moneys actually received by it hereunder, the Buyer shall have no duty as to any Collateral or as to the taking of any necessary steps to preserve rights against prior parties or any other rights pertaining to any Collateral.</w:t>
      </w:r>
    </w:p>
    <w:p>
      <w:pPr>
        <w:spacing w:after="0" w:line="61" w:lineRule="exact"/>
        <w:rPr>
          <w:rFonts w:ascii="Arial" w:cs="Arial" w:eastAsia="Arial" w:hAnsi="Arial"/>
          <w:sz w:val="16"/>
          <w:szCs w:val="16"/>
          <w:color w:val="auto"/>
        </w:rPr>
      </w:pPr>
    </w:p>
    <w:p>
      <w:pPr>
        <w:jc w:val="both"/>
        <w:ind w:left="300" w:right="1239" w:firstLine="248"/>
        <w:spacing w:after="0" w:line="267" w:lineRule="auto"/>
        <w:tabs>
          <w:tab w:leader="none" w:pos="81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Anything herein to the contrary notwithstanding (i) each Grantor shall remain liable under the Licenses and otherwise with respect to any of the Collateral to the extent set forth therein to perform all of its obligations thereunder to the same extent as if this Agreement had not been executed, (ii) the exercise by the Buyer of any of its rights hereunder shall not release such Grantor from any of its obligations under the Licenses or otherwise in respect of the Collateral, and (iii) the Buyer shall not have any obligation or liability by reason of this Agreement under the Licenses or with respect to any of the other Collateral, nor shall the Buyer be obligated to perform any of the obligations or duties of such Grantor thereunder or to take any action to collect or enforce any claim for payment assigned hereunder.</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Remedies Upon Event of Default</w:t>
      </w:r>
      <w:r>
        <w:rPr>
          <w:rFonts w:ascii="Arial" w:cs="Arial" w:eastAsia="Arial" w:hAnsi="Arial"/>
          <w:sz w:val="17"/>
          <w:szCs w:val="17"/>
          <w:color w:val="auto"/>
        </w:rPr>
        <w:t>. If any Event of Default shall have occurred and be continuing:</w:t>
      </w:r>
    </w:p>
    <w:p>
      <w:pPr>
        <w:spacing w:after="0" w:line="105" w:lineRule="exact"/>
        <w:rPr>
          <w:sz w:val="20"/>
          <w:szCs w:val="20"/>
          <w:color w:val="auto"/>
        </w:rPr>
      </w:pPr>
    </w:p>
    <w:p>
      <w:pPr>
        <w:jc w:val="both"/>
        <w:ind w:left="300" w:right="1239" w:firstLine="248"/>
        <w:spacing w:after="0" w:line="283" w:lineRule="auto"/>
        <w:tabs>
          <w:tab w:leader="none" w:pos="826" w:val="left"/>
        </w:tabs>
        <w:numPr>
          <w:ilvl w:val="0"/>
          <w:numId w:val="304"/>
        </w:numPr>
        <w:rPr>
          <w:rFonts w:ascii="Arial" w:cs="Arial" w:eastAsia="Arial" w:hAnsi="Arial"/>
          <w:sz w:val="15"/>
          <w:szCs w:val="15"/>
          <w:color w:val="auto"/>
        </w:rPr>
      </w:pPr>
      <w:r>
        <w:rPr>
          <w:rFonts w:ascii="Arial" w:cs="Arial" w:eastAsia="Arial" w:hAnsi="Arial"/>
          <w:sz w:val="15"/>
          <w:szCs w:val="15"/>
          <w:color w:val="auto"/>
        </w:rPr>
        <w:t>The Buyer may exercise in respect of the Collateral, in addition to any other rights and remedies provided for herein or otherwise available to it, all of the rights and remedies of a secured party upon default under the Code (whether or not the Code applies to the affected Collateral), and also may (i) take absolute control of the Collateral, including, without limitation, transfer into the Buyer’s name or into the name of its nominee or nominees (to the extent the Buyer has not theretofore done so) and thereafter receive, for the benefit of the Buyer, all payments made thereon, give all consents, waivers and ratifications in respect thereof and otherwise act with respect thereto as though it were the outright owner thereof, (ii) require each Grantor to, and each Grantor hereby agrees that it will at its expense and upon request of the Buyer forthwith, assemble all or part of its respective Collateral as directed by the Buyer and make it available to the Buyer at a place or places to be designated by the Buyer that is reasonably convenient to both parties, and the Buyer may enter into and occupy any premises owned or leased by such Grantor where the Collateral or any part thereof is located or assembled for a reasonable period in order to effectuate the Buyer’s rights and remedies hereunder or under law, without obligation to such Grantor in respect of such occupation, and (iii) without notice except as specified below and without any obligation to prepare or process the Collateral for sale, (A) sell the Collateral or any part thereof in one or more parcels at public or private sale, at any of the Buyer’s offices or elsewhere, for cash, on credit 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4" w:name="page375"/>
    <w:bookmarkEnd w:id="3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1" w:lineRule="auto"/>
        <w:rPr>
          <w:sz w:val="20"/>
          <w:szCs w:val="20"/>
          <w:color w:val="auto"/>
        </w:rPr>
      </w:pPr>
      <w:r>
        <w:rPr>
          <w:rFonts w:ascii="Arial" w:cs="Arial" w:eastAsia="Arial" w:hAnsi="Arial"/>
          <w:sz w:val="15"/>
          <w:szCs w:val="15"/>
          <w:color w:val="auto"/>
        </w:rPr>
        <w:t xml:space="preserve">for future delivery, and at such price or prices and upon such other terms as the Buyer may deem commercially reasonable and/or (B) lease, license or dispose of the Collateral or any part thereof upon such terms as the Buyer may deem commercially reasonable. Each Grantor agrees that, to the extent notice of sale or any other disposition of its respective Collateral shall be required by law, at least ten (10) days’ notice to such Grantor of the time and place of any public sale or the time after which any private sale or other disposition of its respective Collateral is to be made shall constitute reasonable notification. The Buyer shall not be obligated to make any sale or other disposition of any Collateral regardless of notice of sale having been given. The Buyer may adjourn any public or private sale from time to time by announcement at the time and place fixed therefor, and such sale may, without further notice, be made at the time and place to which it was so adjourned. Each Grantor hereby waives any claims against the Buyer arising by reason of the fact that the price at which its respective Collateral may have been sold at a private sale was less than the price which might have been obtained at a public sale or was less than the aggregate amount of the Obligations, even if the Buyer accepts the first offer received and does not offer such Collateral to more than one offeree, and waives all rights that such Grantor may have to require that all or any part of such Collateral be marshalled upon any sale (public or private) thereof. Each Grantor hereby acknowledges that (i) any such sale of its respective Collateral by the Buyer shall be made without warranty, (ii) the Buyer may specifically disclaim any warranties of title, possession, quiet enjoyment or the like, and (iii) such actions set forth in clauses (i) and (ii) above shall not adversely effect the commercial reasonableness of any such sale of Collateral. In addition to the foregoing, (1) upon written notice to any Grantor from the Buyer, such Grantor shall cease any use of the Intellectual Property or any trademark, patent or copyright similar thereto for any purpose described in such notice; (2) the Buyer may, at any time and from time to time, upon 10 days’ prior notice to such Grantor, license, whether general, special or otherwise, and whether on an exclusive or non-exclusive basis, any of the Intellectual Property, throughout the universe for such term or terms, on such conditions, and in such manner, as the Buyer shall in its sole discretion determine to the extent consistent with any restrictions or conditions imposed upon such Grantor with respect to such Intellectual Property by license or other contractual arrangement; and (3) the Buyer may, at any time, pursuant to the authority granted in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hereof (such authority being effective upon the occurrence and during the continuance of an Event of Default), execute and deliver on behalf of such Grantor, one or more instruments of assignment of the Intellectual Property (or any application or registration thereof), in form suitable for filing, recording or registration in any country.</w:t>
      </w:r>
    </w:p>
    <w:p>
      <w:pPr>
        <w:spacing w:after="0" w:line="64" w:lineRule="exact"/>
        <w:rPr>
          <w:sz w:val="20"/>
          <w:szCs w:val="20"/>
          <w:color w:val="auto"/>
        </w:rPr>
      </w:pPr>
    </w:p>
    <w:p>
      <w:pPr>
        <w:jc w:val="both"/>
        <w:ind w:left="300" w:right="1239" w:firstLine="248"/>
        <w:spacing w:after="0" w:line="286" w:lineRule="auto"/>
        <w:tabs>
          <w:tab w:leader="none" w:pos="858" w:val="left"/>
        </w:tabs>
        <w:numPr>
          <w:ilvl w:val="0"/>
          <w:numId w:val="305"/>
        </w:numPr>
        <w:rPr>
          <w:rFonts w:ascii="Arial" w:cs="Arial" w:eastAsia="Arial" w:hAnsi="Arial"/>
          <w:sz w:val="15"/>
          <w:szCs w:val="15"/>
          <w:color w:val="auto"/>
        </w:rPr>
      </w:pPr>
      <w:r>
        <w:rPr>
          <w:rFonts w:ascii="Arial" w:cs="Arial" w:eastAsia="Arial" w:hAnsi="Arial"/>
          <w:sz w:val="15"/>
          <w:szCs w:val="15"/>
          <w:color w:val="auto"/>
        </w:rPr>
        <w:t xml:space="preserve">Any cash held by the Buyer as Collateral and all Cash Proceeds received by the Buyer in respect of any sale of or collection from, or other realization upon, all or any part of the Collateral may, in the discretion of the Buyer, be held by the Buyer as collateral for, and/or then or at any time thereafter applied (after payment of any amounts payable to the Buyer pursuant to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hereof) in whole or in part by the Buyer against, all or any part of the Obligations in such order as the Buyer shall elect. Any surplus of such cash or Cash Proceeds held by the Buyer and remaining after the indefeasible payment in full in cash of all obligations under the Note (together with any matured indemnification obligations as of the date of such payment, but excluding any inchoate or unmatured contingent indemnification obligations) shall be paid over to whomsoever shall be lawfully entitled to receive the same or as a court of competent jurisdiction shall direct.</w:t>
      </w:r>
    </w:p>
    <w:p>
      <w:pPr>
        <w:spacing w:after="0" w:line="59" w:lineRule="exact"/>
        <w:rPr>
          <w:rFonts w:ascii="Arial" w:cs="Arial" w:eastAsia="Arial" w:hAnsi="Arial"/>
          <w:sz w:val="15"/>
          <w:szCs w:val="15"/>
          <w:color w:val="auto"/>
        </w:rPr>
      </w:pPr>
    </w:p>
    <w:p>
      <w:pPr>
        <w:jc w:val="both"/>
        <w:ind w:left="300" w:right="1239" w:firstLine="248"/>
        <w:spacing w:after="0" w:line="270" w:lineRule="auto"/>
        <w:tabs>
          <w:tab w:leader="none" w:pos="829"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In the event that the proceeds of any such sale, collection or realization are insufficient to pay all amounts to which the Buyer is legally entitled, each Grantor shall be liable for the deficiency, together with interest thereon at the highest rate specified in any of the applicable Note Transaction Documents for interest on overdue principal thereof or such other rate as shall be fixed by applicable law, together with the costs of collection and the reasonable fees, costs, expenses and other client charges of any attorneys employed by the Buyer to collect such deficiency.</w:t>
      </w:r>
    </w:p>
    <w:p>
      <w:pPr>
        <w:spacing w:after="0" w:line="67" w:lineRule="exact"/>
        <w:rPr>
          <w:rFonts w:ascii="Arial" w:cs="Arial" w:eastAsia="Arial" w:hAnsi="Arial"/>
          <w:sz w:val="16"/>
          <w:szCs w:val="16"/>
          <w:color w:val="auto"/>
        </w:rPr>
      </w:pPr>
    </w:p>
    <w:p>
      <w:pPr>
        <w:jc w:val="both"/>
        <w:ind w:left="300" w:right="1239" w:firstLine="248"/>
        <w:spacing w:after="0" w:line="256" w:lineRule="auto"/>
        <w:tabs>
          <w:tab w:leader="none" w:pos="875" w:val="left"/>
        </w:tabs>
        <w:numPr>
          <w:ilvl w:val="0"/>
          <w:numId w:val="305"/>
        </w:numPr>
        <w:rPr>
          <w:rFonts w:ascii="Arial" w:cs="Arial" w:eastAsia="Arial" w:hAnsi="Arial"/>
          <w:sz w:val="17"/>
          <w:szCs w:val="17"/>
          <w:color w:val="auto"/>
        </w:rPr>
      </w:pPr>
      <w:r>
        <w:rPr>
          <w:rFonts w:ascii="Arial" w:cs="Arial" w:eastAsia="Arial" w:hAnsi="Arial"/>
          <w:sz w:val="17"/>
          <w:szCs w:val="17"/>
          <w:color w:val="auto"/>
        </w:rPr>
        <w:t>Each Grantor hereby acknowledges that if the Buyer complies with any applicable state, provincial, or federal law requirements in connection with a disposition of the Collateral, such compliance will not adversely affect the commercial reasonableness of any sale or other disposition of the Collateral.</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75" w:name="page376"/>
    <w:bookmarkEnd w:id="3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66" w:lineRule="auto"/>
        <w:tabs>
          <w:tab w:leader="none" w:pos="839"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Buyer shall not be required to marshal any present or future collateral security (including, but not limited to, this Agreement and the Collateral) for, or other assurances of payment of, the Obligations or any of them or to resort to such collateral security or other assurances of payment in any particular order, and all of the Buyer’s rights hereunder and in respect of such collateral security and other assurances of payment shall be cumulative and in addition to all other rights, however existing or arising. To the extent that each Grantor lawfully may, such Grantor hereby agrees that it will not invoke any law relating to the marshalling of collateral which might cause delay in or impede the enforcement of the Buyer’s rights under this Agreement or under any other instrument creating or evidencing any of the Obligations or under which any of the Obligations is outstanding or by which any of the Obligations is secured or payment thereof is otherwise assured, and, to the extent that it lawfully may, such Grantor hereby irrevocably waives the benefits of all such laws.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Indemnity and Expenses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0" w:lineRule="auto"/>
        <w:tabs>
          <w:tab w:leader="none" w:pos="83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Each Grantor agrees, jointly and severally, to defend, protect, indemnify and hold the Buyer harmless from and against any and all claims, damages, losses, liabilities, obligations, penalties, fees, costs and expenses (including, without limitation, reasonable legal fees, costs, expenses, and disbursements of such Person’s counsel) to the extent that they arise out of or otherwise result from this Agreement (including, without limitation, enforcement of this Agreement), except claims, losses or liabilities resulting solely and directly from such Person’s gross negligence or willful misconduct, as determined by a final judgment of a court of competent jurisdiction.</w:t>
      </w:r>
    </w:p>
    <w:p>
      <w:pPr>
        <w:spacing w:after="0" w:line="81" w:lineRule="exact"/>
        <w:rPr>
          <w:rFonts w:ascii="Arial" w:cs="Arial" w:eastAsia="Arial" w:hAnsi="Arial"/>
          <w:sz w:val="17"/>
          <w:szCs w:val="17"/>
          <w:color w:val="auto"/>
        </w:rPr>
      </w:pPr>
    </w:p>
    <w:p>
      <w:pPr>
        <w:jc w:val="both"/>
        <w:ind w:left="300" w:right="1239" w:firstLine="248"/>
        <w:spacing w:after="0" w:line="267" w:lineRule="auto"/>
        <w:tabs>
          <w:tab w:leader="none" w:pos="877" w:val="left"/>
        </w:tabs>
        <w:numPr>
          <w:ilvl w:val="0"/>
          <w:numId w:val="307"/>
        </w:numPr>
        <w:rPr>
          <w:rFonts w:ascii="Arial" w:cs="Arial" w:eastAsia="Arial" w:hAnsi="Arial"/>
          <w:sz w:val="16"/>
          <w:szCs w:val="16"/>
          <w:color w:val="auto"/>
        </w:rPr>
      </w:pPr>
      <w:r>
        <w:rPr>
          <w:rFonts w:ascii="Arial" w:cs="Arial" w:eastAsia="Arial" w:hAnsi="Arial"/>
          <w:sz w:val="16"/>
          <w:szCs w:val="16"/>
          <w:color w:val="auto"/>
        </w:rPr>
        <w:t>Each Grantor agrees, jointly and severally, to upon demand pay to the Buyer the amount of any and all costs and expenses, including the reasonable fees, costs, expenses and disbursements of counsel for the Buyer and of any experts and agents (including, without limitation, any collateral trustee which may act as agent of the Buyer), which the Buyer may incur in connection with (i) the preparation, negotiation, execution, delivery, recordation, administration, amendment, waiver or other modification or termination of this Agreement, (ii) the custody, preservation, use or operation of, or the sale of, collection from, or other realization upon, any Collateral, (iii) the exercise or enforcement of any of the rights of the Buyer hereunder, or (iv) the failure by any Grantor to perform or observe any of the provisions hereof.</w:t>
      </w:r>
    </w:p>
    <w:p>
      <w:pPr>
        <w:spacing w:after="0" w:line="7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in writing and shall be mailed (by certified mail, postage prepaid and return receipt requested), telecopied or delivered, if to a Grantor at its address specified below and if to the Buyer to it, at its address specified below; or as to any such Person, at such other address as shall be designated by such Person in a written notice to such other Person complying as to delivery with the terms of this </w:t>
      </w:r>
      <w:r>
        <w:rPr>
          <w:rFonts w:ascii="Arial" w:cs="Arial" w:eastAsia="Arial" w:hAnsi="Arial"/>
          <w:sz w:val="16"/>
          <w:szCs w:val="16"/>
          <w:u w:val="single" w:color="auto"/>
          <w:color w:val="auto"/>
        </w:rPr>
        <w:t>Section 9</w:t>
      </w:r>
      <w:r>
        <w:rPr>
          <w:rFonts w:ascii="Arial" w:cs="Arial" w:eastAsia="Arial" w:hAnsi="Arial"/>
          <w:sz w:val="16"/>
          <w:szCs w:val="16"/>
          <w:color w:val="auto"/>
        </w:rPr>
        <w:t>. All such notices and other communications shall be effective (a) if sent by certified mail, return receipt requested, when received or five days after deposited in the mails, whichever occurs first, (b) if telecopied, when transmitted (during normal business hours) and confirmation is received, otherwise, the day after the notice was transmitted if confirmation is received, or (c) if delivered, upon delivery.</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3" w:lineRule="auto"/>
        <w:tabs>
          <w:tab w:leader="none" w:pos="832" w:val="left"/>
        </w:tabs>
        <w:numPr>
          <w:ilvl w:val="0"/>
          <w:numId w:val="308"/>
        </w:numPr>
        <w:rPr>
          <w:rFonts w:ascii="Arial" w:cs="Arial" w:eastAsia="Arial" w:hAnsi="Arial"/>
          <w:sz w:val="17"/>
          <w:szCs w:val="17"/>
          <w:color w:val="auto"/>
        </w:rPr>
      </w:pPr>
      <w:r>
        <w:rPr>
          <w:rFonts w:ascii="Arial" w:cs="Arial" w:eastAsia="Arial" w:hAnsi="Arial"/>
          <w:sz w:val="17"/>
          <w:szCs w:val="17"/>
          <w:color w:val="auto"/>
        </w:rPr>
        <w:t>No amendment of any provision of this Agreement shall be effective unless it is in writing and signed by each Grantor and the Buyer, and no waiver of any provision of this Agreement, and no consent to any departure by a Grantor therefrom, shall be effective unless it is in writing and signed by the Buyer, and then such waiver or consent shall be effective only in the specific instance and for the specific purpose for which given.</w:t>
      </w:r>
    </w:p>
    <w:p>
      <w:pPr>
        <w:spacing w:after="0" w:line="77" w:lineRule="exact"/>
        <w:rPr>
          <w:rFonts w:ascii="Arial" w:cs="Arial" w:eastAsia="Arial" w:hAnsi="Arial"/>
          <w:sz w:val="17"/>
          <w:szCs w:val="17"/>
          <w:color w:val="auto"/>
        </w:rPr>
      </w:pPr>
    </w:p>
    <w:p>
      <w:pPr>
        <w:jc w:val="both"/>
        <w:ind w:left="300" w:right="1239" w:firstLine="248"/>
        <w:spacing w:after="0" w:line="269" w:lineRule="auto"/>
        <w:tabs>
          <w:tab w:leader="none" w:pos="83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No failure on the part of the Buyer to exercise, and no delay in exercising, any right hereunder or under any of the other Note Transaction Documents shall operate as a waiver thereof; nor shall any single or partial exercise of any such right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of the other Note Transaction Documents against any party thereto are not conditional or contingent on any attempt by such Person to exercise any</w:t>
      </w:r>
    </w:p>
    <w:p>
      <w:pPr>
        <w:spacing w:after="0" w:line="200" w:lineRule="exact"/>
        <w:rPr>
          <w:sz w:val="20"/>
          <w:szCs w:val="20"/>
          <w:color w:val="auto"/>
        </w:rPr>
      </w:pPr>
    </w:p>
    <w:p>
      <w:pPr>
        <w:spacing w:after="0" w:line="27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76" w:name="page377"/>
    <w:bookmarkEnd w:id="37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of its rights under any of the other Note Transaction Documents against such party or against any other Person, including but not limited to, any Grantor.</w:t>
      </w:r>
    </w:p>
    <w:p>
      <w:pPr>
        <w:spacing w:after="0" w:line="66" w:lineRule="exact"/>
        <w:rPr>
          <w:sz w:val="20"/>
          <w:szCs w:val="20"/>
          <w:color w:val="auto"/>
        </w:rPr>
      </w:pPr>
    </w:p>
    <w:p>
      <w:pPr>
        <w:jc w:val="both"/>
        <w:ind w:left="300" w:right="1239" w:firstLine="248"/>
        <w:spacing w:after="0" w:line="290" w:lineRule="auto"/>
        <w:tabs>
          <w:tab w:leader="none" w:pos="828" w:val="left"/>
        </w:tabs>
        <w:numPr>
          <w:ilvl w:val="0"/>
          <w:numId w:val="309"/>
        </w:numPr>
        <w:rPr>
          <w:rFonts w:ascii="Arial" w:cs="Arial" w:eastAsia="Arial" w:hAnsi="Arial"/>
          <w:sz w:val="15"/>
          <w:szCs w:val="15"/>
          <w:color w:val="auto"/>
        </w:rPr>
      </w:pPr>
      <w:r>
        <w:rPr>
          <w:rFonts w:ascii="Arial" w:cs="Arial" w:eastAsia="Arial" w:hAnsi="Arial"/>
          <w:sz w:val="15"/>
          <w:szCs w:val="15"/>
          <w:color w:val="auto"/>
        </w:rPr>
        <w:t xml:space="preserve">To the extent permitted by applicable law, each Grantor hereby waives promptness, diligence, notice of acceptance and any other notice with respect to any of the Obligations and this Agreement and any requirement that the Buyer exhaust any right or take any action against any other Person or any Collateral. Each Grantor acknowledges that it will receive direct and indirect benefits from the financing arrangements contemplated herein and that the waiver set forth in this </w:t>
      </w:r>
      <w:r>
        <w:rPr>
          <w:rFonts w:ascii="Arial" w:cs="Arial" w:eastAsia="Arial" w:hAnsi="Arial"/>
          <w:sz w:val="15"/>
          <w:szCs w:val="15"/>
          <w:u w:val="single" w:color="auto"/>
          <w:color w:val="auto"/>
        </w:rPr>
        <w:t>Section 10(c)</w:t>
      </w:r>
      <w:r>
        <w:rPr>
          <w:rFonts w:ascii="Arial" w:cs="Arial" w:eastAsia="Arial" w:hAnsi="Arial"/>
          <w:sz w:val="15"/>
          <w:szCs w:val="15"/>
          <w:color w:val="auto"/>
        </w:rPr>
        <w:t xml:space="preserve"> is knowingly made in contemplation of such benefits. The Grantors hereby waive any right to revoke this Agreement, and acknowledge that this Agreement is continuing in nature and applies to all Obligations, whether existing now or in the future.</w:t>
      </w:r>
    </w:p>
    <w:p>
      <w:pPr>
        <w:spacing w:after="0" w:line="52" w:lineRule="exact"/>
        <w:rPr>
          <w:rFonts w:ascii="Arial" w:cs="Arial" w:eastAsia="Arial" w:hAnsi="Arial"/>
          <w:sz w:val="15"/>
          <w:szCs w:val="15"/>
          <w:color w:val="auto"/>
        </w:rPr>
      </w:pPr>
    </w:p>
    <w:p>
      <w:pPr>
        <w:jc w:val="both"/>
        <w:ind w:left="300" w:right="1239" w:firstLine="248"/>
        <w:spacing w:after="0" w:line="282" w:lineRule="auto"/>
        <w:tabs>
          <w:tab w:leader="none" w:pos="848" w:val="left"/>
        </w:tabs>
        <w:numPr>
          <w:ilvl w:val="0"/>
          <w:numId w:val="309"/>
        </w:numPr>
        <w:rPr>
          <w:rFonts w:ascii="Arial" w:cs="Arial" w:eastAsia="Arial" w:hAnsi="Arial"/>
          <w:sz w:val="15"/>
          <w:szCs w:val="15"/>
          <w:color w:val="auto"/>
        </w:rPr>
      </w:pPr>
      <w:r>
        <w:rPr>
          <w:rFonts w:ascii="Arial" w:cs="Arial" w:eastAsia="Arial" w:hAnsi="Arial"/>
          <w:sz w:val="15"/>
          <w:szCs w:val="15"/>
          <w:color w:val="auto"/>
        </w:rPr>
        <w:t>No Grantor may exercise any rights that it may now or hereafter acquire against any other Grantor that arise from the existence, payment, performance or enforcement of any Grantor’s obligations under this Agreement, including, without limitation, any right of subrogation, reimbursement, exoneration, contribution or indemnification and any right to participate in any claim or remedy of the Buyer against any Grantor or any Collateral, whether or not such claim, remedy or right arises in equity or under contract, statute or common law, including, without limitation, the right to take or receive from any Grantor,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If any amount shall be paid to a Grantor in violation of the immediately preceding sentence at any time prior to the indefeasible payment in full in cash of all obligations under the Note (together with any matured indemnification obligations as of the date of such payment, but excluding any inchoate or unmatured contingent indemnification obligations), such amount shall be held in trust for the benefit of the Buyer and shall forthwith be paid to the Buyer to be credited and applied to the Obligations and all other amounts payable under the Note Transaction Documents, whether matured or unmatured, in accordance with the terms of the Note Transaction Documents, or to be held as Collateral for any Obligations or other amounts payable under the Note Transaction Documents thereafter arising.</w:t>
      </w:r>
    </w:p>
    <w:p>
      <w:pPr>
        <w:spacing w:after="0" w:line="67" w:lineRule="exact"/>
        <w:rPr>
          <w:rFonts w:ascii="Arial" w:cs="Arial" w:eastAsia="Arial" w:hAnsi="Arial"/>
          <w:sz w:val="15"/>
          <w:szCs w:val="15"/>
          <w:color w:val="auto"/>
        </w:rPr>
      </w:pPr>
    </w:p>
    <w:p>
      <w:pPr>
        <w:jc w:val="both"/>
        <w:ind w:left="300" w:right="1239" w:firstLine="248"/>
        <w:spacing w:after="0" w:line="256" w:lineRule="auto"/>
        <w:tabs>
          <w:tab w:leader="none" w:pos="82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Any provision of this Agreement that is prohibited or unenforceable in any jurisdiction shall, as to such jurisdiction, be ineffective to the extent of such prohibition or unenforceability without invalidating the remaining portions hereof or thereof or affecting the validity or enforceability of such provision in any other jurisdiction.</w:t>
      </w:r>
    </w:p>
    <w:p>
      <w:pPr>
        <w:spacing w:after="0" w:line="76" w:lineRule="exact"/>
        <w:rPr>
          <w:rFonts w:ascii="Arial" w:cs="Arial" w:eastAsia="Arial" w:hAnsi="Arial"/>
          <w:sz w:val="17"/>
          <w:szCs w:val="17"/>
          <w:color w:val="auto"/>
        </w:rPr>
      </w:pPr>
    </w:p>
    <w:p>
      <w:pPr>
        <w:jc w:val="both"/>
        <w:ind w:left="300" w:right="1239" w:firstLine="248"/>
        <w:spacing w:after="0" w:line="284" w:lineRule="auto"/>
        <w:tabs>
          <w:tab w:leader="none" w:pos="818" w:val="left"/>
        </w:tabs>
        <w:numPr>
          <w:ilvl w:val="0"/>
          <w:numId w:val="309"/>
        </w:numPr>
        <w:rPr>
          <w:rFonts w:ascii="Arial" w:cs="Arial" w:eastAsia="Arial" w:hAnsi="Arial"/>
          <w:sz w:val="15"/>
          <w:szCs w:val="15"/>
          <w:color w:val="auto"/>
        </w:rPr>
      </w:pPr>
      <w:r>
        <w:rPr>
          <w:rFonts w:ascii="Arial" w:cs="Arial" w:eastAsia="Arial" w:hAnsi="Arial"/>
          <w:sz w:val="15"/>
          <w:szCs w:val="15"/>
          <w:color w:val="auto"/>
        </w:rPr>
        <w:t>This Agreement shall create a continuing security interest in the Collateral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(ii) be binding on each Grantor and all other Persons who become bound as debtor to this Agreement in accordance with Section 9-203(d) of the Code and shall inure, together with all rights and remedies of the Buyer hereunder, to the benefit of the Buyer and its respective permitted successors, transferees and assigns. Without limiting the generality of clause (ii) of the immediately preceding sentence, without notice to any Grantor, the Buyer may assign or otherwise transfer its rights and obligations under this Agreement and any of the other Note Transaction Documents, to any other Person and such other Person shall thereupon become vested with all of the benefits in respect thereof granted to the Buyer herein or otherwise. Upon any such assignment or transfer, all references in this Agreement to the Buyer shall mean the assignee of the Buyer. None of the rights or obligations of any Grantor hereunder may be assigned or otherwise transferred without the prior written consent of the Buyer, and any such assignment or transfer without the consent of the Buyer shall be null and void.</w:t>
      </w:r>
    </w:p>
    <w:p>
      <w:pPr>
        <w:spacing w:after="0" w:line="56" w:lineRule="exact"/>
        <w:rPr>
          <w:rFonts w:ascii="Arial" w:cs="Arial" w:eastAsia="Arial" w:hAnsi="Arial"/>
          <w:sz w:val="15"/>
          <w:szCs w:val="15"/>
          <w:color w:val="auto"/>
        </w:rPr>
      </w:pPr>
    </w:p>
    <w:p>
      <w:pPr>
        <w:jc w:val="both"/>
        <w:ind w:left="300" w:right="1239" w:firstLine="248"/>
        <w:spacing w:after="0" w:line="253" w:lineRule="auto"/>
        <w:tabs>
          <w:tab w:leader="none" w:pos="92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Upon the indefeasible payment in full in cash of all obligations under the Note (together with any matured indemnification obligations as of the date of such payment, but excluding any inchoate or unmatured contingent indemnification obligations), (i) this Agreement and the security interests created hereby shall terminate and all rights to the Collateral shall revert to the respective Grantor that granted</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77" w:name="page378"/>
    <w:bookmarkEnd w:id="37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74" w:lineRule="auto"/>
        <w:rPr>
          <w:sz w:val="20"/>
          <w:szCs w:val="20"/>
          <w:color w:val="auto"/>
        </w:rPr>
      </w:pPr>
      <w:r>
        <w:rPr>
          <w:rFonts w:ascii="Arial" w:cs="Arial" w:eastAsia="Arial" w:hAnsi="Arial"/>
          <w:sz w:val="16"/>
          <w:szCs w:val="16"/>
          <w:color w:val="auto"/>
        </w:rPr>
        <w:t>such security interests hereunder, and (ii) the Buyer will, upon such Grantor’s request and at such Grantor’s expense, (A) return to such Grantor such of the Collateral as shall not have been sold or otherwise disposed of or applied pursuant to the terms hereof, and (B) execute and deliver to such Grantor such documents as such Grantor shall reasonably request to evidence such termination, all without any representation, warranty or recourse whatsoever.</w:t>
      </w:r>
    </w:p>
    <w:p>
      <w:pPr>
        <w:spacing w:after="0" w:line="62" w:lineRule="exact"/>
        <w:rPr>
          <w:sz w:val="20"/>
          <w:szCs w:val="20"/>
          <w:color w:val="auto"/>
        </w:rPr>
      </w:pPr>
    </w:p>
    <w:p>
      <w:pPr>
        <w:jc w:val="both"/>
        <w:ind w:left="300" w:right="1239" w:firstLine="248"/>
        <w:spacing w:after="0" w:line="250" w:lineRule="auto"/>
        <w:tabs>
          <w:tab w:leader="none" w:pos="828"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THIS AGREEMENT SHALL BE GOVERNED BY, CONSTRUED AND INTERPRETED IN ACCORDANCE WITH THE LAWS OF THE STATE OF NEW YORK, EXCEPT AS REQUIRED BY MANDATORY PROVISIONS OF LAW AND EXCEPT TO THE EXTENT THAT THE VALIDITY AND PERFECTION OR THE PERFECTION AND THE EFFECT OF PERFECTION OR NON-PERFECTION OF THE SECURITY INTEREST CREATED HEREBY, OR REMEDIES HEREUNDER, IN RESPECT OF ANY PARTICULAR COLLATERAL ARE GOVERNED BY THE LAW OF A JURISDICTION OTHER THAN THE STATE OF NEW YORK.</w:t>
      </w:r>
    </w:p>
    <w:p>
      <w:pPr>
        <w:spacing w:after="0" w:line="81" w:lineRule="exact"/>
        <w:rPr>
          <w:rFonts w:ascii="Arial" w:cs="Arial" w:eastAsia="Arial" w:hAnsi="Arial"/>
          <w:sz w:val="17"/>
          <w:szCs w:val="17"/>
          <w:color w:val="auto"/>
        </w:rPr>
      </w:pPr>
    </w:p>
    <w:p>
      <w:pPr>
        <w:jc w:val="both"/>
        <w:ind w:left="300" w:right="1239" w:firstLine="248"/>
        <w:spacing w:after="0" w:line="265" w:lineRule="auto"/>
        <w:tabs>
          <w:tab w:leader="none" w:pos="92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ANY LEGAL ACTION, SUIT OR PROCEEDING WITH RESPECT TO THIS AGREEMENT OR ANY DOCUMENT RELATED THERETO MAY BE BROUGHT IN THE COURTS OF THE STATE OF NEW YORK IN THE COUNTY OF NEW YORK OR THE UNITED STATES OF AMERICA FOR THE SOUTHERN DISTRICT OF NEW YORK, AND APPELLATE COURTS THEREOF, AND, BY EXECUTION AND DELIVERY OF THIS AGREEMENT, EACH GRANTOR HEREBY ACCEPTS FOR ITSELF AND IN RESPECT OF ITS PROPERTY, GENERALLY AND UNCONDITIONALLY, THE JURISDICTION OF THE AFORESAID COURTS. EACH GRANTOR HEREBY EXPRESSLY AND IRREVOCABLY WAIVES, TO THE FULLEST EXTENT PERMITTED BY LAW, ANY OBJECTION, INCLUDING, WITHOUT LIMITATION, ANY OBJECTION TO THE LAYING OF VENUE OR BASED ON THE GROUNDS OF </w:t>
      </w:r>
      <w:r>
        <w:rPr>
          <w:rFonts w:ascii="Arial" w:cs="Arial" w:eastAsia="Arial" w:hAnsi="Arial"/>
          <w:sz w:val="16"/>
          <w:szCs w:val="16"/>
          <w:u w:val="single" w:color="auto"/>
          <w:color w:val="auto"/>
        </w:rPr>
        <w:t>FORUM NON CONVENIENS</w:t>
      </w:r>
      <w:r>
        <w:rPr>
          <w:rFonts w:ascii="Arial" w:cs="Arial" w:eastAsia="Arial" w:hAnsi="Arial"/>
          <w:sz w:val="16"/>
          <w:szCs w:val="16"/>
          <w:color w:val="auto"/>
        </w:rPr>
        <w:t>, WHICH IT MAY NOW OR HEREAFTER HAVE TO THE BRINGING OF ANY SUCH ACTION, SUIT OR PROCEEDING IN SUCH RESPECTIVE JURISDICTIONS AND CONSENTS TO THE GRANTING OF SUCH LEGAL OR EQUITABLE RELIEF AS IS DEEMED APPROPRIATE BY THE COURT.</w:t>
      </w:r>
    </w:p>
    <w:p>
      <w:pPr>
        <w:spacing w:after="0" w:line="70" w:lineRule="exact"/>
        <w:rPr>
          <w:rFonts w:ascii="Arial" w:cs="Arial" w:eastAsia="Arial" w:hAnsi="Arial"/>
          <w:sz w:val="16"/>
          <w:szCs w:val="16"/>
          <w:color w:val="auto"/>
        </w:rPr>
      </w:pPr>
    </w:p>
    <w:p>
      <w:pPr>
        <w:jc w:val="both"/>
        <w:ind w:left="300" w:right="1239" w:firstLine="248"/>
        <w:spacing w:after="0" w:line="251" w:lineRule="auto"/>
        <w:tabs>
          <w:tab w:leader="none" w:pos="832"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EACH GRANTOR AND (BY ITS ACCEPTANCE OF THE BENEFITS OF THIS AGREEMENT) THE HOLDER WAIVES ANY RIGHT IT MAY HAVE TO TRIAL BY JURY IN RESPECT OF ANY LITIGATION BASED ON, ARISING OUT OF, UNDER OR IN CONNECTION WITH THIS AGREEMENT OR ANY OF THE OTHER NOTE TRANSACTION DOCUMENTS, OR ANY COURSE OF CONDUCT, COURSE OF DEALING, VERBAL OR WRITTEN STATEMENT OR OTHER ACTION OF THE PARTIES HERETO.</w:t>
      </w:r>
    </w:p>
    <w:p>
      <w:pPr>
        <w:spacing w:after="0" w:line="80" w:lineRule="exact"/>
        <w:rPr>
          <w:rFonts w:ascii="Arial" w:cs="Arial" w:eastAsia="Arial" w:hAnsi="Arial"/>
          <w:sz w:val="17"/>
          <w:szCs w:val="17"/>
          <w:color w:val="auto"/>
        </w:rPr>
      </w:pPr>
    </w:p>
    <w:p>
      <w:pPr>
        <w:jc w:val="both"/>
        <w:ind w:left="300" w:right="1239" w:firstLine="248"/>
        <w:spacing w:after="0" w:line="256" w:lineRule="auto"/>
        <w:tabs>
          <w:tab w:leader="none" w:pos="851" w:val="left"/>
        </w:tabs>
        <w:numPr>
          <w:ilvl w:val="0"/>
          <w:numId w:val="310"/>
        </w:numPr>
        <w:rPr>
          <w:rFonts w:ascii="Arial" w:cs="Arial" w:eastAsia="Arial" w:hAnsi="Arial"/>
          <w:sz w:val="17"/>
          <w:szCs w:val="17"/>
          <w:color w:val="auto"/>
        </w:rPr>
      </w:pPr>
      <w:r>
        <w:rPr>
          <w:rFonts w:ascii="Arial" w:cs="Arial" w:eastAsia="Arial" w:hAnsi="Arial"/>
          <w:sz w:val="17"/>
          <w:szCs w:val="17"/>
          <w:color w:val="auto"/>
        </w:rPr>
        <w:t>Nothing contained herein shall affect the right of the Buyer to serve process in any other manner permitted by law or commence legal proceedings or otherwise proceed against any Grantor or any property of such Grantor in any other jurisdiction.</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0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Each Grantor irrevocably and unconditionally waives any right it may have to claim or recover in any legal action, suit or proceeding referred to in this Section any special, exemplary, punitive or consequential damages.</w:t>
      </w:r>
    </w:p>
    <w:p>
      <w:pPr>
        <w:spacing w:after="0" w:line="66" w:lineRule="exact"/>
        <w:rPr>
          <w:rFonts w:ascii="Arial" w:cs="Arial" w:eastAsia="Arial" w:hAnsi="Arial"/>
          <w:sz w:val="17"/>
          <w:szCs w:val="17"/>
          <w:color w:val="auto"/>
        </w:rPr>
      </w:pPr>
    </w:p>
    <w:p>
      <w:pPr>
        <w:ind w:left="300" w:right="1239" w:firstLine="248"/>
        <w:spacing w:after="0" w:line="267" w:lineRule="auto"/>
        <w:tabs>
          <w:tab w:leader="none" w:pos="95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Section headings herein are included for convenience of reference only and shall not constitute a part of this Agreement for any other purpose.</w:t>
      </w:r>
    </w:p>
    <w:p>
      <w:pPr>
        <w:spacing w:after="0" w:line="66" w:lineRule="exact"/>
        <w:rPr>
          <w:rFonts w:ascii="Arial" w:cs="Arial" w:eastAsia="Arial" w:hAnsi="Arial"/>
          <w:sz w:val="17"/>
          <w:szCs w:val="17"/>
          <w:color w:val="auto"/>
        </w:rPr>
      </w:pPr>
    </w:p>
    <w:p>
      <w:pPr>
        <w:ind w:left="300" w:right="1239" w:firstLine="248"/>
        <w:spacing w:after="0" w:line="335" w:lineRule="auto"/>
        <w:tabs>
          <w:tab w:leader="none" w:pos="829" w:val="left"/>
        </w:tabs>
        <w:numPr>
          <w:ilvl w:val="0"/>
          <w:numId w:val="310"/>
        </w:numPr>
        <w:rPr>
          <w:rFonts w:ascii="Arial" w:cs="Arial" w:eastAsia="Arial" w:hAnsi="Arial"/>
          <w:sz w:val="15"/>
          <w:szCs w:val="15"/>
          <w:color w:val="auto"/>
        </w:rPr>
      </w:pPr>
      <w:r>
        <w:rPr>
          <w:rFonts w:ascii="Arial" w:cs="Arial" w:eastAsia="Arial" w:hAnsi="Arial"/>
          <w:sz w:val="15"/>
          <w:szCs w:val="15"/>
          <w:color w:val="auto"/>
        </w:rPr>
        <w:t>This Agreement may be executed in any number of counterparts and by different parties hereto in separate counterparts, each of which shall be deemed to be an original, but all of which taken together constitute one in the same Agreement.</w:t>
      </w:r>
    </w:p>
    <w:p>
      <w:pPr>
        <w:spacing w:after="0" w:line="19" w:lineRule="exact"/>
        <w:rPr>
          <w:rFonts w:ascii="Arial" w:cs="Arial" w:eastAsia="Arial" w:hAnsi="Arial"/>
          <w:sz w:val="15"/>
          <w:szCs w:val="15"/>
          <w:color w:val="auto"/>
        </w:rPr>
      </w:pPr>
    </w:p>
    <w:p>
      <w:pPr>
        <w:jc w:val="both"/>
        <w:ind w:left="300" w:right="1239" w:firstLine="248"/>
        <w:spacing w:after="0" w:line="307" w:lineRule="auto"/>
        <w:tabs>
          <w:tab w:leader="none" w:pos="843" w:val="left"/>
        </w:tabs>
        <w:numPr>
          <w:ilvl w:val="0"/>
          <w:numId w:val="310"/>
        </w:numPr>
        <w:rPr>
          <w:rFonts w:ascii="Arial" w:cs="Arial" w:eastAsia="Arial" w:hAnsi="Arial"/>
          <w:sz w:val="15"/>
          <w:szCs w:val="15"/>
          <w:color w:val="auto"/>
        </w:rPr>
      </w:pPr>
      <w:r>
        <w:rPr>
          <w:rFonts w:ascii="Arial" w:cs="Arial" w:eastAsia="Arial" w:hAnsi="Arial"/>
          <w:sz w:val="15"/>
          <w:szCs w:val="15"/>
          <w:color w:val="auto"/>
        </w:rPr>
        <w:t>The parties hereto hereby acknowledge and agree that this Agreement shall amend, restate, modify, extend, renew and continue the terms and provisions contained in the Existing Security Agreement and shall not extinguish or release any Grantor from any liability under the Existing Security Agreement or otherwise constitute a novation of its obligations thereunder.</w:t>
      </w:r>
    </w:p>
    <w:p>
      <w:pPr>
        <w:spacing w:after="0" w:line="40"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[REMAINDER OF THIS PAGE INTENTIONALLY LEFT BLANK]</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78" w:name="page379"/>
    <w:bookmarkEnd w:id="37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IN WITNESS WHEREOF, each Grantor has caused this Agreement to be executed and delivered by its officer thereunto duly authorized,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481393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VRINGO, INC.</w:t>
      </w:r>
      <w:r>
        <w:rPr>
          <w:rFonts w:ascii="Arial" w:cs="Arial" w:eastAsia="Arial" w:hAnsi="Arial"/>
          <w:sz w:val="17"/>
          <w:szCs w:val="17"/>
          <w:color w:val="auto"/>
        </w:rPr>
        <w:t>, a Delaware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056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INNOVATE/PROTECT, INC.</w:t>
      </w:r>
      <w:r>
        <w:rPr>
          <w:rFonts w:ascii="Arial" w:cs="Arial" w:eastAsia="Arial" w:hAnsi="Arial"/>
          <w:sz w:val="17"/>
          <w:szCs w:val="17"/>
          <w:color w:val="auto"/>
        </w:rPr>
        <w:t>, a Delaware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formerly known as Labrador Search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3175</wp:posOffset>
            </wp:positionV>
            <wp:extent cx="229933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9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056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I/P LABS, INC.</w:t>
      </w:r>
      <w:r>
        <w:rPr>
          <w:rFonts w:ascii="Arial" w:cs="Arial" w:eastAsia="Arial" w:hAnsi="Arial"/>
          <w:sz w:val="17"/>
          <w:szCs w:val="17"/>
          <w:color w:val="auto"/>
        </w:rPr>
        <w:t>, a Delaware corporation formerly known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as Scottish Terrier Capital,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3175</wp:posOffset>
            </wp:positionV>
            <wp:extent cx="229933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480568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I/P ENGINE, INC.</w:t>
      </w:r>
      <w:r>
        <w:rPr>
          <w:rFonts w:ascii="Arial" w:cs="Arial" w:eastAsia="Arial" w:hAnsi="Arial"/>
          <w:sz w:val="17"/>
          <w:szCs w:val="17"/>
          <w:color w:val="auto"/>
        </w:rPr>
        <w:t>, a Virginia corporation formerly</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known as Smart Search Labs,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3175</wp:posOffset>
            </wp:positionV>
            <wp:extent cx="229933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9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Vringo Pledge and Security Agreement</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79" w:name="page380"/>
    <w:bookmarkEnd w:id="37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481393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spacing w:after="0" w:line="60"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VRINGO, LTD.</w:t>
      </w:r>
      <w:r>
        <w:rPr>
          <w:rFonts w:ascii="Arial" w:cs="Arial" w:eastAsia="Arial" w:hAnsi="Arial"/>
          <w:sz w:val="16"/>
          <w:szCs w:val="16"/>
          <w:color w:val="auto"/>
        </w:rPr>
        <w:t>, an Israeli corporation</w:t>
      </w:r>
    </w:p>
    <w:p>
      <w:pPr>
        <w:spacing w:after="0" w:line="3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9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1393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ACCEPTED BY</w:t>
      </w:r>
      <w:r>
        <w:rPr>
          <w:rFonts w:ascii="Arial" w:cs="Arial" w:eastAsia="Arial" w:hAnsi="Arial"/>
          <w:sz w:val="17"/>
          <w:szCs w:val="17"/>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HUDSON BAY MASTER FUND LTD.,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as Buyer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3175</wp:posOffset>
            </wp:positionV>
            <wp:extent cx="191770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91770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Address:</w:t>
      </w:r>
    </w:p>
    <w:p>
      <w:pPr>
        <w:spacing w:after="0" w:line="9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Vringo Pledge and Security Agreement</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0" w:name="page381"/>
    <w:bookmarkEnd w:id="38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Exhibit J</w:t>
      </w:r>
    </w:p>
    <w:p>
      <w:pPr>
        <w:spacing w:after="0" w:line="201"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FORM OF AMENDED AND RESTATED GUARANTY</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AMENDED AND RESTATED GUARANTY, dated as of [_______ __], 2012 (this “</w:t>
      </w:r>
      <w:r>
        <w:rPr>
          <w:rFonts w:ascii="Arial" w:cs="Arial" w:eastAsia="Arial" w:hAnsi="Arial"/>
          <w:sz w:val="16"/>
          <w:szCs w:val="16"/>
          <w:b w:val="1"/>
          <w:bCs w:val="1"/>
          <w:color w:val="auto"/>
        </w:rPr>
        <w:t>Guaranty</w:t>
      </w:r>
      <w:r>
        <w:rPr>
          <w:rFonts w:ascii="Arial" w:cs="Arial" w:eastAsia="Arial" w:hAnsi="Arial"/>
          <w:sz w:val="16"/>
          <w:szCs w:val="16"/>
          <w:color w:val="auto"/>
        </w:rPr>
        <w:t xml:space="preserve">”), made by </w:t>
      </w:r>
      <w:r>
        <w:rPr>
          <w:rFonts w:ascii="Arial" w:cs="Arial" w:eastAsia="Arial" w:hAnsi="Arial"/>
          <w:sz w:val="16"/>
          <w:szCs w:val="16"/>
          <w:b w:val="1"/>
          <w:bCs w:val="1"/>
          <w:color w:val="auto"/>
        </w:rPr>
        <w:t>VRINGO, INC.</w:t>
      </w:r>
      <w:r>
        <w:rPr>
          <w:rFonts w:ascii="Arial" w:cs="Arial" w:eastAsia="Arial" w:hAnsi="Arial"/>
          <w:sz w:val="16"/>
          <w:szCs w:val="16"/>
          <w:color w:val="auto"/>
        </w:rPr>
        <w:t>, a</w:t>
      </w:r>
    </w:p>
    <w:p>
      <w:pPr>
        <w:spacing w:after="0" w:line="33" w:lineRule="exact"/>
        <w:rPr>
          <w:sz w:val="20"/>
          <w:szCs w:val="20"/>
          <w:color w:val="auto"/>
        </w:rPr>
      </w:pPr>
    </w:p>
    <w:p>
      <w:pPr>
        <w:jc w:val="both"/>
        <w:ind w:left="40" w:right="1239"/>
        <w:spacing w:after="0" w:line="266" w:lineRule="auto"/>
        <w:rPr>
          <w:sz w:val="20"/>
          <w:szCs w:val="20"/>
          <w:color w:val="auto"/>
        </w:rPr>
      </w:pPr>
      <w:r>
        <w:rPr>
          <w:rFonts w:ascii="Arial" w:cs="Arial" w:eastAsia="Arial" w:hAnsi="Arial"/>
          <w:sz w:val="16"/>
          <w:szCs w:val="16"/>
          <w:color w:val="auto"/>
        </w:rPr>
        <w:t>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each of its existing “Subsidiaries” (as defined in the Note defined below) as named on the signature pages hereto (collectively, the “</w:t>
      </w:r>
      <w:r>
        <w:rPr>
          <w:rFonts w:ascii="Arial" w:cs="Arial" w:eastAsia="Arial" w:hAnsi="Arial"/>
          <w:sz w:val="16"/>
          <w:szCs w:val="16"/>
          <w:b w:val="1"/>
          <w:bCs w:val="1"/>
          <w:color w:val="auto"/>
        </w:rPr>
        <w:t>Existing Subsidiaries</w:t>
      </w:r>
      <w:r>
        <w:rPr>
          <w:rFonts w:ascii="Arial" w:cs="Arial" w:eastAsia="Arial" w:hAnsi="Arial"/>
          <w:sz w:val="16"/>
          <w:szCs w:val="16"/>
          <w:color w:val="auto"/>
        </w:rPr>
        <w:t>”) and each other Subsidiary of the Company hereafter becoming party hereto (each individually referred to herein as a “</w:t>
      </w:r>
      <w:r>
        <w:rPr>
          <w:rFonts w:ascii="Arial" w:cs="Arial" w:eastAsia="Arial" w:hAnsi="Arial"/>
          <w:sz w:val="16"/>
          <w:szCs w:val="16"/>
          <w:b w:val="1"/>
          <w:bCs w:val="1"/>
          <w:color w:val="auto"/>
        </w:rPr>
        <w:t>New Subsidiary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New Subsidiaries</w:t>
      </w:r>
      <w:r>
        <w:rPr>
          <w:rFonts w:ascii="Arial" w:cs="Arial" w:eastAsia="Arial" w:hAnsi="Arial"/>
          <w:sz w:val="16"/>
          <w:szCs w:val="16"/>
          <w:color w:val="auto"/>
        </w:rPr>
        <w:t xml:space="preserve">,” together with the Company and the Existing Subsidiaries, each a “ </w:t>
      </w:r>
      <w:r>
        <w:rPr>
          <w:rFonts w:ascii="Arial" w:cs="Arial" w:eastAsia="Arial" w:hAnsi="Arial"/>
          <w:sz w:val="16"/>
          <w:szCs w:val="16"/>
          <w:b w:val="1"/>
          <w:bCs w:val="1"/>
          <w:color w:val="auto"/>
        </w:rPr>
        <w:t>Guarantor</w:t>
      </w:r>
      <w:r>
        <w:rPr>
          <w:rFonts w:ascii="Arial" w:cs="Arial" w:eastAsia="Arial" w:hAnsi="Arial"/>
          <w:sz w:val="16"/>
          <w:szCs w:val="16"/>
          <w:color w:val="auto"/>
        </w:rPr>
        <w:t>” and, collectively, the “</w:t>
      </w:r>
      <w:r>
        <w:rPr>
          <w:rFonts w:ascii="Arial" w:cs="Arial" w:eastAsia="Arial" w:hAnsi="Arial"/>
          <w:sz w:val="16"/>
          <w:szCs w:val="16"/>
          <w:b w:val="1"/>
          <w:bCs w:val="1"/>
          <w:color w:val="auto"/>
        </w:rPr>
        <w:t>Guarantor</w:t>
      </w:r>
      <w:r>
        <w:rPr>
          <w:rFonts w:ascii="Arial" w:cs="Arial" w:eastAsia="Arial" w:hAnsi="Arial"/>
          <w:sz w:val="16"/>
          <w:szCs w:val="16"/>
          <w:color w:val="auto"/>
        </w:rPr>
        <w:t>”), in favor of the “Buyer” (as defined below) party to the Note referenced below.</w:t>
      </w:r>
    </w:p>
    <w:p>
      <w:pPr>
        <w:spacing w:after="0" w:line="167"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u w:val="single" w:color="auto"/>
          <w:color w:val="auto"/>
        </w:rPr>
        <w:t>WITNESSETH</w:t>
      </w:r>
      <w:r>
        <w:rPr>
          <w:rFonts w:ascii="Arial" w:cs="Arial" w:eastAsia="Arial" w:hAnsi="Arial"/>
          <w:sz w:val="17"/>
          <w:szCs w:val="17"/>
          <w:b w:val="1"/>
          <w:bCs w:val="1"/>
          <w:color w:val="auto"/>
        </w:rPr>
        <w:t>:</w:t>
      </w:r>
    </w:p>
    <w:p>
      <w:pPr>
        <w:spacing w:after="0" w:line="105" w:lineRule="exact"/>
        <w:rPr>
          <w:sz w:val="20"/>
          <w:szCs w:val="20"/>
          <w:color w:val="auto"/>
        </w:rPr>
      </w:pPr>
    </w:p>
    <w:p>
      <w:pPr>
        <w:jc w:val="both"/>
        <w:ind w:left="40" w:right="1239" w:firstLine="251"/>
        <w:spacing w:after="0" w:line="252" w:lineRule="auto"/>
        <w:rPr>
          <w:sz w:val="20"/>
          <w:szCs w:val="20"/>
          <w:color w:val="auto"/>
        </w:rPr>
      </w:pPr>
      <w:r>
        <w:rPr>
          <w:rFonts w:ascii="Arial" w:cs="Arial" w:eastAsia="Arial" w:hAnsi="Arial"/>
          <w:sz w:val="17"/>
          <w:szCs w:val="17"/>
          <w:color w:val="auto"/>
        </w:rPr>
        <w:t>WHEREAS, Innovate/Protect, Inc., a Delaware corporation formerly known as Labrador Search Corporation (“</w:t>
      </w:r>
      <w:r>
        <w:rPr>
          <w:rFonts w:ascii="Arial" w:cs="Arial" w:eastAsia="Arial" w:hAnsi="Arial"/>
          <w:sz w:val="17"/>
          <w:szCs w:val="17"/>
          <w:b w:val="1"/>
          <w:bCs w:val="1"/>
          <w:color w:val="auto"/>
        </w:rPr>
        <w:t>I/P</w:t>
      </w:r>
      <w:r>
        <w:rPr>
          <w:rFonts w:ascii="Arial" w:cs="Arial" w:eastAsia="Arial" w:hAnsi="Arial"/>
          <w:sz w:val="17"/>
          <w:szCs w:val="17"/>
          <w:color w:val="auto"/>
        </w:rPr>
        <w:t>”), and Hudson Bay Master Fund Ltd. (the “</w:t>
      </w:r>
      <w:r>
        <w:rPr>
          <w:rFonts w:ascii="Arial" w:cs="Arial" w:eastAsia="Arial" w:hAnsi="Arial"/>
          <w:sz w:val="17"/>
          <w:szCs w:val="17"/>
          <w:b w:val="1"/>
          <w:bCs w:val="1"/>
          <w:color w:val="auto"/>
        </w:rPr>
        <w:t>Buyer</w:t>
      </w:r>
      <w:r>
        <w:rPr>
          <w:rFonts w:ascii="Arial" w:cs="Arial" w:eastAsia="Arial" w:hAnsi="Arial"/>
          <w:sz w:val="17"/>
          <w:szCs w:val="17"/>
          <w:color w:val="auto"/>
        </w:rPr>
        <w:t>”) are parties to that certain Subscription Agreement, dated as of June 22, 2011 (as amended, restated or otherwise modified from time to time,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pursuant to which, among other things, I/P issued the Senior Secured Note in the original principal amount of $3,200,000 (as amended, restated or otherwise modified from time to time, the “</w:t>
      </w:r>
      <w:r>
        <w:rPr>
          <w:rFonts w:ascii="Arial" w:cs="Arial" w:eastAsia="Arial" w:hAnsi="Arial"/>
          <w:sz w:val="17"/>
          <w:szCs w:val="17"/>
          <w:b w:val="1"/>
          <w:bCs w:val="1"/>
          <w:color w:val="auto"/>
        </w:rPr>
        <w:t>Note</w:t>
      </w:r>
      <w:r>
        <w:rPr>
          <w:rFonts w:ascii="Arial" w:cs="Arial" w:eastAsia="Arial" w:hAnsi="Arial"/>
          <w:sz w:val="17"/>
          <w:szCs w:val="17"/>
          <w:color w:val="auto"/>
        </w:rPr>
        <w:t>”) to the Buyer;</w:t>
      </w:r>
    </w:p>
    <w:p>
      <w:pPr>
        <w:spacing w:after="0" w:line="76"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WHEREAS, pursuant to the Guaranty dated as of June 22, 2011 (as amended prior to the date hereof,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Guaranty</w:t>
      </w:r>
      <w:r>
        <w:rPr>
          <w:rFonts w:ascii="Arial" w:cs="Arial" w:eastAsia="Arial" w:hAnsi="Arial"/>
          <w:sz w:val="17"/>
          <w:szCs w:val="17"/>
          <w:color w:val="auto"/>
        </w:rPr>
        <w:t>”), I/P Engine, Inc., a Virginia corporation formerly known as Smart Search Labs, Inc. (“</w:t>
      </w:r>
      <w:r>
        <w:rPr>
          <w:rFonts w:ascii="Arial" w:cs="Arial" w:eastAsia="Arial" w:hAnsi="Arial"/>
          <w:sz w:val="17"/>
          <w:szCs w:val="17"/>
          <w:b w:val="1"/>
          <w:bCs w:val="1"/>
          <w:color w:val="auto"/>
        </w:rPr>
        <w:t>I/P Engine</w:t>
      </w:r>
      <w:r>
        <w:rPr>
          <w:rFonts w:ascii="Arial" w:cs="Arial" w:eastAsia="Arial" w:hAnsi="Arial"/>
          <w:sz w:val="17"/>
          <w:szCs w:val="17"/>
          <w:color w:val="auto"/>
        </w:rPr>
        <w:t>”), I/P Labs, Inc.,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formerly known as Scottish Terrier Capital, Inc. (“</w:t>
      </w:r>
      <w:r>
        <w:rPr>
          <w:rFonts w:ascii="Arial" w:cs="Arial" w:eastAsia="Arial" w:hAnsi="Arial"/>
          <w:sz w:val="17"/>
          <w:szCs w:val="17"/>
          <w:b w:val="1"/>
          <w:bCs w:val="1"/>
          <w:color w:val="auto"/>
        </w:rPr>
        <w:t>I/P Labs</w:t>
      </w:r>
      <w:r>
        <w:rPr>
          <w:rFonts w:ascii="Arial" w:cs="Arial" w:eastAsia="Arial" w:hAnsi="Arial"/>
          <w:sz w:val="17"/>
          <w:szCs w:val="17"/>
          <w:color w:val="auto"/>
        </w:rPr>
        <w:t>” and together with I/P Engine, each individually referred to herein as an “</w:t>
      </w:r>
      <w:r>
        <w:rPr>
          <w:rFonts w:ascii="Arial" w:cs="Arial" w:eastAsia="Arial" w:hAnsi="Arial"/>
          <w:sz w:val="17"/>
          <w:szCs w:val="17"/>
          <w:b w:val="1"/>
          <w:bCs w:val="1"/>
          <w:color w:val="auto"/>
        </w:rPr>
        <w:t>Existing Guarantor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Existing Guarantors</w:t>
      </w:r>
      <w:r>
        <w:rPr>
          <w:rFonts w:ascii="Arial" w:cs="Arial" w:eastAsia="Arial" w:hAnsi="Arial"/>
          <w:sz w:val="17"/>
          <w:szCs w:val="17"/>
          <w:color w:val="auto"/>
        </w:rPr>
        <w:t>”), guaranteed all of the obligations of I/P under, among other things, the Subscription Agreement, the Note and the other “Transaction Documents” (as defined in the Note), and have agreed to ratify and confirm certain of their guaranty obligations thereunder pursuant to this amended and restated Guaranty;</w:t>
      </w:r>
    </w:p>
    <w:p>
      <w:pPr>
        <w:spacing w:after="0" w:line="7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color w:val="auto"/>
        </w:rPr>
        <w:t>WHEREAS, the Company, I/P and Vringo Merger Sub, Inc. (“</w:t>
      </w:r>
      <w:r>
        <w:rPr>
          <w:rFonts w:ascii="Arial" w:cs="Arial" w:eastAsia="Arial" w:hAnsi="Arial"/>
          <w:sz w:val="16"/>
          <w:szCs w:val="16"/>
          <w:b w:val="1"/>
          <w:bCs w:val="1"/>
          <w:color w:val="auto"/>
        </w:rPr>
        <w:t>Merger Sub</w:t>
      </w:r>
      <w:r>
        <w:rPr>
          <w:rFonts w:ascii="Arial" w:cs="Arial" w:eastAsia="Arial" w:hAnsi="Arial"/>
          <w:sz w:val="16"/>
          <w:szCs w:val="16"/>
          <w:color w:val="auto"/>
        </w:rPr>
        <w:t>”), a wholly-owned subsidiary of the Company, have entered into that certain Agreement and Plan of Merger, dated as of March [__], 2012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among other things, I/P shall be merged with and into Merger Sub (the “</w:t>
      </w:r>
      <w:r>
        <w:rPr>
          <w:rFonts w:ascii="Arial" w:cs="Arial" w:eastAsia="Arial" w:hAnsi="Arial"/>
          <w:sz w:val="16"/>
          <w:szCs w:val="16"/>
          <w:b w:val="1"/>
          <w:bCs w:val="1"/>
          <w:color w:val="auto"/>
        </w:rPr>
        <w:t>Merger Transaction</w:t>
      </w:r>
      <w:r>
        <w:rPr>
          <w:rFonts w:ascii="Arial" w:cs="Arial" w:eastAsia="Arial" w:hAnsi="Arial"/>
          <w:sz w:val="16"/>
          <w:szCs w:val="16"/>
          <w:color w:val="auto"/>
        </w:rPr>
        <w:t>”);</w:t>
      </w:r>
    </w:p>
    <w:p>
      <w:pPr>
        <w:spacing w:after="0" w:line="57"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WHEREAS, the Company, as part of the Merger Transaction, has agreed to guarantee the obligations of I/P under the Note and the Note Transaction Documents, and the Company has agreed to cause Vringo, Ltd., an Israeli corporation (“</w:t>
      </w:r>
      <w:r>
        <w:rPr>
          <w:rFonts w:ascii="Arial" w:cs="Arial" w:eastAsia="Arial" w:hAnsi="Arial"/>
          <w:sz w:val="15"/>
          <w:szCs w:val="15"/>
          <w:b w:val="1"/>
          <w:bCs w:val="1"/>
          <w:color w:val="auto"/>
        </w:rPr>
        <w:t>Vringo Israel</w:t>
      </w:r>
      <w:r>
        <w:rPr>
          <w:rFonts w:ascii="Arial" w:cs="Arial" w:eastAsia="Arial" w:hAnsi="Arial"/>
          <w:sz w:val="15"/>
          <w:szCs w:val="15"/>
          <w:color w:val="auto"/>
        </w:rPr>
        <w:t>”), and Vringo Israel has agreed, to guarantee the obligations of I/P under the Note and the Note Transaction Documents;</w:t>
      </w:r>
    </w:p>
    <w:p>
      <w:pPr>
        <w:spacing w:after="0" w:line="4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WHEREAS, pursuant to an Amended and Restated Pledge and Security Agreement, dated as of the date hereof (as amended, restated or otherwise modified from time to time, the “</w:t>
      </w:r>
      <w:r>
        <w:rPr>
          <w:rFonts w:ascii="Arial" w:cs="Arial" w:eastAsia="Arial" w:hAnsi="Arial"/>
          <w:sz w:val="17"/>
          <w:szCs w:val="17"/>
          <w:b w:val="1"/>
          <w:bCs w:val="1"/>
          <w:color w:val="auto"/>
        </w:rPr>
        <w:t>Security Agreement</w:t>
      </w:r>
      <w:r>
        <w:rPr>
          <w:rFonts w:ascii="Arial" w:cs="Arial" w:eastAsia="Arial" w:hAnsi="Arial"/>
          <w:sz w:val="17"/>
          <w:szCs w:val="17"/>
          <w:color w:val="auto"/>
        </w:rPr>
        <w:t>”), the Guarantors have granted to the Buyer a security interest in and lien on their assets to secure their respective obligations under this Guaranty, the Note and the other Note Transaction Documents (as defined in the Note);</w:t>
      </w:r>
    </w:p>
    <w:p>
      <w:pPr>
        <w:spacing w:after="0" w:line="7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WHEREAS, each of the Existing Guarantors, the Company and each other Guarantor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Guarantors, the Company and each other Guarantor.</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NOW, THEREFORE, in consideration of the premises and the agreements herein and for other consideration, the sufficiency of which is hereby acknowledged, each Guarantor hereby agrees with the Buyer as follows:</w:t>
      </w:r>
    </w:p>
    <w:p>
      <w:pPr>
        <w:spacing w:after="0" w:line="66"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Definitions</w:t>
      </w:r>
      <w:r>
        <w:rPr>
          <w:rFonts w:ascii="Arial" w:cs="Arial" w:eastAsia="Arial" w:hAnsi="Arial"/>
          <w:sz w:val="15"/>
          <w:szCs w:val="15"/>
          <w:color w:val="auto"/>
        </w:rPr>
        <w:t>. Reference is hereby made to the Note for a statement of the terms thereof. All terms used in this Guaranty, which are defined in the Note and not otherwise defined herein, shall have the same meanings herein as set forth therein.</w:t>
      </w:r>
    </w:p>
    <w:p>
      <w:pPr>
        <w:spacing w:after="0" w:line="200" w:lineRule="exact"/>
        <w:rPr>
          <w:sz w:val="20"/>
          <w:szCs w:val="20"/>
          <w:color w:val="auto"/>
        </w:rPr>
      </w:pPr>
    </w:p>
    <w:p>
      <w:pPr>
        <w:spacing w:after="0" w:line="23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1" w:name="page382"/>
    <w:bookmarkEnd w:id="38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Guaranty</w:t>
      </w:r>
      <w:r>
        <w:rPr>
          <w:rFonts w:ascii="Arial" w:cs="Arial" w:eastAsia="Arial" w:hAnsi="Arial"/>
          <w:sz w:val="16"/>
          <w:szCs w:val="16"/>
          <w:color w:val="auto"/>
        </w:rPr>
        <w:t>. The Guarantors, jointly and severally, hereby unconditionally and irrevocably, guaranty (a) the punctual payment, as and when due and payable, by stated maturity or otherwise, of all obligations and any other amounts now or hereafter owing by the Company in respect of it in respect of the Note and the other Note Transaction Documents, including, without limitation, all interest that accrues after the commencement of any proceeding commenced by or against any the Company or any Guarantor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 (an “</w:t>
      </w:r>
      <w:r>
        <w:rPr>
          <w:rFonts w:ascii="Arial" w:cs="Arial" w:eastAsia="Arial" w:hAnsi="Arial"/>
          <w:sz w:val="16"/>
          <w:szCs w:val="16"/>
          <w:b w:val="1"/>
          <w:bCs w:val="1"/>
          <w:color w:val="auto"/>
        </w:rPr>
        <w:t>Insolvency Proceeding</w:t>
      </w:r>
      <w:r>
        <w:rPr>
          <w:rFonts w:ascii="Arial" w:cs="Arial" w:eastAsia="Arial" w:hAnsi="Arial"/>
          <w:sz w:val="16"/>
          <w:szCs w:val="16"/>
          <w:color w:val="auto"/>
        </w:rPr>
        <w:t>”), whether or not the payment of such interest is unenforceable or is not allowable due to the existence of such Insolvency Proceeding, and any and all expenses (including reasonable counsel fees and expenses) reasonably incurred by the Buyer in enforcing any rights under this Guaranty (such obligations, to the extent not paid by the Company, being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and (b) the punctual and faithful performance, keeping, observance and fulfillment by the Company of all of the agreements, conditions, covenants and obligations of the Company contained in the Note and the other Note Transaction Documents. Without limiting the generality of the foregoing, each Guarantor’s liability hereunder shall extend to all amounts that constitute part of the Guaranteed Obligations and would be owed by the Company to the Buyer under the Note but for the fact that they are unenforceable or not allowable due to the existence of an Insolvency Proceeding involving any Guarantor or the Company (each, a “</w:t>
      </w:r>
      <w:r>
        <w:rPr>
          <w:rFonts w:ascii="Arial" w:cs="Arial" w:eastAsia="Arial" w:hAnsi="Arial"/>
          <w:sz w:val="16"/>
          <w:szCs w:val="16"/>
          <w:b w:val="1"/>
          <w:bCs w:val="1"/>
          <w:color w:val="auto"/>
        </w:rPr>
        <w:t>Transaction</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Guaranty Absolute; Continuing Guaranty; Assignments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6" w:lineRule="auto"/>
        <w:tabs>
          <w:tab w:leader="none" w:pos="826" w:val="left"/>
        </w:tabs>
        <w:numPr>
          <w:ilvl w:val="0"/>
          <w:numId w:val="311"/>
        </w:numPr>
        <w:rPr>
          <w:rFonts w:ascii="Arial" w:cs="Arial" w:eastAsia="Arial" w:hAnsi="Arial"/>
          <w:sz w:val="15"/>
          <w:szCs w:val="15"/>
          <w:color w:val="auto"/>
        </w:rPr>
      </w:pPr>
      <w:r>
        <w:rPr>
          <w:rFonts w:ascii="Arial" w:cs="Arial" w:eastAsia="Arial" w:hAnsi="Arial"/>
          <w:sz w:val="15"/>
          <w:szCs w:val="15"/>
          <w:color w:val="auto"/>
        </w:rPr>
        <w:t>The Guarantors, jointly and severally, guaranty that the Guaranteed Obligations will be paid strictly in accordance with the terms of the Note Transaction Documents, regardless of any law, regulation or order now or hereafter in effect in any jurisdiction affecting any of such terms or the rights of the Buyer with respect thereto. The obligations of each Guarantor under this Guaranty are independent of the Guaranteed Obligations, and a separate action or actions may be brought and prosecuted against any Guarantor to enforce such obligations, irrespective of whether any action is brought against any Transaction Party or whether any Transaction Party is joined in any such action or actions. The liability of any Guarantor under this Guaranty shall be irrevocable, absolute and unconditional irrespective of, and each Guarantor hereby irrevocably waives, to the extent permitted by law, any defenses it may now or hereafter have in any way relating to, any or all of the following:</w:t>
      </w:r>
    </w:p>
    <w:p>
      <w:pPr>
        <w:spacing w:after="0" w:line="59" w:lineRule="exact"/>
        <w:rPr>
          <w:rFonts w:ascii="Arial" w:cs="Arial" w:eastAsia="Arial" w:hAnsi="Arial"/>
          <w:sz w:val="15"/>
          <w:szCs w:val="15"/>
          <w:color w:val="auto"/>
        </w:rPr>
      </w:pPr>
    </w:p>
    <w:p>
      <w:pPr>
        <w:ind w:left="1080" w:hanging="281"/>
        <w:spacing w:after="0"/>
        <w:tabs>
          <w:tab w:leader="none" w:pos="1080" w:val="left"/>
        </w:tabs>
        <w:numPr>
          <w:ilvl w:val="1"/>
          <w:numId w:val="311"/>
        </w:numPr>
        <w:rPr>
          <w:rFonts w:ascii="Arial" w:cs="Arial" w:eastAsia="Arial" w:hAnsi="Arial"/>
          <w:sz w:val="15"/>
          <w:szCs w:val="15"/>
          <w:color w:val="auto"/>
        </w:rPr>
      </w:pPr>
      <w:r>
        <w:rPr>
          <w:rFonts w:ascii="Arial" w:cs="Arial" w:eastAsia="Arial" w:hAnsi="Arial"/>
          <w:sz w:val="15"/>
          <w:szCs w:val="15"/>
          <w:color w:val="auto"/>
        </w:rPr>
        <w:t>any lack of validity or enforceability of any Note Transaction Document or any agreement or instrument relating</w:t>
      </w:r>
    </w:p>
    <w:p>
      <w:pPr>
        <w:spacing w:after="0" w:line="40"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thereto;</w:t>
      </w:r>
    </w:p>
    <w:p>
      <w:pPr>
        <w:spacing w:after="0" w:line="92" w:lineRule="exact"/>
        <w:rPr>
          <w:rFonts w:ascii="Arial" w:cs="Arial" w:eastAsia="Arial" w:hAnsi="Arial"/>
          <w:sz w:val="15"/>
          <w:szCs w:val="15"/>
          <w:color w:val="auto"/>
        </w:rPr>
      </w:pPr>
    </w:p>
    <w:p>
      <w:pPr>
        <w:jc w:val="both"/>
        <w:ind w:left="540" w:right="1239" w:firstLine="259"/>
        <w:spacing w:after="0" w:line="253" w:lineRule="auto"/>
        <w:tabs>
          <w:tab w:leader="none" w:pos="1127" w:val="left"/>
        </w:tabs>
        <w:numPr>
          <w:ilvl w:val="1"/>
          <w:numId w:val="311"/>
        </w:numPr>
        <w:rPr>
          <w:rFonts w:ascii="Arial" w:cs="Arial" w:eastAsia="Arial" w:hAnsi="Arial"/>
          <w:sz w:val="17"/>
          <w:szCs w:val="17"/>
          <w:color w:val="auto"/>
        </w:rPr>
      </w:pPr>
      <w:r>
        <w:rPr>
          <w:rFonts w:ascii="Arial" w:cs="Arial" w:eastAsia="Arial" w:hAnsi="Arial"/>
          <w:sz w:val="17"/>
          <w:szCs w:val="17"/>
          <w:color w:val="auto"/>
        </w:rPr>
        <w:t>any change in the time, manner or place of payment of, or in any other term of, all or any of the Guaranteed Obligations, or any other amendment or waiver of or any consent to departure from any Note Transaction Document, including, without limitation, any increase in the Guaranteed Obligations resulting from the extension of additional credit to any Transaction Party or otherwise;</w:t>
      </w:r>
    </w:p>
    <w:p>
      <w:pPr>
        <w:spacing w:after="0" w:line="77" w:lineRule="exact"/>
        <w:rPr>
          <w:rFonts w:ascii="Arial" w:cs="Arial" w:eastAsia="Arial" w:hAnsi="Arial"/>
          <w:sz w:val="17"/>
          <w:szCs w:val="17"/>
          <w:color w:val="auto"/>
        </w:rPr>
      </w:pPr>
    </w:p>
    <w:p>
      <w:pPr>
        <w:jc w:val="both"/>
        <w:ind w:left="540" w:right="1239" w:firstLine="259"/>
        <w:spacing w:after="0" w:line="256" w:lineRule="auto"/>
        <w:tabs>
          <w:tab w:leader="none" w:pos="1127" w:val="left"/>
        </w:tabs>
        <w:numPr>
          <w:ilvl w:val="1"/>
          <w:numId w:val="311"/>
        </w:numPr>
        <w:rPr>
          <w:rFonts w:ascii="Arial" w:cs="Arial" w:eastAsia="Arial" w:hAnsi="Arial"/>
          <w:sz w:val="17"/>
          <w:szCs w:val="17"/>
          <w:color w:val="auto"/>
        </w:rPr>
      </w:pPr>
      <w:r>
        <w:rPr>
          <w:rFonts w:ascii="Arial" w:cs="Arial" w:eastAsia="Arial" w:hAnsi="Arial"/>
          <w:sz w:val="17"/>
          <w:szCs w:val="17"/>
          <w:color w:val="auto"/>
        </w:rPr>
        <w:t>any taking, exchange, release or non-perfection of any collateral with respect to the Guaranteed Obligations, or any taking, release or amendment or waiver of or consent to departure from any other guaranty, for all or any of the Guaranteed Obligations; or</w:t>
      </w:r>
    </w:p>
    <w:p>
      <w:pPr>
        <w:spacing w:after="0" w:line="76" w:lineRule="exact"/>
        <w:rPr>
          <w:rFonts w:ascii="Arial" w:cs="Arial" w:eastAsia="Arial" w:hAnsi="Arial"/>
          <w:sz w:val="17"/>
          <w:szCs w:val="17"/>
          <w:color w:val="auto"/>
        </w:rPr>
      </w:pPr>
    </w:p>
    <w:p>
      <w:pPr>
        <w:ind w:left="540" w:right="1239" w:firstLine="259"/>
        <w:spacing w:after="0" w:line="267" w:lineRule="auto"/>
        <w:tabs>
          <w:tab w:leader="none" w:pos="1165" w:val="left"/>
        </w:tabs>
        <w:numPr>
          <w:ilvl w:val="1"/>
          <w:numId w:val="311"/>
        </w:numPr>
        <w:rPr>
          <w:rFonts w:ascii="Arial" w:cs="Arial" w:eastAsia="Arial" w:hAnsi="Arial"/>
          <w:sz w:val="17"/>
          <w:szCs w:val="17"/>
          <w:color w:val="auto"/>
        </w:rPr>
      </w:pPr>
      <w:r>
        <w:rPr>
          <w:rFonts w:ascii="Arial" w:cs="Arial" w:eastAsia="Arial" w:hAnsi="Arial"/>
          <w:sz w:val="17"/>
          <w:szCs w:val="17"/>
          <w:color w:val="auto"/>
        </w:rPr>
        <w:t>any change, restructuring or termination of the corporate, limited liability company or partnership structure or existence of any Transaction Party.</w:t>
      </w:r>
    </w:p>
    <w:p>
      <w:pPr>
        <w:spacing w:after="0" w:line="66" w:lineRule="exact"/>
        <w:rPr>
          <w:sz w:val="20"/>
          <w:szCs w:val="20"/>
          <w:color w:val="auto"/>
        </w:rPr>
      </w:pPr>
    </w:p>
    <w:p>
      <w:pPr>
        <w:jc w:val="both"/>
        <w:ind w:left="40" w:right="1239"/>
        <w:spacing w:after="0" w:line="280" w:lineRule="auto"/>
        <w:rPr>
          <w:sz w:val="20"/>
          <w:szCs w:val="20"/>
          <w:color w:val="auto"/>
        </w:rPr>
      </w:pPr>
      <w:r>
        <w:rPr>
          <w:rFonts w:ascii="Arial" w:cs="Arial" w:eastAsia="Arial" w:hAnsi="Arial"/>
          <w:sz w:val="16"/>
          <w:szCs w:val="16"/>
          <w:color w:val="auto"/>
        </w:rPr>
        <w:t>This Guaranty shall continue to be effective or be reinstated, as the case may be, if at any time any payment of any of the Guaranteed Obligations is rescinded or must otherwise be returned by the Buyer or any other Person upon the insolvency, bankruptcy or reorganization of any Transaction Party or otherwise, all as though such payment had not been made.</w:t>
      </w:r>
    </w:p>
    <w:p>
      <w:pPr>
        <w:spacing w:after="0" w:line="58" w:lineRule="exact"/>
        <w:rPr>
          <w:sz w:val="20"/>
          <w:szCs w:val="20"/>
          <w:color w:val="auto"/>
        </w:rPr>
      </w:pPr>
    </w:p>
    <w:p>
      <w:pPr>
        <w:jc w:val="both"/>
        <w:ind w:left="300" w:right="1239" w:firstLine="248"/>
        <w:spacing w:after="0" w:line="297" w:lineRule="auto"/>
        <w:tabs>
          <w:tab w:leader="none" w:pos="83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This Guaranty is a continuing guaranty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and (ii) be binding upon</w:t>
      </w:r>
    </w:p>
    <w:p>
      <w:pPr>
        <w:spacing w:after="0" w:line="200" w:lineRule="exact"/>
        <w:rPr>
          <w:sz w:val="20"/>
          <w:szCs w:val="20"/>
          <w:color w:val="auto"/>
        </w:rPr>
      </w:pPr>
    </w:p>
    <w:p>
      <w:pPr>
        <w:spacing w:after="0" w:line="26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2" w:name="page383"/>
    <w:bookmarkEnd w:id="38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0" w:lineRule="auto"/>
        <w:rPr>
          <w:sz w:val="20"/>
          <w:szCs w:val="20"/>
          <w:color w:val="auto"/>
        </w:rPr>
      </w:pPr>
      <w:r>
        <w:rPr>
          <w:rFonts w:ascii="Arial" w:cs="Arial" w:eastAsia="Arial" w:hAnsi="Arial"/>
          <w:sz w:val="17"/>
          <w:szCs w:val="17"/>
          <w:color w:val="auto"/>
        </w:rPr>
        <w:t>each Guarantor and its respective successors and assigns. This Guaranty shall inure to the benefit of and be enforceable by the Buyer and its respective successors, and permitted pledgees, transferees and assigns. Without limiting the generality of the foregoing sentence, the Buyer may pledge, assign or otherwise transfer all or any portion of its rights and obligations under and subject to the terms of any Note Transaction Document to any other Person, and such other Person shall thereupon become vested with all the benefits in respect thereof granted to the Buyer herein or otherwise, in each case as provided in the other Note Transaction Document.</w:t>
      </w:r>
    </w:p>
    <w:p>
      <w:pPr>
        <w:spacing w:after="0" w:line="8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Waivers</w:t>
      </w:r>
      <w:r>
        <w:rPr>
          <w:rFonts w:ascii="Arial" w:cs="Arial" w:eastAsia="Arial" w:hAnsi="Arial"/>
          <w:sz w:val="16"/>
          <w:szCs w:val="16"/>
          <w:color w:val="auto"/>
        </w:rPr>
        <w:t xml:space="preserve">. To the extent permitted by applicable law, each Guarantor hereby waives promptness, diligence, notice of acceptance and any other notice with respect to any of the Guaranteed Obligations and this Guaranty and any requirement that the Buyer exhausts any right or takes any action against any Transaction Party or any other Person or any Collateral (as defined in the Security Agreement). Each Guarantor acknowledges that it will receive direct and indirect benefits from the financing arrangements contemplated herein and that the waiver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is knowingly made in contemplation of such benefits. The Guarantors hereby waive any right to revoke this Guaranty, and acknowledge that this Guaranty is continuing in nature and applies to all Guaranteed Obligations, whether existing now or in the future.</w:t>
      </w:r>
    </w:p>
    <w:p>
      <w:pPr>
        <w:spacing w:after="0" w:line="71"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Subrogation</w:t>
      </w:r>
      <w:r>
        <w:rPr>
          <w:rFonts w:ascii="Arial" w:cs="Arial" w:eastAsia="Arial" w:hAnsi="Arial"/>
          <w:sz w:val="15"/>
          <w:szCs w:val="15"/>
          <w:color w:val="auto"/>
        </w:rPr>
        <w:t>. No Guarantor may exercise any rights that it may now or hereafter acquire against any Transaction Party or any other guarantor that arise from the existence, payment, performance or enforcement of any Guarantor’s obligations under this Guaranty, including, without limitation, any right of subrogation, reimbursement, exoneration, contribution or indemnification and any right to participate in any claim or remedy of the Buyer against any Transaction Party or any other guarantor or any Collateral (as defined in the Security Agreement), whether or not such claim, remedy or right arises in equity or under contract, statute or common law, including, without limitation, the right to take or receive from any Transaction Party or any other guarantor,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If any amount shall be paid to a Guarantor in violation of the immediately preceding sentence at any time prior to the later of the payment in full in cash of the Guaranteed Obligations and all other amounts payable under this Guaranty, such amount shall be held in trust for the benefit of the Buyer and shall forthwith be paid to the Buyer to be credited and applied to the Guaranteed Obligations and all other amounts payable under this Guaranty, whether matured or unmatured, in accordance with the terms of the Note Transaction Document, or to be held as collateral for any Guaranteed Obligations or other amounts payable under this Guaranty thereafter arising. If (a) any Guarantor shall make payment to the Buyer of all or any part of the Guaranteed Obligations, and (b) the Buyer receives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the Buyer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Representations, Warranties and Covenants</w:t>
      </w:r>
      <w:r>
        <w:rPr>
          <w:rFonts w:ascii="Arial" w:cs="Arial" w:eastAsia="Arial" w:hAnsi="Arial"/>
          <w:sz w:val="17"/>
          <w:szCs w:val="17"/>
          <w:color w:val="auto"/>
        </w:rPr>
        <w:t>.</w:t>
      </w:r>
    </w:p>
    <w:p>
      <w:pPr>
        <w:spacing w:after="0" w:line="105" w:lineRule="exact"/>
        <w:rPr>
          <w:sz w:val="20"/>
          <w:szCs w:val="20"/>
          <w:color w:val="auto"/>
        </w:rPr>
      </w:pPr>
    </w:p>
    <w:p>
      <w:pPr>
        <w:ind w:left="820" w:hanging="272"/>
        <w:spacing w:after="0"/>
        <w:tabs>
          <w:tab w:leader="none" w:pos="82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Each Guarantor hereby represents and warrants as of the date first written above as follows:</w:t>
      </w:r>
    </w:p>
    <w:p>
      <w:pPr>
        <w:spacing w:after="0" w:line="105" w:lineRule="exact"/>
        <w:rPr>
          <w:rFonts w:ascii="Arial" w:cs="Arial" w:eastAsia="Arial" w:hAnsi="Arial"/>
          <w:sz w:val="17"/>
          <w:szCs w:val="17"/>
          <w:color w:val="auto"/>
        </w:rPr>
      </w:pPr>
    </w:p>
    <w:p>
      <w:pPr>
        <w:jc w:val="both"/>
        <w:ind w:left="540" w:right="1239" w:firstLine="259"/>
        <w:spacing w:after="0" w:line="292" w:lineRule="auto"/>
        <w:tabs>
          <w:tab w:leader="none" w:pos="1032" w:val="left"/>
        </w:tabs>
        <w:numPr>
          <w:ilvl w:val="1"/>
          <w:numId w:val="313"/>
        </w:numPr>
        <w:rPr>
          <w:rFonts w:ascii="Arial" w:cs="Arial" w:eastAsia="Arial" w:hAnsi="Arial"/>
          <w:sz w:val="15"/>
          <w:szCs w:val="15"/>
          <w:color w:val="auto"/>
        </w:rPr>
      </w:pPr>
      <w:r>
        <w:rPr>
          <w:rFonts w:ascii="Arial" w:cs="Arial" w:eastAsia="Arial" w:hAnsi="Arial"/>
          <w:sz w:val="15"/>
          <w:szCs w:val="15"/>
          <w:color w:val="auto"/>
        </w:rPr>
        <w:t>Each Guarantor (A) is a corporation, limited liability company or limited partnership duly organized, validly existing and in good standing under the laws of the jurisdiction of its organization as set forth on the signature pages hereto, (B) has all requisite corporate, limited liability company or limited partnership power and authority to conduct its business as now conducted and as presently contemplated and to execute and deliver this Guaranty and each other Note Transaction Document to which the Guarantor is a party, and to consummate the transactions contemplated hereby and thereby</w:t>
      </w:r>
    </w:p>
    <w:p>
      <w:pPr>
        <w:spacing w:after="0" w:line="200" w:lineRule="exact"/>
        <w:rPr>
          <w:sz w:val="20"/>
          <w:szCs w:val="20"/>
          <w:color w:val="auto"/>
        </w:rPr>
      </w:pPr>
    </w:p>
    <w:p>
      <w:pPr>
        <w:spacing w:after="0" w:line="267"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3" w:name="page384"/>
    <w:bookmarkEnd w:id="38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56" w:lineRule="auto"/>
        <w:rPr>
          <w:sz w:val="20"/>
          <w:szCs w:val="20"/>
          <w:color w:val="auto"/>
        </w:rPr>
      </w:pPr>
      <w:r>
        <w:rPr>
          <w:rFonts w:ascii="Arial" w:cs="Arial" w:eastAsia="Arial" w:hAnsi="Arial"/>
          <w:sz w:val="17"/>
          <w:szCs w:val="17"/>
          <w:color w:val="auto"/>
        </w:rPr>
        <w:t>and (C) is duly qualified to do business and is in good standing in each jurisdiction in which the character of the properties owned or leased by it or in which the transaction of its business makes such qualification necessary except where the failure to be so qualified would not result in a Material Adverse Effect.</w:t>
      </w:r>
    </w:p>
    <w:p>
      <w:pPr>
        <w:spacing w:after="0" w:line="76" w:lineRule="exact"/>
        <w:rPr>
          <w:sz w:val="20"/>
          <w:szCs w:val="20"/>
          <w:color w:val="auto"/>
        </w:rPr>
      </w:pPr>
    </w:p>
    <w:p>
      <w:pPr>
        <w:jc w:val="both"/>
        <w:ind w:left="540" w:right="1239" w:firstLine="259"/>
        <w:spacing w:after="0" w:line="248" w:lineRule="auto"/>
        <w:tabs>
          <w:tab w:leader="none" w:pos="1125"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execution, delivery and performance by each Guarantor of this Guaranty and each other Note Transaction Document to which such Guarantor is a party (A) have been duly authorized by all necessary corporate, limited liability company or limited partnership action, (B) do not and will not contravene its charter or by-laws, its limited liability company or operating agreement or its certificate of partnership or partnership agreement, as applicable, or any applicable law or any contractual restriction binding on the Guarantor or its properties do not and will not result in or require the creation of any lien (other than pursuant to any Note Transaction Document) upon or with respect to any of its properties, and (C) do not and will not result in any default, noncompliance, suspension, revocation, impairment, forfeiture or nonrenewal of any material permit, license, authorization or approval applicable to it or its operations or any of its properties.</w:t>
      </w:r>
    </w:p>
    <w:p>
      <w:pPr>
        <w:spacing w:after="0" w:line="86" w:lineRule="exact"/>
        <w:rPr>
          <w:rFonts w:ascii="Arial" w:cs="Arial" w:eastAsia="Arial" w:hAnsi="Arial"/>
          <w:sz w:val="17"/>
          <w:szCs w:val="17"/>
          <w:color w:val="auto"/>
        </w:rPr>
      </w:pPr>
    </w:p>
    <w:p>
      <w:pPr>
        <w:jc w:val="both"/>
        <w:ind w:left="540" w:right="1239" w:firstLine="259"/>
        <w:spacing w:after="0" w:line="253" w:lineRule="auto"/>
        <w:tabs>
          <w:tab w:leader="none" w:pos="116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No authorization or approval or other action by, and no notice to or filing with, any governmental authority is required in connection with the due execution, delivery and performance by the Guarantor of this Guaranty or any of the other Note Transaction Documents to which the Guarantor is a party (other than expressly provided for in any of the Note Transaction Documents).</w:t>
      </w:r>
    </w:p>
    <w:p>
      <w:pPr>
        <w:spacing w:after="0" w:line="77" w:lineRule="exact"/>
        <w:rPr>
          <w:rFonts w:ascii="Arial" w:cs="Arial" w:eastAsia="Arial" w:hAnsi="Arial"/>
          <w:sz w:val="17"/>
          <w:szCs w:val="17"/>
          <w:color w:val="auto"/>
        </w:rPr>
      </w:pPr>
    </w:p>
    <w:p>
      <w:pPr>
        <w:jc w:val="both"/>
        <w:ind w:left="540" w:right="1239" w:firstLine="259"/>
        <w:spacing w:after="0" w:line="270" w:lineRule="auto"/>
        <w:tabs>
          <w:tab w:leader="none" w:pos="111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Each of this Guaranty and the other Note Transaction Documents to which the Guarantor is or will be a party, when delivered, will be, a legal, valid and binding obligation of the Guarantor, enforceable against the Guarantor in accordance with its terms, except as may be limited by applicable bankruptcy, insolvency, reorganization, moratorium, fraudulent conveyance, suretyship or other similar laws and equitable principles, including those relating to upstream guaranties (regardless of whether enforcement is sought in equity or at law).</w:t>
      </w:r>
    </w:p>
    <w:p>
      <w:pPr>
        <w:spacing w:after="0" w:line="67" w:lineRule="exact"/>
        <w:rPr>
          <w:rFonts w:ascii="Arial" w:cs="Arial" w:eastAsia="Arial" w:hAnsi="Arial"/>
          <w:sz w:val="16"/>
          <w:szCs w:val="16"/>
          <w:color w:val="auto"/>
        </w:rPr>
      </w:pPr>
    </w:p>
    <w:p>
      <w:pPr>
        <w:jc w:val="both"/>
        <w:ind w:left="540" w:right="1239" w:firstLine="259"/>
        <w:spacing w:after="0" w:line="251" w:lineRule="auto"/>
        <w:tabs>
          <w:tab w:leader="none" w:pos="1098"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There is no pending or, to the best knowledge of the Guarantor, threatened action, suit or proceeding against the Guarantor or to which any of the properties of the Guarantor is subject, before any court or other governmental authority or any arbitrator that (A) if adversely determined, could reasonably be expected to have a Material Adverse Effect or (B) relates to this Guaranty or any of the other Note Transaction Documents to which the Guarantor is a party or any transaction contemplated hereby or thereby.</w:t>
      </w:r>
    </w:p>
    <w:p>
      <w:pPr>
        <w:spacing w:after="0" w:line="80" w:lineRule="exact"/>
        <w:rPr>
          <w:rFonts w:ascii="Arial" w:cs="Arial" w:eastAsia="Arial" w:hAnsi="Arial"/>
          <w:sz w:val="17"/>
          <w:szCs w:val="17"/>
          <w:color w:val="auto"/>
        </w:rPr>
      </w:pPr>
    </w:p>
    <w:p>
      <w:pPr>
        <w:jc w:val="both"/>
        <w:ind w:left="540" w:right="1239" w:firstLine="259"/>
        <w:spacing w:after="0" w:line="270" w:lineRule="auto"/>
        <w:tabs>
          <w:tab w:leader="none" w:pos="1132"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Guarantor (A) has read and understands the terms and conditions of the Note and the other Note Transaction Documents, and (B) now has and will continue to have independent means of obtaining information concerning the affairs, financial condition and business of the Company and the other Transaction Parties, and has no need of, or right to obtain from the Buyer, any credit or other information concerning the affairs, financial condition or business of the Company or the other Transaction Parties that may come under the control of the Buyer.</w:t>
      </w:r>
    </w:p>
    <w:p>
      <w:pPr>
        <w:spacing w:after="0" w:line="68"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Right of Set-off</w:t>
      </w:r>
      <w:r>
        <w:rPr>
          <w:rFonts w:ascii="Arial" w:cs="Arial" w:eastAsia="Arial" w:hAnsi="Arial"/>
          <w:sz w:val="15"/>
          <w:szCs w:val="15"/>
          <w:color w:val="auto"/>
        </w:rPr>
        <w:t xml:space="preserve">. Upon the occurrence and during the continuance of any Event of Default, the Buyer may, and is hereby authorized to, at any time and from time to time, without notice to the Guarantors (any such notice being expressly waived by each Guarantor) and to the fullest extent permitted by law, set-off and apply any and all deposits (general or special, time or demand, provisional or final) at any time held and other indebtedness at any time owing by the Buyer to or for the credit or the account of any Guarantor against any and all obligations of the Guarantors now or hereafter existing under this Guaranty or any other Note Transaction Document, irrespective of whether or not the Buyer shall have made any demand under this Guaranty or any other Note Transaction Document and although such obligations may be contingent or unmatured. The Buyer agrees to notify the relevant Guarantor promptly after any such set-off and application made by the Buyer, provided that the failure to give such notice shall not affect the validity of such set-off and application. The rights of the Buyer under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are in addition to other rights and remedies (including, without limitation, other rights of set-off) which the Buyer may have under this Guaranty or any other Note Transaction Document in law or otherwise.</w:t>
      </w:r>
    </w:p>
    <w:p>
      <w:pPr>
        <w:spacing w:after="0" w:line="200" w:lineRule="exact"/>
        <w:rPr>
          <w:sz w:val="20"/>
          <w:szCs w:val="20"/>
          <w:color w:val="auto"/>
        </w:rPr>
      </w:pPr>
    </w:p>
    <w:p>
      <w:pPr>
        <w:spacing w:after="0" w:line="27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4" w:name="page385"/>
    <w:bookmarkEnd w:id="38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Notices, Etc</w:t>
      </w:r>
      <w:r>
        <w:rPr>
          <w:rFonts w:ascii="Arial" w:cs="Arial" w:eastAsia="Arial" w:hAnsi="Arial"/>
          <w:sz w:val="15"/>
          <w:szCs w:val="15"/>
          <w:color w:val="auto"/>
        </w:rPr>
        <w:t xml:space="preserve">. All notices and other communications provided for hereunder shall be in writing and shall be mailed (by overnight mail or by certified mail, postage prepaid and return receipt requested), telecopied or delivered, if to any Guarantor, to the address for such Guarantor set forth on the signature page hereto, or if to the Buyer, to it at its respective address set forth in the Note; or as to any Person at such other address as shall be designated by such Person in a written notice to such other Person complying as to delivery with the terms of this </w:t>
      </w:r>
      <w:r>
        <w:rPr>
          <w:rFonts w:ascii="Arial" w:cs="Arial" w:eastAsia="Arial" w:hAnsi="Arial"/>
          <w:sz w:val="15"/>
          <w:szCs w:val="15"/>
          <w:u w:val="single" w:color="auto"/>
          <w:color w:val="auto"/>
        </w:rPr>
        <w:t>Section 8</w:t>
      </w:r>
      <w:r>
        <w:rPr>
          <w:rFonts w:ascii="Arial" w:cs="Arial" w:eastAsia="Arial" w:hAnsi="Arial"/>
          <w:sz w:val="15"/>
          <w:szCs w:val="15"/>
          <w:color w:val="auto"/>
        </w:rPr>
        <w:t>. All such notices and other communications shall be effective</w:t>
      </w:r>
    </w:p>
    <w:p>
      <w:pPr>
        <w:spacing w:after="0" w:line="1" w:lineRule="exact"/>
        <w:rPr>
          <w:sz w:val="20"/>
          <w:szCs w:val="20"/>
          <w:color w:val="auto"/>
        </w:rPr>
      </w:pPr>
    </w:p>
    <w:p>
      <w:pPr>
        <w:jc w:val="both"/>
        <w:ind w:left="40" w:right="1239" w:firstLine="7"/>
        <w:spacing w:after="0" w:line="248" w:lineRule="auto"/>
        <w:tabs>
          <w:tab w:leader="none" w:pos="243"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mailed (by certified mail, postage prepaid and return receipt requested), when received or three Business Days after deposited in the mails, whichever occurs first; (ii) if telecopied, when transmitted and confirmation is received, provided same is on a Business Day and, if not, on the next Business Day; or (iii) if delivered by hand, upon delivery, provided same is on a Business Day and, if not, on the next Business Day.</w:t>
      </w:r>
    </w:p>
    <w:p>
      <w:pPr>
        <w:spacing w:after="0" w:line="82" w:lineRule="exact"/>
        <w:rPr>
          <w:sz w:val="20"/>
          <w:szCs w:val="20"/>
          <w:color w:val="auto"/>
        </w:rPr>
      </w:pPr>
    </w:p>
    <w:p>
      <w:pPr>
        <w:jc w:val="both"/>
        <w:ind w:left="40" w:right="1239" w:firstLine="251"/>
        <w:spacing w:after="0" w:line="263"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CONSENT TO JURISDICTION; SERVICE OF PROCESS AND VENUE</w:t>
      </w:r>
      <w:r>
        <w:rPr>
          <w:rFonts w:ascii="Arial" w:cs="Arial" w:eastAsia="Arial" w:hAnsi="Arial"/>
          <w:sz w:val="16"/>
          <w:szCs w:val="16"/>
          <w:color w:val="auto"/>
        </w:rPr>
        <w:t>. ANY LEGAL ACTION OR PROCEEDING WITH RESPECT TO THIS GUARANTY OR ANY OTHER NOTE TRANSACTION DOCUMENT MAY BE BROUGHT IN THE COURTS OF THE STATE OF NEW YORK IN THE COUNTY OF NEW YORK OR OF THE UNITED STATES DISTRICT COURT FOR THE SOUTHERN DISTRICT OF NEW YORK, AND, BY EXECUTION AND DELIVERY OF THIS AGREEMENT, EACH GUARANTOR HEREBY IRREVOCABLY ACCEPTS IN RESPECT OF ITS PROPERTY, GENERALLY AND UNCONDITIONALLY, THE JURISDICTION OF THE AFORESAID COURTS. NOTHING HEREIN SHALL AFFECT THE RIGHT OF THE BUYER TO SERVICE OF PROCESS IN ANY OTHER MANNER PERMITTED BY LAW OR TO COMMENCE LEGAL PROCEEDINGS OR OTHERWISE PROCEED AGAINST EACH GUARANTOR IN ANY OTHER JURISDICTION. EACH GUARANTOR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GUARANTOR HAS OR HEREAFTER MAY ACQUIRE ANY IMMUNITY FROM JURISDICTION OF ANY COURT OR FROM ANY LEGAL PROCESS (WHETHER THROUGH SERVICE OR NOTICE, ATTACHMENT PRIOR TO JUDGMENT, ATTACHMENT IN AID OF EXECUTION OR OTHERWISE) WITH RESPECT TO ITSELF OR ITS PROPERTY, EACH GUARANTOR HEREBY IRREVOCABLY WAIVES SUCH IMMUNITY IN RESPECT OF ITS OBLIGATIONS UNDER THIS GUARANTY AND THE OTHER NOTE TRANSACTION DOCUMENTS.</w:t>
      </w:r>
    </w:p>
    <w:p>
      <w:pPr>
        <w:spacing w:after="0" w:line="81"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WAIVER OF JURY TRIAL, ETC</w:t>
      </w:r>
      <w:r>
        <w:rPr>
          <w:rFonts w:ascii="Arial" w:cs="Arial" w:eastAsia="Arial" w:hAnsi="Arial"/>
          <w:sz w:val="16"/>
          <w:szCs w:val="16"/>
          <w:color w:val="auto"/>
        </w:rPr>
        <w:t>. EACH GUARANTOR HEREBY WAIVES ANY RIGHT TO A TRIAL BY JURY IN ANY ACTION, PROCEEDING OR COUNTERCLAIM CONCERNING ANY RIGHTS UNDER THIS GUARANTY OR THE OTHER NOTE TRANSACTION DOCUMENTS, OR UNDER ANY AMENDMENT, WAIVER, CONSENT, INSTRUMENT, DOCUMENT OR OTHER AGREEMENT DELIVERED OR WHICH IN THE FUTURE MAY BE DELIVERED IN CONNECTION HEREWITH OR THEREWITH, OR ARISING FROM ANY FINANCING RELATIONSHIP EXISTING IN CONNECTION WITH THIS GUARANTY OR THE OTHER NOTE TRANSACTION DOCUMENTS, AND AGREES THAT ANY SUCH ACTION, PROCEEDING OR COUNTERCLAIM SHALL BE TRIED BEFORE A COURT AND NOT BEFORE A JURY. EACH GUARANTOR CERTIFIES THAT NO OFFICER, REPRESENTATIVE, AGENT OR ATTORNEY OF THE BUYER HAS REPRESENTED, EXPRESSLY OR OTHERWISE, THAT THE BUYER WOULD NOT, IN THE EVENT OF ANY ACTION, PROCEEDING OR COUNTERCLAIM, SEEK TO ENFORCE THE FOREGOING WAIVERS. EACH GUARANTOR HEREBY ACKNOWLEDGES THAT THIS PROVISION IS A MATERIAL INDUCEMENT FOR THE BUYER ENTERING INTO THE OTHER NOTE TRANSACTION DOCUMENTS.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92" w:lineRule="auto"/>
        <w:tabs>
          <w:tab w:leader="none" w:pos="863" w:val="left"/>
        </w:tabs>
        <w:numPr>
          <w:ilvl w:val="0"/>
          <w:numId w:val="316"/>
        </w:numPr>
        <w:rPr>
          <w:rFonts w:ascii="Arial" w:cs="Arial" w:eastAsia="Arial" w:hAnsi="Arial"/>
          <w:sz w:val="15"/>
          <w:szCs w:val="15"/>
          <w:color w:val="auto"/>
        </w:rPr>
      </w:pPr>
      <w:r>
        <w:rPr>
          <w:rFonts w:ascii="Arial" w:cs="Arial" w:eastAsia="Arial" w:hAnsi="Arial"/>
          <w:sz w:val="15"/>
          <w:szCs w:val="15"/>
          <w:color w:val="auto"/>
        </w:rPr>
        <w:t xml:space="preserve">All payments made by any Guarantor hereunder or under any other Note Transaction Document shall be made in accordance with the terms of the respective Note Transaction Document and shall be made without set-off, counterclaim, deduction or other defense. All such payments shall be made free and clear of and without deduction for any present or future taxes, levies, imposts, deductions, charges or withholdings, and all liabilities with respect thereto, </w:t>
      </w:r>
      <w:r>
        <w:rPr>
          <w:rFonts w:ascii="Arial" w:cs="Arial" w:eastAsia="Arial" w:hAnsi="Arial"/>
          <w:sz w:val="15"/>
          <w:szCs w:val="15"/>
          <w:u w:val="single" w:color="auto"/>
          <w:color w:val="auto"/>
        </w:rPr>
        <w:t>excluding</w:t>
      </w:r>
      <w:r>
        <w:rPr>
          <w:rFonts w:ascii="Arial" w:cs="Arial" w:eastAsia="Arial" w:hAnsi="Arial"/>
          <w:sz w:val="15"/>
          <w:szCs w:val="15"/>
          <w:color w:val="auto"/>
        </w:rPr>
        <w:t xml:space="preserve"> taxes imposed on the net income of the Buyer by the jurisdiction in which the Buyer is organized or where it has its principal lending office (all</w:t>
      </w:r>
    </w:p>
    <w:p>
      <w:pPr>
        <w:spacing w:after="0" w:line="200" w:lineRule="exact"/>
        <w:rPr>
          <w:sz w:val="20"/>
          <w:szCs w:val="20"/>
          <w:color w:val="auto"/>
        </w:rPr>
      </w:pPr>
    </w:p>
    <w:p>
      <w:pPr>
        <w:spacing w:after="0" w:line="267"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5" w:name="page386"/>
    <w:bookmarkEnd w:id="38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6" w:lineRule="auto"/>
        <w:rPr>
          <w:sz w:val="20"/>
          <w:szCs w:val="20"/>
          <w:color w:val="auto"/>
        </w:rPr>
      </w:pPr>
      <w:r>
        <w:rPr>
          <w:rFonts w:ascii="Arial" w:cs="Arial" w:eastAsia="Arial" w:hAnsi="Arial"/>
          <w:sz w:val="17"/>
          <w:szCs w:val="17"/>
          <w:color w:val="auto"/>
        </w:rPr>
        <w:t>such nonexcluded taxes, levies, imposts, deductions, charges, withholdings and liabilities, collectively or individually, “</w:t>
      </w:r>
      <w:r>
        <w:rPr>
          <w:rFonts w:ascii="Arial" w:cs="Arial" w:eastAsia="Arial" w:hAnsi="Arial"/>
          <w:sz w:val="17"/>
          <w:szCs w:val="17"/>
          <w:b w:val="1"/>
          <w:bCs w:val="1"/>
          <w:color w:val="auto"/>
        </w:rPr>
        <w:t>Taxes</w:t>
      </w:r>
      <w:r>
        <w:rPr>
          <w:rFonts w:ascii="Arial" w:cs="Arial" w:eastAsia="Arial" w:hAnsi="Arial"/>
          <w:sz w:val="17"/>
          <w:szCs w:val="17"/>
          <w:color w:val="auto"/>
        </w:rPr>
        <w:t>”). If any Guarantor shall be required to deduct or to withhold any Taxes from or in respect of any amount payable hereunder or under any other Note Transaction Document:</w:t>
      </w:r>
    </w:p>
    <w:p>
      <w:pPr>
        <w:spacing w:after="0" w:line="76" w:lineRule="exact"/>
        <w:rPr>
          <w:sz w:val="20"/>
          <w:szCs w:val="20"/>
          <w:color w:val="auto"/>
        </w:rPr>
      </w:pPr>
    </w:p>
    <w:p>
      <w:pPr>
        <w:jc w:val="both"/>
        <w:ind w:left="540" w:right="1239" w:firstLine="259"/>
        <w:spacing w:after="0" w:line="280" w:lineRule="auto"/>
        <w:tabs>
          <w:tab w:leader="none" w:pos="1063" w:val="left"/>
        </w:tabs>
        <w:numPr>
          <w:ilvl w:val="1"/>
          <w:numId w:val="317"/>
        </w:numPr>
        <w:rPr>
          <w:rFonts w:ascii="Arial" w:cs="Arial" w:eastAsia="Arial" w:hAnsi="Arial"/>
          <w:sz w:val="16"/>
          <w:szCs w:val="16"/>
          <w:color w:val="auto"/>
        </w:rPr>
      </w:pPr>
      <w:r>
        <w:rPr>
          <w:rFonts w:ascii="Arial" w:cs="Arial" w:eastAsia="Arial" w:hAnsi="Arial"/>
          <w:sz w:val="16"/>
          <w:szCs w:val="16"/>
          <w:color w:val="auto"/>
        </w:rPr>
        <w:t>the amount so payable shall be increased to the extent necessary so that after making all required deductions and withholdings (including Taxes on amounts payable to the Buyer pursuant to this sentence) the Buyer receives an amount equal to the sum it would have received had no such deduction or withholding been made,</w:t>
      </w:r>
    </w:p>
    <w:p>
      <w:pPr>
        <w:spacing w:after="0" w:line="57" w:lineRule="exact"/>
        <w:rPr>
          <w:rFonts w:ascii="Arial" w:cs="Arial" w:eastAsia="Arial" w:hAnsi="Arial"/>
          <w:sz w:val="16"/>
          <w:szCs w:val="16"/>
          <w:color w:val="auto"/>
        </w:rPr>
      </w:pPr>
    </w:p>
    <w:p>
      <w:pPr>
        <w:ind w:left="1080" w:hanging="281"/>
        <w:spacing w:after="0"/>
        <w:tabs>
          <w:tab w:leader="none" w:pos="108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such Guarantor shall make such deduction or withholding,</w:t>
      </w:r>
    </w:p>
    <w:p>
      <w:pPr>
        <w:spacing w:after="0" w:line="105" w:lineRule="exact"/>
        <w:rPr>
          <w:rFonts w:ascii="Arial" w:cs="Arial" w:eastAsia="Arial" w:hAnsi="Arial"/>
          <w:sz w:val="17"/>
          <w:szCs w:val="17"/>
          <w:color w:val="auto"/>
        </w:rPr>
      </w:pPr>
    </w:p>
    <w:p>
      <w:pPr>
        <w:ind w:left="540" w:right="1239" w:firstLine="259"/>
        <w:spacing w:after="0" w:line="267" w:lineRule="auto"/>
        <w:tabs>
          <w:tab w:leader="none" w:pos="1127" w:val="left"/>
        </w:tabs>
        <w:numPr>
          <w:ilvl w:val="1"/>
          <w:numId w:val="317"/>
        </w:numPr>
        <w:rPr>
          <w:rFonts w:ascii="Arial" w:cs="Arial" w:eastAsia="Arial" w:hAnsi="Arial"/>
          <w:sz w:val="17"/>
          <w:szCs w:val="17"/>
          <w:color w:val="auto"/>
        </w:rPr>
      </w:pPr>
      <w:r>
        <w:rPr>
          <w:rFonts w:ascii="Arial" w:cs="Arial" w:eastAsia="Arial" w:hAnsi="Arial"/>
          <w:sz w:val="17"/>
          <w:szCs w:val="17"/>
          <w:color w:val="auto"/>
        </w:rPr>
        <w:t>such Guarantor shall pay the full amount deducted or withheld to the relevant taxation authority in accordance with applicable law, and</w:t>
      </w:r>
    </w:p>
    <w:p>
      <w:pPr>
        <w:spacing w:after="0" w:line="66" w:lineRule="exact"/>
        <w:rPr>
          <w:rFonts w:ascii="Arial" w:cs="Arial" w:eastAsia="Arial" w:hAnsi="Arial"/>
          <w:sz w:val="17"/>
          <w:szCs w:val="17"/>
          <w:color w:val="auto"/>
        </w:rPr>
      </w:pPr>
    </w:p>
    <w:p>
      <w:pPr>
        <w:jc w:val="both"/>
        <w:ind w:left="540" w:right="1239" w:firstLine="259"/>
        <w:spacing w:after="0" w:line="292" w:lineRule="auto"/>
        <w:tabs>
          <w:tab w:leader="none" w:pos="1129" w:val="left"/>
        </w:tabs>
        <w:numPr>
          <w:ilvl w:val="1"/>
          <w:numId w:val="317"/>
        </w:numPr>
        <w:rPr>
          <w:rFonts w:ascii="Arial" w:cs="Arial" w:eastAsia="Arial" w:hAnsi="Arial"/>
          <w:sz w:val="15"/>
          <w:szCs w:val="15"/>
          <w:color w:val="auto"/>
        </w:rPr>
      </w:pPr>
      <w:r>
        <w:rPr>
          <w:rFonts w:ascii="Arial" w:cs="Arial" w:eastAsia="Arial" w:hAnsi="Arial"/>
          <w:sz w:val="15"/>
          <w:szCs w:val="15"/>
          <w:color w:val="auto"/>
        </w:rPr>
        <w:t>as promptly as possible thereafter, such Guarantor shall send the Buyer an official receipt (or, if an official receipt is not available, such other documentation as shall be satisfactory to the Buyer) showing payment. In addition, each Guarantor agrees to pay any present or future stamp or documentary taxes or any other excise or property taxes, charges or similar levies that arise from any payment made hereunder or from the execution, delivery, registration or enforcement of, or otherwise with respect to, this Agreement or any other Note Transaction Document (collectively, “</w:t>
      </w:r>
      <w:r>
        <w:rPr>
          <w:rFonts w:ascii="Arial" w:cs="Arial" w:eastAsia="Arial" w:hAnsi="Arial"/>
          <w:sz w:val="15"/>
          <w:szCs w:val="15"/>
          <w:b w:val="1"/>
          <w:bCs w:val="1"/>
          <w:color w:val="auto"/>
        </w:rPr>
        <w:t>Other Taxes</w:t>
      </w:r>
      <w:r>
        <w:rPr>
          <w:rFonts w:ascii="Arial" w:cs="Arial" w:eastAsia="Arial" w:hAnsi="Arial"/>
          <w:sz w:val="15"/>
          <w:szCs w:val="15"/>
          <w:color w:val="auto"/>
        </w:rPr>
        <w:t>”).</w:t>
      </w:r>
    </w:p>
    <w:p>
      <w:pPr>
        <w:spacing w:after="0" w:line="53" w:lineRule="exact"/>
        <w:rPr>
          <w:rFonts w:ascii="Arial" w:cs="Arial" w:eastAsia="Arial" w:hAnsi="Arial"/>
          <w:sz w:val="15"/>
          <w:szCs w:val="15"/>
          <w:color w:val="auto"/>
        </w:rPr>
      </w:pPr>
    </w:p>
    <w:p>
      <w:pPr>
        <w:jc w:val="both"/>
        <w:ind w:left="300" w:right="1239" w:firstLine="248"/>
        <w:spacing w:after="0" w:line="249" w:lineRule="auto"/>
        <w:tabs>
          <w:tab w:leader="none" w:pos="875"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Each Guarantor hereby indemnifies and agrees to hold the Buyer harmless from and against Taxes or Other Taxes (including, without limitation, any Taxes or Other Taxes imposed by any jurisdiction on amounts payable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paid by the Buyer as a result of any payment made hereunder or from the execution, delivery, registration or enforcement of, or otherwise with respect to, this Agreement or any other Note Transaction Document, and any liability (including penalties, interest and expenses for nonpayment, late payment or otherwise) arising therefrom or with respect thereto, whether or not such Taxes or Other Taxes were correctly or legally asserted. This indemnification shall be paid within 30 days from the date on which the Holder makes written demand therefor, which demand shall identify the nature and amount of such Taxes or Other Taxes.</w:t>
      </w:r>
    </w:p>
    <w:p>
      <w:pPr>
        <w:spacing w:after="0" w:line="81" w:lineRule="exact"/>
        <w:rPr>
          <w:rFonts w:ascii="Arial" w:cs="Arial" w:eastAsia="Arial" w:hAnsi="Arial"/>
          <w:sz w:val="17"/>
          <w:szCs w:val="17"/>
          <w:color w:val="auto"/>
        </w:rPr>
      </w:pPr>
    </w:p>
    <w:p>
      <w:pPr>
        <w:jc w:val="both"/>
        <w:ind w:left="300" w:right="1239" w:firstLine="248"/>
        <w:spacing w:after="0" w:line="253" w:lineRule="auto"/>
        <w:tabs>
          <w:tab w:leader="none" w:pos="825"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If any Guarantor fails to perform any of its obligations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such Guarantor shall indemnify the Buyer for any taxes, interest or penalties that may become payable as a result of any such failure. The obligations of the Guarantors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survive the termination of this Guaranty and the payment of the Obligations and all other amounts payable hereunder.</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05" w:lineRule="exact"/>
        <w:rPr>
          <w:sz w:val="20"/>
          <w:szCs w:val="20"/>
          <w:color w:val="auto"/>
        </w:rPr>
      </w:pPr>
    </w:p>
    <w:p>
      <w:pPr>
        <w:ind w:left="300" w:right="1239" w:firstLine="248"/>
        <w:spacing w:after="0" w:line="299" w:lineRule="auto"/>
        <w:tabs>
          <w:tab w:leader="none" w:pos="91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Each Guarantor will make each payment hereunder in lawful money of the United States of America and in immediately available funds to Buyer, at such address specified by Buyer from time to time by notice to the Guarantors.</w:t>
      </w:r>
    </w:p>
    <w:p>
      <w:pPr>
        <w:spacing w:after="0" w:line="42" w:lineRule="exact"/>
        <w:rPr>
          <w:rFonts w:ascii="Arial" w:cs="Arial" w:eastAsia="Arial" w:hAnsi="Arial"/>
          <w:sz w:val="16"/>
          <w:szCs w:val="16"/>
          <w:color w:val="auto"/>
        </w:rPr>
      </w:pPr>
    </w:p>
    <w:p>
      <w:pPr>
        <w:jc w:val="both"/>
        <w:ind w:left="300" w:right="1239" w:firstLine="248"/>
        <w:spacing w:after="0" w:line="307" w:lineRule="auto"/>
        <w:tabs>
          <w:tab w:leader="none" w:pos="898" w:val="left"/>
        </w:tabs>
        <w:numPr>
          <w:ilvl w:val="0"/>
          <w:numId w:val="319"/>
        </w:numPr>
        <w:rPr>
          <w:rFonts w:ascii="Arial" w:cs="Arial" w:eastAsia="Arial" w:hAnsi="Arial"/>
          <w:sz w:val="15"/>
          <w:szCs w:val="15"/>
          <w:color w:val="auto"/>
        </w:rPr>
      </w:pPr>
      <w:r>
        <w:rPr>
          <w:rFonts w:ascii="Arial" w:cs="Arial" w:eastAsia="Arial" w:hAnsi="Arial"/>
          <w:sz w:val="15"/>
          <w:szCs w:val="15"/>
          <w:color w:val="auto"/>
        </w:rPr>
        <w:t>No amendment or waiver of any provision of this Guaranty and no consent to any departure by any Guarantor therefrom shall in any event be effective unless the same shall be in writing and signed by each Guarantor and the Buyer, and then such waiver or consent shall be effective only in the specific instance and for the specific purpose for which given.</w:t>
      </w:r>
    </w:p>
    <w:p>
      <w:pPr>
        <w:spacing w:after="0" w:line="39" w:lineRule="exact"/>
        <w:rPr>
          <w:rFonts w:ascii="Arial" w:cs="Arial" w:eastAsia="Arial" w:hAnsi="Arial"/>
          <w:sz w:val="15"/>
          <w:szCs w:val="15"/>
          <w:color w:val="auto"/>
        </w:rPr>
      </w:pPr>
    </w:p>
    <w:p>
      <w:pPr>
        <w:jc w:val="both"/>
        <w:ind w:left="300" w:right="1239" w:firstLine="248"/>
        <w:spacing w:after="0" w:line="288" w:lineRule="auto"/>
        <w:tabs>
          <w:tab w:leader="none" w:pos="828" w:val="left"/>
        </w:tabs>
        <w:numPr>
          <w:ilvl w:val="0"/>
          <w:numId w:val="319"/>
        </w:numPr>
        <w:rPr>
          <w:rFonts w:ascii="Arial" w:cs="Arial" w:eastAsia="Arial" w:hAnsi="Arial"/>
          <w:sz w:val="15"/>
          <w:szCs w:val="15"/>
          <w:color w:val="auto"/>
        </w:rPr>
      </w:pPr>
      <w:r>
        <w:rPr>
          <w:rFonts w:ascii="Arial" w:cs="Arial" w:eastAsia="Arial" w:hAnsi="Arial"/>
          <w:sz w:val="15"/>
          <w:szCs w:val="15"/>
          <w:color w:val="auto"/>
        </w:rPr>
        <w:t>No failure on the part of the Buyer to exercise, and no delay in exercising, any right hereunder or under any other Note Transaction Document shall operate as a waiver thereof, nor shall any single or partial exercise of any right hereunder or under any Note Transaction Document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Note Transaction Document against any party thereto are not conditional or contingent on any attempt by the Buyer to exercise any of its rights under any other Note Transaction Document against such party or against any other Person.</w:t>
      </w:r>
    </w:p>
    <w:p>
      <w:pPr>
        <w:spacing w:after="0" w:line="200" w:lineRule="exact"/>
        <w:rPr>
          <w:sz w:val="20"/>
          <w:szCs w:val="20"/>
          <w:color w:val="auto"/>
        </w:rPr>
      </w:pPr>
    </w:p>
    <w:p>
      <w:pPr>
        <w:spacing w:after="0" w:line="268"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6" w:name="page387"/>
    <w:bookmarkEnd w:id="38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6" w:lineRule="auto"/>
        <w:tabs>
          <w:tab w:leader="none" w:pos="841"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Any provision of this Guaranty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76" w:lineRule="exact"/>
        <w:rPr>
          <w:rFonts w:ascii="Arial" w:cs="Arial" w:eastAsia="Arial" w:hAnsi="Arial"/>
          <w:sz w:val="17"/>
          <w:szCs w:val="17"/>
          <w:color w:val="auto"/>
        </w:rPr>
      </w:pPr>
    </w:p>
    <w:p>
      <w:pPr>
        <w:jc w:val="both"/>
        <w:ind w:left="300" w:right="1239" w:firstLine="248"/>
        <w:spacing w:after="0" w:line="267" w:lineRule="auto"/>
        <w:tabs>
          <w:tab w:leader="none" w:pos="83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This Guaranty shall (i) be binding on each Guarantor and its respective successors and assigns, and (ii) inure, together with all rights and remedies of the Buyer hereunder, to the benefit of the Buyer and its successors, transferees and assigns. Without limiting the generality of clause (ii) of the immediately preceding sentence, the Buyer may assign or otherwise transfer its rights and obligations under the Note or any other Note Transaction Document to any other Person in accordance with the terms thereof, and such other Person shall thereupon become vested with all of the benefits in respect thereof granted to the Buyer herein or otherwise. None of the rights or obligations of any Guarantor hereunder may be assigned or otherwise transferred without the prior written consent of the Buyer.</w:t>
      </w:r>
    </w:p>
    <w:p>
      <w:pPr>
        <w:spacing w:after="0" w:line="70" w:lineRule="exact"/>
        <w:rPr>
          <w:rFonts w:ascii="Arial" w:cs="Arial" w:eastAsia="Arial" w:hAnsi="Arial"/>
          <w:sz w:val="16"/>
          <w:szCs w:val="16"/>
          <w:color w:val="auto"/>
        </w:rPr>
      </w:pPr>
    </w:p>
    <w:p>
      <w:pPr>
        <w:ind w:left="300" w:right="1239" w:firstLine="248"/>
        <w:spacing w:after="0" w:line="267" w:lineRule="auto"/>
        <w:tabs>
          <w:tab w:leader="none" w:pos="813"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This Guaranty reflects the entire understanding of the transaction contemplated hereby and shall not be contradicted or qualified by any other agreement, oral or written, entered into before the date hereof.</w:t>
      </w:r>
    </w:p>
    <w:p>
      <w:pPr>
        <w:spacing w:after="0" w:line="66" w:lineRule="exact"/>
        <w:rPr>
          <w:rFonts w:ascii="Arial" w:cs="Arial" w:eastAsia="Arial" w:hAnsi="Arial"/>
          <w:sz w:val="17"/>
          <w:szCs w:val="17"/>
          <w:color w:val="auto"/>
        </w:rPr>
      </w:pPr>
    </w:p>
    <w:p>
      <w:pPr>
        <w:ind w:left="300" w:right="1239" w:firstLine="248"/>
        <w:spacing w:after="0" w:line="267" w:lineRule="auto"/>
        <w:tabs>
          <w:tab w:leader="none" w:pos="833" w:val="left"/>
        </w:tabs>
        <w:numPr>
          <w:ilvl w:val="0"/>
          <w:numId w:val="320"/>
        </w:numPr>
        <w:rPr>
          <w:rFonts w:ascii="Arial" w:cs="Arial" w:eastAsia="Arial" w:hAnsi="Arial"/>
          <w:sz w:val="17"/>
          <w:szCs w:val="17"/>
          <w:color w:val="auto"/>
        </w:rPr>
      </w:pPr>
      <w:r>
        <w:rPr>
          <w:rFonts w:ascii="Arial" w:cs="Arial" w:eastAsia="Arial" w:hAnsi="Arial"/>
          <w:sz w:val="17"/>
          <w:szCs w:val="17"/>
          <w:color w:val="auto"/>
        </w:rPr>
        <w:t>Section headings herein are included for convenience of reference only and shall not constitute a part of this Agreement for any other purpose.</w:t>
      </w:r>
    </w:p>
    <w:p>
      <w:pPr>
        <w:spacing w:after="0" w:line="66" w:lineRule="exact"/>
        <w:rPr>
          <w:rFonts w:ascii="Arial" w:cs="Arial" w:eastAsia="Arial" w:hAnsi="Arial"/>
          <w:sz w:val="17"/>
          <w:szCs w:val="17"/>
          <w:color w:val="auto"/>
        </w:rPr>
      </w:pPr>
    </w:p>
    <w:p>
      <w:pPr>
        <w:jc w:val="both"/>
        <w:ind w:left="300" w:right="1239" w:firstLine="248"/>
        <w:spacing w:after="0" w:line="256" w:lineRule="auto"/>
        <w:tabs>
          <w:tab w:leader="none" w:pos="85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THIS GUARANTY SHALL BE GOVERNED BY AND CONSTRUED IN ACCORDANCE WITH THE LAW OF THE STATE OF NEW YORK APPLICABLE TO CONTRACTS MADE AND TO BE PERFORMED THEREIN WITHOUT REGARD TO CONFLICT OF LAW PRINCIPLES.</w:t>
      </w:r>
    </w:p>
    <w:p>
      <w:pPr>
        <w:spacing w:after="0" w:line="76" w:lineRule="exact"/>
        <w:rPr>
          <w:rFonts w:ascii="Arial" w:cs="Arial" w:eastAsia="Arial" w:hAnsi="Arial"/>
          <w:sz w:val="17"/>
          <w:szCs w:val="17"/>
          <w:color w:val="auto"/>
        </w:rPr>
      </w:pPr>
    </w:p>
    <w:p>
      <w:pPr>
        <w:jc w:val="both"/>
        <w:ind w:left="300" w:right="1239" w:firstLine="248"/>
        <w:spacing w:after="0" w:line="274" w:lineRule="auto"/>
        <w:tabs>
          <w:tab w:leader="none" w:pos="83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Each Guarantor hereby acknowledges and agrees that this Guaranty shall amend, restate, modify, extend, renew and continue the terms and provisions contained in the Existing Guaranty and shall not extinguish or release such Guarantor from any liability under such Existing Guaranty or otherwise constitute a novation of the obligations (including, without limitation, the Guaranteed Obligations (as defined in the Existing Guaranty)) thereunder.</w:t>
      </w:r>
    </w:p>
    <w:p>
      <w:pPr>
        <w:spacing w:after="0" w:line="61" w:lineRule="exact"/>
        <w:rPr>
          <w:rFonts w:ascii="Arial" w:cs="Arial" w:eastAsia="Arial" w:hAnsi="Arial"/>
          <w:sz w:val="16"/>
          <w:szCs w:val="16"/>
          <w:color w:val="auto"/>
        </w:rPr>
      </w:pPr>
    </w:p>
    <w:p>
      <w:pPr>
        <w:jc w:val="both"/>
        <w:ind w:left="300" w:right="1239" w:firstLine="248"/>
        <w:spacing w:after="0" w:line="267" w:lineRule="auto"/>
        <w:tabs>
          <w:tab w:leader="none" w:pos="818" w:val="left"/>
        </w:tabs>
        <w:numPr>
          <w:ilvl w:val="0"/>
          <w:numId w:val="320"/>
        </w:numPr>
        <w:rPr>
          <w:rFonts w:ascii="Arial" w:cs="Arial" w:eastAsia="Arial" w:hAnsi="Arial"/>
          <w:sz w:val="16"/>
          <w:szCs w:val="16"/>
          <w:color w:val="auto"/>
        </w:rPr>
      </w:pPr>
      <w:r>
        <w:rPr>
          <w:rFonts w:ascii="Arial" w:cs="Arial" w:eastAsia="Arial" w:hAnsi="Arial"/>
          <w:sz w:val="16"/>
          <w:szCs w:val="16"/>
          <w:color w:val="auto"/>
        </w:rPr>
        <w:t>By its execution and delivery of this Guaranty, the Company and its Subsidiaries hereby agree and covenant (i) to do each of the things set forth in the Note that I/P agrees and covenants to use its commercially reasonably efforts to cause the Company and its Subsidiaries to do, (ii) to not do each of the things set forth in the Note that I/P agrees and covenants to use its commercially reasonably efforts to cause the Company and its Subsidiaries not to do, in each case, fully as though the Company and its Subsidiaries were a party thereto, and such agreements and covenants are incorporated herein by this reference, mutatis mutandis, and (iii) all payments due under this Guaranty shall be senior to all other Indebtedness of the Company and its Subsidiaries other than Permitted Senior Indebtedness.</w:t>
      </w:r>
    </w:p>
    <w:p>
      <w:pPr>
        <w:spacing w:after="0" w:line="167"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[REMAINDER OF THIS PAGE INTENTIONALLY LEFT BLANK]</w:t>
      </w:r>
    </w:p>
    <w:p>
      <w:pPr>
        <w:spacing w:after="0" w:line="200" w:lineRule="exact"/>
        <w:rPr>
          <w:sz w:val="20"/>
          <w:szCs w:val="20"/>
          <w:color w:val="auto"/>
        </w:rPr>
      </w:pPr>
    </w:p>
    <w:p>
      <w:pPr>
        <w:spacing w:after="0" w:line="32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7" w:name="page388"/>
    <w:bookmarkEnd w:id="38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IN WITNESS WHEREOF, each Guarantor has caused this Guaranty to be executed by its respective duly authorized officer,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481393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 xml:space="preserve">VRINGO, INC., </w:t>
      </w:r>
      <w:r>
        <w:rPr>
          <w:rFonts w:ascii="Arial" w:cs="Arial" w:eastAsia="Arial" w:hAnsi="Arial"/>
          <w:sz w:val="17"/>
          <w:szCs w:val="17"/>
          <w:color w:val="auto"/>
        </w:rPr>
        <w:t>a Delaware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-123190</wp:posOffset>
            </wp:positionV>
            <wp:extent cx="229171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191"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17"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 xml:space="preserve">I/P LABS, INC., </w:t>
      </w:r>
      <w:r>
        <w:rPr>
          <w:rFonts w:ascii="Arial" w:cs="Arial" w:eastAsia="Arial" w:hAnsi="Arial"/>
          <w:sz w:val="17"/>
          <w:szCs w:val="17"/>
          <w:color w:val="auto"/>
        </w:rPr>
        <w:t>a Delaware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formerly known as Scottish Terrier Capital,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-123190</wp:posOffset>
            </wp:positionV>
            <wp:extent cx="229171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191"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105"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Vringo Guaranty</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88" w:name="page389"/>
    <w:bookmarkEnd w:id="38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481393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spacing w:after="0" w:line="60"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I/P ENGINE, INC., </w:t>
      </w:r>
      <w:r>
        <w:rPr>
          <w:rFonts w:ascii="Arial" w:cs="Arial" w:eastAsia="Arial" w:hAnsi="Arial"/>
          <w:sz w:val="16"/>
          <w:szCs w:val="16"/>
          <w:color w:val="auto"/>
        </w:rPr>
        <w:t>a Virginia corporation</w:t>
      </w:r>
    </w:p>
    <w:p>
      <w:pPr>
        <w:spacing w:after="0" w:line="33" w:lineRule="exact"/>
        <w:rPr>
          <w:sz w:val="20"/>
          <w:szCs w:val="20"/>
          <w:color w:val="auto"/>
        </w:rPr>
      </w:pPr>
    </w:p>
    <w:p>
      <w:pPr>
        <w:ind w:left="3660"/>
        <w:spacing w:after="0"/>
        <w:rPr>
          <w:sz w:val="20"/>
          <w:szCs w:val="20"/>
          <w:color w:val="auto"/>
        </w:rPr>
      </w:pPr>
      <w:r>
        <w:rPr>
          <w:rFonts w:ascii="Arial" w:cs="Arial" w:eastAsia="Arial" w:hAnsi="Arial"/>
          <w:sz w:val="15"/>
          <w:szCs w:val="15"/>
          <w:color w:val="auto"/>
        </w:rPr>
        <w:t>formerly known as Smart Search Labs, Inc.</w:t>
      </w:r>
    </w:p>
    <w:p>
      <w:pPr>
        <w:spacing w:after="0" w:line="28"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191"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17"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 xml:space="preserve">VRINGO, LTD., </w:t>
      </w:r>
      <w:r>
        <w:rPr>
          <w:rFonts w:ascii="Arial" w:cs="Arial" w:eastAsia="Arial" w:hAnsi="Arial"/>
          <w:sz w:val="17"/>
          <w:szCs w:val="17"/>
          <w:color w:val="auto"/>
        </w:rPr>
        <w:t>an Israeli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191"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105"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Vringo Guaranty</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89" w:name="page390"/>
    <w:bookmarkEnd w:id="38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Exhibit K</w:t>
      </w:r>
    </w:p>
    <w:p>
      <w:pPr>
        <w:spacing w:after="0" w:line="213"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FORM OF CERTIFICATE OF INCORPORATION</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VIP MERGER SUB, INC.</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undersigned, for the purpose of organizing a corporation under the provisions and subject to the requirements of the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Delaware General Corporation Law (the “DGCL”), hereby certifies that:</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FIRST: The name of the corporation is VIP Merger Sub, Inc. (the “Corporation”).</w:t>
      </w:r>
    </w:p>
    <w:p>
      <w:pPr>
        <w:spacing w:after="0" w:line="105"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SECOND: The address of the Corporation’s registered office in the State of Delaware is 615 South DuPont Highway, Dover, Delaware 19901, Kent County. The name of its registered agent at such address is National Corporate Research, Ltd.</w:t>
      </w:r>
    </w:p>
    <w:p>
      <w:pPr>
        <w:spacing w:after="0" w:line="2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THIRD: The purpose of the Corporation is to engage in any lawful act or activity for which corporations may be organized under the DGCL.</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FOURTH: The total number of shares of all classes of stock which the Corporation shall have authority to issue is five thousand (5,000) shares of common stock, par value $0.01 per share.</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FIFTH: The name and mailing address of the sole incorporator of the Corporation is Michael A. Brown, c/o Mintz, Levin, Cohn, Ferris, Glovsky and Popeo, P.C., 666 Third Avenue, New York, New York 10017.</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SIXTH: The Corporation is to have perpetual existence.</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SEVENTH: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w:t>
      </w:r>
    </w:p>
    <w:p>
      <w:pPr>
        <w:spacing w:after="0" w:line="76" w:lineRule="exact"/>
        <w:rPr>
          <w:sz w:val="20"/>
          <w:szCs w:val="20"/>
          <w:color w:val="auto"/>
        </w:rPr>
      </w:pPr>
    </w:p>
    <w:p>
      <w:pPr>
        <w:jc w:val="both"/>
        <w:ind w:left="300" w:right="1239" w:firstLine="248"/>
        <w:spacing w:after="0" w:line="251" w:lineRule="auto"/>
        <w:tabs>
          <w:tab w:leader="none" w:pos="847"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80" w:lineRule="exact"/>
        <w:rPr>
          <w:rFonts w:ascii="Arial" w:cs="Arial" w:eastAsia="Arial" w:hAnsi="Arial"/>
          <w:sz w:val="17"/>
          <w:szCs w:val="17"/>
          <w:color w:val="auto"/>
        </w:rPr>
      </w:pPr>
    </w:p>
    <w:p>
      <w:pPr>
        <w:jc w:val="both"/>
        <w:ind w:left="300" w:right="1239" w:firstLine="248"/>
        <w:spacing w:after="0" w:line="253" w:lineRule="auto"/>
        <w:tabs>
          <w:tab w:leader="none" w:pos="801"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After the original or other Bylaws of the Corporation have been adopted, amended or repealed, as the case may be, in accordance with the provisions of Section 109 of the DGCL, and, after the Corporation has received any payment for any of its stock, the power to adopt, amend, or repeal the Bylaws of the Corporation may be exercised by the Board of Directors of the Corporation.</w:t>
      </w:r>
    </w:p>
    <w:p>
      <w:pPr>
        <w:spacing w:after="0" w:line="77" w:lineRule="exact"/>
        <w:rPr>
          <w:rFonts w:ascii="Arial" w:cs="Arial" w:eastAsia="Arial" w:hAnsi="Arial"/>
          <w:sz w:val="17"/>
          <w:szCs w:val="17"/>
          <w:color w:val="auto"/>
        </w:rPr>
      </w:pPr>
    </w:p>
    <w:p>
      <w:pPr>
        <w:ind w:left="300" w:right="1239" w:firstLine="248"/>
        <w:spacing w:after="0" w:line="299" w:lineRule="auto"/>
        <w:tabs>
          <w:tab w:leader="none" w:pos="806"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books of the Corporation may be kept at such place within or without the State of Delaware as the Bylaws of the Corporation may provide or as may be designated from time to time by the Board of Directors of the Corporation.</w:t>
      </w:r>
    </w:p>
    <w:p>
      <w:pPr>
        <w:spacing w:after="0" w:line="43"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EIGHTH: The Corporation shall, to the fullest extent permitted by Section 145 of the DGCL,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provided, however,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Board of Directors in its sole and absolute</w:t>
      </w:r>
    </w:p>
    <w:p>
      <w:pPr>
        <w:spacing w:after="0" w:line="200" w:lineRule="exact"/>
        <w:rPr>
          <w:sz w:val="20"/>
          <w:szCs w:val="20"/>
          <w:color w:val="auto"/>
        </w:rPr>
      </w:pPr>
    </w:p>
    <w:p>
      <w:pPr>
        <w:spacing w:after="0" w:line="27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0" w:name="page391"/>
    <w:bookmarkEnd w:id="39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7" w:lineRule="auto"/>
        <w:rPr>
          <w:sz w:val="20"/>
          <w:szCs w:val="20"/>
          <w:color w:val="auto"/>
        </w:rPr>
      </w:pPr>
      <w:r>
        <w:rPr>
          <w:rFonts w:ascii="Arial" w:cs="Arial" w:eastAsia="Arial" w:hAnsi="Arial"/>
          <w:sz w:val="15"/>
          <w:szCs w:val="15"/>
          <w:color w:val="auto"/>
        </w:rPr>
        <w:t>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48"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NINTH: No director of the Corporation shall be liable to the Corporation or any of its stockholders for monetary damages for breach of fiduciary duty as a director, provided that this provision does not eliminate or limit the liability of the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For purposes of the prior sentence, the term “damages” shall, to the extent permitted by law, include without limitation, any judgment, fine, amount paid in settlement, penalty, punitive damages, excise or other tax assessed with respect to an employee benefit plan, or expense of any nature (including, without limitation, reasonable counsel fees and disbursements). Each person who serves as a director of the Corporation while this Article NINTH is in effect shall be deemed to be doing so in reliance on the provisions of this Article NINTH, and neither the amendment or repeal of this Article NINTH, nor the adoption of any provision of this Certificate of Incorporation inconsistent with this Article NINTH, shall apply to or have any effect on the liability or alleged liability of any director of the Corporation for, arising out of, based upon, or in connection with any acts or omissions of such director occurring prior to such amendment, repeal, or adoption of an inconsistent provision. The provisions of this Article NINTH are cumulative and shall be in addition to and independent of any and all other limitations on or eliminations of the liabilities of directors of the Corporation, as such, whether such limitations or eliminations arise under or are created by any law, rule, regulation, bylaw, agreement, vote of stockholders or disinterested directors, or otherwise.</w:t>
      </w:r>
    </w:p>
    <w:p>
      <w:pPr>
        <w:spacing w:after="0" w:line="70"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TENTH: 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TENTH.</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WITNESS WHEREOF, I have signed this Certificate of Incorporation as of 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74930</wp:posOffset>
            </wp:positionV>
            <wp:extent cx="133667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1" w:name="page392"/>
    <w:bookmarkEnd w:id="39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Exhibit L</w:t>
      </w:r>
    </w:p>
    <w:p>
      <w:pPr>
        <w:spacing w:after="0" w:line="20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FORM OF VIP MERGER SUB,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BYLAWS</w:t>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17"/>
          <w:szCs w:val="17"/>
          <w:b w:val="1"/>
          <w:bCs w:val="1"/>
          <w:i w:val="1"/>
          <w:iCs w:val="1"/>
          <w:color w:val="auto"/>
        </w:rPr>
        <w:t>ARTICLE I — STOCKHOLDERS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Annual Meeting.</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An annual meeting of the stockholders, for the election of directors to succeed those whose terms expire and for the transaction of such other business as may properly come before the meeting, shall be held at ten o’clock a.m.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Special Meetings.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Notice of Meetings.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w:t>
      </w:r>
    </w:p>
    <w:p>
      <w:pPr>
        <w:spacing w:after="0" w:line="7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Quorum.</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w:t>
      </w:r>
    </w:p>
    <w:p>
      <w:pPr>
        <w:spacing w:after="0" w:line="80"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If a quorum shall fail to attend any meeting, the chairman of the meeting or the holders of a majority of the shares of stock entitled to vote who are present, in person or by proxy, may adjourn the meeting to another place, date, or time.</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Organization.</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2" w:name="page393"/>
    <w:bookmarkEnd w:id="39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6. Conduct of Business.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Chairman of the Board of Directors or his or her designee or, if neither the Chairman of the Board nor his or her designee is present at the meeting, then a person appointed by a majority of the Board of Directors, shall preside at, and act as chairman of, any meeting of the stockholders. The chairman of any meeting of stockholders shall determine the order of business and the procedures at the meeting, including such regulation of the manner of voting and the conduct of discussion as he or she deems to be appropriate.</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7. Proxies and Voting.</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At any meeting of the stockholders, every stockholder entitled to vote may vote in person or by proxy authorized by an instrument in writing filed in accordance with the procedure established for the meeting.</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Each stockholder shall have one (1) vote for every share of stock entitled to vote which is registered in his or her name on the record date for the meeting, except as otherwise provided herein or required by law.</w:t>
      </w:r>
    </w:p>
    <w:p>
      <w:pPr>
        <w:spacing w:after="0" w:line="66"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All voting, including on the election of directors but excepting where otherwise required by law, may be by a voice vote; provided, however, that upon demand therefor by a stockholder entitled to vote or his or her proxy, a vote by ballot shall be taken.</w:t>
      </w:r>
    </w:p>
    <w:p>
      <w:pPr>
        <w:spacing w:after="0" w:line="2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Except as otherwise provided in the terms of any class or series of preferred stock of the Corporation, all elections shall be determined by a plurality of the votes cast, and except as otherwise required by law, all other matters shall be determined by a majority of the votes cast.</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8. Action Without Meeting.</w:t>
      </w:r>
    </w:p>
    <w:p>
      <w:pPr>
        <w:spacing w:after="0" w:line="105"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or an officer or agent of the Corporation having custody of the book in which proceedings of meetings of stockholders are recorded. Prompt notice of the taking of the corporate action without a meeting by less than unanimous written consent shall be given to those stockholders who have not consented in writing.</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9. Stock List.</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w:t>
      </w:r>
    </w:p>
    <w:p>
      <w:pPr>
        <w:spacing w:after="0" w:line="5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3" w:name="page394"/>
    <w:bookmarkEnd w:id="39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4239" w:firstLine="2768"/>
        <w:spacing w:after="0" w:line="369" w:lineRule="auto"/>
        <w:rPr>
          <w:sz w:val="20"/>
          <w:szCs w:val="20"/>
          <w:color w:val="auto"/>
        </w:rPr>
      </w:pPr>
      <w:r>
        <w:rPr>
          <w:rFonts w:ascii="Arial" w:cs="Arial" w:eastAsia="Arial" w:hAnsi="Arial"/>
          <w:sz w:val="17"/>
          <w:szCs w:val="17"/>
          <w:i w:val="1"/>
          <w:iCs w:val="1"/>
          <w:color w:val="auto"/>
        </w:rPr>
        <w:t>ARTICLE II — BOARD OF DIRECTORS Section 1. Number, Election, Tenure and Qualification.</w:t>
      </w:r>
    </w:p>
    <w:p>
      <w:pPr>
        <w:jc w:val="both"/>
        <w:ind w:left="40" w:right="1239" w:firstLine="251"/>
        <w:spacing w:after="0" w:line="270" w:lineRule="auto"/>
        <w:rPr>
          <w:sz w:val="20"/>
          <w:szCs w:val="20"/>
          <w:color w:val="auto"/>
        </w:rPr>
      </w:pPr>
      <w:r>
        <w:rPr>
          <w:rFonts w:ascii="Arial" w:cs="Arial" w:eastAsia="Arial" w:hAnsi="Arial"/>
          <w:sz w:val="16"/>
          <w:szCs w:val="16"/>
          <w:color w:val="auto"/>
        </w:rPr>
        <w:t>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Vacancies and Newly Created Directorships.</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Subject to the rights of the holders of any class or series of preferred stock of the Corporation to elect directors, newly created directorships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Resignation and Removal.</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Regular Meetings.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Special Meetings.</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each director by whom it is not waived by mailing written notice not less than three (3) days before the meeting or orally, by telegraph, telex, cable or telecopy given not less than twenty-four (24) hours before the meeting. Unless otherwise indicated in the notice thereof, any and all business may be transacted at a special meeting.</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6. Quorum.</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7. Action by Consent.</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4" w:name="page395"/>
    <w:bookmarkEnd w:id="39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8. Participation in Meetings By Conference Telephone.</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9. Conduct of Business.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10. Powers.</w:t>
      </w:r>
    </w:p>
    <w:p>
      <w:pPr>
        <w:spacing w:after="0" w:line="105"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20" w:lineRule="exact"/>
        <w:rPr>
          <w:sz w:val="20"/>
          <w:szCs w:val="20"/>
          <w:color w:val="auto"/>
        </w:rPr>
      </w:pPr>
    </w:p>
    <w:p>
      <w:pPr>
        <w:ind w:left="520" w:hanging="260"/>
        <w:spacing w:after="0"/>
        <w:tabs>
          <w:tab w:leader="none" w:pos="5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To declare dividends from time to time in accordance with law;</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To purchase or otherwise acquire any property, rights or privileges on such terms as it shall determine;</w:t>
      </w:r>
    </w:p>
    <w:p>
      <w:pPr>
        <w:spacing w:after="0" w:line="105"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To authorize the creation, making and issuance, in such form as it may determine, of written obligations of every kind, negotiable or non-negotiable, secured or unsecured, to borrow funds and guarantee obligations, and to do all things necessary in connection therewith;</w:t>
      </w:r>
    </w:p>
    <w:p>
      <w:pPr>
        <w:spacing w:after="0" w:line="7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To remove any officer of the Corporation with or without cause, and from time to time to devolve the powers and duties of any officer upon any other person for the time being;</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To confer upon any officer of the Corporation the power to appoint, remove and suspend subordinate officers, employees and agents;</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To adopt from time to time such stock, option, stock purchase, bonus or other compensation plans for directors, officers, employees and agents of the Corporation and its subsidiaries as it may determine;</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To adopt from time to time such insurance, retirement, and other benefit plans for directors, officers, employees and agents of the Corporation and its subsidiaries as it may determine; and,</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To adopt from time to time regulations, not inconsistent with these Bylaws, for the management of the Corporation’s business and affairs.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11. Compensation of Directors.</w:t>
      </w:r>
    </w:p>
    <w:p>
      <w:pPr>
        <w:spacing w:after="0" w:line="105"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Directors, as such, may receive, pursuant to a resolution of the Board of Directors, fixed fees and other compensation for their services as directors, including, without limitation, their services as members of committees of the Board of Directors.</w:t>
      </w:r>
    </w:p>
    <w:p>
      <w:pPr>
        <w:spacing w:after="0" w:line="43" w:lineRule="exact"/>
        <w:rPr>
          <w:sz w:val="20"/>
          <w:szCs w:val="20"/>
          <w:color w:val="auto"/>
        </w:rPr>
      </w:pPr>
    </w:p>
    <w:p>
      <w:pPr>
        <w:ind w:left="3380"/>
        <w:spacing w:after="0"/>
        <w:rPr>
          <w:sz w:val="20"/>
          <w:szCs w:val="20"/>
          <w:color w:val="auto"/>
        </w:rPr>
      </w:pPr>
      <w:r>
        <w:rPr>
          <w:rFonts w:ascii="Arial" w:cs="Arial" w:eastAsia="Arial" w:hAnsi="Arial"/>
          <w:sz w:val="17"/>
          <w:szCs w:val="17"/>
          <w:i w:val="1"/>
          <w:iCs w:val="1"/>
          <w:color w:val="auto"/>
        </w:rPr>
        <w:t>ARTICLE III — COMMITTEES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Committees of the Board of Directors.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Board of Directors, by a vote of a majority of 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w:t>
      </w:r>
    </w:p>
    <w:p>
      <w:pPr>
        <w:spacing w:after="0" w:line="200" w:lineRule="exact"/>
        <w:rPr>
          <w:sz w:val="20"/>
          <w:szCs w:val="20"/>
          <w:color w:val="auto"/>
        </w:rPr>
      </w:pPr>
    </w:p>
    <w:p>
      <w:pPr>
        <w:spacing w:after="0" w:line="26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5" w:name="page396"/>
    <w:bookmarkEnd w:id="39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4" w:lineRule="auto"/>
        <w:rPr>
          <w:sz w:val="20"/>
          <w:szCs w:val="20"/>
          <w:color w:val="auto"/>
        </w:rPr>
      </w:pPr>
      <w:r>
        <w:rPr>
          <w:rFonts w:ascii="Arial" w:cs="Arial" w:eastAsia="Arial" w:hAnsi="Arial"/>
          <w:sz w:val="15"/>
          <w:szCs w:val="15"/>
          <w:color w:val="auto"/>
        </w:rPr>
        <w:t>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Conduct of Business.</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( 1/3) of the members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w:t>
      </w:r>
    </w:p>
    <w:p>
      <w:pPr>
        <w:spacing w:after="0" w:line="68" w:lineRule="exact"/>
        <w:rPr>
          <w:sz w:val="20"/>
          <w:szCs w:val="20"/>
          <w:color w:val="auto"/>
        </w:rPr>
      </w:pPr>
    </w:p>
    <w:p>
      <w:pPr>
        <w:ind w:left="3520"/>
        <w:spacing w:after="0"/>
        <w:rPr>
          <w:sz w:val="20"/>
          <w:szCs w:val="20"/>
          <w:color w:val="auto"/>
        </w:rPr>
      </w:pPr>
      <w:r>
        <w:rPr>
          <w:rFonts w:ascii="Arial" w:cs="Arial" w:eastAsia="Arial" w:hAnsi="Arial"/>
          <w:sz w:val="17"/>
          <w:szCs w:val="17"/>
          <w:i w:val="1"/>
          <w:iCs w:val="1"/>
          <w:color w:val="auto"/>
        </w:rPr>
        <w:t>ARTICLE IV — OFFICERS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Enumeration.</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Election.</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Qualification.</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Tenure and Removal.</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6" w:name="page397"/>
    <w:bookmarkEnd w:id="39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Chairman of the Board.</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Chairman of the Board, if any, shall preside at all meetings of the Board of Directors and stockholders at which he or she is present and shall have such authority and perform such duties as may be prescribed by these Bylaws or from time to time be determined by the Board of Directors.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6. President.</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President shall, subject to the control and direction of the Board of Directors, have and perform such powers and duties as may be prescribed by these Bylaws or from time to time be determined by the Board of Directors.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7. Vice Presidents.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8. Treasurer and Assistant Treasurers.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9. Secretary and Assistant Secretaries.</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10. Bond.</w:t>
      </w:r>
    </w:p>
    <w:p>
      <w:pPr>
        <w:spacing w:after="0" w:line="105"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11. Action with Respect to Securities of Other Corporations.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00" w:lineRule="exact"/>
        <w:rPr>
          <w:sz w:val="20"/>
          <w:szCs w:val="20"/>
          <w:color w:val="auto"/>
        </w:rPr>
      </w:pPr>
    </w:p>
    <w:p>
      <w:pPr>
        <w:spacing w:after="0" w:line="29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7" w:name="page398"/>
    <w:bookmarkEnd w:id="39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680"/>
        <w:spacing w:after="0"/>
        <w:rPr>
          <w:sz w:val="20"/>
          <w:szCs w:val="20"/>
          <w:color w:val="auto"/>
        </w:rPr>
      </w:pPr>
      <w:r>
        <w:rPr>
          <w:rFonts w:ascii="Arial" w:cs="Arial" w:eastAsia="Arial" w:hAnsi="Arial"/>
          <w:sz w:val="17"/>
          <w:szCs w:val="17"/>
          <w:i w:val="1"/>
          <w:iCs w:val="1"/>
          <w:color w:val="auto"/>
        </w:rPr>
        <w:t>ARTICLE V — STOCK</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Certificates of Stock.</w:t>
      </w:r>
    </w:p>
    <w:p>
      <w:pPr>
        <w:spacing w:after="0" w:line="105"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Each stockholder shall be entitled to a certificate signed by, or in the name of the Corporation by the Chairman of the Board of Directors, or the President or a Vice President, and by the Treasurer or an Assistant Treasurer, or the Secretary or an Assistant Secretary, certifying the number of shares owned by him or her. Any or all of the signatures on the certificate may be by facsimile.</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Transfers of Stock.</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Record Date.</w:t>
      </w:r>
    </w:p>
    <w:p>
      <w:pPr>
        <w:spacing w:after="0" w:line="105"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77"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Lost, Stolen or Destroyed Certificates.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Regulations.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issue, transfer, conversion and registration of certificates of stock shall be governed by such other regulations as the Board of Directors may establish.</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6. Interpretation.</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Board of Directors shall have the power to interpret all of the terms and provisions of these Bylaws, which interpretation shall be conclusive.</w:t>
      </w:r>
    </w:p>
    <w:p>
      <w:pPr>
        <w:spacing w:after="0" w:line="200" w:lineRule="exact"/>
        <w:rPr>
          <w:sz w:val="20"/>
          <w:szCs w:val="20"/>
          <w:color w:val="auto"/>
        </w:rPr>
      </w:pPr>
    </w:p>
    <w:p>
      <w:pPr>
        <w:spacing w:after="0" w:line="28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8" w:name="page399"/>
    <w:bookmarkEnd w:id="39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580"/>
        <w:spacing w:after="0"/>
        <w:rPr>
          <w:sz w:val="20"/>
          <w:szCs w:val="20"/>
          <w:color w:val="auto"/>
        </w:rPr>
      </w:pPr>
      <w:r>
        <w:rPr>
          <w:rFonts w:ascii="Arial" w:cs="Arial" w:eastAsia="Arial" w:hAnsi="Arial"/>
          <w:sz w:val="17"/>
          <w:szCs w:val="17"/>
          <w:i w:val="1"/>
          <w:iCs w:val="1"/>
          <w:color w:val="auto"/>
        </w:rPr>
        <w:t>ARTICLE VI — NOTICES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Notices.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or by sending such notice by courier service, prepaid telegram or mailgram, or telecopy, cable, or telex.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telegram, mailgram, telecopy, cable, or telex shall be the time of the giving of the notice.</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Waiver of Notice.</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w:t>
      </w:r>
    </w:p>
    <w:p>
      <w:pPr>
        <w:spacing w:after="0" w:line="68" w:lineRule="exact"/>
        <w:rPr>
          <w:sz w:val="20"/>
          <w:szCs w:val="20"/>
          <w:color w:val="auto"/>
        </w:rPr>
      </w:pPr>
    </w:p>
    <w:p>
      <w:pPr>
        <w:ind w:left="3160"/>
        <w:spacing w:after="0"/>
        <w:rPr>
          <w:sz w:val="20"/>
          <w:szCs w:val="20"/>
          <w:color w:val="auto"/>
        </w:rPr>
      </w:pPr>
      <w:r>
        <w:rPr>
          <w:rFonts w:ascii="Arial" w:cs="Arial" w:eastAsia="Arial" w:hAnsi="Arial"/>
          <w:sz w:val="17"/>
          <w:szCs w:val="17"/>
          <w:i w:val="1"/>
          <w:iCs w:val="1"/>
          <w:color w:val="auto"/>
        </w:rPr>
        <w:t>ARTICLE VII — INDEMNIFICATION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Actions other than by or in the Right of the Corporation.</w:t>
      </w:r>
    </w:p>
    <w:p>
      <w:pPr>
        <w:spacing w:after="0" w:line="10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Actions by or in the Right of the Corporation.</w:t>
      </w:r>
    </w:p>
    <w:p>
      <w:pPr>
        <w:spacing w:after="0" w:line="10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9" w:name="page400"/>
    <w:bookmarkEnd w:id="39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Success on the Merits.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Specific Authorization.</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Advance Payment.</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Expenses incurred in defending any civil, criminal, administrative, or investigative action, suit or proceeding may be paid by the Corporation in advance of the final disposition of such action, suit or proceeding upon receipt of an undertaking by or on behalf of any person described in said Section to repay such amount if it shall ultimately be determined that he or she is not entitled to indemnification by the Corporation as authorized in this Article.</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6. Non-Exclusivity.</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7. Insurance.</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8. Continuation of Indemnification and Advancement of Expenses.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indemnification and advancement of expenses provided by, or granted pursuant to, this Article shall continue as to a person who has ceased to be a director, officer, employee or agent and shall inure to the benefit of the heirs, executors and administrators of such a person.</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9. Severability.</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If any word, clause or provision of this Article or any award made hereunder shall for any reason be determined to be invalid, the provisions hereof shall not otherwise be affected thereby but shall remain in full force and effect.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10. Intent of Article.</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intent of this Article is to provide for indemnification and advancement of expenses to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w:t>
      </w:r>
    </w:p>
    <w:p>
      <w:pPr>
        <w:spacing w:after="0" w:line="200" w:lineRule="exact"/>
        <w:rPr>
          <w:sz w:val="20"/>
          <w:szCs w:val="20"/>
          <w:color w:val="auto"/>
        </w:rPr>
      </w:pPr>
    </w:p>
    <w:p>
      <w:pPr>
        <w:spacing w:after="0" w:line="275"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0" w:name="page401"/>
    <w:bookmarkEnd w:id="40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4099" w:firstLine="2621"/>
        <w:spacing w:after="0" w:line="369" w:lineRule="auto"/>
        <w:rPr>
          <w:sz w:val="20"/>
          <w:szCs w:val="20"/>
          <w:color w:val="auto"/>
        </w:rPr>
      </w:pPr>
      <w:r>
        <w:rPr>
          <w:rFonts w:ascii="Arial" w:cs="Arial" w:eastAsia="Arial" w:hAnsi="Arial"/>
          <w:sz w:val="17"/>
          <w:szCs w:val="17"/>
          <w:i w:val="1"/>
          <w:iCs w:val="1"/>
          <w:color w:val="auto"/>
        </w:rPr>
        <w:t>ARTICLE VIII — CERTAIN TRANSACTIONS Section 1. Transactions with Interested Parties.</w:t>
      </w:r>
    </w:p>
    <w:p>
      <w:pPr>
        <w:jc w:val="both"/>
        <w:ind w:left="40" w:right="1239" w:firstLine="251"/>
        <w:spacing w:after="0" w:line="270" w:lineRule="auto"/>
        <w:rPr>
          <w:sz w:val="20"/>
          <w:szCs w:val="20"/>
          <w:color w:val="auto"/>
        </w:rPr>
      </w:pPr>
      <w:r>
        <w:rPr>
          <w:rFonts w:ascii="Arial" w:cs="Arial" w:eastAsia="Arial" w:hAnsi="Arial"/>
          <w:sz w:val="16"/>
          <w:szCs w:val="16"/>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votes of such director or officer are counted for such purpose, if:</w:t>
      </w:r>
    </w:p>
    <w:p>
      <w:pPr>
        <w:spacing w:after="0" w:line="68" w:lineRule="exact"/>
        <w:rPr>
          <w:sz w:val="20"/>
          <w:szCs w:val="20"/>
          <w:color w:val="auto"/>
        </w:rPr>
      </w:pPr>
    </w:p>
    <w:p>
      <w:pPr>
        <w:jc w:val="both"/>
        <w:ind w:left="300" w:right="1239" w:firstLine="248"/>
        <w:spacing w:after="0" w:line="253" w:lineRule="auto"/>
        <w:tabs>
          <w:tab w:leader="none" w:pos="819"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77" w:lineRule="exact"/>
        <w:rPr>
          <w:rFonts w:ascii="Arial" w:cs="Arial" w:eastAsia="Arial" w:hAnsi="Arial"/>
          <w:sz w:val="17"/>
          <w:szCs w:val="17"/>
          <w:color w:val="auto"/>
        </w:rPr>
      </w:pPr>
    </w:p>
    <w:p>
      <w:pPr>
        <w:jc w:val="both"/>
        <w:ind w:left="300" w:right="1239" w:firstLine="248"/>
        <w:spacing w:after="0" w:line="256" w:lineRule="auto"/>
        <w:tabs>
          <w:tab w:leader="none" w:pos="827"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2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contract or transaction is fair as to the Corporation as of the time it is authorized, approved or ratified, by the Board of Directors, a committee thereof, or the stockholders.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Quorum.</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Common or interested directors may be counted in determining the presence of a quorum at a meeting of the Board of Directors or of a committee which authorizes the contract or transaction.</w:t>
      </w:r>
    </w:p>
    <w:p>
      <w:pPr>
        <w:spacing w:after="0" w:line="66" w:lineRule="exact"/>
        <w:rPr>
          <w:sz w:val="20"/>
          <w:szCs w:val="20"/>
          <w:color w:val="auto"/>
        </w:rPr>
      </w:pPr>
    </w:p>
    <w:p>
      <w:pPr>
        <w:ind w:left="3260"/>
        <w:spacing w:after="0"/>
        <w:rPr>
          <w:sz w:val="20"/>
          <w:szCs w:val="20"/>
          <w:color w:val="auto"/>
        </w:rPr>
      </w:pPr>
      <w:r>
        <w:rPr>
          <w:rFonts w:ascii="Arial" w:cs="Arial" w:eastAsia="Arial" w:hAnsi="Arial"/>
          <w:sz w:val="17"/>
          <w:szCs w:val="17"/>
          <w:i w:val="1"/>
          <w:iCs w:val="1"/>
          <w:color w:val="auto"/>
        </w:rPr>
        <w:t>ARTICLE IX — MISCELLANEOUS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Facsimile Signatures.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Corporate Seal.</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Reliance upon Books, Reports and Records.</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Fiscal Year.</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Except as otherwise determined by the Board of Directors from time to time, the fiscal year of the Corporation shall end on the last day of December of each year.</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Time Periods.</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200" w:lineRule="exact"/>
        <w:rPr>
          <w:sz w:val="20"/>
          <w:szCs w:val="20"/>
          <w:color w:val="auto"/>
        </w:rPr>
      </w:pPr>
    </w:p>
    <w:p>
      <w:pPr>
        <w:spacing w:after="0" w:line="27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1" w:name="page402"/>
    <w:bookmarkEnd w:id="40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center"/>
        <w:ind w:right="1199"/>
        <w:spacing w:after="0"/>
        <w:rPr>
          <w:sz w:val="20"/>
          <w:szCs w:val="20"/>
          <w:color w:val="auto"/>
        </w:rPr>
      </w:pPr>
      <w:r>
        <w:rPr>
          <w:rFonts w:ascii="Arial" w:cs="Arial" w:eastAsia="Arial" w:hAnsi="Arial"/>
          <w:sz w:val="17"/>
          <w:szCs w:val="17"/>
          <w:i w:val="1"/>
          <w:iCs w:val="1"/>
          <w:color w:val="auto"/>
        </w:rPr>
        <w:t>ARTICLE X — AMENDMENTS</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w:t>
      </w:r>
    </w:p>
    <w:p>
      <w:pPr>
        <w:spacing w:after="0" w:line="200" w:lineRule="exact"/>
        <w:rPr>
          <w:sz w:val="20"/>
          <w:szCs w:val="20"/>
          <w:color w:val="auto"/>
        </w:rPr>
      </w:pPr>
    </w:p>
    <w:p>
      <w:pPr>
        <w:spacing w:after="0" w:line="275"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2" w:name="page403"/>
    <w:bookmarkEnd w:id="40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Exhibit M</w:t>
      </w:r>
    </w:p>
    <w:p>
      <w:pPr>
        <w:spacing w:after="0" w:line="201"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FORM OF HUDSON BAY LETTER AGREEMENT</w:t>
      </w:r>
    </w:p>
    <w:p>
      <w:pPr>
        <w:spacing w:after="0" w:line="10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Hudson Bay Master Fund Ltd.</w:t>
      </w:r>
    </w:p>
    <w:p>
      <w:pPr>
        <w:spacing w:after="0" w:line="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777 Third Avenue, 30 Floor</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New York, NY 10017</w:t>
      </w:r>
    </w:p>
    <w:p>
      <w:pPr>
        <w:spacing w:after="0" w:line="19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__________, 2012</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Vringo, Inc.</w:t>
      </w:r>
    </w:p>
    <w:p>
      <w:pPr>
        <w:ind w:left="40"/>
        <w:spacing w:after="0" w:line="218" w:lineRule="auto"/>
        <w:rPr>
          <w:sz w:val="20"/>
          <w:szCs w:val="20"/>
          <w:color w:val="auto"/>
        </w:rPr>
      </w:pPr>
      <w:r>
        <w:rPr>
          <w:rFonts w:ascii="Arial" w:cs="Arial" w:eastAsia="Arial" w:hAnsi="Arial"/>
          <w:sz w:val="17"/>
          <w:szCs w:val="17"/>
          <w:color w:val="auto"/>
        </w:rPr>
        <w:t>44 West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Suite 1414</w:t>
      </w:r>
    </w:p>
    <w:p>
      <w:pPr>
        <w:ind w:left="40"/>
        <w:spacing w:after="0"/>
        <w:rPr>
          <w:sz w:val="20"/>
          <w:szCs w:val="20"/>
          <w:color w:val="auto"/>
        </w:rPr>
      </w:pPr>
      <w:r>
        <w:rPr>
          <w:rFonts w:ascii="Arial" w:cs="Arial" w:eastAsia="Arial" w:hAnsi="Arial"/>
          <w:sz w:val="17"/>
          <w:szCs w:val="17"/>
          <w:color w:val="auto"/>
        </w:rPr>
        <w:t>New York, NY 10001</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Attention: Andrew Perlman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Gentlemen:</w:t>
      </w:r>
    </w:p>
    <w:p>
      <w:pPr>
        <w:spacing w:after="0" w:line="101"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This letter agreement (this “</w:t>
      </w:r>
      <w:r>
        <w:rPr>
          <w:rFonts w:ascii="Arial" w:cs="Arial" w:eastAsia="Arial" w:hAnsi="Arial"/>
          <w:sz w:val="15"/>
          <w:szCs w:val="15"/>
          <w:b w:val="1"/>
          <w:bCs w:val="1"/>
          <w:color w:val="auto"/>
        </w:rPr>
        <w:t>Letter Agreement</w:t>
      </w:r>
      <w:r>
        <w:rPr>
          <w:rFonts w:ascii="Arial" w:cs="Arial" w:eastAsia="Arial" w:hAnsi="Arial"/>
          <w:sz w:val="15"/>
          <w:szCs w:val="15"/>
          <w:color w:val="auto"/>
        </w:rPr>
        <w:t>”) is made with reference to that certain Agreement and Plan of Merger (the “</w:t>
      </w:r>
      <w:r>
        <w:rPr>
          <w:rFonts w:ascii="Arial" w:cs="Arial" w:eastAsia="Arial" w:hAnsi="Arial"/>
          <w:sz w:val="15"/>
          <w:szCs w:val="15"/>
          <w:b w:val="1"/>
          <w:bCs w:val="1"/>
          <w:color w:val="auto"/>
        </w:rPr>
        <w:t>Merger Agreement</w:t>
      </w:r>
      <w:r>
        <w:rPr>
          <w:rFonts w:ascii="Arial" w:cs="Arial" w:eastAsia="Arial" w:hAnsi="Arial"/>
          <w:sz w:val="15"/>
          <w:szCs w:val="15"/>
          <w:color w:val="auto"/>
        </w:rPr>
        <w:t>”), dated as of _____________, 2012, by and among Vringo, Inc., a Delaware corporation (“</w:t>
      </w:r>
      <w:r>
        <w:rPr>
          <w:rFonts w:ascii="Arial" w:cs="Arial" w:eastAsia="Arial" w:hAnsi="Arial"/>
          <w:sz w:val="15"/>
          <w:szCs w:val="15"/>
          <w:b w:val="1"/>
          <w:bCs w:val="1"/>
          <w:color w:val="auto"/>
        </w:rPr>
        <w:t>Parent</w:t>
      </w:r>
      <w:r>
        <w:rPr>
          <w:rFonts w:ascii="Arial" w:cs="Arial" w:eastAsia="Arial" w:hAnsi="Arial"/>
          <w:sz w:val="15"/>
          <w:szCs w:val="15"/>
          <w:color w:val="auto"/>
        </w:rPr>
        <w:t>”), VIP</w:t>
      </w:r>
    </w:p>
    <w:p>
      <w:pPr>
        <w:jc w:val="both"/>
        <w:ind w:left="40" w:right="1239"/>
        <w:spacing w:after="0" w:line="249" w:lineRule="auto"/>
        <w:rPr>
          <w:sz w:val="20"/>
          <w:szCs w:val="20"/>
          <w:color w:val="auto"/>
        </w:rPr>
      </w:pPr>
      <w:r>
        <w:rPr>
          <w:rFonts w:ascii="Arial" w:cs="Arial" w:eastAsia="Arial" w:hAnsi="Arial"/>
          <w:sz w:val="17"/>
          <w:szCs w:val="17"/>
          <w:color w:val="auto"/>
        </w:rPr>
        <w:t>Merger Sub, Inc., a Delaware corporation and wholly-owned subsidiary of Parent and Innovate/Protect, Inc, a Delaware corporation. Capitalized terms used and not otherwise defined herein shall have the meanings ascribed to them in the Merger Agreement.</w:t>
      </w:r>
    </w:p>
    <w:p>
      <w:pPr>
        <w:spacing w:after="0" w:line="81" w:lineRule="exact"/>
        <w:rPr>
          <w:sz w:val="20"/>
          <w:szCs w:val="20"/>
          <w:color w:val="auto"/>
        </w:rPr>
      </w:pPr>
    </w:p>
    <w:p>
      <w:pPr>
        <w:jc w:val="both"/>
        <w:ind w:left="260" w:right="1239" w:hanging="250"/>
        <w:spacing w:after="0" w:line="281" w:lineRule="auto"/>
        <w:tabs>
          <w:tab w:leader="none" w:pos="260" w:val="left"/>
        </w:tabs>
        <w:numPr>
          <w:ilvl w:val="0"/>
          <w:numId w:val="324"/>
        </w:numPr>
        <w:rPr>
          <w:rFonts w:ascii="Arial" w:cs="Arial" w:eastAsia="Arial" w:hAnsi="Arial"/>
          <w:sz w:val="15"/>
          <w:szCs w:val="15"/>
          <w:color w:val="auto"/>
        </w:rPr>
      </w:pPr>
      <w:r>
        <w:rPr>
          <w:rFonts w:ascii="Arial" w:cs="Arial" w:eastAsia="Arial" w:hAnsi="Arial"/>
          <w:sz w:val="15"/>
          <w:szCs w:val="15"/>
          <w:color w:val="auto"/>
        </w:rPr>
        <w:t>In consideration of the premises and the agreements herein and for other consideration, the sufficiency of which is hereby acknowledged, Hudson Bay Master Fund Ltd. (the “</w:t>
      </w:r>
      <w:r>
        <w:rPr>
          <w:rFonts w:ascii="Arial" w:cs="Arial" w:eastAsia="Arial" w:hAnsi="Arial"/>
          <w:sz w:val="15"/>
          <w:szCs w:val="15"/>
          <w:b w:val="1"/>
          <w:bCs w:val="1"/>
          <w:color w:val="auto"/>
        </w:rPr>
        <w:t>Undersigned</w:t>
      </w:r>
      <w:r>
        <w:rPr>
          <w:rFonts w:ascii="Arial" w:cs="Arial" w:eastAsia="Arial" w:hAnsi="Arial"/>
          <w:sz w:val="15"/>
          <w:szCs w:val="15"/>
          <w:color w:val="auto"/>
        </w:rPr>
        <w:t>”) hereby agrees that from and after the Closing Date until the Termination Date (as defined below), the Undersigned shall not sell Excess Discounted Shares on any Trading Day. For purposes hereof, (x) “</w:t>
      </w:r>
      <w:r>
        <w:rPr>
          <w:rFonts w:ascii="Arial" w:cs="Arial" w:eastAsia="Arial" w:hAnsi="Arial"/>
          <w:sz w:val="15"/>
          <w:szCs w:val="15"/>
          <w:b w:val="1"/>
          <w:bCs w:val="1"/>
          <w:color w:val="auto"/>
        </w:rPr>
        <w:t>Excess Discounted Shares</w:t>
      </w:r>
      <w:r>
        <w:rPr>
          <w:rFonts w:ascii="Arial" w:cs="Arial" w:eastAsia="Arial" w:hAnsi="Arial"/>
          <w:sz w:val="15"/>
          <w:szCs w:val="15"/>
          <w:color w:val="auto"/>
        </w:rPr>
        <w:t>” means the sale on any Trading Day of any Merger Shares at a price that is lower than $2.00 per share (as adjusted for stock splits, stock dividends, stock combinations or other similar transactions) to the extent the sale of such Merger Shares is in excess of the greater of (i) fifteen percent (15%) of the daily trading volume (as reported on Bloomberg Financial Markets) of all shares of Common Stock traded on such Trading Day and (ii) 5,000 (as adjusted for stock splits, stock dividends, stock combinations or other similar transactions) Merger Shares; (y) “</w:t>
      </w:r>
      <w:r>
        <w:rPr>
          <w:rFonts w:ascii="Arial" w:cs="Arial" w:eastAsia="Arial" w:hAnsi="Arial"/>
          <w:sz w:val="15"/>
          <w:szCs w:val="15"/>
          <w:b w:val="1"/>
          <w:bCs w:val="1"/>
          <w:color w:val="auto"/>
        </w:rPr>
        <w:t>Merger Shares</w:t>
      </w:r>
      <w:r>
        <w:rPr>
          <w:rFonts w:ascii="Arial" w:cs="Arial" w:eastAsia="Arial" w:hAnsi="Arial"/>
          <w:sz w:val="15"/>
          <w:szCs w:val="15"/>
          <w:color w:val="auto"/>
        </w:rPr>
        <w:t>” means shares of common stock, $0.01 par value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of Parent issued to the Undersigned (1) pursuant to the Merger Agreement, (2) upon exercise of any Series 1 Warrants or Series 2 Warrants issued to the Undersigned on the Closing Date or (3) upon conversion of those certain shares of Series A Convertible Preferred Stock of Parent (the “</w:t>
      </w:r>
      <w:r>
        <w:rPr>
          <w:rFonts w:ascii="Arial" w:cs="Arial" w:eastAsia="Arial" w:hAnsi="Arial"/>
          <w:sz w:val="15"/>
          <w:szCs w:val="15"/>
          <w:b w:val="1"/>
          <w:bCs w:val="1"/>
          <w:color w:val="auto"/>
        </w:rPr>
        <w:t>Preferred Shares</w:t>
      </w:r>
      <w:r>
        <w:rPr>
          <w:rFonts w:ascii="Arial" w:cs="Arial" w:eastAsia="Arial" w:hAnsi="Arial"/>
          <w:sz w:val="15"/>
          <w:szCs w:val="15"/>
          <w:color w:val="auto"/>
        </w:rPr>
        <w:t>”) issued to the Undersigned on the Closing Date. For the avoidance of doubt, (i) sales by the Undersigned of shares of Common Stock that are not Merger Shares are not subject to the Sale Limitation and (ii) nothing set forth in this Letter Agreement shall restrict the Undersigned from selling shares of Common Stock or Merger Shares at a price equal to or greater than $2.00 (as adjusted for stock splits, stock dividends, stock combinations or other similar transactions) or Merger Shares in an amount that constitutes no more than the greater of (x) fifteen percent (15%) of the daily trading volume of all shares of Common Stock traded on such Trading Day and (y) 5,000 (as adjusted for stock splits, stock dividends, stock combinations or other similar transactions) Merger Shares. The Sale Limitation shall terminate upon written notice by the Parent to the Undersigned, which notice shall be given in accordance with Section 8.1 of the Merger Agreement (the date the Undersigned receives such notice, the “</w:t>
      </w:r>
      <w:r>
        <w:rPr>
          <w:rFonts w:ascii="Arial" w:cs="Arial" w:eastAsia="Arial" w:hAnsi="Arial"/>
          <w:sz w:val="15"/>
          <w:szCs w:val="15"/>
          <w:b w:val="1"/>
          <w:bCs w:val="1"/>
          <w:color w:val="auto"/>
        </w:rPr>
        <w:t>Termination Date</w:t>
      </w:r>
      <w:r>
        <w:rPr>
          <w:rFonts w:ascii="Arial" w:cs="Arial" w:eastAsia="Arial" w:hAnsi="Arial"/>
          <w:sz w:val="15"/>
          <w:szCs w:val="15"/>
          <w:color w:val="auto"/>
        </w:rPr>
        <w:t>”).</w:t>
      </w:r>
    </w:p>
    <w:p>
      <w:pPr>
        <w:spacing w:after="0" w:line="71"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[Signature Pages to Letter Agreement]</w:t>
      </w:r>
    </w:p>
    <w:p>
      <w:pPr>
        <w:spacing w:after="0" w:line="200" w:lineRule="exact"/>
        <w:rPr>
          <w:sz w:val="20"/>
          <w:szCs w:val="20"/>
          <w:color w:val="auto"/>
        </w:rPr>
      </w:pPr>
    </w:p>
    <w:p>
      <w:pPr>
        <w:spacing w:after="0" w:line="31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3" w:name="page404"/>
    <w:bookmarkEnd w:id="40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consideration of the premises and the agreements herein and for other consideration, the sufficiency of which is hereby acknowledged, Parent hereby agrees that from the Closing Date until thirty (30) days following the Termination Date, Parent will not, directly or indirectly, effect any Subsequent Placement (as defined below) unless Parent shall have first complied with the following provisions:</w:t>
      </w:r>
    </w:p>
    <w:p>
      <w:pPr>
        <w:spacing w:after="0" w:line="78" w:lineRule="exact"/>
        <w:rPr>
          <w:sz w:val="20"/>
          <w:szCs w:val="20"/>
          <w:color w:val="auto"/>
        </w:rPr>
      </w:pPr>
    </w:p>
    <w:p>
      <w:pPr>
        <w:jc w:val="both"/>
        <w:ind w:left="40" w:right="1239" w:firstLine="258"/>
        <w:spacing w:after="0" w:line="281" w:lineRule="auto"/>
        <w:tabs>
          <w:tab w:leader="none" w:pos="616" w:val="left"/>
        </w:tabs>
        <w:numPr>
          <w:ilvl w:val="0"/>
          <w:numId w:val="325"/>
        </w:numPr>
        <w:rPr>
          <w:rFonts w:ascii="Arial" w:cs="Arial" w:eastAsia="Arial" w:hAnsi="Arial"/>
          <w:sz w:val="15"/>
          <w:szCs w:val="15"/>
          <w:color w:val="auto"/>
        </w:rPr>
      </w:pPr>
      <w:r>
        <w:rPr>
          <w:rFonts w:ascii="Arial" w:cs="Arial" w:eastAsia="Arial" w:hAnsi="Arial"/>
          <w:sz w:val="15"/>
          <w:szCs w:val="15"/>
          <w:color w:val="auto"/>
        </w:rPr>
        <w:t>No later than three (3) Trading Days prior to the consummation of any Subsequent Placement, Parent shall notify the General Counsel of the Undersigned indicating that it would like to discuss with the Undersigned matters that may include material, nonpublic information (the “</w:t>
      </w:r>
      <w:r>
        <w:rPr>
          <w:rFonts w:ascii="Arial" w:cs="Arial" w:eastAsia="Arial" w:hAnsi="Arial"/>
          <w:sz w:val="15"/>
          <w:szCs w:val="15"/>
          <w:b w:val="1"/>
          <w:bCs w:val="1"/>
          <w:color w:val="auto"/>
        </w:rPr>
        <w:t>Pre-Notice</w:t>
      </w:r>
      <w:r>
        <w:rPr>
          <w:rFonts w:ascii="Arial" w:cs="Arial" w:eastAsia="Arial" w:hAnsi="Arial"/>
          <w:sz w:val="15"/>
          <w:szCs w:val="15"/>
          <w:color w:val="auto"/>
        </w:rPr>
        <w:t>”), but which Pre-Notice Parent shall acknowledge shall not contain any material, nonpublic information, and shall ask the Undersigned if it wants to receive a further notice in order to review the details of such matters (such additional written notice, the “</w:t>
      </w:r>
      <w:r>
        <w:rPr>
          <w:rFonts w:ascii="Arial" w:cs="Arial" w:eastAsia="Arial" w:hAnsi="Arial"/>
          <w:sz w:val="15"/>
          <w:szCs w:val="15"/>
          <w:b w:val="1"/>
          <w:bCs w:val="1"/>
          <w:color w:val="auto"/>
        </w:rPr>
        <w:t>Offer Notice</w:t>
      </w:r>
      <w:r>
        <w:rPr>
          <w:rFonts w:ascii="Arial" w:cs="Arial" w:eastAsia="Arial" w:hAnsi="Arial"/>
          <w:sz w:val="15"/>
          <w:szCs w:val="15"/>
          <w:color w:val="auto"/>
        </w:rPr>
        <w:t>” and the time Parent so contacts the Undersigned, the “</w:t>
      </w:r>
      <w:r>
        <w:rPr>
          <w:rFonts w:ascii="Arial" w:cs="Arial" w:eastAsia="Arial" w:hAnsi="Arial"/>
          <w:sz w:val="15"/>
          <w:szCs w:val="15"/>
          <w:b w:val="1"/>
          <w:bCs w:val="1"/>
          <w:color w:val="auto"/>
        </w:rPr>
        <w:t>Notice Time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in the case of an Overnight Offering (as defined below), Parent shall not be required to deliver a Pre-Notice pursuant to the immediately preceding sentence, but shall rather be required to contact the Undersigned by contacting both Yoav Roth and George Antonopoulos (both are collectively referred to herein as the “</w:t>
      </w:r>
      <w:r>
        <w:rPr>
          <w:rFonts w:ascii="Arial" w:cs="Arial" w:eastAsia="Arial" w:hAnsi="Arial"/>
          <w:sz w:val="15"/>
          <w:szCs w:val="15"/>
          <w:b w:val="1"/>
          <w:bCs w:val="1"/>
          <w:color w:val="auto"/>
        </w:rPr>
        <w:t>Undersigned’s Contact Persons</w:t>
      </w:r>
      <w:r>
        <w:rPr>
          <w:rFonts w:ascii="Arial" w:cs="Arial" w:eastAsia="Arial" w:hAnsi="Arial"/>
          <w:sz w:val="15"/>
          <w:szCs w:val="15"/>
          <w:color w:val="auto"/>
        </w:rPr>
        <w:t xml:space="preserve">”) by e-mail (all of the following: __________________, __________________, __________________, and __________________), facsimile (__________________), telephone (__________________) and cell phone (__________________ and __________________) to communicate to both the details set forth in the Offer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in the event Parent contacts the Undersigned’s Contact Persons between 10:00 p.m. and 8:00 a.m. New York City time on a Business Day or on a day that is not a Business Day, the Notice Time shall be deemed to be the immediately succeeding 8:00 a.m. New York City time that falls on a Business Day immediately following such contact. Upon the request of the Undersigned to receive an Offer Notice, which must be made no later than two (2) Trading Days following receipt of the Pre-Notice in order to participate in such Subsequent Placement, and only upon request by the Undersigned (other than in connection with an Overnight Offering), Parent shall promptly, but no later than one (1) Trading Day after such request, deliver an Offer Notice to the Undersigned. The Offer Notice delivered pursuant to the immediately preceding sentence or in connection with an Overnight Offering shall (x) identify and describe in reasonable detail the proposed terms of any proposed or intended issuance or sale or exchange (the “</w:t>
      </w:r>
      <w:r>
        <w:rPr>
          <w:rFonts w:ascii="Arial" w:cs="Arial" w:eastAsia="Arial" w:hAnsi="Arial"/>
          <w:sz w:val="15"/>
          <w:szCs w:val="15"/>
          <w:b w:val="1"/>
          <w:bCs w:val="1"/>
          <w:color w:val="auto"/>
        </w:rPr>
        <w:t>Offer</w:t>
      </w:r>
      <w:r>
        <w:rPr>
          <w:rFonts w:ascii="Arial" w:cs="Arial" w:eastAsia="Arial" w:hAnsi="Arial"/>
          <w:sz w:val="15"/>
          <w:szCs w:val="15"/>
          <w:color w:val="auto"/>
        </w:rPr>
        <w:t>”) of the securities being offered (the “</w:t>
      </w:r>
      <w:r>
        <w:rPr>
          <w:rFonts w:ascii="Arial" w:cs="Arial" w:eastAsia="Arial" w:hAnsi="Arial"/>
          <w:sz w:val="15"/>
          <w:szCs w:val="15"/>
          <w:b w:val="1"/>
          <w:bCs w:val="1"/>
          <w:color w:val="auto"/>
        </w:rPr>
        <w:t>Offered</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including, the price and other terms upon which they are to be issued, sold or exchanged, and the number or amount</w:t>
      </w:r>
      <w:r>
        <w:rPr>
          <w:rFonts w:ascii="Arial" w:cs="Arial" w:eastAsia="Arial" w:hAnsi="Arial"/>
          <w:sz w:val="15"/>
          <w:szCs w:val="15"/>
          <w:b w:val="1"/>
          <w:bCs w:val="1"/>
          <w:color w:val="auto"/>
        </w:rPr>
        <w:t xml:space="preserve"> </w:t>
      </w:r>
      <w:r>
        <w:rPr>
          <w:rFonts w:ascii="Arial" w:cs="Arial" w:eastAsia="Arial" w:hAnsi="Arial"/>
          <w:sz w:val="15"/>
          <w:szCs w:val="15"/>
          <w:color w:val="auto"/>
        </w:rPr>
        <w:t>of the Offered Securities to be issued, sold or exchanged, (y) identify the persons or entities (if known) to which or with which the Offered Securities are to be offered, issued, sold or exchanged and (z) offer to issue and sell to or exchange with the Undersigned twenty-five percent (25%) of the Offered Securities (the “</w:t>
      </w:r>
      <w:r>
        <w:rPr>
          <w:rFonts w:ascii="Arial" w:cs="Arial" w:eastAsia="Arial" w:hAnsi="Arial"/>
          <w:sz w:val="15"/>
          <w:szCs w:val="15"/>
          <w:b w:val="1"/>
          <w:bCs w:val="1"/>
          <w:color w:val="auto"/>
        </w:rPr>
        <w:t>Basic Amount</w:t>
      </w:r>
      <w:r>
        <w:rPr>
          <w:rFonts w:ascii="Arial" w:cs="Arial" w:eastAsia="Arial" w:hAnsi="Arial"/>
          <w:sz w:val="15"/>
          <w:szCs w:val="15"/>
          <w:color w:val="auto"/>
        </w:rPr>
        <w:t>”).</w:t>
      </w:r>
    </w:p>
    <w:p>
      <w:pPr>
        <w:spacing w:after="0" w:line="66" w:lineRule="exact"/>
        <w:rPr>
          <w:rFonts w:ascii="Arial" w:cs="Arial" w:eastAsia="Arial" w:hAnsi="Arial"/>
          <w:sz w:val="15"/>
          <w:szCs w:val="15"/>
          <w:color w:val="auto"/>
        </w:rPr>
      </w:pPr>
    </w:p>
    <w:p>
      <w:pPr>
        <w:jc w:val="both"/>
        <w:ind w:left="40" w:right="1239" w:firstLine="258"/>
        <w:spacing w:after="0" w:line="250" w:lineRule="auto"/>
        <w:tabs>
          <w:tab w:leader="none" w:pos="575"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To accept an Offer, in whole or in part, the Undersigned must deliver a written notice to Parent within five (5) hours of the Notice Time (the “</w:t>
      </w:r>
      <w:r>
        <w:rPr>
          <w:rFonts w:ascii="Arial" w:cs="Arial" w:eastAsia="Arial" w:hAnsi="Arial"/>
          <w:sz w:val="17"/>
          <w:szCs w:val="17"/>
          <w:b w:val="1"/>
          <w:bCs w:val="1"/>
          <w:color w:val="auto"/>
        </w:rPr>
        <w:t>Offer Period</w:t>
      </w:r>
      <w:r>
        <w:rPr>
          <w:rFonts w:ascii="Arial" w:cs="Arial" w:eastAsia="Arial" w:hAnsi="Arial"/>
          <w:sz w:val="17"/>
          <w:szCs w:val="17"/>
          <w:color w:val="auto"/>
        </w:rPr>
        <w:t>”), setting forth the portion of the Undersigned’s Basic Amount that the Undersigned elects to purchase (the “</w:t>
      </w:r>
      <w:r>
        <w:rPr>
          <w:rFonts w:ascii="Arial" w:cs="Arial" w:eastAsia="Arial" w:hAnsi="Arial"/>
          <w:sz w:val="17"/>
          <w:szCs w:val="17"/>
          <w:b w:val="1"/>
          <w:bCs w:val="1"/>
          <w:color w:val="auto"/>
        </w:rPr>
        <w:t>Notice of Acceptance</w:t>
      </w:r>
      <w:r>
        <w:rPr>
          <w:rFonts w:ascii="Arial" w:cs="Arial" w:eastAsia="Arial" w:hAnsi="Arial"/>
          <w:sz w:val="17"/>
          <w:szCs w:val="17"/>
          <w:color w:val="auto"/>
        </w:rPr>
        <w:t>”). Notwithstanding anything to the contrary contained herein, if Parent desires to modify or amend the terms and conditions of the Offer prior to the expiration of the Offer Period, Parent shall be required to deliver to the Undersigned a new Pre-Notice, or Offer Notice in case of an Overnight Offering, and follow the procedures set forth in clause (1) above and this clause (2).</w:t>
      </w:r>
    </w:p>
    <w:p>
      <w:pPr>
        <w:spacing w:after="0" w:line="81" w:lineRule="exact"/>
        <w:rPr>
          <w:rFonts w:ascii="Arial" w:cs="Arial" w:eastAsia="Arial" w:hAnsi="Arial"/>
          <w:sz w:val="17"/>
          <w:szCs w:val="17"/>
          <w:color w:val="auto"/>
        </w:rPr>
      </w:pPr>
    </w:p>
    <w:p>
      <w:pPr>
        <w:jc w:val="both"/>
        <w:ind w:left="40" w:right="1239" w:firstLine="258"/>
        <w:spacing w:after="0" w:line="285" w:lineRule="auto"/>
        <w:tabs>
          <w:tab w:leader="none" w:pos="577" w:val="left"/>
        </w:tabs>
        <w:numPr>
          <w:ilvl w:val="0"/>
          <w:numId w:val="325"/>
        </w:numPr>
        <w:rPr>
          <w:rFonts w:ascii="Arial" w:cs="Arial" w:eastAsia="Arial" w:hAnsi="Arial"/>
          <w:sz w:val="15"/>
          <w:szCs w:val="15"/>
          <w:color w:val="auto"/>
        </w:rPr>
      </w:pPr>
      <w:r>
        <w:rPr>
          <w:rFonts w:ascii="Arial" w:cs="Arial" w:eastAsia="Arial" w:hAnsi="Arial"/>
          <w:sz w:val="15"/>
          <w:szCs w:val="15"/>
          <w:color w:val="auto"/>
        </w:rPr>
        <w:t>Parent shall have five (5) Business Days from the expiration of the Offer Period above, or forty (40) hours from the Notice Time in case of an Overnight Offering, (i) to offer, issue, sell or exchange all or any part of such Offered Securities as to which a Notice of Acceptance has not been given by the Undersigned (the “</w:t>
      </w:r>
      <w:r>
        <w:rPr>
          <w:rFonts w:ascii="Arial" w:cs="Arial" w:eastAsia="Arial" w:hAnsi="Arial"/>
          <w:sz w:val="15"/>
          <w:szCs w:val="15"/>
          <w:b w:val="1"/>
          <w:bCs w:val="1"/>
          <w:color w:val="auto"/>
        </w:rPr>
        <w:t>Refused Securities</w:t>
      </w:r>
      <w:r>
        <w:rPr>
          <w:rFonts w:ascii="Arial" w:cs="Arial" w:eastAsia="Arial" w:hAnsi="Arial"/>
          <w:sz w:val="15"/>
          <w:szCs w:val="15"/>
          <w:color w:val="auto"/>
        </w:rPr>
        <w:t>”) pursuant to a definitive agreement (the “</w:t>
      </w:r>
      <w:r>
        <w:rPr>
          <w:rFonts w:ascii="Arial" w:cs="Arial" w:eastAsia="Arial" w:hAnsi="Arial"/>
          <w:sz w:val="15"/>
          <w:szCs w:val="15"/>
          <w:b w:val="1"/>
          <w:bCs w:val="1"/>
          <w:color w:val="auto"/>
        </w:rPr>
        <w:t>Subsequent Placement Agreement</w:t>
      </w:r>
      <w:r>
        <w:rPr>
          <w:rFonts w:ascii="Arial" w:cs="Arial" w:eastAsia="Arial" w:hAnsi="Arial"/>
          <w:sz w:val="15"/>
          <w:szCs w:val="15"/>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Parent than those set forth in the Offer Notice and (ii) to publicly announce (a) if a Subsequent Placement Agreement is executed, the execution of such Subsequent Placement Agreement, and (b) if a Subsequent Placement is consummated, the consummation of the transactions contemplated by such Subsequent Placement Agreement, which shall be filed with the United States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on a Current Report on Form 8-K with such Subsequent Placement Agreement and any documents contemplated therein filed as exhibits thereto.</w:t>
      </w:r>
    </w:p>
    <w:p>
      <w:pPr>
        <w:spacing w:after="0" w:line="200" w:lineRule="exact"/>
        <w:rPr>
          <w:sz w:val="20"/>
          <w:szCs w:val="20"/>
          <w:color w:val="auto"/>
        </w:rPr>
      </w:pPr>
    </w:p>
    <w:p>
      <w:pPr>
        <w:spacing w:after="0" w:line="27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4" w:name="page405"/>
    <w:bookmarkEnd w:id="40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8"/>
        <w:spacing w:after="0" w:line="265" w:lineRule="auto"/>
        <w:tabs>
          <w:tab w:leader="none" w:pos="58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In the event Parent shall propose to sell less than all the Refused Securities (any such sale to be in the manner and on the terms specified in clause (3) above), then the Undersigned may, at its sole option and in its sole discretion, reduce the number or amount of the Offered Securities specified in its Notice of Acceptance to an amount that shall be not less than the number or amount of the Offered Securities that the Undersigned elected to purchase pursuant to Section clause (2) above multiplied by a fraction, (i) the numerator of which shall be the number or amount of Offered Securities Parent actually proposes to issue, sell or exchange (including Offered Securities to be issued or sold to the Undersigned pursuant to clause (3) above prior to such reduction) and (ii) the denominator of which shall be the original amount of the Offered Securities. In the event that the Undersigned so elects to reduce the number or amount of Offered Securities specified in its Notice of Acceptance, Parent may not issue, sell or exchange more than the reduced number or amount of the Offered Securities unless and until such securities have again been offered to the Undersigned in accordance with clause (1) above.</w:t>
      </w:r>
    </w:p>
    <w:p>
      <w:pPr>
        <w:spacing w:after="0" w:line="73" w:lineRule="exact"/>
        <w:rPr>
          <w:rFonts w:ascii="Arial" w:cs="Arial" w:eastAsia="Arial" w:hAnsi="Arial"/>
          <w:sz w:val="16"/>
          <w:szCs w:val="16"/>
          <w:color w:val="auto"/>
        </w:rPr>
      </w:pPr>
    </w:p>
    <w:p>
      <w:pPr>
        <w:jc w:val="both"/>
        <w:ind w:left="40" w:right="1239" w:firstLine="258"/>
        <w:spacing w:after="0" w:line="269" w:lineRule="auto"/>
        <w:tabs>
          <w:tab w:leader="none" w:pos="592" w:val="left"/>
        </w:tabs>
        <w:numPr>
          <w:ilvl w:val="0"/>
          <w:numId w:val="326"/>
        </w:numPr>
        <w:rPr>
          <w:rFonts w:ascii="Arial" w:cs="Arial" w:eastAsia="Arial" w:hAnsi="Arial"/>
          <w:sz w:val="16"/>
          <w:szCs w:val="16"/>
          <w:color w:val="auto"/>
        </w:rPr>
      </w:pPr>
      <w:r>
        <w:rPr>
          <w:rFonts w:ascii="Arial" w:cs="Arial" w:eastAsia="Arial" w:hAnsi="Arial"/>
          <w:sz w:val="16"/>
          <w:szCs w:val="16"/>
          <w:color w:val="auto"/>
        </w:rPr>
        <w:t>Upon the closing of the issuance, sale or exchange of all or less than all of the Refused Securities, the Undersigned shall acquire from Parent, and Parent shall issue to the Undersigned, the number or amount of Offered Securities specified in the Notices of Acceptance, as reduced pursuant to clause (4) above if the Undersigned has so elected, upon the terms and conditions specified in the Offer. The purchase by the Undersigned of any Offered Securities is subject in all cases to the preparation, execution and delivery by Parent and the Undersigned of a Subsequent Placement Agreement, in all cases with the same terms and conditions as the agreement(s) entered into with other purchasers of Offered Securities.</w:t>
      </w:r>
    </w:p>
    <w:p>
      <w:pPr>
        <w:spacing w:after="0" w:line="65" w:lineRule="exact"/>
        <w:rPr>
          <w:rFonts w:ascii="Arial" w:cs="Arial" w:eastAsia="Arial" w:hAnsi="Arial"/>
          <w:sz w:val="16"/>
          <w:szCs w:val="16"/>
          <w:color w:val="auto"/>
        </w:rPr>
      </w:pPr>
    </w:p>
    <w:p>
      <w:pPr>
        <w:ind w:left="40" w:right="1239" w:firstLine="258"/>
        <w:spacing w:after="0" w:line="335" w:lineRule="auto"/>
        <w:tabs>
          <w:tab w:leader="none" w:pos="57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Any Offered Securities not acquired by the Undersigned or other persons in accordance with the provisions above may not be issued, sold or exchanged until they are again offered to the Undersigned under the procedures specified in this Agreement.</w:t>
      </w:r>
    </w:p>
    <w:p>
      <w:pPr>
        <w:spacing w:after="0" w:line="19" w:lineRule="exact"/>
        <w:rPr>
          <w:rFonts w:ascii="Arial" w:cs="Arial" w:eastAsia="Arial" w:hAnsi="Arial"/>
          <w:sz w:val="15"/>
          <w:szCs w:val="15"/>
          <w:color w:val="auto"/>
        </w:rPr>
      </w:pPr>
    </w:p>
    <w:p>
      <w:pPr>
        <w:jc w:val="both"/>
        <w:ind w:left="40" w:right="1239" w:firstLine="258"/>
        <w:spacing w:after="0" w:line="292" w:lineRule="auto"/>
        <w:tabs>
          <w:tab w:leader="none" w:pos="615" w:val="left"/>
        </w:tabs>
        <w:numPr>
          <w:ilvl w:val="0"/>
          <w:numId w:val="326"/>
        </w:numPr>
        <w:rPr>
          <w:rFonts w:ascii="Arial" w:cs="Arial" w:eastAsia="Arial" w:hAnsi="Arial"/>
          <w:sz w:val="15"/>
          <w:szCs w:val="15"/>
          <w:color w:val="auto"/>
        </w:rPr>
      </w:pPr>
      <w:r>
        <w:rPr>
          <w:rFonts w:ascii="Arial" w:cs="Arial" w:eastAsia="Arial" w:hAnsi="Arial"/>
          <w:sz w:val="15"/>
          <w:szCs w:val="15"/>
          <w:color w:val="auto"/>
        </w:rPr>
        <w:t>Parent and the Undersigned agree that if the Undersigned elects to participate in the Offer, (x) neither the Subsequent Placement Agreement with respect to such Offer nor any other transaction documents related thereto (collectively, the “</w:t>
      </w:r>
      <w:r>
        <w:rPr>
          <w:rFonts w:ascii="Arial" w:cs="Arial" w:eastAsia="Arial" w:hAnsi="Arial"/>
          <w:sz w:val="15"/>
          <w:szCs w:val="15"/>
          <w:b w:val="1"/>
          <w:bCs w:val="1"/>
          <w:color w:val="auto"/>
        </w:rPr>
        <w:t>Subsequent</w:t>
      </w:r>
      <w:r>
        <w:rPr>
          <w:rFonts w:ascii="Arial" w:cs="Arial" w:eastAsia="Arial" w:hAnsi="Arial"/>
          <w:sz w:val="15"/>
          <w:szCs w:val="15"/>
          <w:color w:val="auto"/>
        </w:rPr>
        <w:t xml:space="preserve"> </w:t>
      </w:r>
      <w:r>
        <w:rPr>
          <w:rFonts w:ascii="Arial" w:cs="Arial" w:eastAsia="Arial" w:hAnsi="Arial"/>
          <w:sz w:val="15"/>
          <w:szCs w:val="15"/>
          <w:b w:val="1"/>
          <w:bCs w:val="1"/>
          <w:color w:val="auto"/>
        </w:rPr>
        <w:t>Placement Documents</w:t>
      </w:r>
      <w:r>
        <w:rPr>
          <w:rFonts w:ascii="Arial" w:cs="Arial" w:eastAsia="Arial" w:hAnsi="Arial"/>
          <w:sz w:val="15"/>
          <w:szCs w:val="15"/>
          <w:color w:val="auto"/>
        </w:rPr>
        <w:t>”) shall include any term or provisions whereby the Undersigned shall be required to agree to any</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restrictions in trading as to any securities of Parent owned by the Undersigned prior to such Subsequent Placement, and (y) the Undersigned shall be entitled to the same registration rights provided to other investors in the Subsequent Placement.</w:t>
      </w:r>
    </w:p>
    <w:p>
      <w:pPr>
        <w:spacing w:after="0" w:line="53" w:lineRule="exact"/>
        <w:rPr>
          <w:rFonts w:ascii="Arial" w:cs="Arial" w:eastAsia="Arial" w:hAnsi="Arial"/>
          <w:sz w:val="15"/>
          <w:szCs w:val="15"/>
          <w:color w:val="auto"/>
        </w:rPr>
      </w:pPr>
    </w:p>
    <w:p>
      <w:pPr>
        <w:jc w:val="both"/>
        <w:ind w:left="40" w:right="1239" w:firstLine="258"/>
        <w:spacing w:after="0" w:line="291" w:lineRule="auto"/>
        <w:tabs>
          <w:tab w:leader="none" w:pos="587" w:val="left"/>
        </w:tabs>
        <w:numPr>
          <w:ilvl w:val="0"/>
          <w:numId w:val="326"/>
        </w:numPr>
        <w:rPr>
          <w:rFonts w:ascii="Arial" w:cs="Arial" w:eastAsia="Arial" w:hAnsi="Arial"/>
          <w:sz w:val="15"/>
          <w:szCs w:val="15"/>
          <w:color w:val="auto"/>
        </w:rPr>
      </w:pPr>
      <w:r>
        <w:rPr>
          <w:rFonts w:ascii="Arial" w:cs="Arial" w:eastAsia="Arial" w:hAnsi="Arial"/>
          <w:sz w:val="15"/>
          <w:szCs w:val="15"/>
          <w:color w:val="auto"/>
        </w:rPr>
        <w:t>Notwithstanding anything to the contrary in herein and unless otherwise agreed to by the Undersigned, Parent shall either confirm in writing to the Undersigned that the transaction with respect to the Subsequent Placement has been abandoned or shall publicly disclose its intention to issue the Offered Securities, in either case in such a manner such that the Undersigned will not be</w:t>
      </w:r>
    </w:p>
    <w:p>
      <w:pPr>
        <w:spacing w:after="0" w:line="1" w:lineRule="exact"/>
        <w:rPr>
          <w:sz w:val="20"/>
          <w:szCs w:val="20"/>
          <w:color w:val="auto"/>
        </w:rPr>
      </w:pPr>
    </w:p>
    <w:p>
      <w:pPr>
        <w:jc w:val="both"/>
        <w:ind w:left="40" w:right="1239"/>
        <w:spacing w:after="0" w:line="234" w:lineRule="auto"/>
        <w:rPr>
          <w:sz w:val="20"/>
          <w:szCs w:val="20"/>
          <w:color w:val="auto"/>
        </w:rPr>
      </w:pPr>
      <w:r>
        <w:rPr>
          <w:rFonts w:ascii="Arial" w:cs="Arial" w:eastAsia="Arial" w:hAnsi="Arial"/>
          <w:sz w:val="15"/>
          <w:szCs w:val="15"/>
          <w:color w:val="auto"/>
        </w:rPr>
        <w:t>in possession of material non-public information, by (i) the fifteenth (15</w:t>
      </w:r>
      <w:r>
        <w:rPr>
          <w:rFonts w:ascii="Arial" w:cs="Arial" w:eastAsia="Arial" w:hAnsi="Arial"/>
          <w:sz w:val="24"/>
          <w:szCs w:val="24"/>
          <w:color w:val="auto"/>
          <w:vertAlign w:val="superscript"/>
        </w:rPr>
        <w:t>th</w:t>
      </w:r>
      <w:r>
        <w:rPr>
          <w:rFonts w:ascii="Arial" w:cs="Arial" w:eastAsia="Arial" w:hAnsi="Arial"/>
          <w:sz w:val="15"/>
          <w:szCs w:val="15"/>
          <w:color w:val="auto"/>
        </w:rPr>
        <w:t>) Business Day following delivery of the Offer Notice or (ii) in case of an Overnight Offering, by the fortieth (40</w:t>
      </w:r>
      <w:r>
        <w:rPr>
          <w:rFonts w:ascii="Arial" w:cs="Arial" w:eastAsia="Arial" w:hAnsi="Arial"/>
          <w:sz w:val="24"/>
          <w:szCs w:val="24"/>
          <w:color w:val="auto"/>
          <w:vertAlign w:val="superscript"/>
        </w:rPr>
        <w:t>th</w:t>
      </w:r>
      <w:r>
        <w:rPr>
          <w:rFonts w:ascii="Arial" w:cs="Arial" w:eastAsia="Arial" w:hAnsi="Arial"/>
          <w:sz w:val="15"/>
          <w:szCs w:val="15"/>
          <w:color w:val="auto"/>
        </w:rPr>
        <w:t>) hour following delivery of the Offer Notice. If by the fifteenth (15</w:t>
      </w:r>
      <w:r>
        <w:rPr>
          <w:rFonts w:ascii="Arial" w:cs="Arial" w:eastAsia="Arial" w:hAnsi="Arial"/>
          <w:sz w:val="24"/>
          <w:szCs w:val="24"/>
          <w:color w:val="auto"/>
          <w:vertAlign w:val="superscript"/>
        </w:rPr>
        <w:t>th</w:t>
      </w:r>
      <w:r>
        <w:rPr>
          <w:rFonts w:ascii="Arial" w:cs="Arial" w:eastAsia="Arial" w:hAnsi="Arial"/>
          <w:sz w:val="15"/>
          <w:szCs w:val="15"/>
          <w:color w:val="auto"/>
        </w:rPr>
        <w:t>)</w:t>
      </w:r>
    </w:p>
    <w:p>
      <w:pPr>
        <w:jc w:val="both"/>
        <w:ind w:left="40" w:right="1239"/>
        <w:spacing w:after="0" w:line="247" w:lineRule="auto"/>
        <w:rPr>
          <w:sz w:val="20"/>
          <w:szCs w:val="20"/>
          <w:color w:val="auto"/>
        </w:rPr>
      </w:pPr>
      <w:r>
        <w:rPr>
          <w:rFonts w:ascii="Arial" w:cs="Arial" w:eastAsia="Arial" w:hAnsi="Arial"/>
          <w:sz w:val="16"/>
          <w:szCs w:val="16"/>
          <w:color w:val="auto"/>
        </w:rPr>
        <w:t>Business Day or the fortieth (40</w:t>
      </w:r>
      <w:r>
        <w:rPr>
          <w:rFonts w:ascii="Arial" w:cs="Arial" w:eastAsia="Arial" w:hAnsi="Arial"/>
          <w:sz w:val="26"/>
          <w:szCs w:val="26"/>
          <w:color w:val="auto"/>
          <w:vertAlign w:val="superscript"/>
        </w:rPr>
        <w:t>th</w:t>
      </w:r>
      <w:r>
        <w:rPr>
          <w:rFonts w:ascii="Arial" w:cs="Arial" w:eastAsia="Arial" w:hAnsi="Arial"/>
          <w:sz w:val="16"/>
          <w:szCs w:val="16"/>
          <w:color w:val="auto"/>
        </w:rPr>
        <w:t>) hour, as applicable, following delivery of the Offer Notice no public disclosure regarding a transaction with respect to the Offered Securities has been made, and no notice regarding the abandonment of such transaction has been received by the Undersigned, such transaction shall be deemed to have been abandoned and the Undersigned shall not be deemed to be in possession of any material, non-public information with respect to Parent. Should Parent decide to pursue such transaction with respect to the Offered Securities, Parent shall provide the Undersigned with another Offer Notice and the Undersigned will again have the right of participation set forth herein. Parent shall not be permitted to deliver more than one such Offer Notice to the Undersigned in any sixty (60) day period.</w:t>
      </w:r>
    </w:p>
    <w:p>
      <w:pPr>
        <w:spacing w:after="0" w:line="84" w:lineRule="exact"/>
        <w:rPr>
          <w:sz w:val="20"/>
          <w:szCs w:val="20"/>
          <w:color w:val="auto"/>
        </w:rPr>
      </w:pPr>
    </w:p>
    <w:p>
      <w:pPr>
        <w:ind w:left="580" w:hanging="282"/>
        <w:spacing w:after="0"/>
        <w:tabs>
          <w:tab w:leader="none" w:pos="58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foregoing restrictions shall not apply in connection with the issuance of any Excluded Securities.</w:t>
      </w:r>
    </w:p>
    <w:p>
      <w:pPr>
        <w:spacing w:after="0" w:line="101" w:lineRule="exact"/>
        <w:rPr>
          <w:rFonts w:ascii="Arial" w:cs="Arial" w:eastAsia="Arial" w:hAnsi="Arial"/>
          <w:sz w:val="17"/>
          <w:szCs w:val="17"/>
          <w:color w:val="auto"/>
        </w:rPr>
      </w:pPr>
    </w:p>
    <w:p>
      <w:pPr>
        <w:jc w:val="both"/>
        <w:ind w:left="40" w:right="1239" w:firstLine="258"/>
        <w:spacing w:after="0" w:line="270" w:lineRule="auto"/>
        <w:tabs>
          <w:tab w:leader="none" w:pos="652"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As used herein, (t)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Saturday, Sunday or other day on which commercial banks in The City of New York are authorized or required by law to remain closed, (u) “</w:t>
      </w:r>
      <w:r>
        <w:rPr>
          <w:rFonts w:ascii="Arial" w:cs="Arial" w:eastAsia="Arial" w:hAnsi="Arial"/>
          <w:sz w:val="16"/>
          <w:szCs w:val="16"/>
          <w:b w:val="1"/>
          <w:bCs w:val="1"/>
          <w:color w:val="auto"/>
        </w:rPr>
        <w:t>Overnight Offering</w:t>
      </w:r>
      <w:r>
        <w:rPr>
          <w:rFonts w:ascii="Arial" w:cs="Arial" w:eastAsia="Arial" w:hAnsi="Arial"/>
          <w:sz w:val="16"/>
          <w:szCs w:val="16"/>
          <w:color w:val="auto"/>
        </w:rPr>
        <w:t>” means a financing transaction by Parent, which is scheduled to close and be publicly announced pursuant to the provisions of clause (8) above within forty (40) hours of the Notice Time, (v) “</w:t>
      </w:r>
      <w:r>
        <w:rPr>
          <w:rFonts w:ascii="Arial" w:cs="Arial" w:eastAsia="Arial" w:hAnsi="Arial"/>
          <w:sz w:val="16"/>
          <w:szCs w:val="16"/>
          <w:b w:val="1"/>
          <w:bCs w:val="1"/>
          <w:color w:val="auto"/>
        </w:rPr>
        <w:t>Subsequent Placement</w:t>
      </w:r>
      <w:r>
        <w:rPr>
          <w:rFonts w:ascii="Arial" w:cs="Arial" w:eastAsia="Arial" w:hAnsi="Arial"/>
          <w:sz w:val="16"/>
          <w:szCs w:val="16"/>
          <w:color w:val="auto"/>
        </w:rPr>
        <w:t>” means any direct or indirect, offer, sale (including any sale of options to purchase), or other disposition of (or announcement of any offer, sale, or sale of any option to purchase or other disposition of) any of Parent’s or its Subsidiaries’ equity or equity equivalent securities, including</w:t>
      </w: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5" w:name="page406"/>
    <w:bookmarkEnd w:id="40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without limitation any debt, preferred stock or other instrument or security that is, at any time during its life and under any circumstances, convertible into or exchangeable or exercisable for Common Stock or Common Stock Equivalents; (w) “</w:t>
      </w:r>
      <w:r>
        <w:rPr>
          <w:rFonts w:ascii="Arial" w:cs="Arial" w:eastAsia="Arial" w:hAnsi="Arial"/>
          <w:sz w:val="15"/>
          <w:szCs w:val="15"/>
          <w:b w:val="1"/>
          <w:bCs w:val="1"/>
          <w:color w:val="auto"/>
        </w:rPr>
        <w:t>Common</w:t>
      </w:r>
      <w:r>
        <w:rPr>
          <w:rFonts w:ascii="Arial" w:cs="Arial" w:eastAsia="Arial" w:hAnsi="Arial"/>
          <w:sz w:val="15"/>
          <w:szCs w:val="15"/>
          <w:color w:val="auto"/>
        </w:rPr>
        <w:t xml:space="preserve"> </w:t>
      </w:r>
      <w:r>
        <w:rPr>
          <w:rFonts w:ascii="Arial" w:cs="Arial" w:eastAsia="Arial" w:hAnsi="Arial"/>
          <w:sz w:val="15"/>
          <w:szCs w:val="15"/>
          <w:b w:val="1"/>
          <w:bCs w:val="1"/>
          <w:color w:val="auto"/>
        </w:rPr>
        <w:t>Stock Equivalents</w:t>
      </w:r>
      <w:r>
        <w:rPr>
          <w:rFonts w:ascii="Arial" w:cs="Arial" w:eastAsia="Arial" w:hAnsi="Arial"/>
          <w:sz w:val="15"/>
          <w:szCs w:val="15"/>
          <w:color w:val="auto"/>
        </w:rPr>
        <w:t>” means, collectively, Options and Convertible Securities; (x) “</w:t>
      </w:r>
      <w:r>
        <w:rPr>
          <w:rFonts w:ascii="Arial" w:cs="Arial" w:eastAsia="Arial" w:hAnsi="Arial"/>
          <w:sz w:val="15"/>
          <w:szCs w:val="15"/>
          <w:b w:val="1"/>
          <w:bCs w:val="1"/>
          <w:color w:val="auto"/>
        </w:rPr>
        <w:t>Options</w:t>
      </w:r>
      <w:r>
        <w:rPr>
          <w:rFonts w:ascii="Arial" w:cs="Arial" w:eastAsia="Arial" w:hAnsi="Arial"/>
          <w:sz w:val="15"/>
          <w:szCs w:val="15"/>
          <w:color w:val="auto"/>
        </w:rPr>
        <w:t>” means any rights, warrants or options</w:t>
      </w:r>
      <w:r>
        <w:rPr>
          <w:rFonts w:ascii="Arial" w:cs="Arial" w:eastAsia="Arial" w:hAnsi="Arial"/>
          <w:sz w:val="15"/>
          <w:szCs w:val="15"/>
          <w:b w:val="1"/>
          <w:bCs w:val="1"/>
          <w:color w:val="auto"/>
        </w:rPr>
        <w:t xml:space="preserve"> </w:t>
      </w:r>
      <w:r>
        <w:rPr>
          <w:rFonts w:ascii="Arial" w:cs="Arial" w:eastAsia="Arial" w:hAnsi="Arial"/>
          <w:sz w:val="15"/>
          <w:szCs w:val="15"/>
          <w:color w:val="auto"/>
        </w:rPr>
        <w:t>to subscribe for or purchase Common Stock or Convertible Securities; (y) “</w:t>
      </w:r>
      <w:r>
        <w:rPr>
          <w:rFonts w:ascii="Arial" w:cs="Arial" w:eastAsia="Arial" w:hAnsi="Arial"/>
          <w:sz w:val="15"/>
          <w:szCs w:val="15"/>
          <w:b w:val="1"/>
          <w:bCs w:val="1"/>
          <w:color w:val="auto"/>
        </w:rPr>
        <w:t>Convertible Securities</w:t>
      </w:r>
      <w:r>
        <w:rPr>
          <w:rFonts w:ascii="Arial" w:cs="Arial" w:eastAsia="Arial" w:hAnsi="Arial"/>
          <w:sz w:val="15"/>
          <w:szCs w:val="15"/>
          <w:color w:val="auto"/>
        </w:rPr>
        <w:t>” means any stock or securities (other than Options) directly or indirectly convertible into or exchangeable or exercisable for Common Stock; and (z) “</w:t>
      </w:r>
      <w:r>
        <w:rPr>
          <w:rFonts w:ascii="Arial" w:cs="Arial" w:eastAsia="Arial" w:hAnsi="Arial"/>
          <w:sz w:val="15"/>
          <w:szCs w:val="15"/>
          <w:b w:val="1"/>
          <w:bCs w:val="1"/>
          <w:color w:val="auto"/>
        </w:rPr>
        <w:t>Excluded</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means any capital stock issued or issuable: (i) upon conversion of the Preferred Shares; provided that the terms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Preferred Shares are not amended, modified or changed after the Closing Date; (ii) as a dividend or distribution on the Preferred Shares; (iii) upon conversion of any Options or Convertible Securities which are outstanding on the day immediately preceding the date hereof, provided that the terms of such Options or Convertible Securities are not amended, modified or changed on or after the Closing Date; (iv) pursuant to any employee benefit plan which has been is approved by the Board of Directors of Parent pursuant to which Parent’s securities may be issued to any employee, officer or director for bona fide services provided to Parent; and (v) pursuant to acquisitions or strategic transactions approved by a majority of the disinterested directors of Parent, provided that any such issuance shall only be to a Person (or to the equity holders of a Person) which is, itself or through its subsidiaries, an operating company or an owner of an asset in a business synergistic with the business of Parent and shall provide to Parent additional benefits in addition to the investment of funds, but shall not include a transaction in which Parent is issuing securities for the purpose of raising capital or to an entity whose primary business is investing in securities.</w:t>
      </w:r>
    </w:p>
    <w:p>
      <w:pPr>
        <w:spacing w:after="0" w:line="6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This Letter Agreement may be executed in any number of counterparts, which together shall constitute this Letter Agreement. This Letter Agreement shall be governed by, and construed in accordance with, the laws of the State of New York (without giving effect to the conflict of laws principles thereof). Any amendments or modifications hereto must be executed in writing by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480568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color w:val="auto"/>
        </w:rPr>
        <w:t>Very truly yours,</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HUDSON BAY MASTER FUND LTD.</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 HUDSON BAY CAPITAL MANAGEMENT, L.P., its</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Investment Manager</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3175</wp:posOffset>
            </wp:positionV>
            <wp:extent cx="229933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189" w:lineRule="auto"/>
        <w:rPr>
          <w:sz w:val="20"/>
          <w:szCs w:val="20"/>
          <w:color w:val="auto"/>
        </w:rPr>
      </w:pPr>
      <w:r>
        <w:rPr>
          <w:rFonts w:ascii="Arial" w:cs="Arial" w:eastAsia="Arial" w:hAnsi="Arial"/>
          <w:sz w:val="17"/>
          <w:szCs w:val="17"/>
          <w:color w:val="auto"/>
        </w:rPr>
        <w:t>Agreed and Accepted as of this __</w:t>
      </w:r>
      <w:r>
        <w:rPr>
          <w:rFonts w:ascii="Arial" w:cs="Arial" w:eastAsia="Arial" w:hAnsi="Arial"/>
          <w:sz w:val="27"/>
          <w:szCs w:val="27"/>
          <w:color w:val="auto"/>
          <w:vertAlign w:val="superscript"/>
        </w:rPr>
        <w:t>th</w:t>
      </w:r>
    </w:p>
    <w:p>
      <w:pPr>
        <w:spacing w:after="0"/>
        <w:rPr>
          <w:sz w:val="20"/>
          <w:szCs w:val="20"/>
          <w:color w:val="auto"/>
        </w:rPr>
      </w:pPr>
      <w:r>
        <w:rPr>
          <w:rFonts w:ascii="Arial" w:cs="Arial" w:eastAsia="Arial" w:hAnsi="Arial"/>
          <w:sz w:val="17"/>
          <w:szCs w:val="17"/>
          <w:color w:val="auto"/>
        </w:rPr>
        <w:t>day of ______, 2012</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-123190</wp:posOffset>
            </wp:positionV>
            <wp:extent cx="190944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Title:</w:t>
      </w:r>
    </w:p>
    <w:p>
      <w:pPr>
        <w:spacing w:after="0" w:line="93"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[Signature Pages to Letter Agreement]</w:t>
      </w:r>
    </w:p>
    <w:p>
      <w:pPr>
        <w:spacing w:after="0" w:line="200" w:lineRule="exact"/>
        <w:rPr>
          <w:sz w:val="20"/>
          <w:szCs w:val="20"/>
          <w:color w:val="auto"/>
        </w:rPr>
      </w:pPr>
    </w:p>
    <w:p>
      <w:pPr>
        <w:spacing w:after="0" w:line="31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6" w:name="page407"/>
    <w:bookmarkEnd w:id="40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B</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FORM OF CERTIFICATE OF AMENDMENT</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 THE</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AMENDED AND RESTATED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CERTIFICATE OF INCORPORATION</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INC.</w:t>
      </w:r>
      <w:r>
        <w:rPr>
          <w:rFonts w:ascii="Arial" w:cs="Arial" w:eastAsia="Arial" w:hAnsi="Arial"/>
          <w:sz w:val="17"/>
          <w:szCs w:val="17"/>
          <w:color w:val="auto"/>
        </w:rPr>
        <w:t>, a Delaware corporation (the “</w:t>
      </w:r>
      <w:r>
        <w:rPr>
          <w:rFonts w:ascii="Arial" w:cs="Arial" w:eastAsia="Arial" w:hAnsi="Arial"/>
          <w:sz w:val="17"/>
          <w:szCs w:val="17"/>
          <w:b w:val="1"/>
          <w:bCs w:val="1"/>
          <w:color w:val="auto"/>
        </w:rPr>
        <w:t>Corporation</w:t>
      </w:r>
      <w:r>
        <w:rPr>
          <w:rFonts w:ascii="Arial" w:cs="Arial" w:eastAsia="Arial" w:hAnsi="Arial"/>
          <w:sz w:val="17"/>
          <w:szCs w:val="17"/>
          <w:color w:val="auto"/>
        </w:rPr>
        <w:t>”), does hereby certify that: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FIRST: </w:t>
      </w:r>
      <w:r>
        <w:rPr>
          <w:rFonts w:ascii="Arial" w:cs="Arial" w:eastAsia="Arial" w:hAnsi="Arial"/>
          <w:sz w:val="17"/>
          <w:szCs w:val="17"/>
          <w:color w:val="auto"/>
        </w:rPr>
        <w:t>The name of the Corporation is</w:t>
      </w:r>
      <w:r>
        <w:rPr>
          <w:rFonts w:ascii="Arial" w:cs="Arial" w:eastAsia="Arial" w:hAnsi="Arial"/>
          <w:sz w:val="17"/>
          <w:szCs w:val="17"/>
          <w:b w:val="1"/>
          <w:bCs w:val="1"/>
          <w:color w:val="auto"/>
        </w:rPr>
        <w:t xml:space="preserve"> VRINGO, INC.</w:t>
      </w:r>
    </w:p>
    <w:p>
      <w:pPr>
        <w:spacing w:after="0" w:line="105"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original Certificate of Incorporation of the Corporation was filed with the Secretary of State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on January 9, 2006 and the Amended and Restated Certificate of Incorporation of the Corporation was filed with the Secretary of State of the State of Delaware on June 22, 2010.</w:t>
      </w:r>
    </w:p>
    <w:p>
      <w:pPr>
        <w:spacing w:after="0" w:line="6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7"/>
          <w:szCs w:val="17"/>
          <w:color w:val="auto"/>
        </w:rPr>
        <w:t>The Board of Directors of the Corporation (the “</w:t>
      </w:r>
      <w:r>
        <w:rPr>
          <w:rFonts w:ascii="Arial" w:cs="Arial" w:eastAsia="Arial" w:hAnsi="Arial"/>
          <w:sz w:val="17"/>
          <w:szCs w:val="17"/>
          <w:b w:val="1"/>
          <w:bCs w:val="1"/>
          <w:color w:val="auto"/>
        </w:rPr>
        <w:t>Board</w:t>
      </w:r>
      <w:r>
        <w:rPr>
          <w:rFonts w:ascii="Arial" w:cs="Arial" w:eastAsia="Arial" w:hAnsi="Arial"/>
          <w:sz w:val="17"/>
          <w:szCs w:val="17"/>
          <w:color w:val="auto"/>
        </w:rPr>
        <w:t>”), acting in accordance with the provisions of Sections 141</w:t>
      </w:r>
      <w:r>
        <w:rPr>
          <w:rFonts w:ascii="Arial" w:cs="Arial" w:eastAsia="Arial" w:hAnsi="Arial"/>
          <w:sz w:val="17"/>
          <w:szCs w:val="17"/>
          <w:b w:val="1"/>
          <w:bCs w:val="1"/>
          <w:color w:val="auto"/>
        </w:rPr>
        <w:t xml:space="preserve"> </w:t>
      </w:r>
      <w:r>
        <w:rPr>
          <w:rFonts w:ascii="Arial" w:cs="Arial" w:eastAsia="Arial" w:hAnsi="Arial"/>
          <w:sz w:val="17"/>
          <w:szCs w:val="17"/>
          <w:color w:val="auto"/>
        </w:rPr>
        <w:t>and 242 of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adopted resolutions amending the Corporation’s Amended and Restated Certificate of Incorporation as follows:</w:t>
      </w:r>
    </w:p>
    <w:p>
      <w:pPr>
        <w:spacing w:after="0" w:line="73" w:lineRule="exact"/>
        <w:rPr>
          <w:sz w:val="20"/>
          <w:szCs w:val="20"/>
          <w:color w:val="auto"/>
        </w:rPr>
      </w:pPr>
    </w:p>
    <w:p>
      <w:pPr>
        <w:ind w:left="40" w:right="1239" w:firstLine="258"/>
        <w:spacing w:after="0" w:line="267" w:lineRule="auto"/>
        <w:tabs>
          <w:tab w:leader="none" w:pos="525" w:val="left"/>
        </w:tabs>
        <w:numPr>
          <w:ilvl w:val="0"/>
          <w:numId w:val="328"/>
        </w:numPr>
        <w:rPr>
          <w:rFonts w:ascii="Arial" w:cs="Arial" w:eastAsia="Arial" w:hAnsi="Arial"/>
          <w:sz w:val="17"/>
          <w:szCs w:val="17"/>
          <w:b w:val="1"/>
          <w:bCs w:val="1"/>
          <w:color w:val="auto"/>
        </w:rPr>
      </w:pPr>
      <w:r>
        <w:rPr>
          <w:rFonts w:ascii="Arial" w:cs="Arial" w:eastAsia="Arial" w:hAnsi="Arial"/>
          <w:sz w:val="17"/>
          <w:szCs w:val="17"/>
          <w:color w:val="auto"/>
        </w:rPr>
        <w:t>Article Fourth of the Corporation’s Amended and Restated Certificate of Incorporation is hereby amended by adding the following Sections (3):</w:t>
      </w:r>
    </w:p>
    <w:p>
      <w:pPr>
        <w:spacing w:after="0" w:line="66" w:lineRule="exact"/>
        <w:rPr>
          <w:sz w:val="20"/>
          <w:szCs w:val="20"/>
          <w:color w:val="auto"/>
        </w:rPr>
      </w:pPr>
    </w:p>
    <w:p>
      <w:pPr>
        <w:jc w:val="both"/>
        <w:ind w:left="300" w:right="1239" w:firstLine="251"/>
        <w:spacing w:after="0" w:line="282" w:lineRule="auto"/>
        <w:rPr>
          <w:sz w:val="20"/>
          <w:szCs w:val="20"/>
          <w:color w:val="auto"/>
        </w:rPr>
      </w:pPr>
      <w:r>
        <w:rPr>
          <w:rFonts w:ascii="Arial" w:cs="Arial" w:eastAsia="Arial" w:hAnsi="Arial"/>
          <w:sz w:val="15"/>
          <w:szCs w:val="15"/>
          <w:color w:val="auto"/>
        </w:rPr>
        <w:t>“(3) Reverse Stock Split. Effective at 5:00 p.m. (Eastern time), on the date of filing of this Certificate of Amendment of the Amended and Restated Certificate of Incorporation of the Corporation with the Secretary of State of the State of Delaware (the “</w:t>
      </w:r>
      <w:r>
        <w:rPr>
          <w:rFonts w:ascii="Arial" w:cs="Arial" w:eastAsia="Arial" w:hAnsi="Arial"/>
          <w:sz w:val="15"/>
          <w:szCs w:val="15"/>
          <w:b w:val="1"/>
          <w:bCs w:val="1"/>
          <w:color w:val="auto"/>
        </w:rPr>
        <w:t>Effective Time</w:t>
      </w:r>
      <w:r>
        <w:rPr>
          <w:rFonts w:ascii="Arial" w:cs="Arial" w:eastAsia="Arial" w:hAnsi="Arial"/>
          <w:sz w:val="15"/>
          <w:szCs w:val="15"/>
          <w:color w:val="auto"/>
        </w:rPr>
        <w:t>”),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____ (___) shares of the Corporation’s issued and</w:t>
      </w:r>
    </w:p>
    <w:p>
      <w:pPr>
        <w:spacing w:after="0" w:line="1" w:lineRule="exact"/>
        <w:rPr>
          <w:sz w:val="20"/>
          <w:szCs w:val="20"/>
          <w:color w:val="auto"/>
        </w:rPr>
      </w:pPr>
    </w:p>
    <w:p>
      <w:pPr>
        <w:jc w:val="both"/>
        <w:ind w:left="300" w:right="1239"/>
        <w:spacing w:after="0" w:line="291" w:lineRule="auto"/>
        <w:rPr>
          <w:sz w:val="20"/>
          <w:szCs w:val="20"/>
          <w:color w:val="auto"/>
        </w:rPr>
      </w:pPr>
      <w:r>
        <w:rPr>
          <w:rFonts w:ascii="Arial" w:cs="Arial" w:eastAsia="Arial" w:hAnsi="Arial"/>
          <w:sz w:val="15"/>
          <w:szCs w:val="15"/>
          <w:color w:val="auto"/>
        </w:rPr>
        <w:t>outstanding Common Stock immediately prior to the Effective Time are reclassified into 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53" w:lineRule="exact"/>
        <w:rPr>
          <w:sz w:val="20"/>
          <w:szCs w:val="20"/>
          <w:color w:val="auto"/>
        </w:rPr>
      </w:pPr>
    </w:p>
    <w:p>
      <w:pPr>
        <w:jc w:val="both"/>
        <w:ind w:left="300" w:right="1239" w:firstLine="248"/>
        <w:spacing w:after="0" w:line="265" w:lineRule="auto"/>
        <w:tabs>
          <w:tab w:leader="none" w:pos="865" w:val="left"/>
        </w:tabs>
        <w:numPr>
          <w:ilvl w:val="0"/>
          <w:numId w:val="329"/>
        </w:numPr>
        <w:rPr>
          <w:rFonts w:ascii="Arial" w:cs="Arial" w:eastAsia="Arial" w:hAnsi="Arial"/>
          <w:sz w:val="16"/>
          <w:szCs w:val="16"/>
          <w:color w:val="auto"/>
        </w:rPr>
      </w:pPr>
      <w:r>
        <w:rPr>
          <w:rFonts w:ascii="Arial" w:cs="Arial" w:eastAsia="Arial" w:hAnsi="Arial"/>
          <w:sz w:val="16"/>
          <w:szCs w:val="16"/>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70"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7"/>
          <w:szCs w:val="17"/>
          <w:color w:val="auto"/>
        </w:rPr>
        <w:t>Thereafter, pursuant to a resolution of the Board, this Certificate of Amendment was submitted to the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 for their approval, and was duly adopted in accordance with the provisions of Sections 222 and 242 of the DGCL.</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07" w:name="page408"/>
    <w:bookmarkEnd w:id="40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9840" w:type="dxa"/>
            <w:vAlign w:val="bottom"/>
            <w:gridSpan w:val="4"/>
          </w:tcPr>
          <w:p>
            <w:pPr>
              <w:ind w:left="10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w:t>
            </w:r>
            <w:r>
              <w:rPr>
                <w:rFonts w:ascii="Arial" w:cs="Arial" w:eastAsia="Arial" w:hAnsi="Arial"/>
                <w:sz w:val="17"/>
                <w:szCs w:val="17"/>
                <w:b w:val="1"/>
                <w:bCs w:val="1"/>
                <w:color w:val="auto"/>
              </w:rPr>
              <w:t xml:space="preserve"> CERTIFICATE OF AMENDMENT </w:t>
            </w:r>
            <w:r>
              <w:rPr>
                <w:rFonts w:ascii="Arial" w:cs="Arial" w:eastAsia="Arial" w:hAnsi="Arial"/>
                <w:sz w:val="17"/>
                <w:szCs w:val="17"/>
                <w:color w:val="auto"/>
              </w:rPr>
              <w:t>to be signed by its</w:t>
            </w:r>
          </w:p>
        </w:tc>
      </w:tr>
      <w:tr>
        <w:trPr>
          <w:trHeight w:val="196"/>
        </w:trPr>
        <w:tc>
          <w:tcPr>
            <w:tcW w:w="160" w:type="dxa"/>
            <w:vAlign w:val="bottom"/>
          </w:tcPr>
          <w:p>
            <w:pPr>
              <w:jc w:val="right"/>
              <w:ind w:right="16"/>
              <w:spacing w:after="0"/>
              <w:rPr>
                <w:sz w:val="20"/>
                <w:szCs w:val="20"/>
                <w:color w:val="auto"/>
              </w:rPr>
            </w:pPr>
            <w:r>
              <w:rPr>
                <w:rFonts w:ascii="Arial" w:cs="Arial" w:eastAsia="Arial" w:hAnsi="Arial"/>
                <w:sz w:val="17"/>
                <w:szCs w:val="17"/>
                <w:color w:val="auto"/>
                <w:w w:val="83"/>
              </w:rPr>
              <w:t>[</w:t>
            </w:r>
          </w:p>
        </w:tc>
        <w:tc>
          <w:tcPr>
            <w:tcW w:w="9840" w:type="dxa"/>
            <w:vAlign w:val="bottom"/>
            <w:gridSpan w:val="4"/>
          </w:tcPr>
          <w:p>
            <w:pPr>
              <w:ind w:left="580"/>
              <w:spacing w:after="0"/>
              <w:rPr>
                <w:sz w:val="20"/>
                <w:szCs w:val="20"/>
                <w:color w:val="auto"/>
              </w:rPr>
            </w:pPr>
            <w:r>
              <w:rPr>
                <w:rFonts w:ascii="Arial" w:cs="Arial" w:eastAsia="Arial" w:hAnsi="Arial"/>
                <w:sz w:val="17"/>
                <w:szCs w:val="17"/>
                <w:color w:val="auto"/>
                <w:w w:val="91"/>
              </w:rPr>
              <w:t>] as of the [  ] day of [], 2012.</w:t>
            </w:r>
          </w:p>
        </w:tc>
      </w:tr>
      <w:tr>
        <w:trPr>
          <w:trHeight w:val="204"/>
        </w:trPr>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900" w:type="dxa"/>
            <w:vAlign w:val="bottom"/>
            <w:gridSpan w:val="3"/>
          </w:tcPr>
          <w:p>
            <w:pPr>
              <w:ind w:left="2940"/>
              <w:spacing w:after="0"/>
              <w:rPr>
                <w:sz w:val="20"/>
                <w:szCs w:val="20"/>
                <w:color w:val="auto"/>
              </w:rPr>
            </w:pPr>
            <w:r>
              <w:rPr>
                <w:rFonts w:ascii="Arial" w:cs="Arial" w:eastAsia="Arial" w:hAnsi="Arial"/>
                <w:sz w:val="17"/>
                <w:szCs w:val="17"/>
                <w:b w:val="1"/>
                <w:bCs w:val="1"/>
                <w:color w:val="auto"/>
              </w:rPr>
              <w:t>VRINGO, INC.</w:t>
            </w:r>
          </w:p>
        </w:tc>
      </w:tr>
      <w:tr>
        <w:trPr>
          <w:trHeight w:val="213"/>
        </w:trPr>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900" w:type="dxa"/>
            <w:vAlign w:val="bottom"/>
            <w:gridSpan w:val="3"/>
          </w:tcPr>
          <w:p>
            <w:pPr>
              <w:ind w:left="2940"/>
              <w:spacing w:after="0"/>
              <w:rPr>
                <w:sz w:val="20"/>
                <w:szCs w:val="20"/>
                <w:color w:val="auto"/>
              </w:rPr>
            </w:pPr>
            <w:r>
              <w:rPr>
                <w:rFonts w:ascii="Arial" w:cs="Arial" w:eastAsia="Arial" w:hAnsi="Arial"/>
                <w:sz w:val="17"/>
                <w:szCs w:val="17"/>
                <w:color w:val="auto"/>
              </w:rPr>
              <w:t>By:</w:t>
            </w:r>
          </w:p>
        </w:tc>
      </w:tr>
      <w:tr>
        <w:trPr>
          <w:trHeight w:val="181"/>
        </w:trPr>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20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Name:</w:t>
            </w:r>
          </w:p>
        </w:tc>
        <w:tc>
          <w:tcPr>
            <w:tcW w:w="2420" w:type="dxa"/>
            <w:vAlign w:val="bottom"/>
          </w:tcPr>
          <w:p>
            <w:pPr>
              <w:spacing w:after="0"/>
              <w:rPr>
                <w:sz w:val="15"/>
                <w:szCs w:val="15"/>
                <w:color w:val="auto"/>
              </w:rPr>
            </w:pPr>
          </w:p>
        </w:tc>
      </w:tr>
      <w:tr>
        <w:trPr>
          <w:trHeight w:val="213"/>
        </w:trPr>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900" w:type="dxa"/>
            <w:vAlign w:val="bottom"/>
            <w:gridSpan w:val="3"/>
          </w:tcPr>
          <w:p>
            <w:pPr>
              <w:ind w:left="3280"/>
              <w:spacing w:after="0"/>
              <w:rPr>
                <w:sz w:val="20"/>
                <w:szCs w:val="20"/>
                <w:color w:val="auto"/>
              </w:rPr>
            </w:pPr>
            <w:r>
              <w:rPr>
                <w:rFonts w:ascii="Arial" w:cs="Arial" w:eastAsia="Arial" w:hAnsi="Arial"/>
                <w:sz w:val="17"/>
                <w:szCs w:val="17"/>
                <w:color w:val="auto"/>
              </w:rPr>
              <w:t>Title:</w:t>
            </w:r>
          </w:p>
        </w:tc>
      </w:tr>
      <w:tr>
        <w:trPr>
          <w:trHeight w:val="714"/>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900" w:type="dxa"/>
            <w:vAlign w:val="bottom"/>
            <w:gridSpan w:val="3"/>
          </w:tcPr>
          <w:p>
            <w:pPr>
              <w:ind w:left="3060"/>
              <w:spacing w:after="0"/>
              <w:rPr>
                <w:sz w:val="20"/>
                <w:szCs w:val="20"/>
                <w:color w:val="auto"/>
              </w:rPr>
            </w:pPr>
            <w:r>
              <w:rPr>
                <w:rFonts w:ascii="Arial" w:cs="Arial" w:eastAsia="Arial" w:hAnsi="Arial"/>
                <w:sz w:val="17"/>
                <w:szCs w:val="17"/>
                <w:color w:val="auto"/>
              </w:rPr>
              <w:t>B-2</w:t>
            </w:r>
          </w:p>
        </w:tc>
      </w:tr>
      <w:tr>
        <w:trPr>
          <w:trHeight w:val="150"/>
        </w:trPr>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80" w:type="dxa"/>
            <w:vAlign w:val="bottom"/>
            <w:tcBorders>
              <w:bottom w:val="single" w:sz="8" w:color="9A9A9A"/>
            </w:tcBorders>
          </w:tcPr>
          <w:p>
            <w:pPr>
              <w:spacing w:after="0"/>
              <w:rPr>
                <w:sz w:val="13"/>
                <w:szCs w:val="13"/>
                <w:color w:val="auto"/>
              </w:rPr>
            </w:pPr>
          </w:p>
        </w:tc>
        <w:tc>
          <w:tcPr>
            <w:tcW w:w="320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tcBorders>
              <w:bottom w:val="single" w:sz="8" w:color="EEEEEE"/>
            </w:tcBorders>
          </w:tcPr>
          <w:p>
            <w:pPr>
              <w:spacing w:after="0" w:line="20" w:lineRule="exact"/>
              <w:rPr>
                <w:sz w:val="1"/>
                <w:szCs w:val="1"/>
                <w:color w:val="auto"/>
              </w:rPr>
            </w:pPr>
          </w:p>
        </w:tc>
        <w:tc>
          <w:tcPr>
            <w:tcW w:w="320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-1169035</wp:posOffset>
            </wp:positionV>
            <wp:extent cx="48215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08" w:name="page409"/>
    <w:bookmarkEnd w:id="40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FORM OF CERTIFICATE OF AMENDMENT</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 THE</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AMENDED AND RESTATED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CERTIFICATE OF INCORPORATION</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INC.</w:t>
      </w:r>
      <w:r>
        <w:rPr>
          <w:rFonts w:ascii="Arial" w:cs="Arial" w:eastAsia="Arial" w:hAnsi="Arial"/>
          <w:sz w:val="17"/>
          <w:szCs w:val="17"/>
          <w:color w:val="auto"/>
        </w:rPr>
        <w:t>, a Delaware corporation (the</w:t>
      </w:r>
      <w:r>
        <w:rPr>
          <w:rFonts w:ascii="Arial" w:cs="Arial" w:eastAsia="Arial" w:hAnsi="Arial"/>
          <w:sz w:val="17"/>
          <w:szCs w:val="17"/>
          <w:b w:val="1"/>
          <w:bCs w:val="1"/>
          <w:color w:val="auto"/>
        </w:rPr>
        <w:t xml:space="preserve"> “Corporation”</w:t>
      </w:r>
      <w:r>
        <w:rPr>
          <w:rFonts w:ascii="Arial" w:cs="Arial" w:eastAsia="Arial" w:hAnsi="Arial"/>
          <w:sz w:val="17"/>
          <w:szCs w:val="17"/>
          <w:color w:val="auto"/>
        </w:rPr>
        <w:t>), does hereby certify that: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FIRST: </w:t>
      </w:r>
      <w:r>
        <w:rPr>
          <w:rFonts w:ascii="Arial" w:cs="Arial" w:eastAsia="Arial" w:hAnsi="Arial"/>
          <w:sz w:val="17"/>
          <w:szCs w:val="17"/>
          <w:color w:val="auto"/>
        </w:rPr>
        <w:t>The name of the Corporation is</w:t>
      </w:r>
      <w:r>
        <w:rPr>
          <w:rFonts w:ascii="Arial" w:cs="Arial" w:eastAsia="Arial" w:hAnsi="Arial"/>
          <w:sz w:val="17"/>
          <w:szCs w:val="17"/>
          <w:b w:val="1"/>
          <w:bCs w:val="1"/>
          <w:color w:val="auto"/>
        </w:rPr>
        <w:t xml:space="preserve"> VRINGO, INC.</w:t>
      </w:r>
    </w:p>
    <w:p>
      <w:pPr>
        <w:spacing w:after="0" w:line="105"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original Certificate of Incorporation of the Corporation was filed with the Secretary of State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on January 9, 2006 and the Amended and Restated Certificate of Incorporation of the Corporation was filed with the Secretary of State of the State of Delaware on June 22, 2010.</w:t>
      </w:r>
    </w:p>
    <w:p>
      <w:pPr>
        <w:spacing w:after="0" w:line="6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7"/>
          <w:szCs w:val="17"/>
          <w:color w:val="auto"/>
        </w:rPr>
        <w:t>The Board of Directors of the Corporation (the</w:t>
      </w:r>
      <w:r>
        <w:rPr>
          <w:rFonts w:ascii="Arial" w:cs="Arial" w:eastAsia="Arial" w:hAnsi="Arial"/>
          <w:sz w:val="17"/>
          <w:szCs w:val="17"/>
          <w:b w:val="1"/>
          <w:bCs w:val="1"/>
          <w:color w:val="auto"/>
        </w:rPr>
        <w:t xml:space="preserve"> “Board”</w:t>
      </w:r>
      <w:r>
        <w:rPr>
          <w:rFonts w:ascii="Arial" w:cs="Arial" w:eastAsia="Arial" w:hAnsi="Arial"/>
          <w:sz w:val="17"/>
          <w:szCs w:val="17"/>
          <w:color w:val="auto"/>
        </w:rPr>
        <w:t>), acting in accordance with the provisions of Sections 141</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242 of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adopted resolutions amending the Corporation’s Amended and Restated Certificate of Incorporation as follows:</w:t>
      </w:r>
    </w:p>
    <w:p>
      <w:pPr>
        <w:spacing w:after="0" w:line="73" w:lineRule="exact"/>
        <w:rPr>
          <w:sz w:val="20"/>
          <w:szCs w:val="20"/>
          <w:color w:val="auto"/>
        </w:rPr>
      </w:pPr>
    </w:p>
    <w:p>
      <w:pPr>
        <w:ind w:left="300" w:right="1239" w:firstLine="248"/>
        <w:spacing w:after="0" w:line="267" w:lineRule="auto"/>
        <w:tabs>
          <w:tab w:leader="none" w:pos="762"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The second sentence of Article Fourth of the Corporation’s Amended and Restated Certificate of Incorporation is hereby amended and restated in its entirety to read as follows:</w:t>
      </w:r>
    </w:p>
    <w:p>
      <w:pPr>
        <w:spacing w:after="0" w:line="66" w:lineRule="exact"/>
        <w:rPr>
          <w:sz w:val="20"/>
          <w:szCs w:val="20"/>
          <w:color w:val="auto"/>
        </w:rPr>
      </w:pPr>
    </w:p>
    <w:p>
      <w:pPr>
        <w:jc w:val="both"/>
        <w:ind w:left="540" w:right="1239"/>
        <w:spacing w:after="0" w:line="256" w:lineRule="auto"/>
        <w:rPr>
          <w:sz w:val="20"/>
          <w:szCs w:val="20"/>
          <w:color w:val="auto"/>
        </w:rPr>
      </w:pPr>
      <w:r>
        <w:rPr>
          <w:rFonts w:ascii="Arial" w:cs="Arial" w:eastAsia="Arial" w:hAnsi="Arial"/>
          <w:sz w:val="17"/>
          <w:szCs w:val="17"/>
          <w:color w:val="auto"/>
        </w:rPr>
        <w:t>“The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72"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7"/>
          <w:szCs w:val="17"/>
          <w:color w:val="auto"/>
        </w:rPr>
        <w:t>Thereafter, pursuant to a resolution of the Board, this Certificate of Amendment was submitted to the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 for their approval, and was duly adopted in accordance with the provisions of Sections 222 and 242 of the DGCL.</w:t>
      </w:r>
    </w:p>
    <w:p>
      <w:pPr>
        <w:sectPr>
          <w:pgSz w:w="11900" w:h="16838" w:orient="portrait"/>
          <w:cols w:equalWidth="0" w:num="1">
            <w:col w:w="10099"/>
          </w:cols>
          <w:pgMar w:left="360" w:top="745" w:right="1440" w:bottom="1440" w:gutter="0" w:footer="0" w:header="0"/>
        </w:sectPr>
      </w:pP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Corporation has caused this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AMENDMENT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to be signed by its</w:t>
      </w:r>
    </w:p>
    <w:p>
      <w:pPr>
        <w:spacing w:after="0" w:line="17" w:lineRule="exact"/>
        <w:rPr>
          <w:sz w:val="20"/>
          <w:szCs w:val="20"/>
          <w:color w:val="auto"/>
        </w:rPr>
      </w:pPr>
    </w:p>
    <w:p>
      <w:pPr>
        <w:sectPr>
          <w:pgSz w:w="11900" w:h="16838" w:orient="portrait"/>
          <w:cols w:equalWidth="0" w:num="4">
            <w:col w:w="2320" w:space="80"/>
            <w:col w:w="2260" w:space="80"/>
            <w:col w:w="2660" w:space="80"/>
            <w:col w:w="2619"/>
          </w:cols>
          <w:pgMar w:left="360" w:top="745" w:right="1440" w:bottom="1440" w:gutter="0" w:footer="0" w:header="0"/>
          <w:type w:val="continuous"/>
        </w:sectPr>
      </w:pPr>
    </w:p>
    <w:p>
      <w:pPr>
        <w:ind w:left="40"/>
        <w:spacing w:after="0"/>
        <w:tabs>
          <w:tab w:leader="none" w:pos="580" w:val="left"/>
          <w:tab w:leader="none" w:pos="1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as of the [</w:t>
      </w:r>
      <w:r>
        <w:rPr>
          <w:sz w:val="20"/>
          <w:szCs w:val="20"/>
          <w:color w:val="auto"/>
        </w:rPr>
        <w:tab/>
      </w:r>
      <w:r>
        <w:rPr>
          <w:rFonts w:ascii="Arial" w:cs="Arial" w:eastAsia="Arial" w:hAnsi="Arial"/>
          <w:sz w:val="16"/>
          <w:szCs w:val="16"/>
          <w:color w:val="auto"/>
        </w:rPr>
        <w:t>] day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60985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609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-53340</wp:posOffset>
            </wp:positionV>
            <wp:extent cx="210058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2240" w:space="240"/>
            <w:col w:w="7619"/>
          </w:cols>
          <w:pgMar w:left="360" w:top="745" w:right="1440" w:bottom="1440" w:gutter="0" w:footer="0" w:header="0"/>
          <w:type w:val="continuous"/>
        </w:sectPr>
      </w:pPr>
    </w:p>
    <w:p>
      <w:pPr>
        <w:ind w:left="4280"/>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3175</wp:posOffset>
            </wp:positionV>
            <wp:extent cx="190182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type w:val="continuous"/>
        </w:sectPr>
      </w:pPr>
    </w:p>
    <w:bookmarkStart w:id="409" w:name="page410"/>
    <w:bookmarkEnd w:id="40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D</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2012 EMPLOYEE, DIRECTOR AND CONSULTANT EQUITY INCENTIVE PLAN</w:t>
      </w:r>
    </w:p>
    <w:p>
      <w:pPr>
        <w:spacing w:after="0" w:line="109" w:lineRule="exact"/>
        <w:rPr>
          <w:sz w:val="20"/>
          <w:szCs w:val="20"/>
          <w:color w:val="auto"/>
        </w:rPr>
      </w:pPr>
    </w:p>
    <w:p>
      <w:pPr>
        <w:ind w:left="500" w:hanging="202"/>
        <w:spacing w:after="0"/>
        <w:tabs>
          <w:tab w:leader="none" w:pos="500"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Unless otherwise specified or unless the context otherwise requires, the following terms, as used in this Vringo, Inc. 2012</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Employee, Director and Consultant Equity Incentive Plan, have the following meanings:</w:t>
      </w:r>
    </w:p>
    <w:p>
      <w:pPr>
        <w:spacing w:after="0" w:line="93"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Administrator</w:t>
      </w:r>
      <w:r>
        <w:rPr>
          <w:rFonts w:ascii="Arial" w:cs="Arial" w:eastAsia="Arial" w:hAnsi="Arial"/>
          <w:sz w:val="17"/>
          <w:szCs w:val="17"/>
          <w:color w:val="auto"/>
        </w:rPr>
        <w:t xml:space="preserve"> means the Board of Directors, unless it has delegated power to act on its behalf to the Committee, in which case the Administrator means the Committee.</w:t>
      </w:r>
    </w:p>
    <w:p>
      <w:pPr>
        <w:spacing w:after="0" w:line="66"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a corporation which, for purposes of Section 424 of the Code, is a parent or subsidiary of the Company, direct or indirect.</w:t>
      </w:r>
    </w:p>
    <w:p>
      <w:pPr>
        <w:spacing w:after="0" w:line="66"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means an agreement between the Company and a Participant delivered pursuant to the Plan and pertaining to a Stock Right, in such form as the Administrator shall approve.</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Board of Directors</w:t>
      </w:r>
      <w:r>
        <w:rPr>
          <w:rFonts w:ascii="Arial" w:cs="Arial" w:eastAsia="Arial" w:hAnsi="Arial"/>
          <w:sz w:val="17"/>
          <w:szCs w:val="17"/>
          <w:color w:val="auto"/>
        </w:rPr>
        <w:t xml:space="preserve"> means the Board of Directors of the Company.</w:t>
      </w:r>
    </w:p>
    <w:p>
      <w:pPr>
        <w:spacing w:after="0" w:line="105" w:lineRule="exact"/>
        <w:rPr>
          <w:sz w:val="20"/>
          <w:szCs w:val="20"/>
          <w:color w:val="auto"/>
        </w:rPr>
      </w:pPr>
    </w:p>
    <w:p>
      <w:pPr>
        <w:jc w:val="both"/>
        <w:ind w:left="300" w:right="1239"/>
        <w:spacing w:after="0" w:line="266" w:lineRule="auto"/>
        <w:rPr>
          <w:sz w:val="20"/>
          <w:szCs w:val="20"/>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means the occurrence of any of the following events:</w:t>
      </w:r>
    </w:p>
    <w:p>
      <w:pPr>
        <w:spacing w:after="0" w:line="105" w:lineRule="exact"/>
        <w:rPr>
          <w:sz w:val="20"/>
          <w:szCs w:val="20"/>
          <w:color w:val="auto"/>
        </w:rPr>
      </w:pPr>
    </w:p>
    <w:p>
      <w:pPr>
        <w:jc w:val="both"/>
        <w:ind w:left="520" w:right="1239" w:hanging="260"/>
        <w:spacing w:after="0" w:line="292" w:lineRule="auto"/>
        <w:tabs>
          <w:tab w:leader="none" w:pos="520" w:val="left"/>
        </w:tabs>
        <w:numPr>
          <w:ilvl w:val="0"/>
          <w:numId w:val="332"/>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Ownership. </w:t>
      </w:r>
      <w:r>
        <w:rPr>
          <w:rFonts w:ascii="Arial" w:cs="Arial" w:eastAsia="Arial" w:hAnsi="Arial"/>
          <w:sz w:val="15"/>
          <w:szCs w:val="15"/>
          <w:color w:val="auto"/>
        </w:rPr>
        <w:t>Any “Person” (as such term is used in Sections 13(d) and 14(d) of the Exchange Act) becomes the “Beneficial</w:t>
      </w:r>
      <w:r>
        <w:rPr>
          <w:rFonts w:ascii="Arial" w:cs="Arial" w:eastAsia="Arial" w:hAnsi="Arial"/>
          <w:sz w:val="15"/>
          <w:szCs w:val="15"/>
          <w:i w:val="1"/>
          <w:iCs w:val="1"/>
          <w:color w:val="auto"/>
        </w:rPr>
        <w:t xml:space="preserve"> </w:t>
      </w:r>
      <w:r>
        <w:rPr>
          <w:rFonts w:ascii="Arial" w:cs="Arial" w:eastAsia="Arial" w:hAnsi="Arial"/>
          <w:sz w:val="15"/>
          <w:szCs w:val="15"/>
          <w:color w:val="auto"/>
        </w:rPr>
        <w:t>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53" w:lineRule="exact"/>
        <w:rPr>
          <w:rFonts w:ascii="Arial" w:cs="Arial" w:eastAsia="Arial" w:hAnsi="Arial"/>
          <w:sz w:val="15"/>
          <w:szCs w:val="15"/>
          <w:b w:val="1"/>
          <w:bCs w:val="1"/>
          <w:color w:val="auto"/>
        </w:rPr>
      </w:pPr>
    </w:p>
    <w:p>
      <w:pPr>
        <w:jc w:val="both"/>
        <w:ind w:left="520" w:right="1239" w:hanging="260"/>
        <w:spacing w:after="0" w:line="267" w:lineRule="auto"/>
        <w:tabs>
          <w:tab w:leader="none" w:pos="520" w:val="left"/>
        </w:tabs>
        <w:numPr>
          <w:ilvl w:val="0"/>
          <w:numId w:val="332"/>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Merger/Sale of Assets. </w:t>
      </w:r>
      <w:r>
        <w:rPr>
          <w:rFonts w:ascii="Arial" w:cs="Arial" w:eastAsia="Arial" w:hAnsi="Arial"/>
          <w:sz w:val="16"/>
          <w:szCs w:val="16"/>
          <w:color w:val="auto"/>
        </w:rPr>
        <w:t>(A) A merger or consolidation of the Company whether or not approved by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67" w:lineRule="exact"/>
        <w:rPr>
          <w:sz w:val="20"/>
          <w:szCs w:val="20"/>
          <w:color w:val="auto"/>
        </w:rPr>
      </w:pPr>
    </w:p>
    <w:p>
      <w:pPr>
        <w:jc w:val="both"/>
        <w:ind w:left="520" w:right="1239" w:hanging="250"/>
        <w:spacing w:after="0" w:line="286" w:lineRule="auto"/>
        <w:rPr>
          <w:sz w:val="20"/>
          <w:szCs w:val="20"/>
          <w:color w:val="auto"/>
        </w:rPr>
      </w:pPr>
      <w:r>
        <w:rPr>
          <w:rFonts w:ascii="Arial" w:cs="Arial" w:eastAsia="Arial" w:hAnsi="Arial"/>
          <w:sz w:val="15"/>
          <w:szCs w:val="15"/>
          <w:b w:val="1"/>
          <w:bCs w:val="1"/>
          <w:color w:val="auto"/>
        </w:rPr>
        <w:t>(iii)</w:t>
      </w:r>
      <w:r>
        <w:rPr>
          <w:rFonts w:ascii="Arial" w:cs="Arial" w:eastAsia="Arial" w:hAnsi="Arial"/>
          <w:sz w:val="15"/>
          <w:szCs w:val="15"/>
          <w:i w:val="1"/>
          <w:iCs w:val="1"/>
          <w:color w:val="auto"/>
        </w:rPr>
        <w:t>Change in Board Composition.</w:t>
      </w:r>
      <w:r>
        <w:rPr>
          <w:rFonts w:ascii="Arial" w:cs="Arial" w:eastAsia="Arial" w:hAnsi="Arial"/>
          <w:sz w:val="15"/>
          <w:szCs w:val="15"/>
          <w:b w:val="1"/>
          <w:bCs w:val="1"/>
          <w:color w:val="auto"/>
        </w:rPr>
        <w:t xml:space="preserve"> </w:t>
      </w:r>
      <w:r>
        <w:rPr>
          <w:rFonts w:ascii="Arial" w:cs="Arial" w:eastAsia="Arial" w:hAnsi="Arial"/>
          <w:sz w:val="15"/>
          <w:szCs w:val="15"/>
          <w:color w:val="auto"/>
        </w:rPr>
        <w:t>A change in the composition of the Board of Directors, as a result of which fewer than a</w:t>
      </w:r>
      <w:r>
        <w:rPr>
          <w:rFonts w:ascii="Arial" w:cs="Arial" w:eastAsia="Arial" w:hAnsi="Arial"/>
          <w:sz w:val="15"/>
          <w:szCs w:val="15"/>
          <w:b w:val="1"/>
          <w:bCs w:val="1"/>
          <w:color w:val="auto"/>
        </w:rPr>
        <w:t xml:space="preserve"> </w:t>
      </w:r>
      <w:r>
        <w:rPr>
          <w:rFonts w:ascii="Arial" w:cs="Arial" w:eastAsia="Arial" w:hAnsi="Arial"/>
          <w:sz w:val="15"/>
          <w:szCs w:val="15"/>
          <w:color w:val="auto"/>
        </w:rPr>
        <w:t>majority of the directors are Incumbent Directors. “Incumbent Directors” shall mean directors who either (A) are directors of the Company as of the effective date of the Plan, which is the date of its approval by the shareholders of the Company, or</w:t>
      </w:r>
    </w:p>
    <w:p>
      <w:pPr>
        <w:spacing w:after="0" w:line="1" w:lineRule="exact"/>
        <w:rPr>
          <w:sz w:val="20"/>
          <w:szCs w:val="20"/>
          <w:color w:val="auto"/>
        </w:rPr>
      </w:pPr>
    </w:p>
    <w:p>
      <w:pPr>
        <w:ind w:left="520" w:right="1239" w:hanging="9"/>
        <w:spacing w:after="0" w:line="252" w:lineRule="auto"/>
        <w:tabs>
          <w:tab w:leader="none" w:pos="79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are elected, or nominated for election, to the Board of Directors with the affirmative votes of at least a majority of the Incumbent Directors at the time of such election or nomination (but shall not include an</w:t>
      </w:r>
    </w:p>
    <w:p>
      <w:pPr>
        <w:spacing w:after="0" w:line="200" w:lineRule="exact"/>
        <w:rPr>
          <w:sz w:val="20"/>
          <w:szCs w:val="20"/>
          <w:color w:val="auto"/>
        </w:rPr>
      </w:pPr>
    </w:p>
    <w:p>
      <w:pPr>
        <w:spacing w:after="0" w:line="292"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0" w:name="page411"/>
    <w:bookmarkEnd w:id="4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20" w:right="1239"/>
        <w:spacing w:after="0" w:line="267" w:lineRule="auto"/>
        <w:rPr>
          <w:sz w:val="20"/>
          <w:szCs w:val="20"/>
          <w:color w:val="auto"/>
        </w:rPr>
      </w:pPr>
      <w:r>
        <w:rPr>
          <w:rFonts w:ascii="Arial" w:cs="Arial" w:eastAsia="Arial" w:hAnsi="Arial"/>
          <w:sz w:val="17"/>
          <w:szCs w:val="17"/>
          <w:color w:val="auto"/>
        </w:rPr>
        <w:t>individual whose election or nomination is in connection with an actual or threatened proxy contest relating to the election of directors to the Company).</w:t>
      </w:r>
    </w:p>
    <w:p>
      <w:pPr>
        <w:spacing w:after="0" w:line="66" w:lineRule="exact"/>
        <w:rPr>
          <w:sz w:val="20"/>
          <w:szCs w:val="20"/>
          <w:color w:val="auto"/>
        </w:rPr>
      </w:pPr>
    </w:p>
    <w:p>
      <w:pPr>
        <w:ind w:left="520" w:right="1239" w:hanging="260"/>
        <w:spacing w:after="0" w:line="267" w:lineRule="auto"/>
        <w:tabs>
          <w:tab w:leader="none" w:pos="520" w:val="left"/>
        </w:tabs>
        <w:numPr>
          <w:ilvl w:val="0"/>
          <w:numId w:val="334"/>
        </w:numPr>
        <w:rPr>
          <w:rFonts w:ascii="Arial" w:cs="Arial" w:eastAsia="Arial" w:hAnsi="Arial"/>
          <w:sz w:val="17"/>
          <w:szCs w:val="17"/>
          <w:b w:val="1"/>
          <w:bCs w:val="1"/>
          <w:color w:val="auto"/>
        </w:rPr>
      </w:pPr>
      <w:r>
        <w:rPr>
          <w:rFonts w:ascii="Arial" w:cs="Arial" w:eastAsia="Arial" w:hAnsi="Arial"/>
          <w:sz w:val="17"/>
          <w:szCs w:val="17"/>
          <w:color w:val="auto"/>
        </w:rPr>
        <w:t>“Change of Control” shall be interpreted, if applicable, in a manner, and limited to the extent necessary, so that it will not cause adverse tax consequences under Section 409A.</w:t>
      </w:r>
    </w:p>
    <w:p>
      <w:pPr>
        <w:spacing w:after="0" w:line="66"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xml:space="preserve"> means the United States Internal Revenue Code of 1986, as amended including any successor statute, regulation and guidance thereto.</w:t>
      </w:r>
    </w:p>
    <w:p>
      <w:pPr>
        <w:spacing w:after="0" w:line="66" w:lineRule="exact"/>
        <w:rPr>
          <w:sz w:val="20"/>
          <w:szCs w:val="20"/>
          <w:color w:val="auto"/>
        </w:rPr>
      </w:pPr>
    </w:p>
    <w:p>
      <w:pPr>
        <w:jc w:val="both"/>
        <w:ind w:left="300" w:right="1239"/>
        <w:spacing w:after="0" w:line="274" w:lineRule="auto"/>
        <w:rPr>
          <w:sz w:val="20"/>
          <w:szCs w:val="20"/>
          <w:color w:val="auto"/>
        </w:rPr>
      </w:pPr>
      <w:r>
        <w:rPr>
          <w:rFonts w:ascii="Arial" w:cs="Arial" w:eastAsia="Arial" w:hAnsi="Arial"/>
          <w:sz w:val="17"/>
          <w:szCs w:val="17"/>
          <w:u w:val="single" w:color="auto"/>
          <w:color w:val="auto"/>
        </w:rPr>
        <w:t>Committee</w:t>
      </w:r>
      <w:r>
        <w:rPr>
          <w:rFonts w:ascii="Arial" w:cs="Arial" w:eastAsia="Arial" w:hAnsi="Arial"/>
          <w:sz w:val="17"/>
          <w:szCs w:val="17"/>
          <w:color w:val="auto"/>
        </w:rPr>
        <w:t xml:space="preserve"> means the committee of the Board of Directors to which the Board of Directors has delegated power to act under or pursuant to the provisions of the Plan.</w:t>
      </w:r>
      <w:r>
        <w:rPr>
          <w:rFonts w:ascii="Arial" w:cs="Arial" w:eastAsia="Arial" w:hAnsi="Arial"/>
          <w:sz w:val="27"/>
          <w:szCs w:val="27"/>
          <w:color w:val="auto"/>
          <w:vertAlign w:val="superscript"/>
        </w:rPr>
        <w:t>(1)</w:t>
      </w:r>
    </w:p>
    <w:p>
      <w:pPr>
        <w:ind w:left="300"/>
        <w:spacing w:after="0"/>
        <w:rPr>
          <w:sz w:val="20"/>
          <w:szCs w:val="20"/>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means shares of the Company’s common stock, $0.01 par value per share.</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means Vringo, Inc., a Delaware corporation.</w:t>
      </w:r>
    </w:p>
    <w:p>
      <w:pPr>
        <w:spacing w:after="0" w:line="105" w:lineRule="exact"/>
        <w:rPr>
          <w:sz w:val="20"/>
          <w:szCs w:val="20"/>
          <w:color w:val="auto"/>
        </w:rPr>
      </w:pPr>
    </w:p>
    <w:p>
      <w:pPr>
        <w:jc w:val="both"/>
        <w:ind w:left="300" w:right="1239"/>
        <w:spacing w:after="0" w:line="280" w:lineRule="auto"/>
        <w:rPr>
          <w:sz w:val="20"/>
          <w:szCs w:val="20"/>
          <w:color w:val="auto"/>
        </w:rPr>
      </w:pPr>
      <w:r>
        <w:rPr>
          <w:rFonts w:ascii="Arial" w:cs="Arial" w:eastAsia="Arial" w:hAnsi="Arial"/>
          <w:sz w:val="16"/>
          <w:szCs w:val="16"/>
          <w:u w:val="single" w:color="auto"/>
          <w:color w:val="auto"/>
        </w:rPr>
        <w:t>Consultant</w:t>
      </w:r>
      <w:r>
        <w:rPr>
          <w:rFonts w:ascii="Arial" w:cs="Arial" w:eastAsia="Arial" w:hAnsi="Arial"/>
          <w:sz w:val="16"/>
          <w:szCs w:val="16"/>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Disabled</w:t>
      </w:r>
      <w:r>
        <w:rPr>
          <w:rFonts w:ascii="Arial" w:cs="Arial" w:eastAsia="Arial" w:hAnsi="Arial"/>
          <w:sz w:val="17"/>
          <w:szCs w:val="17"/>
          <w:color w:val="auto"/>
        </w:rPr>
        <w:t xml:space="preserve"> means permanent and total disability as defined in Section 22(e)(3) of the Code.</w:t>
      </w:r>
    </w:p>
    <w:p>
      <w:pPr>
        <w:spacing w:after="0" w:line="105" w:lineRule="exact"/>
        <w:rPr>
          <w:sz w:val="20"/>
          <w:szCs w:val="20"/>
          <w:color w:val="auto"/>
        </w:rPr>
      </w:pPr>
    </w:p>
    <w:p>
      <w:pPr>
        <w:jc w:val="both"/>
        <w:ind w:left="300" w:right="1239"/>
        <w:spacing w:after="0" w:line="256" w:lineRule="auto"/>
        <w:rPr>
          <w:sz w:val="20"/>
          <w:szCs w:val="20"/>
          <w:color w:val="auto"/>
        </w:rPr>
      </w:pPr>
      <w:r>
        <w:rPr>
          <w:rFonts w:ascii="Arial" w:cs="Arial" w:eastAsia="Arial" w:hAnsi="Arial"/>
          <w:sz w:val="17"/>
          <w:szCs w:val="17"/>
          <w:u w:val="single" w:color="auto"/>
          <w:color w:val="auto"/>
        </w:rPr>
        <w:t>Employee</w:t>
      </w:r>
      <w:r>
        <w:rPr>
          <w:rFonts w:ascii="Arial" w:cs="Arial" w:eastAsia="Arial" w:hAnsi="Arial"/>
          <w:sz w:val="17"/>
          <w:szCs w:val="17"/>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means the Securities Exchange Act of 1934, as amended.</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of a Share of Common Stock means:</w:t>
      </w:r>
    </w:p>
    <w:p>
      <w:pPr>
        <w:spacing w:after="0" w:line="105" w:lineRule="exact"/>
        <w:rPr>
          <w:sz w:val="20"/>
          <w:szCs w:val="20"/>
          <w:color w:val="auto"/>
        </w:rPr>
      </w:pPr>
    </w:p>
    <w:p>
      <w:pPr>
        <w:jc w:val="both"/>
        <w:ind w:left="300" w:right="1239" w:firstLine="248"/>
        <w:spacing w:after="0" w:line="253" w:lineRule="auto"/>
        <w:tabs>
          <w:tab w:leader="none" w:pos="871"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77" w:lineRule="exact"/>
        <w:rPr>
          <w:rFonts w:ascii="Arial" w:cs="Arial" w:eastAsia="Arial" w:hAnsi="Arial"/>
          <w:sz w:val="17"/>
          <w:szCs w:val="17"/>
          <w:color w:val="auto"/>
        </w:rPr>
      </w:pPr>
    </w:p>
    <w:p>
      <w:pPr>
        <w:jc w:val="both"/>
        <w:ind w:left="300" w:right="1239" w:firstLine="248"/>
        <w:spacing w:after="0" w:line="292" w:lineRule="auto"/>
        <w:tabs>
          <w:tab w:leader="none" w:pos="859" w:val="left"/>
        </w:tabs>
        <w:numPr>
          <w:ilvl w:val="0"/>
          <w:numId w:val="335"/>
        </w:numPr>
        <w:rPr>
          <w:rFonts w:ascii="Arial" w:cs="Arial" w:eastAsia="Arial" w:hAnsi="Arial"/>
          <w:sz w:val="15"/>
          <w:szCs w:val="15"/>
          <w:color w:val="auto"/>
        </w:rPr>
      </w:pPr>
      <w:r>
        <w:rPr>
          <w:rFonts w:ascii="Arial" w:cs="Arial" w:eastAsia="Arial" w:hAnsi="Arial"/>
          <w:sz w:val="15"/>
          <w:szCs w:val="15"/>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53" w:lineRule="exact"/>
        <w:rPr>
          <w:rFonts w:ascii="Arial" w:cs="Arial" w:eastAsia="Arial" w:hAnsi="Arial"/>
          <w:sz w:val="15"/>
          <w:szCs w:val="15"/>
          <w:color w:val="auto"/>
        </w:rPr>
      </w:pPr>
    </w:p>
    <w:p>
      <w:pPr>
        <w:jc w:val="both"/>
        <w:ind w:left="300" w:right="1239" w:firstLine="248"/>
        <w:spacing w:after="0" w:line="256" w:lineRule="auto"/>
        <w:tabs>
          <w:tab w:leader="none" w:pos="839"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ISO</w:t>
      </w:r>
      <w:r>
        <w:rPr>
          <w:rFonts w:ascii="Arial" w:cs="Arial" w:eastAsia="Arial" w:hAnsi="Arial"/>
          <w:sz w:val="17"/>
          <w:szCs w:val="17"/>
          <w:color w:val="auto"/>
        </w:rPr>
        <w:t xml:space="preserve"> means an option intended to qualify as an incentive stock option under Section 422 of the Code.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Non-Qualified Option</w:t>
      </w:r>
      <w:r>
        <w:rPr>
          <w:rFonts w:ascii="Arial" w:cs="Arial" w:eastAsia="Arial" w:hAnsi="Arial"/>
          <w:sz w:val="17"/>
          <w:szCs w:val="17"/>
          <w:color w:val="auto"/>
        </w:rPr>
        <w:t xml:space="preserve"> means an option which is not intended to qualify as an ISO.</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Option</w:t>
      </w:r>
      <w:r>
        <w:rPr>
          <w:rFonts w:ascii="Arial" w:cs="Arial" w:eastAsia="Arial" w:hAnsi="Arial"/>
          <w:sz w:val="17"/>
          <w:szCs w:val="17"/>
          <w:color w:val="auto"/>
        </w:rPr>
        <w:t xml:space="preserve"> means an ISO or Non-Qualified Option granted under the Plan.</w:t>
      </w:r>
    </w:p>
    <w:p>
      <w:pPr>
        <w:spacing w:after="0" w:line="105" w:lineRule="exact"/>
        <w:rPr>
          <w:sz w:val="20"/>
          <w:szCs w:val="20"/>
          <w:color w:val="auto"/>
        </w:rPr>
      </w:pPr>
    </w:p>
    <w:p>
      <w:pPr>
        <w:ind w:left="300" w:right="1239"/>
        <w:spacing w:after="0" w:line="335" w:lineRule="auto"/>
        <w:rPr>
          <w:sz w:val="20"/>
          <w:szCs w:val="20"/>
          <w:color w:val="auto"/>
        </w:rPr>
      </w:pPr>
      <w:r>
        <w:rPr>
          <w:rFonts w:ascii="Arial" w:cs="Arial" w:eastAsia="Arial" w:hAnsi="Arial"/>
          <w:sz w:val="15"/>
          <w:szCs w:val="15"/>
          <w:u w:val="single" w:color="auto"/>
          <w:color w:val="auto"/>
        </w:rPr>
        <w:t>Participant</w:t>
      </w:r>
      <w:r>
        <w:rPr>
          <w:rFonts w:ascii="Arial" w:cs="Arial" w:eastAsia="Arial" w:hAnsi="Arial"/>
          <w:sz w:val="15"/>
          <w:szCs w:val="15"/>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Plan</w:t>
      </w:r>
      <w:r>
        <w:rPr>
          <w:rFonts w:ascii="Arial" w:cs="Arial" w:eastAsia="Arial" w:hAnsi="Arial"/>
          <w:sz w:val="17"/>
          <w:szCs w:val="17"/>
          <w:color w:val="auto"/>
        </w:rPr>
        <w:t xml:space="preserve"> means this Vringo, Inc. 2012 Employee, Director and Consultant Equity Incentive Plan.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Securities Act</w:t>
      </w:r>
      <w:r>
        <w:rPr>
          <w:rFonts w:ascii="Arial" w:cs="Arial" w:eastAsia="Arial" w:hAnsi="Arial"/>
          <w:sz w:val="17"/>
          <w:szCs w:val="17"/>
          <w:color w:val="auto"/>
        </w:rPr>
        <w:t xml:space="preserve">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57277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0" w:right="1239" w:firstLine="7"/>
        <w:spacing w:after="0" w:line="267" w:lineRule="auto"/>
        <w:tabs>
          <w:tab w:leader="none" w:pos="283"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Committee should be comprised of “disinterested persons” as defined under Rule 16b-3 of the Exchange Act and “outside directors” as defined in Section 162(m) of the Code.</w:t>
      </w: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1" w:name="page412"/>
    <w:bookmarkEnd w:id="4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78"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Stock-Based Award</w:t>
      </w:r>
      <w:r>
        <w:rPr>
          <w:rFonts w:ascii="Arial" w:cs="Arial" w:eastAsia="Arial" w:hAnsi="Arial"/>
          <w:sz w:val="17"/>
          <w:szCs w:val="17"/>
          <w:color w:val="auto"/>
        </w:rPr>
        <w:t xml:space="preserve"> means a grant by the Company under the Plan of an equity award or an equity based award which is not an Option or a Stock Grant.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Stock Grant</w:t>
      </w:r>
      <w:r>
        <w:rPr>
          <w:rFonts w:ascii="Arial" w:cs="Arial" w:eastAsia="Arial" w:hAnsi="Arial"/>
          <w:sz w:val="17"/>
          <w:szCs w:val="17"/>
          <w:color w:val="auto"/>
        </w:rPr>
        <w:t xml:space="preserve"> means a grant by the Company of Shares under the Plan.</w:t>
      </w:r>
    </w:p>
    <w:p>
      <w:pPr>
        <w:spacing w:after="0" w:line="105"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Stock Right</w:t>
      </w:r>
      <w:r>
        <w:rPr>
          <w:rFonts w:ascii="Arial" w:cs="Arial" w:eastAsia="Arial" w:hAnsi="Arial"/>
          <w:sz w:val="17"/>
          <w:szCs w:val="17"/>
          <w:color w:val="auto"/>
        </w:rPr>
        <w:t xml:space="preserve"> means a right to Shares or the value of Shares of the Company granted pursuant to the Plan — an ISO, a Non-Qualified Option, a Stock Grant or a Stock-Based Award.</w:t>
      </w:r>
    </w:p>
    <w:p>
      <w:pPr>
        <w:spacing w:after="0" w:line="66"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Survivor</w:t>
      </w:r>
      <w:r>
        <w:rPr>
          <w:rFonts w:ascii="Arial" w:cs="Arial" w:eastAsia="Arial" w:hAnsi="Arial"/>
          <w:sz w:val="17"/>
          <w:szCs w:val="17"/>
          <w:color w:val="auto"/>
        </w:rPr>
        <w:t xml:space="preserve"> means a deceased Participant’s legal representatives and/or any person or persons who acquired the Participant’s rights to a Stock Right by will or by the laws of descent and distribution.</w:t>
      </w:r>
    </w:p>
    <w:p>
      <w:pPr>
        <w:spacing w:after="0" w:line="66" w:lineRule="exact"/>
        <w:rPr>
          <w:sz w:val="20"/>
          <w:szCs w:val="20"/>
          <w:color w:val="auto"/>
        </w:rPr>
      </w:pPr>
    </w:p>
    <w:p>
      <w:pPr>
        <w:ind w:left="500" w:hanging="202"/>
        <w:spacing w:after="0"/>
        <w:tabs>
          <w:tab w:leader="none" w:pos="500"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PURPOSES OF THE PLAN.</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62" w:lineRule="exact"/>
        <w:rPr>
          <w:sz w:val="20"/>
          <w:szCs w:val="20"/>
          <w:color w:val="auto"/>
        </w:rPr>
      </w:pPr>
    </w:p>
    <w:p>
      <w:pPr>
        <w:ind w:left="500" w:hanging="202"/>
        <w:spacing w:after="0"/>
        <w:tabs>
          <w:tab w:leader="none" w:pos="500"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SHARES SUBJECT TO THE PLAN.</w:t>
      </w:r>
    </w:p>
    <w:p>
      <w:pPr>
        <w:spacing w:after="0" w:line="105" w:lineRule="exact"/>
        <w:rPr>
          <w:rFonts w:ascii="Arial" w:cs="Arial" w:eastAsia="Arial" w:hAnsi="Arial"/>
          <w:sz w:val="17"/>
          <w:szCs w:val="17"/>
          <w:color w:val="auto"/>
        </w:rPr>
      </w:pPr>
    </w:p>
    <w:p>
      <w:pPr>
        <w:jc w:val="both"/>
        <w:ind w:left="300" w:right="1239" w:firstLine="248"/>
        <w:spacing w:after="0" w:line="288" w:lineRule="auto"/>
        <w:tabs>
          <w:tab w:leader="none" w:pos="825" w:val="left"/>
        </w:tabs>
        <w:numPr>
          <w:ilvl w:val="1"/>
          <w:numId w:val="338"/>
        </w:numPr>
        <w:rPr>
          <w:rFonts w:ascii="Arial" w:cs="Arial" w:eastAsia="Arial" w:hAnsi="Arial"/>
          <w:sz w:val="15"/>
          <w:szCs w:val="15"/>
          <w:color w:val="auto"/>
        </w:rPr>
      </w:pPr>
      <w:r>
        <w:rPr>
          <w:rFonts w:ascii="Arial" w:cs="Arial" w:eastAsia="Arial" w:hAnsi="Arial"/>
          <w:sz w:val="15"/>
          <w:szCs w:val="15"/>
          <w:color w:val="auto"/>
        </w:rPr>
        <w:t>The number of Shares which may be issued from time to time pursuant to this Plan shall be the sum of: (i) 15.6 million shares of Common Stock and (ii) any shares of Common Stock that are represented by awards granted under the Company’s 2006 Stock Option Plan that are forfeited, expire or are cancelled without delivery of shares of Common Stock or which result in the forfeiture of shares of Common Stock back to the Company on or after the date of the Plan approval by the shareholders of the Company, or the equivalent of such number of Shares after the Administrator, in its sole discretion, has interpreted the effect of any stock split, stock dividend, combination, recapitalization or similar transaction in accordance with Paragraph 24 of this Plan; provided, however, that no more than 3.2 million shares shall be added to the Plan pursuant to subsection (ii).</w:t>
      </w:r>
    </w:p>
    <w:p>
      <w:pPr>
        <w:spacing w:after="0" w:line="54" w:lineRule="exact"/>
        <w:rPr>
          <w:rFonts w:ascii="Arial" w:cs="Arial" w:eastAsia="Arial" w:hAnsi="Arial"/>
          <w:sz w:val="15"/>
          <w:szCs w:val="15"/>
          <w:color w:val="auto"/>
        </w:rPr>
      </w:pPr>
    </w:p>
    <w:p>
      <w:pPr>
        <w:jc w:val="both"/>
        <w:ind w:left="300" w:right="1239" w:firstLine="248"/>
        <w:spacing w:after="0" w:line="285" w:lineRule="auto"/>
        <w:tabs>
          <w:tab w:leader="none" w:pos="842" w:val="left"/>
        </w:tabs>
        <w:numPr>
          <w:ilvl w:val="1"/>
          <w:numId w:val="338"/>
        </w:numPr>
        <w:rPr>
          <w:rFonts w:ascii="Arial" w:cs="Arial" w:eastAsia="Arial" w:hAnsi="Arial"/>
          <w:sz w:val="15"/>
          <w:szCs w:val="15"/>
          <w:color w:val="auto"/>
        </w:rPr>
      </w:pPr>
      <w:r>
        <w:rPr>
          <w:rFonts w:ascii="Arial" w:cs="Arial" w:eastAsia="Arial" w:hAnsi="Arial"/>
          <w:sz w:val="15"/>
          <w:szCs w:val="15"/>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61" w:lineRule="exact"/>
        <w:rPr>
          <w:rFonts w:ascii="Arial" w:cs="Arial" w:eastAsia="Arial" w:hAnsi="Arial"/>
          <w:sz w:val="15"/>
          <w:szCs w:val="15"/>
          <w:color w:val="auto"/>
        </w:rPr>
      </w:pPr>
    </w:p>
    <w:p>
      <w:pPr>
        <w:ind w:left="500" w:hanging="202"/>
        <w:spacing w:after="0"/>
        <w:tabs>
          <w:tab w:leader="none" w:pos="500"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76" w:lineRule="exact"/>
        <w:rPr>
          <w:sz w:val="20"/>
          <w:szCs w:val="20"/>
          <w:color w:val="auto"/>
        </w:rPr>
      </w:pPr>
    </w:p>
    <w:p>
      <w:pPr>
        <w:ind w:left="300" w:right="1239" w:firstLine="248"/>
        <w:spacing w:after="0" w:line="267" w:lineRule="auto"/>
        <w:tabs>
          <w:tab w:leader="none" w:pos="87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Interpret the provisions of the Plan and all Stock Rights and to make all rules and determinations which it deems necessary or advisable for the administration of the Plan;</w:t>
      </w:r>
    </w:p>
    <w:p>
      <w:pPr>
        <w:spacing w:after="0" w:line="66" w:lineRule="exact"/>
        <w:rPr>
          <w:rFonts w:ascii="Arial" w:cs="Arial" w:eastAsia="Arial" w:hAnsi="Arial"/>
          <w:sz w:val="17"/>
          <w:szCs w:val="17"/>
          <w:color w:val="auto"/>
        </w:rPr>
      </w:pPr>
    </w:p>
    <w:p>
      <w:pPr>
        <w:ind w:left="820" w:hanging="272"/>
        <w:spacing w:after="0"/>
        <w:tabs>
          <w:tab w:leader="none" w:pos="8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Determine which Employees, directors and Consultants shall be granted Stock Rights;</w:t>
      </w:r>
    </w:p>
    <w:p>
      <w:pPr>
        <w:spacing w:after="0" w:line="200" w:lineRule="exact"/>
        <w:rPr>
          <w:sz w:val="20"/>
          <w:szCs w:val="20"/>
          <w:color w:val="auto"/>
        </w:rPr>
      </w:pPr>
    </w:p>
    <w:p>
      <w:pPr>
        <w:spacing w:after="0" w:line="31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2" w:name="page413"/>
    <w:bookmarkEnd w:id="41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firstLine="248"/>
        <w:spacing w:after="0" w:line="335" w:lineRule="auto"/>
        <w:tabs>
          <w:tab w:leader="none" w:pos="821" w:val="left"/>
        </w:tabs>
        <w:numPr>
          <w:ilvl w:val="0"/>
          <w:numId w:val="340"/>
        </w:numPr>
        <w:rPr>
          <w:rFonts w:ascii="Arial" w:cs="Arial" w:eastAsia="Arial" w:hAnsi="Arial"/>
          <w:sz w:val="15"/>
          <w:szCs w:val="15"/>
          <w:color w:val="auto"/>
        </w:rPr>
      </w:pPr>
      <w:r>
        <w:rPr>
          <w:rFonts w:ascii="Arial" w:cs="Arial" w:eastAsia="Arial" w:hAnsi="Arial"/>
          <w:sz w:val="15"/>
          <w:szCs w:val="15"/>
          <w:color w:val="auto"/>
        </w:rPr>
        <w:t>Determine the number of Shares for which a Stock Right or Stock Rights shall be granted, provided, however, that in no event shall Stock Rights with respect to more than 4.0 million Shares be granted to any Participant in any fiscal year;</w:t>
      </w:r>
    </w:p>
    <w:p>
      <w:pPr>
        <w:spacing w:after="0" w:line="19" w:lineRule="exact"/>
        <w:rPr>
          <w:rFonts w:ascii="Arial" w:cs="Arial" w:eastAsia="Arial" w:hAnsi="Arial"/>
          <w:sz w:val="15"/>
          <w:szCs w:val="15"/>
          <w:color w:val="auto"/>
        </w:rPr>
      </w:pPr>
    </w:p>
    <w:p>
      <w:pPr>
        <w:ind w:left="820" w:hanging="272"/>
        <w:spacing w:after="0"/>
        <w:tabs>
          <w:tab w:leader="none" w:pos="82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Specify the terms and conditions upon which a Stock Right or Stock Rights may be granted;</w:t>
      </w:r>
    </w:p>
    <w:p>
      <w:pPr>
        <w:spacing w:after="0" w:line="105" w:lineRule="exact"/>
        <w:rPr>
          <w:rFonts w:ascii="Arial" w:cs="Arial" w:eastAsia="Arial" w:hAnsi="Arial"/>
          <w:sz w:val="17"/>
          <w:szCs w:val="17"/>
          <w:color w:val="auto"/>
        </w:rPr>
      </w:pPr>
    </w:p>
    <w:p>
      <w:pPr>
        <w:jc w:val="both"/>
        <w:ind w:left="300" w:right="1239" w:firstLine="248"/>
        <w:spacing w:after="0" w:line="288" w:lineRule="auto"/>
        <w:tabs>
          <w:tab w:leader="none" w:pos="840" w:val="left"/>
        </w:tabs>
        <w:numPr>
          <w:ilvl w:val="0"/>
          <w:numId w:val="340"/>
        </w:numPr>
        <w:rPr>
          <w:rFonts w:ascii="Arial" w:cs="Arial" w:eastAsia="Arial" w:hAnsi="Arial"/>
          <w:sz w:val="15"/>
          <w:szCs w:val="15"/>
          <w:color w:val="auto"/>
        </w:rPr>
      </w:pPr>
      <w:r>
        <w:rPr>
          <w:rFonts w:ascii="Arial" w:cs="Arial" w:eastAsia="Arial" w:hAnsi="Arial"/>
          <w:sz w:val="15"/>
          <w:szCs w:val="15"/>
          <w:color w:val="auto"/>
        </w:rPr>
        <w:t>Amend any term or condition of any outstanding Stock Right, including, without limitation, to accelerate the vesting schedule or extend the expiration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54" w:lineRule="exact"/>
        <w:rPr>
          <w:rFonts w:ascii="Arial" w:cs="Arial" w:eastAsia="Arial" w:hAnsi="Arial"/>
          <w:sz w:val="15"/>
          <w:szCs w:val="15"/>
          <w:color w:val="auto"/>
        </w:rPr>
      </w:pPr>
    </w:p>
    <w:p>
      <w:pPr>
        <w:jc w:val="both"/>
        <w:ind w:left="300" w:right="1239" w:firstLine="248"/>
        <w:spacing w:after="0" w:line="253" w:lineRule="auto"/>
        <w:tabs>
          <w:tab w:leader="none" w:pos="80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78" w:lineRule="exact"/>
        <w:rPr>
          <w:sz w:val="20"/>
          <w:szCs w:val="20"/>
          <w:color w:val="auto"/>
        </w:rPr>
      </w:pPr>
    </w:p>
    <w:p>
      <w:pPr>
        <w:jc w:val="both"/>
        <w:ind w:left="40" w:right="1239"/>
        <w:spacing w:after="0" w:line="290" w:lineRule="auto"/>
        <w:rPr>
          <w:sz w:val="20"/>
          <w:szCs w:val="20"/>
          <w:color w:val="auto"/>
        </w:rPr>
      </w:pPr>
      <w:r>
        <w:rPr>
          <w:rFonts w:ascii="Arial" w:cs="Arial" w:eastAsia="Arial" w:hAnsi="Arial"/>
          <w:sz w:val="15"/>
          <w:szCs w:val="15"/>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5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53" w:lineRule="exact"/>
        <w:rPr>
          <w:sz w:val="20"/>
          <w:szCs w:val="20"/>
          <w:color w:val="auto"/>
        </w:rPr>
      </w:pPr>
    </w:p>
    <w:p>
      <w:pPr>
        <w:ind w:left="500" w:hanging="202"/>
        <w:spacing w:after="0"/>
        <w:tabs>
          <w:tab w:leader="none" w:pos="500"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ELIGIBILITY FOR PARTICIPATION.</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74" w:lineRule="exact"/>
        <w:rPr>
          <w:sz w:val="20"/>
          <w:szCs w:val="20"/>
          <w:color w:val="auto"/>
        </w:rPr>
      </w:pPr>
    </w:p>
    <w:p>
      <w:pPr>
        <w:ind w:left="500" w:hanging="202"/>
        <w:spacing w:after="0"/>
        <w:tabs>
          <w:tab w:leader="none" w:pos="500"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TERMS AND CONDITIONS OF OPTIONS.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w:t>
      </w:r>
    </w:p>
    <w:p>
      <w:pPr>
        <w:spacing w:after="0" w:line="200" w:lineRule="exact"/>
        <w:rPr>
          <w:sz w:val="20"/>
          <w:szCs w:val="20"/>
          <w:color w:val="auto"/>
        </w:rPr>
      </w:pPr>
    </w:p>
    <w:p>
      <w:pPr>
        <w:spacing w:after="0" w:line="29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3" w:name="page414"/>
    <w:bookmarkEnd w:id="4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67" w:lineRule="auto"/>
        <w:rPr>
          <w:sz w:val="20"/>
          <w:szCs w:val="20"/>
          <w:color w:val="auto"/>
        </w:rPr>
      </w:pPr>
      <w:r>
        <w:rPr>
          <w:rFonts w:ascii="Arial" w:cs="Arial" w:eastAsia="Arial" w:hAnsi="Arial"/>
          <w:sz w:val="17"/>
          <w:szCs w:val="17"/>
          <w:color w:val="auto"/>
        </w:rPr>
        <w:t>subsequent approval by the shareholders of the Company of this Plan or any amendments thereto. The Option Agreements shall be subject to at least the following terms and conditions:</w:t>
      </w:r>
    </w:p>
    <w:p>
      <w:pPr>
        <w:spacing w:after="0" w:line="66" w:lineRule="exact"/>
        <w:rPr>
          <w:sz w:val="20"/>
          <w:szCs w:val="20"/>
          <w:color w:val="auto"/>
        </w:rPr>
      </w:pPr>
    </w:p>
    <w:p>
      <w:pPr>
        <w:jc w:val="both"/>
        <w:ind w:left="300" w:right="1239" w:firstLine="248"/>
        <w:spacing w:after="0" w:line="256" w:lineRule="auto"/>
        <w:tabs>
          <w:tab w:leader="none" w:pos="895"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Non-Qualified Options</w:t>
      </w:r>
      <w:r>
        <w:rPr>
          <w:rFonts w:ascii="Arial" w:cs="Arial" w:eastAsia="Arial" w:hAnsi="Arial"/>
          <w:sz w:val="17"/>
          <w:szCs w:val="17"/>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76" w:lineRule="exact"/>
        <w:rPr>
          <w:rFonts w:ascii="Arial" w:cs="Arial" w:eastAsia="Arial" w:hAnsi="Arial"/>
          <w:sz w:val="17"/>
          <w:szCs w:val="17"/>
          <w:color w:val="auto"/>
        </w:rPr>
      </w:pPr>
    </w:p>
    <w:p>
      <w:pPr>
        <w:jc w:val="both"/>
        <w:ind w:left="540" w:right="1239" w:firstLine="259"/>
        <w:spacing w:after="0" w:line="270" w:lineRule="auto"/>
        <w:tabs>
          <w:tab w:leader="none" w:pos="1069" w:val="left"/>
        </w:tabs>
        <w:numPr>
          <w:ilvl w:val="2"/>
          <w:numId w:val="343"/>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a non-U.S. person as to whom Section 409A of the Code does not apply.</w:t>
      </w:r>
    </w:p>
    <w:p>
      <w:pPr>
        <w:spacing w:after="0" w:line="67" w:lineRule="exact"/>
        <w:rPr>
          <w:rFonts w:ascii="Arial" w:cs="Arial" w:eastAsia="Arial" w:hAnsi="Arial"/>
          <w:sz w:val="16"/>
          <w:szCs w:val="16"/>
          <w:color w:val="auto"/>
        </w:rPr>
      </w:pPr>
    </w:p>
    <w:p>
      <w:pPr>
        <w:ind w:left="1080" w:hanging="281"/>
        <w:spacing w:after="0"/>
        <w:tabs>
          <w:tab w:leader="none" w:pos="1080" w:val="left"/>
        </w:tabs>
        <w:numPr>
          <w:ilvl w:val="2"/>
          <w:numId w:val="343"/>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Each Option Agreement shall state the number of Shares to which it pertains.</w:t>
      </w:r>
    </w:p>
    <w:p>
      <w:pPr>
        <w:spacing w:after="0" w:line="105" w:lineRule="exact"/>
        <w:rPr>
          <w:rFonts w:ascii="Arial" w:cs="Arial" w:eastAsia="Arial" w:hAnsi="Arial"/>
          <w:sz w:val="17"/>
          <w:szCs w:val="17"/>
          <w:color w:val="auto"/>
        </w:rPr>
      </w:pPr>
    </w:p>
    <w:p>
      <w:pPr>
        <w:jc w:val="both"/>
        <w:ind w:left="540" w:right="1239" w:firstLine="259"/>
        <w:spacing w:after="0" w:line="253" w:lineRule="auto"/>
        <w:tabs>
          <w:tab w:leader="none" w:pos="1137" w:val="left"/>
        </w:tabs>
        <w:numPr>
          <w:ilvl w:val="2"/>
          <w:numId w:val="343"/>
        </w:numPr>
        <w:rPr>
          <w:rFonts w:ascii="Arial" w:cs="Arial" w:eastAsia="Arial" w:hAnsi="Arial"/>
          <w:sz w:val="17"/>
          <w:szCs w:val="17"/>
          <w:color w:val="auto"/>
        </w:rPr>
      </w:pPr>
      <w:r>
        <w:rPr>
          <w:rFonts w:ascii="Arial" w:cs="Arial" w:eastAsia="Arial" w:hAnsi="Arial"/>
          <w:sz w:val="17"/>
          <w:szCs w:val="17"/>
          <w:u w:val="single" w:color="auto"/>
          <w:color w:val="auto"/>
        </w:rPr>
        <w:t>Option Periods</w:t>
      </w:r>
      <w:r>
        <w:rPr>
          <w:rFonts w:ascii="Arial" w:cs="Arial" w:eastAsia="Arial" w:hAnsi="Arial"/>
          <w:sz w:val="17"/>
          <w:szCs w:val="17"/>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77" w:lineRule="exact"/>
        <w:rPr>
          <w:rFonts w:ascii="Arial" w:cs="Arial" w:eastAsia="Arial" w:hAnsi="Arial"/>
          <w:sz w:val="17"/>
          <w:szCs w:val="17"/>
          <w:color w:val="auto"/>
        </w:rPr>
      </w:pPr>
    </w:p>
    <w:p>
      <w:pPr>
        <w:jc w:val="both"/>
        <w:ind w:left="540" w:right="1239" w:firstLine="259"/>
        <w:spacing w:after="0" w:line="256" w:lineRule="auto"/>
        <w:tabs>
          <w:tab w:leader="none" w:pos="1178" w:val="left"/>
        </w:tabs>
        <w:numPr>
          <w:ilvl w:val="2"/>
          <w:numId w:val="343"/>
        </w:numPr>
        <w:rPr>
          <w:rFonts w:ascii="Arial" w:cs="Arial" w:eastAsia="Arial" w:hAnsi="Arial"/>
          <w:sz w:val="17"/>
          <w:szCs w:val="17"/>
          <w:color w:val="auto"/>
        </w:rPr>
      </w:pPr>
      <w:r>
        <w:rPr>
          <w:rFonts w:ascii="Arial" w:cs="Arial" w:eastAsia="Arial" w:hAnsi="Arial"/>
          <w:sz w:val="17"/>
          <w:szCs w:val="17"/>
          <w:u w:val="single" w:color="auto"/>
          <w:color w:val="auto"/>
        </w:rPr>
        <w:t>Option Conditions</w:t>
      </w:r>
      <w:r>
        <w:rPr>
          <w:rFonts w:ascii="Arial" w:cs="Arial" w:eastAsia="Arial" w:hAnsi="Arial"/>
          <w:sz w:val="17"/>
          <w:szCs w:val="17"/>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76" w:lineRule="exact"/>
        <w:rPr>
          <w:rFonts w:ascii="Arial" w:cs="Arial" w:eastAsia="Arial" w:hAnsi="Arial"/>
          <w:sz w:val="17"/>
          <w:szCs w:val="17"/>
          <w:color w:val="auto"/>
        </w:rPr>
      </w:pPr>
    </w:p>
    <w:p>
      <w:pPr>
        <w:ind w:left="1020" w:hanging="259"/>
        <w:spacing w:after="0"/>
        <w:tabs>
          <w:tab w:leader="none" w:pos="102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The Participant’s or the Participant’s Survivors’ right to sell or transfer the Shares may be restricted; and</w:t>
      </w:r>
    </w:p>
    <w:p>
      <w:pPr>
        <w:spacing w:after="0" w:line="105" w:lineRule="exact"/>
        <w:rPr>
          <w:rFonts w:ascii="Arial" w:cs="Arial" w:eastAsia="Arial" w:hAnsi="Arial"/>
          <w:sz w:val="17"/>
          <w:szCs w:val="17"/>
          <w:color w:val="auto"/>
        </w:rPr>
      </w:pPr>
    </w:p>
    <w:p>
      <w:pPr>
        <w:ind w:left="1020" w:right="1239" w:hanging="259"/>
        <w:spacing w:after="0" w:line="267" w:lineRule="auto"/>
        <w:tabs>
          <w:tab w:leader="none" w:pos="102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The Participant or the Participant’s Survivors may be required to execute letters of investment intent and must also acknowledge that the Shares will bear legends noting any applicable restrictions.</w:t>
      </w:r>
    </w:p>
    <w:p>
      <w:pPr>
        <w:spacing w:after="0" w:line="66" w:lineRule="exact"/>
        <w:rPr>
          <w:rFonts w:ascii="Arial" w:cs="Arial" w:eastAsia="Arial" w:hAnsi="Arial"/>
          <w:sz w:val="17"/>
          <w:szCs w:val="17"/>
          <w:color w:val="auto"/>
        </w:rPr>
      </w:pPr>
    </w:p>
    <w:p>
      <w:pPr>
        <w:ind w:left="540" w:right="1239" w:firstLine="259"/>
        <w:spacing w:after="0" w:line="267" w:lineRule="auto"/>
        <w:tabs>
          <w:tab w:leader="none" w:pos="1081" w:val="left"/>
        </w:tabs>
        <w:numPr>
          <w:ilvl w:val="2"/>
          <w:numId w:val="344"/>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Each Option shall terminate not more than ten years from the date of the grant or at such earlier time as the Option Agreement may provide.</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41"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ISOs</w:t>
      </w:r>
      <w:r>
        <w:rPr>
          <w:rFonts w:ascii="Arial" w:cs="Arial" w:eastAsia="Arial" w:hAnsi="Arial"/>
          <w:sz w:val="17"/>
          <w:szCs w:val="17"/>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77" w:lineRule="exact"/>
        <w:rPr>
          <w:rFonts w:ascii="Arial" w:cs="Arial" w:eastAsia="Arial" w:hAnsi="Arial"/>
          <w:sz w:val="17"/>
          <w:szCs w:val="17"/>
          <w:color w:val="auto"/>
        </w:rPr>
      </w:pPr>
    </w:p>
    <w:p>
      <w:pPr>
        <w:ind w:left="540" w:right="1239" w:firstLine="259"/>
        <w:spacing w:after="0" w:line="267" w:lineRule="auto"/>
        <w:tabs>
          <w:tab w:leader="none" w:pos="1032" w:val="left"/>
        </w:tabs>
        <w:numPr>
          <w:ilvl w:val="2"/>
          <w:numId w:val="345"/>
        </w:numPr>
        <w:rPr>
          <w:rFonts w:ascii="Arial" w:cs="Arial" w:eastAsia="Arial" w:hAnsi="Arial"/>
          <w:sz w:val="17"/>
          <w:szCs w:val="17"/>
          <w:color w:val="auto"/>
        </w:rPr>
      </w:pPr>
      <w:r>
        <w:rPr>
          <w:rFonts w:ascii="Arial" w:cs="Arial" w:eastAsia="Arial" w:hAnsi="Arial"/>
          <w:sz w:val="17"/>
          <w:szCs w:val="17"/>
          <w:u w:val="single" w:color="auto"/>
          <w:color w:val="auto"/>
        </w:rPr>
        <w:t>Minimum standards</w:t>
      </w:r>
      <w:r>
        <w:rPr>
          <w:rFonts w:ascii="Arial" w:cs="Arial" w:eastAsia="Arial" w:hAnsi="Arial"/>
          <w:sz w:val="17"/>
          <w:szCs w:val="17"/>
          <w:color w:val="auto"/>
        </w:rPr>
        <w:t>: The ISO shall meet the minimum standards required of Non-Qualified Options, as described in Paragraph 6(a) above, except clause (i) and (v) thereunder.</w:t>
      </w:r>
    </w:p>
    <w:p>
      <w:pPr>
        <w:spacing w:after="0" w:line="66" w:lineRule="exact"/>
        <w:rPr>
          <w:rFonts w:ascii="Arial" w:cs="Arial" w:eastAsia="Arial" w:hAnsi="Arial"/>
          <w:sz w:val="17"/>
          <w:szCs w:val="17"/>
          <w:color w:val="auto"/>
        </w:rPr>
      </w:pPr>
    </w:p>
    <w:p>
      <w:pPr>
        <w:ind w:left="540" w:right="1239" w:firstLine="259"/>
        <w:spacing w:after="0" w:line="267" w:lineRule="auto"/>
        <w:tabs>
          <w:tab w:leader="none" w:pos="1141" w:val="left"/>
        </w:tabs>
        <w:numPr>
          <w:ilvl w:val="2"/>
          <w:numId w:val="34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Immediately before the ISO is granted, if the Participant owns, directly or by reason of the applicable attribution rules in Section 424(d) of the Code:</w:t>
      </w:r>
    </w:p>
    <w:p>
      <w:pPr>
        <w:spacing w:after="0" w:line="66" w:lineRule="exact"/>
        <w:rPr>
          <w:rFonts w:ascii="Arial" w:cs="Arial" w:eastAsia="Arial" w:hAnsi="Arial"/>
          <w:sz w:val="17"/>
          <w:szCs w:val="17"/>
          <w:color w:val="auto"/>
        </w:rPr>
      </w:pPr>
    </w:p>
    <w:p>
      <w:pPr>
        <w:jc w:val="both"/>
        <w:ind w:left="1020" w:right="1239" w:hanging="259"/>
        <w:spacing w:after="0" w:line="256" w:lineRule="auto"/>
        <w:tabs>
          <w:tab w:leader="none" w:pos="102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 xml:space="preserve">10% </w:t>
      </w:r>
      <w:r>
        <w:rPr>
          <w:rFonts w:ascii="Arial" w:cs="Arial" w:eastAsia="Arial" w:hAnsi="Arial"/>
          <w:sz w:val="17"/>
          <w:szCs w:val="17"/>
          <w:u w:val="single" w:color="auto"/>
          <w:color w:val="auto"/>
        </w:rPr>
        <w:t>or less</w:t>
      </w:r>
      <w:r>
        <w:rPr>
          <w:rFonts w:ascii="Arial" w:cs="Arial" w:eastAsia="Arial" w:hAnsi="Arial"/>
          <w:sz w:val="17"/>
          <w:szCs w:val="17"/>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76" w:lineRule="exact"/>
        <w:rPr>
          <w:rFonts w:ascii="Arial" w:cs="Arial" w:eastAsia="Arial" w:hAnsi="Arial"/>
          <w:sz w:val="17"/>
          <w:szCs w:val="17"/>
          <w:color w:val="auto"/>
        </w:rPr>
      </w:pPr>
    </w:p>
    <w:p>
      <w:pPr>
        <w:jc w:val="both"/>
        <w:ind w:left="1020" w:right="1239" w:hanging="259"/>
        <w:spacing w:after="0" w:line="256" w:lineRule="auto"/>
        <w:tabs>
          <w:tab w:leader="none" w:pos="102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4" w:name="page415"/>
    <w:bookmarkEnd w:id="4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1140" w:hanging="341"/>
        <w:spacing w:after="0"/>
        <w:tabs>
          <w:tab w:leader="none" w:pos="1140" w:val="left"/>
        </w:tabs>
        <w:numPr>
          <w:ilvl w:val="2"/>
          <w:numId w:val="346"/>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For Participants who own:</w:t>
      </w:r>
    </w:p>
    <w:p>
      <w:pPr>
        <w:spacing w:after="0" w:line="105" w:lineRule="exact"/>
        <w:rPr>
          <w:rFonts w:ascii="Arial" w:cs="Arial" w:eastAsia="Arial" w:hAnsi="Arial"/>
          <w:sz w:val="17"/>
          <w:szCs w:val="17"/>
          <w:color w:val="auto"/>
        </w:rPr>
      </w:pPr>
    </w:p>
    <w:p>
      <w:pPr>
        <w:jc w:val="both"/>
        <w:ind w:left="1020" w:right="1239" w:hanging="259"/>
        <w:spacing w:after="0" w:line="256" w:lineRule="auto"/>
        <w:tabs>
          <w:tab w:leader="none" w:pos="102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 xml:space="preserve">10% </w:t>
      </w:r>
      <w:r>
        <w:rPr>
          <w:rFonts w:ascii="Arial" w:cs="Arial" w:eastAsia="Arial" w:hAnsi="Arial"/>
          <w:sz w:val="17"/>
          <w:szCs w:val="17"/>
          <w:u w:val="single" w:color="auto"/>
          <w:color w:val="auto"/>
        </w:rPr>
        <w:t>or less</w:t>
      </w:r>
      <w:r>
        <w:rPr>
          <w:rFonts w:ascii="Arial" w:cs="Arial" w:eastAsia="Arial" w:hAnsi="Arial"/>
          <w:sz w:val="17"/>
          <w:szCs w:val="17"/>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76" w:lineRule="exact"/>
        <w:rPr>
          <w:rFonts w:ascii="Arial" w:cs="Arial" w:eastAsia="Arial" w:hAnsi="Arial"/>
          <w:sz w:val="17"/>
          <w:szCs w:val="17"/>
          <w:color w:val="auto"/>
        </w:rPr>
      </w:pPr>
    </w:p>
    <w:p>
      <w:pPr>
        <w:jc w:val="both"/>
        <w:ind w:left="1020" w:right="1239" w:hanging="259"/>
        <w:spacing w:after="0" w:line="256" w:lineRule="auto"/>
        <w:tabs>
          <w:tab w:leader="none" w:pos="102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76" w:lineRule="exact"/>
        <w:rPr>
          <w:rFonts w:ascii="Arial" w:cs="Arial" w:eastAsia="Arial" w:hAnsi="Arial"/>
          <w:sz w:val="17"/>
          <w:szCs w:val="17"/>
          <w:color w:val="auto"/>
        </w:rPr>
      </w:pPr>
    </w:p>
    <w:p>
      <w:pPr>
        <w:jc w:val="both"/>
        <w:ind w:left="540" w:right="1239" w:firstLine="259"/>
        <w:spacing w:after="0" w:line="253" w:lineRule="auto"/>
        <w:tabs>
          <w:tab w:leader="none" w:pos="1153" w:val="left"/>
        </w:tabs>
        <w:numPr>
          <w:ilvl w:val="2"/>
          <w:numId w:val="347"/>
        </w:numPr>
        <w:rPr>
          <w:rFonts w:ascii="Arial" w:cs="Arial" w:eastAsia="Arial" w:hAnsi="Arial"/>
          <w:sz w:val="17"/>
          <w:szCs w:val="17"/>
          <w:color w:val="auto"/>
        </w:rPr>
      </w:pPr>
      <w:r>
        <w:rPr>
          <w:rFonts w:ascii="Arial" w:cs="Arial" w:eastAsia="Arial" w:hAnsi="Arial"/>
          <w:sz w:val="17"/>
          <w:szCs w:val="17"/>
          <w:u w:val="single" w:color="auto"/>
          <w:color w:val="auto"/>
        </w:rPr>
        <w:t>Limitation on Yearly Exercise</w:t>
      </w:r>
      <w:r>
        <w:rPr>
          <w:rFonts w:ascii="Arial" w:cs="Arial" w:eastAsia="Arial" w:hAnsi="Arial"/>
          <w:sz w:val="17"/>
          <w:szCs w:val="17"/>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77" w:lineRule="exact"/>
        <w:rPr>
          <w:rFonts w:ascii="Arial" w:cs="Arial" w:eastAsia="Arial" w:hAnsi="Arial"/>
          <w:sz w:val="17"/>
          <w:szCs w:val="17"/>
          <w:color w:val="auto"/>
        </w:rPr>
      </w:pPr>
    </w:p>
    <w:p>
      <w:pPr>
        <w:ind w:left="500" w:hanging="202"/>
        <w:spacing w:after="0"/>
        <w:tabs>
          <w:tab w:leader="none" w:pos="500" w:val="left"/>
        </w:tabs>
        <w:numPr>
          <w:ilvl w:val="0"/>
          <w:numId w:val="348"/>
        </w:numPr>
        <w:rPr>
          <w:rFonts w:ascii="Arial" w:cs="Arial" w:eastAsia="Arial" w:hAnsi="Arial"/>
          <w:sz w:val="17"/>
          <w:szCs w:val="17"/>
          <w:color w:val="auto"/>
        </w:rPr>
      </w:pPr>
      <w:r>
        <w:rPr>
          <w:rFonts w:ascii="Arial" w:cs="Arial" w:eastAsia="Arial" w:hAnsi="Arial"/>
          <w:sz w:val="17"/>
          <w:szCs w:val="17"/>
          <w:u w:val="single" w:color="auto"/>
          <w:color w:val="auto"/>
        </w:rPr>
        <w:t>TERMS AND CONDITIONS OF STOCK GRANTS.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78" w:lineRule="exact"/>
        <w:rPr>
          <w:sz w:val="20"/>
          <w:szCs w:val="20"/>
          <w:color w:val="auto"/>
        </w:rPr>
      </w:pPr>
    </w:p>
    <w:p>
      <w:pPr>
        <w:jc w:val="both"/>
        <w:ind w:left="300" w:right="1239" w:firstLine="248"/>
        <w:spacing w:after="0" w:line="280" w:lineRule="auto"/>
        <w:tabs>
          <w:tab w:leader="none" w:pos="861" w:val="left"/>
        </w:tabs>
        <w:numPr>
          <w:ilvl w:val="1"/>
          <w:numId w:val="349"/>
        </w:numPr>
        <w:rPr>
          <w:rFonts w:ascii="Arial" w:cs="Arial" w:eastAsia="Arial" w:hAnsi="Arial"/>
          <w:sz w:val="16"/>
          <w:szCs w:val="16"/>
          <w:color w:val="auto"/>
        </w:rPr>
      </w:pPr>
      <w:r>
        <w:rPr>
          <w:rFonts w:ascii="Arial" w:cs="Arial" w:eastAsia="Arial" w:hAnsi="Arial"/>
          <w:sz w:val="16"/>
          <w:szCs w:val="16"/>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57" w:lineRule="exact"/>
        <w:rPr>
          <w:rFonts w:ascii="Arial" w:cs="Arial" w:eastAsia="Arial" w:hAnsi="Arial"/>
          <w:sz w:val="16"/>
          <w:szCs w:val="16"/>
          <w:color w:val="auto"/>
        </w:rPr>
      </w:pPr>
    </w:p>
    <w:p>
      <w:pPr>
        <w:ind w:left="820" w:hanging="272"/>
        <w:spacing w:after="0"/>
        <w:tabs>
          <w:tab w:leader="none" w:pos="82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Each Agreement shall state the number of Shares to which the Stock Grant pertains; and</w:t>
      </w:r>
    </w:p>
    <w:p>
      <w:pPr>
        <w:spacing w:after="0" w:line="105" w:lineRule="exact"/>
        <w:rPr>
          <w:rFonts w:ascii="Arial" w:cs="Arial" w:eastAsia="Arial" w:hAnsi="Arial"/>
          <w:sz w:val="17"/>
          <w:szCs w:val="17"/>
          <w:color w:val="auto"/>
        </w:rPr>
      </w:pPr>
    </w:p>
    <w:p>
      <w:pPr>
        <w:ind w:left="300" w:right="1239" w:firstLine="248"/>
        <w:spacing w:after="0" w:line="335" w:lineRule="auto"/>
        <w:tabs>
          <w:tab w:leader="none" w:pos="842" w:val="left"/>
        </w:tabs>
        <w:numPr>
          <w:ilvl w:val="1"/>
          <w:numId w:val="349"/>
        </w:numPr>
        <w:rPr>
          <w:rFonts w:ascii="Arial" w:cs="Arial" w:eastAsia="Arial" w:hAnsi="Arial"/>
          <w:sz w:val="15"/>
          <w:szCs w:val="15"/>
          <w:color w:val="auto"/>
        </w:rPr>
      </w:pPr>
      <w:r>
        <w:rPr>
          <w:rFonts w:ascii="Arial" w:cs="Arial" w:eastAsia="Arial" w:hAnsi="Arial"/>
          <w:sz w:val="15"/>
          <w:szCs w:val="15"/>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19" w:lineRule="exact"/>
        <w:rPr>
          <w:rFonts w:ascii="Arial" w:cs="Arial" w:eastAsia="Arial" w:hAnsi="Arial"/>
          <w:sz w:val="15"/>
          <w:szCs w:val="15"/>
          <w:color w:val="auto"/>
        </w:rPr>
      </w:pPr>
    </w:p>
    <w:p>
      <w:pPr>
        <w:ind w:left="500" w:hanging="202"/>
        <w:spacing w:after="0"/>
        <w:tabs>
          <w:tab w:leader="none" w:pos="500"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TERMS AND CONDITIONS OF OTHER STOCK-BASED AWARDS.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53"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68" w:lineRule="exact"/>
        <w:rPr>
          <w:sz w:val="20"/>
          <w:szCs w:val="20"/>
          <w:color w:val="auto"/>
        </w:rPr>
      </w:pPr>
    </w:p>
    <w:p>
      <w:pPr>
        <w:ind w:left="500" w:hanging="202"/>
        <w:spacing w:after="0"/>
        <w:tabs>
          <w:tab w:leader="none" w:pos="500"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EXERCISE OF OPTIONS AND ISSUE OF SHARES.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w:t>
      </w:r>
    </w:p>
    <w:p>
      <w:pPr>
        <w:spacing w:after="0" w:line="200" w:lineRule="exact"/>
        <w:rPr>
          <w:sz w:val="20"/>
          <w:szCs w:val="20"/>
          <w:color w:val="auto"/>
        </w:rPr>
      </w:pPr>
    </w:p>
    <w:p>
      <w:pPr>
        <w:spacing w:after="0" w:line="294"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5" w:name="page416"/>
    <w:bookmarkEnd w:id="4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4" w:lineRule="auto"/>
        <w:rPr>
          <w:sz w:val="20"/>
          <w:szCs w:val="20"/>
          <w:color w:val="auto"/>
        </w:rPr>
      </w:pPr>
      <w:r>
        <w:rPr>
          <w:rFonts w:ascii="Arial" w:cs="Arial" w:eastAsia="Arial" w:hAnsi="Arial"/>
          <w:sz w:val="16"/>
          <w:szCs w:val="16"/>
          <w:color w:val="auto"/>
        </w:rPr>
        <w:t>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76"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53" w:lineRule="exact"/>
        <w:rPr>
          <w:sz w:val="20"/>
          <w:szCs w:val="20"/>
          <w:color w:val="auto"/>
        </w:rPr>
      </w:pPr>
    </w:p>
    <w:p>
      <w:pPr>
        <w:ind w:left="40" w:right="1239" w:firstLine="258"/>
        <w:spacing w:after="0" w:line="267" w:lineRule="auto"/>
        <w:tabs>
          <w:tab w:leader="none" w:pos="595"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PAYMENT IN CONNECTION WITH THE ISSUANCE OF STOCK GRANTS AND STOCK- BASED AWARDS AND ISSUE OF SHARES.</w:t>
      </w:r>
    </w:p>
    <w:p>
      <w:pPr>
        <w:spacing w:after="0" w:line="66"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w:t>
      </w:r>
    </w:p>
    <w:p>
      <w:pPr>
        <w:spacing w:after="0" w:line="1" w:lineRule="exact"/>
        <w:rPr>
          <w:sz w:val="20"/>
          <w:szCs w:val="20"/>
          <w:color w:val="auto"/>
        </w:rPr>
      </w:pPr>
    </w:p>
    <w:p>
      <w:pPr>
        <w:jc w:val="both"/>
        <w:ind w:left="40" w:right="1239"/>
        <w:spacing w:after="0" w:line="233" w:lineRule="auto"/>
        <w:rPr>
          <w:sz w:val="20"/>
          <w:szCs w:val="20"/>
          <w:color w:val="auto"/>
        </w:rPr>
      </w:pPr>
      <w:r>
        <w:rPr>
          <w:rFonts w:ascii="Arial" w:cs="Arial" w:eastAsia="Arial" w:hAnsi="Arial"/>
          <w:sz w:val="16"/>
          <w:szCs w:val="16"/>
          <w:color w:val="auto"/>
        </w:rPr>
        <w:t>treatment) and</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90"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81" w:lineRule="exact"/>
        <w:rPr>
          <w:sz w:val="20"/>
          <w:szCs w:val="20"/>
          <w:color w:val="auto"/>
        </w:rPr>
      </w:pPr>
    </w:p>
    <w:p>
      <w:pPr>
        <w:ind w:left="580" w:hanging="282"/>
        <w:spacing w:after="0"/>
        <w:tabs>
          <w:tab w:leader="none" w:pos="580"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78" w:lineRule="exact"/>
        <w:rPr>
          <w:sz w:val="20"/>
          <w:szCs w:val="20"/>
          <w:color w:val="auto"/>
        </w:rPr>
      </w:pPr>
    </w:p>
    <w:p>
      <w:pPr>
        <w:ind w:left="600" w:hanging="302"/>
        <w:spacing w:after="0"/>
        <w:tabs>
          <w:tab w:leader="none" w:pos="600"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ASSIGNABILITY AND TRANSFERABILITY OF STOCK RIGHTS.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153035</wp:posOffset>
            </wp:positionV>
            <wp:extent cx="57277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60" w:right="1239" w:hanging="250"/>
        <w:spacing w:after="0" w:line="267" w:lineRule="auto"/>
        <w:tabs>
          <w:tab w:leader="none" w:pos="2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If an employee uses previously owned shares to pay for a stock purchase and those shares have not been held by the employee for at least six months, the company will incur a variable accounting charge.</w:t>
      </w: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6" w:name="page417"/>
    <w:bookmarkEnd w:id="4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right="1239"/>
        <w:spacing w:after="0" w:line="288" w:lineRule="auto"/>
        <w:rPr>
          <w:sz w:val="20"/>
          <w:szCs w:val="20"/>
          <w:color w:val="auto"/>
        </w:rPr>
      </w:pPr>
      <w:r>
        <w:rPr>
          <w:rFonts w:ascii="Arial" w:cs="Arial" w:eastAsia="Arial" w:hAnsi="Arial"/>
          <w:sz w:val="15"/>
          <w:szCs w:val="15"/>
          <w:color w:val="auto"/>
        </w:rPr>
        <w:t>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55" w:lineRule="exact"/>
        <w:rPr>
          <w:sz w:val="20"/>
          <w:szCs w:val="20"/>
          <w:color w:val="auto"/>
        </w:rPr>
      </w:pPr>
    </w:p>
    <w:p>
      <w:pPr>
        <w:ind w:left="600" w:hanging="302"/>
        <w:spacing w:after="0"/>
        <w:tabs>
          <w:tab w:leader="none" w:pos="600" w:val="left"/>
        </w:tabs>
        <w:numPr>
          <w:ilvl w:val="0"/>
          <w:numId w:val="356"/>
        </w:numPr>
        <w:rPr>
          <w:rFonts w:ascii="Arial" w:cs="Arial" w:eastAsia="Arial" w:hAnsi="Arial"/>
          <w:sz w:val="15"/>
          <w:szCs w:val="15"/>
          <w:color w:val="auto"/>
        </w:rPr>
      </w:pPr>
      <w:r>
        <w:rPr>
          <w:rFonts w:ascii="Arial" w:cs="Arial" w:eastAsia="Arial" w:hAnsi="Arial"/>
          <w:sz w:val="15"/>
          <w:szCs w:val="15"/>
          <w:u w:val="single" w:color="auto"/>
          <w:color w:val="auto"/>
        </w:rPr>
        <w:t>EFFECT ON OPTIONS OF TERMINATION OF SERVICE OTHER THAN FOR CAUSE OR DEATH OR DISABILITY.</w:t>
      </w:r>
    </w:p>
    <w:p>
      <w:pPr>
        <w:spacing w:after="0" w:line="12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76" w:lineRule="exact"/>
        <w:rPr>
          <w:sz w:val="20"/>
          <w:szCs w:val="20"/>
          <w:color w:val="auto"/>
        </w:rPr>
      </w:pPr>
    </w:p>
    <w:p>
      <w:pPr>
        <w:jc w:val="both"/>
        <w:ind w:left="300" w:right="1239" w:firstLine="248"/>
        <w:spacing w:after="0" w:line="267" w:lineRule="auto"/>
        <w:tabs>
          <w:tab w:leader="none" w:pos="829"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70" w:lineRule="exact"/>
        <w:rPr>
          <w:rFonts w:ascii="Arial" w:cs="Arial" w:eastAsia="Arial" w:hAnsi="Arial"/>
          <w:sz w:val="16"/>
          <w:szCs w:val="16"/>
          <w:color w:val="auto"/>
        </w:rPr>
      </w:pPr>
    </w:p>
    <w:p>
      <w:pPr>
        <w:ind w:left="300" w:right="1239" w:firstLine="248"/>
        <w:spacing w:after="0" w:line="267" w:lineRule="auto"/>
        <w:tabs>
          <w:tab w:leader="none" w:pos="83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Except as provided in Subparagraph (c) below, or Paragraph 15 or 16, in no event may an Option intended to be an ISO, be exercised later than three months after the Participant’s termination of employment.</w:t>
      </w:r>
    </w:p>
    <w:p>
      <w:pPr>
        <w:spacing w:after="0" w:line="66" w:lineRule="exact"/>
        <w:rPr>
          <w:rFonts w:ascii="Arial" w:cs="Arial" w:eastAsia="Arial" w:hAnsi="Arial"/>
          <w:sz w:val="17"/>
          <w:szCs w:val="17"/>
          <w:color w:val="auto"/>
        </w:rPr>
      </w:pPr>
    </w:p>
    <w:p>
      <w:pPr>
        <w:jc w:val="both"/>
        <w:ind w:left="300" w:right="1239" w:firstLine="248"/>
        <w:spacing w:after="0" w:line="250" w:lineRule="auto"/>
        <w:tabs>
          <w:tab w:leader="none" w:pos="87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or twelve months in the case of an ISO, but in no event after the date of expiration of the term of the Option.</w:t>
      </w:r>
    </w:p>
    <w:p>
      <w:pPr>
        <w:spacing w:after="0" w:line="81" w:lineRule="exact"/>
        <w:rPr>
          <w:rFonts w:ascii="Arial" w:cs="Arial" w:eastAsia="Arial" w:hAnsi="Arial"/>
          <w:sz w:val="17"/>
          <w:szCs w:val="17"/>
          <w:color w:val="auto"/>
        </w:rPr>
      </w:pPr>
    </w:p>
    <w:p>
      <w:pPr>
        <w:jc w:val="both"/>
        <w:ind w:left="300" w:right="1239" w:firstLine="248"/>
        <w:spacing w:after="0" w:line="274" w:lineRule="auto"/>
        <w:tabs>
          <w:tab w:leader="none" w:pos="934" w:val="left"/>
        </w:tabs>
        <w:numPr>
          <w:ilvl w:val="0"/>
          <w:numId w:val="357"/>
        </w:numPr>
        <w:rPr>
          <w:rFonts w:ascii="Arial" w:cs="Arial" w:eastAsia="Arial" w:hAnsi="Arial"/>
          <w:sz w:val="16"/>
          <w:szCs w:val="16"/>
          <w:color w:val="auto"/>
        </w:rPr>
      </w:pPr>
      <w:r>
        <w:rPr>
          <w:rFonts w:ascii="Arial" w:cs="Arial" w:eastAsia="Arial" w:hAnsi="Arial"/>
          <w:sz w:val="16"/>
          <w:szCs w:val="16"/>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61" w:lineRule="exact"/>
        <w:rPr>
          <w:rFonts w:ascii="Arial" w:cs="Arial" w:eastAsia="Arial" w:hAnsi="Arial"/>
          <w:sz w:val="16"/>
          <w:szCs w:val="16"/>
          <w:color w:val="auto"/>
        </w:rPr>
      </w:pPr>
    </w:p>
    <w:p>
      <w:pPr>
        <w:jc w:val="both"/>
        <w:ind w:left="300" w:right="1239" w:firstLine="248"/>
        <w:spacing w:after="0" w:line="285" w:lineRule="auto"/>
        <w:tabs>
          <w:tab w:leader="none" w:pos="849" w:val="left"/>
        </w:tabs>
        <w:numPr>
          <w:ilvl w:val="0"/>
          <w:numId w:val="357"/>
        </w:numPr>
        <w:rPr>
          <w:rFonts w:ascii="Arial" w:cs="Arial" w:eastAsia="Arial" w:hAnsi="Arial"/>
          <w:sz w:val="15"/>
          <w:szCs w:val="15"/>
          <w:color w:val="auto"/>
        </w:rPr>
      </w:pPr>
      <w:r>
        <w:rPr>
          <w:rFonts w:ascii="Arial" w:cs="Arial" w:eastAsia="Arial" w:hAnsi="Arial"/>
          <w:sz w:val="15"/>
          <w:szCs w:val="15"/>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shall cause such ISO to become a Non-Qualified Option on the 181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day following such leave of absence.</w:t>
      </w:r>
    </w:p>
    <w:p>
      <w:pPr>
        <w:spacing w:after="0" w:line="40" w:lineRule="exact"/>
        <w:rPr>
          <w:sz w:val="20"/>
          <w:szCs w:val="20"/>
          <w:color w:val="auto"/>
        </w:rPr>
      </w:pPr>
    </w:p>
    <w:p>
      <w:pPr>
        <w:jc w:val="both"/>
        <w:ind w:left="300" w:right="1239" w:firstLine="248"/>
        <w:spacing w:after="0" w:line="271" w:lineRule="auto"/>
        <w:tabs>
          <w:tab w:leader="none" w:pos="815" w:val="left"/>
        </w:tabs>
        <w:numPr>
          <w:ilvl w:val="0"/>
          <w:numId w:val="358"/>
        </w:numPr>
        <w:rPr>
          <w:rFonts w:ascii="Arial" w:cs="Arial" w:eastAsia="Arial" w:hAnsi="Arial"/>
          <w:sz w:val="16"/>
          <w:szCs w:val="16"/>
          <w:color w:val="auto"/>
        </w:rPr>
      </w:pPr>
      <w:r>
        <w:rPr>
          <w:rFonts w:ascii="Arial" w:cs="Arial" w:eastAsia="Arial" w:hAnsi="Arial"/>
          <w:sz w:val="16"/>
          <w:szCs w:val="16"/>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200" w:lineRule="exact"/>
        <w:rPr>
          <w:sz w:val="20"/>
          <w:szCs w:val="20"/>
          <w:color w:val="auto"/>
        </w:rPr>
      </w:pPr>
    </w:p>
    <w:p>
      <w:pPr>
        <w:spacing w:after="0" w:line="278"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17" w:name="page418"/>
    <w:bookmarkEnd w:id="4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600" w:hanging="302"/>
        <w:spacing w:after="0"/>
        <w:tabs>
          <w:tab w:leader="none" w:pos="600"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EFFECT ON OPTIONS OF TERMINATION OF SERVICE FOR CAUSE.</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76" w:lineRule="exact"/>
        <w:rPr>
          <w:sz w:val="20"/>
          <w:szCs w:val="20"/>
          <w:color w:val="auto"/>
        </w:rPr>
      </w:pPr>
    </w:p>
    <w:p>
      <w:pPr>
        <w:ind w:left="300" w:right="1239" w:firstLine="248"/>
        <w:spacing w:after="0" w:line="267" w:lineRule="auto"/>
        <w:tabs>
          <w:tab w:leader="none" w:pos="841" w:val="left"/>
        </w:tabs>
        <w:numPr>
          <w:ilvl w:val="1"/>
          <w:numId w:val="360"/>
        </w:numPr>
        <w:rPr>
          <w:rFonts w:ascii="Arial" w:cs="Arial" w:eastAsia="Arial" w:hAnsi="Arial"/>
          <w:sz w:val="17"/>
          <w:szCs w:val="17"/>
          <w:color w:val="auto"/>
        </w:rPr>
      </w:pPr>
      <w:r>
        <w:rPr>
          <w:rFonts w:ascii="Arial" w:cs="Arial" w:eastAsia="Arial" w:hAnsi="Arial"/>
          <w:sz w:val="17"/>
          <w:szCs w:val="17"/>
          <w:color w:val="auto"/>
        </w:rPr>
        <w:t>All outstanding and unexercised Options as of the time the Participant is notified his or her service is terminated for Cause will immediately be forfeited.</w:t>
      </w:r>
    </w:p>
    <w:p>
      <w:pPr>
        <w:spacing w:after="0" w:line="66" w:lineRule="exact"/>
        <w:rPr>
          <w:rFonts w:ascii="Arial" w:cs="Arial" w:eastAsia="Arial" w:hAnsi="Arial"/>
          <w:sz w:val="17"/>
          <w:szCs w:val="17"/>
          <w:color w:val="auto"/>
        </w:rPr>
      </w:pPr>
    </w:p>
    <w:p>
      <w:pPr>
        <w:jc w:val="both"/>
        <w:ind w:left="300" w:right="1239" w:firstLine="248"/>
        <w:spacing w:after="0" w:line="297" w:lineRule="auto"/>
        <w:tabs>
          <w:tab w:leader="none" w:pos="830" w:val="left"/>
        </w:tabs>
        <w:numPr>
          <w:ilvl w:val="1"/>
          <w:numId w:val="360"/>
        </w:numPr>
        <w:rPr>
          <w:rFonts w:ascii="Arial" w:cs="Arial" w:eastAsia="Arial" w:hAnsi="Arial"/>
          <w:sz w:val="15"/>
          <w:szCs w:val="15"/>
          <w:color w:val="auto"/>
        </w:rPr>
      </w:pPr>
      <w:r>
        <w:rPr>
          <w:rFonts w:ascii="Arial" w:cs="Arial" w:eastAsia="Arial" w:hAnsi="Arial"/>
          <w:sz w:val="15"/>
          <w:szCs w:val="15"/>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48" w:lineRule="exact"/>
        <w:rPr>
          <w:rFonts w:ascii="Arial" w:cs="Arial" w:eastAsia="Arial" w:hAnsi="Arial"/>
          <w:sz w:val="15"/>
          <w:szCs w:val="15"/>
          <w:color w:val="auto"/>
        </w:rPr>
      </w:pPr>
    </w:p>
    <w:p>
      <w:pPr>
        <w:ind w:left="600" w:hanging="302"/>
        <w:spacing w:after="0"/>
        <w:tabs>
          <w:tab w:leader="none" w:pos="600"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EFFECT ON OPTIONS OF TERMINATION OF SERVICE FOR DISABILITY.</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Except as otherwise provided in a Participant’s Option Agreement:</w:t>
      </w:r>
    </w:p>
    <w:p>
      <w:pPr>
        <w:spacing w:after="0" w:line="105" w:lineRule="exact"/>
        <w:rPr>
          <w:sz w:val="20"/>
          <w:szCs w:val="20"/>
          <w:color w:val="auto"/>
        </w:rPr>
      </w:pPr>
    </w:p>
    <w:p>
      <w:pPr>
        <w:ind w:left="300" w:right="1239" w:firstLine="248"/>
        <w:spacing w:after="0" w:line="267" w:lineRule="auto"/>
        <w:tabs>
          <w:tab w:leader="none" w:pos="844" w:val="left"/>
        </w:tabs>
        <w:numPr>
          <w:ilvl w:val="1"/>
          <w:numId w:val="362"/>
        </w:numPr>
        <w:rPr>
          <w:rFonts w:ascii="Arial" w:cs="Arial" w:eastAsia="Arial" w:hAnsi="Arial"/>
          <w:sz w:val="17"/>
          <w:szCs w:val="17"/>
          <w:color w:val="auto"/>
        </w:rPr>
      </w:pPr>
      <w:r>
        <w:rPr>
          <w:rFonts w:ascii="Arial" w:cs="Arial" w:eastAsia="Arial" w:hAnsi="Arial"/>
          <w:sz w:val="17"/>
          <w:szCs w:val="17"/>
          <w:color w:val="auto"/>
        </w:rPr>
        <w:t>A Participant who ceases to be an Employee, director or Consultant of the Company or of an Affiliate by reason of Disability may exercise any Option granted to such Participant:</w:t>
      </w:r>
    </w:p>
    <w:p>
      <w:pPr>
        <w:spacing w:after="0" w:line="66" w:lineRule="exact"/>
        <w:rPr>
          <w:rFonts w:ascii="Arial" w:cs="Arial" w:eastAsia="Arial" w:hAnsi="Arial"/>
          <w:sz w:val="17"/>
          <w:szCs w:val="17"/>
          <w:color w:val="auto"/>
        </w:rPr>
      </w:pPr>
    </w:p>
    <w:p>
      <w:pPr>
        <w:ind w:left="540" w:right="1239" w:firstLine="259"/>
        <w:spacing w:after="0" w:line="267" w:lineRule="auto"/>
        <w:tabs>
          <w:tab w:leader="none" w:pos="1068" w:val="left"/>
        </w:tabs>
        <w:numPr>
          <w:ilvl w:val="2"/>
          <w:numId w:val="362"/>
        </w:numPr>
        <w:rPr>
          <w:rFonts w:ascii="Arial" w:cs="Arial" w:eastAsia="Arial" w:hAnsi="Arial"/>
          <w:sz w:val="17"/>
          <w:szCs w:val="17"/>
          <w:color w:val="auto"/>
        </w:rPr>
      </w:pPr>
      <w:r>
        <w:rPr>
          <w:rFonts w:ascii="Arial" w:cs="Arial" w:eastAsia="Arial" w:hAnsi="Arial"/>
          <w:sz w:val="17"/>
          <w:szCs w:val="17"/>
          <w:color w:val="auto"/>
        </w:rPr>
        <w:t>To the extent that the Option has become exercisable but has not been exercised on the date of the Participant’s termination of service due to Disability; and</w:t>
      </w:r>
    </w:p>
    <w:p>
      <w:pPr>
        <w:spacing w:after="0" w:line="66" w:lineRule="exact"/>
        <w:rPr>
          <w:rFonts w:ascii="Arial" w:cs="Arial" w:eastAsia="Arial" w:hAnsi="Arial"/>
          <w:sz w:val="17"/>
          <w:szCs w:val="17"/>
          <w:color w:val="auto"/>
        </w:rPr>
      </w:pPr>
    </w:p>
    <w:p>
      <w:pPr>
        <w:jc w:val="both"/>
        <w:ind w:left="540" w:right="1239" w:firstLine="259"/>
        <w:spacing w:after="0" w:line="297" w:lineRule="auto"/>
        <w:tabs>
          <w:tab w:leader="none" w:pos="1091" w:val="left"/>
        </w:tabs>
        <w:numPr>
          <w:ilvl w:val="2"/>
          <w:numId w:val="362"/>
        </w:numPr>
        <w:rPr>
          <w:rFonts w:ascii="Arial" w:cs="Arial" w:eastAsia="Arial" w:hAnsi="Arial"/>
          <w:sz w:val="15"/>
          <w:szCs w:val="15"/>
          <w:color w:val="auto"/>
        </w:rPr>
      </w:pPr>
      <w:r>
        <w:rPr>
          <w:rFonts w:ascii="Arial" w:cs="Arial" w:eastAsia="Arial" w:hAnsi="Arial"/>
          <w:sz w:val="15"/>
          <w:szCs w:val="15"/>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48" w:lineRule="exact"/>
        <w:rPr>
          <w:rFonts w:ascii="Arial" w:cs="Arial" w:eastAsia="Arial" w:hAnsi="Arial"/>
          <w:sz w:val="15"/>
          <w:szCs w:val="15"/>
          <w:color w:val="auto"/>
        </w:rPr>
      </w:pPr>
    </w:p>
    <w:p>
      <w:pPr>
        <w:jc w:val="both"/>
        <w:ind w:left="300" w:right="1239" w:firstLine="248"/>
        <w:spacing w:after="0" w:line="297" w:lineRule="auto"/>
        <w:tabs>
          <w:tab w:leader="none" w:pos="821" w:val="left"/>
        </w:tabs>
        <w:numPr>
          <w:ilvl w:val="1"/>
          <w:numId w:val="362"/>
        </w:numPr>
        <w:rPr>
          <w:rFonts w:ascii="Arial" w:cs="Arial" w:eastAsia="Arial" w:hAnsi="Arial"/>
          <w:sz w:val="15"/>
          <w:szCs w:val="15"/>
          <w:color w:val="auto"/>
        </w:rPr>
      </w:pPr>
      <w:r>
        <w:rPr>
          <w:rFonts w:ascii="Arial" w:cs="Arial" w:eastAsia="Arial" w:hAnsi="Arial"/>
          <w:sz w:val="15"/>
          <w:szCs w:val="15"/>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48" w:lineRule="exact"/>
        <w:rPr>
          <w:rFonts w:ascii="Arial" w:cs="Arial" w:eastAsia="Arial" w:hAnsi="Arial"/>
          <w:sz w:val="15"/>
          <w:szCs w:val="15"/>
          <w:color w:val="auto"/>
        </w:rPr>
      </w:pPr>
    </w:p>
    <w:p>
      <w:pPr>
        <w:jc w:val="both"/>
        <w:ind w:left="300" w:right="1239" w:firstLine="248"/>
        <w:spacing w:after="0" w:line="297" w:lineRule="auto"/>
        <w:tabs>
          <w:tab w:leader="none" w:pos="831" w:val="left"/>
        </w:tabs>
        <w:numPr>
          <w:ilvl w:val="1"/>
          <w:numId w:val="362"/>
        </w:numPr>
        <w:rPr>
          <w:rFonts w:ascii="Arial" w:cs="Arial" w:eastAsia="Arial" w:hAnsi="Arial"/>
          <w:sz w:val="15"/>
          <w:szCs w:val="15"/>
          <w:color w:val="auto"/>
        </w:rPr>
      </w:pPr>
      <w:r>
        <w:rPr>
          <w:rFonts w:ascii="Arial" w:cs="Arial" w:eastAsia="Arial" w:hAnsi="Arial"/>
          <w:sz w:val="15"/>
          <w:szCs w:val="15"/>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48" w:lineRule="exact"/>
        <w:rPr>
          <w:rFonts w:ascii="Arial" w:cs="Arial" w:eastAsia="Arial" w:hAnsi="Arial"/>
          <w:sz w:val="15"/>
          <w:szCs w:val="15"/>
          <w:color w:val="auto"/>
        </w:rPr>
      </w:pPr>
    </w:p>
    <w:p>
      <w:pPr>
        <w:ind w:left="640" w:hanging="342"/>
        <w:spacing w:after="0"/>
        <w:tabs>
          <w:tab w:leader="none" w:pos="640"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EFFECT ON OPTIONS OF DEATH WHILE AN EMPLOYEE, DIRECTOR OR CONSULTANT.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Except as otherwise provided in a Participant’s Option Agreement:</w:t>
      </w:r>
    </w:p>
    <w:p>
      <w:pPr>
        <w:spacing w:after="0" w:line="105" w:lineRule="exact"/>
        <w:rPr>
          <w:sz w:val="20"/>
          <w:szCs w:val="20"/>
          <w:color w:val="auto"/>
        </w:rPr>
      </w:pPr>
    </w:p>
    <w:p>
      <w:pPr>
        <w:ind w:left="300" w:right="1239" w:firstLine="248"/>
        <w:spacing w:after="0" w:line="267" w:lineRule="auto"/>
        <w:tabs>
          <w:tab w:leader="none" w:pos="822" w:val="left"/>
        </w:tabs>
        <w:numPr>
          <w:ilvl w:val="0"/>
          <w:numId w:val="364"/>
        </w:numPr>
        <w:rPr>
          <w:rFonts w:ascii="Arial" w:cs="Arial" w:eastAsia="Arial" w:hAnsi="Arial"/>
          <w:sz w:val="17"/>
          <w:szCs w:val="17"/>
          <w:color w:val="auto"/>
        </w:rPr>
      </w:pPr>
      <w:r>
        <w:rPr>
          <w:rFonts w:ascii="Arial" w:cs="Arial" w:eastAsia="Arial" w:hAnsi="Arial"/>
          <w:sz w:val="17"/>
          <w:szCs w:val="17"/>
          <w:color w:val="auto"/>
        </w:rPr>
        <w:t>In the event of the death of a Participant while the Participant is an Employee, director or Consultant of the Company or of an Affiliate, such Option may be exercised by the Participant’s Survivors:</w:t>
      </w:r>
    </w:p>
    <w:p>
      <w:pPr>
        <w:spacing w:after="0" w:line="66" w:lineRule="exact"/>
        <w:rPr>
          <w:rFonts w:ascii="Arial" w:cs="Arial" w:eastAsia="Arial" w:hAnsi="Arial"/>
          <w:sz w:val="17"/>
          <w:szCs w:val="17"/>
          <w:color w:val="auto"/>
        </w:rPr>
      </w:pPr>
    </w:p>
    <w:p>
      <w:pPr>
        <w:ind w:left="1040" w:hanging="241"/>
        <w:spacing w:after="0"/>
        <w:tabs>
          <w:tab w:leader="none" w:pos="1040" w:val="left"/>
        </w:tabs>
        <w:numPr>
          <w:ilvl w:val="1"/>
          <w:numId w:val="364"/>
        </w:numPr>
        <w:rPr>
          <w:rFonts w:ascii="Arial" w:cs="Arial" w:eastAsia="Arial" w:hAnsi="Arial"/>
          <w:sz w:val="16"/>
          <w:szCs w:val="16"/>
          <w:color w:val="auto"/>
        </w:rPr>
      </w:pPr>
      <w:r>
        <w:rPr>
          <w:rFonts w:ascii="Arial" w:cs="Arial" w:eastAsia="Arial" w:hAnsi="Arial"/>
          <w:sz w:val="16"/>
          <w:szCs w:val="16"/>
          <w:color w:val="auto"/>
        </w:rPr>
        <w:t>To the extent that the Option has become exercisable but has not been exercised on the date of death; and</w:t>
      </w:r>
    </w:p>
    <w:p>
      <w:pPr>
        <w:spacing w:after="0" w:line="116" w:lineRule="exact"/>
        <w:rPr>
          <w:rFonts w:ascii="Arial" w:cs="Arial" w:eastAsia="Arial" w:hAnsi="Arial"/>
          <w:sz w:val="16"/>
          <w:szCs w:val="16"/>
          <w:color w:val="auto"/>
        </w:rPr>
      </w:pPr>
    </w:p>
    <w:p>
      <w:pPr>
        <w:jc w:val="both"/>
        <w:ind w:left="540" w:right="1239" w:firstLine="259"/>
        <w:spacing w:after="0" w:line="253" w:lineRule="auto"/>
        <w:tabs>
          <w:tab w:leader="none" w:pos="1091" w:val="left"/>
        </w:tabs>
        <w:numPr>
          <w:ilvl w:val="1"/>
          <w:numId w:val="364"/>
        </w:numPr>
        <w:rPr>
          <w:rFonts w:ascii="Arial" w:cs="Arial" w:eastAsia="Arial" w:hAnsi="Arial"/>
          <w:sz w:val="17"/>
          <w:szCs w:val="17"/>
          <w:color w:val="auto"/>
        </w:rPr>
      </w:pPr>
      <w:r>
        <w:rPr>
          <w:rFonts w:ascii="Arial" w:cs="Arial" w:eastAsia="Arial" w:hAnsi="Arial"/>
          <w:sz w:val="17"/>
          <w:szCs w:val="17"/>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77" w:lineRule="exact"/>
        <w:rPr>
          <w:rFonts w:ascii="Arial" w:cs="Arial" w:eastAsia="Arial" w:hAnsi="Arial"/>
          <w:sz w:val="17"/>
          <w:szCs w:val="17"/>
          <w:color w:val="auto"/>
        </w:rPr>
      </w:pPr>
    </w:p>
    <w:p>
      <w:pPr>
        <w:jc w:val="both"/>
        <w:ind w:left="300" w:right="1239" w:firstLine="248"/>
        <w:spacing w:after="0" w:line="256" w:lineRule="auto"/>
        <w:tabs>
          <w:tab w:leader="none" w:pos="869" w:val="left"/>
        </w:tabs>
        <w:numPr>
          <w:ilvl w:val="0"/>
          <w:numId w:val="364"/>
        </w:numPr>
        <w:rPr>
          <w:rFonts w:ascii="Arial" w:cs="Arial" w:eastAsia="Arial" w:hAnsi="Arial"/>
          <w:sz w:val="17"/>
          <w:szCs w:val="17"/>
          <w:color w:val="auto"/>
        </w:rPr>
      </w:pPr>
      <w:r>
        <w:rPr>
          <w:rFonts w:ascii="Arial" w:cs="Arial" w:eastAsia="Arial" w:hAnsi="Arial"/>
          <w:sz w:val="17"/>
          <w:szCs w:val="17"/>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18" w:name="page419"/>
    <w:bookmarkEnd w:id="4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or she had not died and had continued to be an Employee, director or Consultant or, if earlier, within the originally prescribed term of the Option.</w:t>
      </w:r>
    </w:p>
    <w:p>
      <w:pPr>
        <w:spacing w:after="0" w:line="66" w:lineRule="exact"/>
        <w:rPr>
          <w:sz w:val="20"/>
          <w:szCs w:val="20"/>
          <w:color w:val="auto"/>
        </w:rPr>
      </w:pPr>
    </w:p>
    <w:p>
      <w:pPr>
        <w:ind w:left="600" w:hanging="302"/>
        <w:spacing w:after="0"/>
        <w:tabs>
          <w:tab w:leader="none" w:pos="600"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EFFECT OF TERMINATION OF SERVICE ON STOCK GRANTS AND STOCK-BASED AWARDS.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76"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53"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58" w:lineRule="exact"/>
        <w:rPr>
          <w:sz w:val="20"/>
          <w:szCs w:val="20"/>
          <w:color w:val="auto"/>
        </w:rPr>
      </w:pPr>
    </w:p>
    <w:p>
      <w:pPr>
        <w:ind w:left="40" w:right="1239" w:firstLine="258"/>
        <w:spacing w:after="0" w:line="267" w:lineRule="auto"/>
        <w:tabs>
          <w:tab w:leader="none" w:pos="633"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EFFECT ON STOCK GRANTS OF TERMINATION OF SERVICE OTHER THAN FOR CAUSE OR DEATH OR DISABILITY.</w:t>
      </w:r>
    </w:p>
    <w:p>
      <w:pPr>
        <w:spacing w:after="0" w:line="6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80" w:lineRule="exact"/>
        <w:rPr>
          <w:sz w:val="20"/>
          <w:szCs w:val="20"/>
          <w:color w:val="auto"/>
        </w:rPr>
      </w:pPr>
    </w:p>
    <w:p>
      <w:pPr>
        <w:ind w:left="600" w:hanging="302"/>
        <w:spacing w:after="0"/>
        <w:tabs>
          <w:tab w:leader="none" w:pos="600"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EFFECT ON STOCK GRANTS OF TERMINATION OF SERVICE FOR CAUSE.</w:t>
      </w:r>
    </w:p>
    <w:p>
      <w:pPr>
        <w:spacing w:after="0" w:line="105" w:lineRule="exact"/>
        <w:rPr>
          <w:sz w:val="20"/>
          <w:szCs w:val="20"/>
          <w:color w:val="auto"/>
        </w:rPr>
      </w:pPr>
    </w:p>
    <w:p>
      <w:pPr>
        <w:ind w:left="40" w:right="1239" w:firstLine="251"/>
        <w:spacing w:after="0" w:line="299" w:lineRule="auto"/>
        <w:rPr>
          <w:sz w:val="20"/>
          <w:szCs w:val="20"/>
          <w:color w:val="auto"/>
        </w:rPr>
      </w:pPr>
      <w:r>
        <w:rPr>
          <w:rFonts w:ascii="Arial" w:cs="Arial" w:eastAsia="Arial" w:hAnsi="Arial"/>
          <w:sz w:val="16"/>
          <w:szCs w:val="16"/>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43" w:lineRule="exact"/>
        <w:rPr>
          <w:sz w:val="20"/>
          <w:szCs w:val="20"/>
          <w:color w:val="auto"/>
        </w:rPr>
      </w:pPr>
    </w:p>
    <w:p>
      <w:pPr>
        <w:ind w:left="300" w:right="1239" w:firstLine="248"/>
        <w:spacing w:after="0" w:line="267" w:lineRule="auto"/>
        <w:tabs>
          <w:tab w:leader="none" w:pos="857" w:val="left"/>
        </w:tabs>
        <w:numPr>
          <w:ilvl w:val="1"/>
          <w:numId w:val="368"/>
        </w:numPr>
        <w:rPr>
          <w:rFonts w:ascii="Arial" w:cs="Arial" w:eastAsia="Arial" w:hAnsi="Arial"/>
          <w:sz w:val="17"/>
          <w:szCs w:val="17"/>
          <w:color w:val="auto"/>
        </w:rPr>
      </w:pPr>
      <w:r>
        <w:rPr>
          <w:rFonts w:ascii="Arial" w:cs="Arial" w:eastAsia="Arial" w:hAnsi="Arial"/>
          <w:sz w:val="17"/>
          <w:szCs w:val="17"/>
          <w:color w:val="auto"/>
        </w:rPr>
        <w:t>All Shares subject to any Stock Grant whether or not then subject to forfeiture or repurchase shall be immediately subject to repurchase by the Company at par value.</w:t>
      </w:r>
    </w:p>
    <w:p>
      <w:pPr>
        <w:spacing w:after="0" w:line="66" w:lineRule="exact"/>
        <w:rPr>
          <w:rFonts w:ascii="Arial" w:cs="Arial" w:eastAsia="Arial" w:hAnsi="Arial"/>
          <w:sz w:val="17"/>
          <w:szCs w:val="17"/>
          <w:color w:val="auto"/>
        </w:rPr>
      </w:pPr>
    </w:p>
    <w:p>
      <w:pPr>
        <w:jc w:val="both"/>
        <w:ind w:left="300" w:right="1239" w:firstLine="248"/>
        <w:spacing w:after="0" w:line="292" w:lineRule="auto"/>
        <w:tabs>
          <w:tab w:leader="none" w:pos="830" w:val="left"/>
        </w:tabs>
        <w:numPr>
          <w:ilvl w:val="1"/>
          <w:numId w:val="368"/>
        </w:numPr>
        <w:rPr>
          <w:rFonts w:ascii="Arial" w:cs="Arial" w:eastAsia="Arial" w:hAnsi="Arial"/>
          <w:sz w:val="15"/>
          <w:szCs w:val="15"/>
          <w:color w:val="auto"/>
        </w:rPr>
      </w:pPr>
      <w:r>
        <w:rPr>
          <w:rFonts w:ascii="Arial" w:cs="Arial" w:eastAsia="Arial" w:hAnsi="Arial"/>
          <w:sz w:val="15"/>
          <w:szCs w:val="15"/>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53" w:lineRule="exact"/>
        <w:rPr>
          <w:rFonts w:ascii="Arial" w:cs="Arial" w:eastAsia="Arial" w:hAnsi="Arial"/>
          <w:sz w:val="15"/>
          <w:szCs w:val="15"/>
          <w:color w:val="auto"/>
        </w:rPr>
      </w:pPr>
    </w:p>
    <w:p>
      <w:pPr>
        <w:ind w:left="600" w:hanging="302"/>
        <w:spacing w:after="0"/>
        <w:tabs>
          <w:tab w:leader="none" w:pos="600"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EFFECT ON STOCK GRANTS OF TERMINATION OF SERVICE FOR DISABILITY.</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200" w:lineRule="exact"/>
        <w:rPr>
          <w:sz w:val="20"/>
          <w:szCs w:val="20"/>
          <w:color w:val="auto"/>
        </w:rPr>
      </w:pPr>
    </w:p>
    <w:p>
      <w:pPr>
        <w:spacing w:after="0" w:line="26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19" w:name="page420"/>
    <w:bookmarkEnd w:id="4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62" w:lineRule="exact"/>
        <w:rPr>
          <w:sz w:val="20"/>
          <w:szCs w:val="20"/>
          <w:color w:val="auto"/>
        </w:rPr>
      </w:pPr>
    </w:p>
    <w:p>
      <w:pPr>
        <w:ind w:left="600" w:hanging="302"/>
        <w:spacing w:after="0"/>
        <w:tabs>
          <w:tab w:leader="none" w:pos="600"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EFFECT ON STOCK GRANTS OF DEATH WHILE AN EMPLOYEE, DIRECTOR OR CONSULTANT.</w:t>
      </w:r>
    </w:p>
    <w:p>
      <w:pPr>
        <w:spacing w:after="0" w:line="10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84" w:lineRule="exact"/>
        <w:rPr>
          <w:sz w:val="20"/>
          <w:szCs w:val="20"/>
          <w:color w:val="auto"/>
        </w:rPr>
      </w:pPr>
    </w:p>
    <w:p>
      <w:pPr>
        <w:ind w:left="600" w:hanging="302"/>
        <w:spacing w:after="0"/>
        <w:tabs>
          <w:tab w:leader="none" w:pos="600"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PURCHASE FOR INVESTMENT.</w:t>
      </w:r>
    </w:p>
    <w:p>
      <w:pPr>
        <w:spacing w:after="0" w:line="105" w:lineRule="exact"/>
        <w:rPr>
          <w:sz w:val="20"/>
          <w:szCs w:val="20"/>
          <w:color w:val="auto"/>
        </w:rPr>
      </w:pPr>
    </w:p>
    <w:p>
      <w:pPr>
        <w:ind w:left="40" w:right="1239" w:firstLine="251"/>
        <w:spacing w:after="0" w:line="299" w:lineRule="auto"/>
        <w:rPr>
          <w:sz w:val="20"/>
          <w:szCs w:val="20"/>
          <w:color w:val="auto"/>
        </w:rPr>
      </w:pPr>
      <w:r>
        <w:rPr>
          <w:rFonts w:ascii="Arial" w:cs="Arial" w:eastAsia="Arial" w:hAnsi="Arial"/>
          <w:sz w:val="16"/>
          <w:szCs w:val="16"/>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43" w:lineRule="exact"/>
        <w:rPr>
          <w:sz w:val="20"/>
          <w:szCs w:val="20"/>
          <w:color w:val="auto"/>
        </w:rPr>
      </w:pPr>
    </w:p>
    <w:p>
      <w:pPr>
        <w:jc w:val="both"/>
        <w:ind w:left="300" w:right="1239" w:firstLine="248"/>
        <w:spacing w:after="0" w:line="251" w:lineRule="auto"/>
        <w:tabs>
          <w:tab w:leader="none" w:pos="826"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80" w:lineRule="exact"/>
        <w:rPr>
          <w:sz w:val="20"/>
          <w:szCs w:val="20"/>
          <w:color w:val="auto"/>
        </w:rPr>
      </w:pPr>
    </w:p>
    <w:p>
      <w:pPr>
        <w:jc w:val="both"/>
        <w:ind w:left="540" w:right="1239" w:firstLine="251"/>
        <w:spacing w:after="0" w:line="251" w:lineRule="auto"/>
        <w:rPr>
          <w:sz w:val="20"/>
          <w:szCs w:val="20"/>
          <w:color w:val="auto"/>
        </w:rPr>
      </w:pPr>
      <w:r>
        <w:rPr>
          <w:rFonts w:ascii="Arial" w:cs="Arial" w:eastAsia="Arial" w:hAnsi="Arial"/>
          <w:sz w:val="17"/>
          <w:szCs w:val="17"/>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80" w:lineRule="exact"/>
        <w:rPr>
          <w:sz w:val="20"/>
          <w:szCs w:val="20"/>
          <w:color w:val="auto"/>
        </w:rPr>
      </w:pPr>
    </w:p>
    <w:p>
      <w:pPr>
        <w:ind w:left="300" w:right="1239" w:firstLine="248"/>
        <w:spacing w:after="0" w:line="267" w:lineRule="auto"/>
        <w:tabs>
          <w:tab w:leader="none" w:pos="82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At the discretion of the Administrator, the Company shall have received an opinion of its counsel that the Shares may be issued in compliance with the Securities Act without registration thereunder.</w:t>
      </w:r>
    </w:p>
    <w:p>
      <w:pPr>
        <w:spacing w:after="0" w:line="66" w:lineRule="exact"/>
        <w:rPr>
          <w:rFonts w:ascii="Arial" w:cs="Arial" w:eastAsia="Arial" w:hAnsi="Arial"/>
          <w:sz w:val="17"/>
          <w:szCs w:val="17"/>
          <w:color w:val="auto"/>
        </w:rPr>
      </w:pPr>
    </w:p>
    <w:p>
      <w:pPr>
        <w:ind w:left="600" w:hanging="302"/>
        <w:spacing w:after="0"/>
        <w:tabs>
          <w:tab w:leader="none" w:pos="600"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 OF THE COMPANY.</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0" w:name="page421"/>
    <w:bookmarkEnd w:id="4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600" w:hanging="302"/>
        <w:spacing w:after="0"/>
        <w:tabs>
          <w:tab w:leader="none" w:pos="600" w:val="left"/>
        </w:tabs>
        <w:numPr>
          <w:ilvl w:val="0"/>
          <w:numId w:val="375"/>
        </w:numPr>
        <w:rPr>
          <w:rFonts w:ascii="Arial" w:cs="Arial" w:eastAsia="Arial" w:hAnsi="Arial"/>
          <w:sz w:val="17"/>
          <w:szCs w:val="17"/>
          <w:color w:val="auto"/>
        </w:rPr>
      </w:pPr>
      <w:r>
        <w:rPr>
          <w:rFonts w:ascii="Arial" w:cs="Arial" w:eastAsia="Arial" w:hAnsi="Arial"/>
          <w:sz w:val="17"/>
          <w:szCs w:val="17"/>
          <w:u w:val="single" w:color="auto"/>
          <w:color w:val="auto"/>
        </w:rPr>
        <w:t>ADJUSTMENTS.</w:t>
      </w:r>
    </w:p>
    <w:p>
      <w:pPr>
        <w:spacing w:after="0" w:line="105" w:lineRule="exact"/>
        <w:rPr>
          <w:sz w:val="20"/>
          <w:szCs w:val="20"/>
          <w:color w:val="auto"/>
        </w:rPr>
      </w:pPr>
    </w:p>
    <w:p>
      <w:pPr>
        <w:ind w:left="40" w:right="1239" w:firstLine="251"/>
        <w:spacing w:after="0" w:line="335" w:lineRule="auto"/>
        <w:rPr>
          <w:sz w:val="20"/>
          <w:szCs w:val="20"/>
          <w:color w:val="auto"/>
        </w:rPr>
      </w:pPr>
      <w:r>
        <w:rPr>
          <w:rFonts w:ascii="Arial" w:cs="Arial" w:eastAsia="Arial" w:hAnsi="Arial"/>
          <w:sz w:val="15"/>
          <w:szCs w:val="15"/>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20" w:lineRule="exact"/>
        <w:rPr>
          <w:sz w:val="20"/>
          <w:szCs w:val="20"/>
          <w:color w:val="auto"/>
        </w:rPr>
      </w:pPr>
    </w:p>
    <w:p>
      <w:pPr>
        <w:jc w:val="both"/>
        <w:ind w:left="300" w:right="1239" w:firstLine="248"/>
        <w:spacing w:after="0" w:line="288" w:lineRule="auto"/>
        <w:tabs>
          <w:tab w:leader="none" w:pos="819" w:val="left"/>
        </w:tabs>
        <w:numPr>
          <w:ilvl w:val="0"/>
          <w:numId w:val="376"/>
        </w:numPr>
        <w:rPr>
          <w:rFonts w:ascii="Arial" w:cs="Arial" w:eastAsia="Arial" w:hAnsi="Arial"/>
          <w:sz w:val="15"/>
          <w:szCs w:val="15"/>
          <w:color w:val="auto"/>
        </w:rPr>
      </w:pPr>
      <w:r>
        <w:rPr>
          <w:rFonts w:ascii="Arial" w:cs="Arial" w:eastAsia="Arial" w:hAnsi="Arial"/>
          <w:sz w:val="15"/>
          <w:szCs w:val="15"/>
          <w:u w:val="single" w:color="auto"/>
          <w:color w:val="auto"/>
        </w:rPr>
        <w:t>Stock Dividends and Stock Splits</w:t>
      </w:r>
      <w:r>
        <w:rPr>
          <w:rFonts w:ascii="Arial" w:cs="Arial" w:eastAsia="Arial" w:hAnsi="Arial"/>
          <w:sz w:val="15"/>
          <w:szCs w:val="15"/>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54" w:lineRule="exact"/>
        <w:rPr>
          <w:rFonts w:ascii="Arial" w:cs="Arial" w:eastAsia="Arial" w:hAnsi="Arial"/>
          <w:sz w:val="15"/>
          <w:szCs w:val="15"/>
          <w:color w:val="auto"/>
        </w:rPr>
      </w:pPr>
    </w:p>
    <w:p>
      <w:pPr>
        <w:jc w:val="both"/>
        <w:ind w:left="300" w:right="1239" w:firstLine="248"/>
        <w:spacing w:after="0" w:line="282" w:lineRule="auto"/>
        <w:tabs>
          <w:tab w:leader="none" w:pos="904" w:val="left"/>
        </w:tabs>
        <w:numPr>
          <w:ilvl w:val="0"/>
          <w:numId w:val="376"/>
        </w:numPr>
        <w:rPr>
          <w:rFonts w:ascii="Arial" w:cs="Arial" w:eastAsia="Arial" w:hAnsi="Arial"/>
          <w:sz w:val="15"/>
          <w:szCs w:val="15"/>
          <w:color w:val="auto"/>
        </w:rPr>
      </w:pPr>
      <w:r>
        <w:rPr>
          <w:rFonts w:ascii="Arial" w:cs="Arial" w:eastAsia="Arial" w:hAnsi="Arial"/>
          <w:sz w:val="15"/>
          <w:szCs w:val="15"/>
          <w:u w:val="single" w:color="auto"/>
          <w:color w:val="auto"/>
        </w:rPr>
        <w:t>Corporate Transactions</w:t>
      </w:r>
      <w:r>
        <w:rPr>
          <w:rFonts w:ascii="Arial" w:cs="Arial" w:eastAsia="Arial" w:hAnsi="Arial"/>
          <w:sz w:val="15"/>
          <w:szCs w:val="15"/>
          <w:color w:val="auto"/>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5"/>
          <w:szCs w:val="15"/>
          <w:u w:val="single" w:color="auto"/>
          <w:color w:val="auto"/>
        </w:rPr>
        <w:t>less the aggregate</w:t>
      </w:r>
      <w:r>
        <w:rPr>
          <w:rFonts w:ascii="Arial" w:cs="Arial" w:eastAsia="Arial" w:hAnsi="Arial"/>
          <w:sz w:val="15"/>
          <w:szCs w:val="15"/>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63" w:lineRule="exact"/>
        <w:rPr>
          <w:sz w:val="20"/>
          <w:szCs w:val="20"/>
          <w:color w:val="auto"/>
        </w:rPr>
      </w:pPr>
    </w:p>
    <w:p>
      <w:pPr>
        <w:jc w:val="both"/>
        <w:ind w:left="300" w:right="1239" w:firstLine="251"/>
        <w:spacing w:after="0" w:line="256" w:lineRule="auto"/>
        <w:rPr>
          <w:sz w:val="20"/>
          <w:szCs w:val="20"/>
          <w:color w:val="auto"/>
        </w:rPr>
      </w:pPr>
      <w:r>
        <w:rPr>
          <w:rFonts w:ascii="Arial" w:cs="Arial" w:eastAsia="Arial" w:hAnsi="Arial"/>
          <w:sz w:val="17"/>
          <w:szCs w:val="17"/>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76" w:lineRule="exact"/>
        <w:rPr>
          <w:sz w:val="20"/>
          <w:szCs w:val="20"/>
          <w:color w:val="auto"/>
        </w:rPr>
      </w:pPr>
    </w:p>
    <w:p>
      <w:pPr>
        <w:jc w:val="both"/>
        <w:ind w:left="300" w:right="1239" w:firstLine="251"/>
        <w:spacing w:after="0" w:line="285" w:lineRule="auto"/>
        <w:rPr>
          <w:sz w:val="20"/>
          <w:szCs w:val="20"/>
          <w:color w:val="auto"/>
        </w:rPr>
      </w:pPr>
      <w:r>
        <w:rPr>
          <w:rFonts w:ascii="Arial" w:cs="Arial" w:eastAsia="Arial" w:hAnsi="Arial"/>
          <w:sz w:val="15"/>
          <w:szCs w:val="15"/>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61" w:lineRule="exact"/>
        <w:rPr>
          <w:sz w:val="20"/>
          <w:szCs w:val="20"/>
          <w:color w:val="auto"/>
        </w:rPr>
      </w:pPr>
    </w:p>
    <w:p>
      <w:pPr>
        <w:jc w:val="both"/>
        <w:ind w:left="300" w:right="1239" w:firstLine="251"/>
        <w:spacing w:after="0" w:line="299" w:lineRule="auto"/>
        <w:rPr>
          <w:sz w:val="20"/>
          <w:szCs w:val="20"/>
          <w:color w:val="auto"/>
        </w:rPr>
      </w:pPr>
      <w:r>
        <w:rPr>
          <w:rFonts w:ascii="Arial" w:cs="Arial" w:eastAsia="Arial" w:hAnsi="Arial"/>
          <w:sz w:val="16"/>
          <w:szCs w:val="16"/>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200" w:lineRule="exact"/>
        <w:rPr>
          <w:sz w:val="20"/>
          <w:szCs w:val="20"/>
          <w:color w:val="auto"/>
        </w:rPr>
      </w:pPr>
    </w:p>
    <w:p>
      <w:pPr>
        <w:spacing w:after="0" w:line="25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1" w:name="page422"/>
    <w:bookmarkEnd w:id="4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0" w:lineRule="auto"/>
        <w:tabs>
          <w:tab w:leader="none" w:pos="845" w:val="left"/>
        </w:tabs>
        <w:numPr>
          <w:ilvl w:val="1"/>
          <w:numId w:val="377"/>
        </w:numPr>
        <w:rPr>
          <w:rFonts w:ascii="Arial" w:cs="Arial" w:eastAsia="Arial" w:hAnsi="Arial"/>
          <w:sz w:val="17"/>
          <w:szCs w:val="17"/>
          <w:color w:val="auto"/>
        </w:rPr>
      </w:pPr>
      <w:r>
        <w:rPr>
          <w:rFonts w:ascii="Arial" w:cs="Arial" w:eastAsia="Arial" w:hAnsi="Arial"/>
          <w:sz w:val="17"/>
          <w:szCs w:val="17"/>
          <w:u w:val="single" w:color="auto"/>
          <w:color w:val="auto"/>
        </w:rPr>
        <w:t>Recapitalization or Reorganization</w:t>
      </w:r>
      <w:r>
        <w:rPr>
          <w:rFonts w:ascii="Arial" w:cs="Arial" w:eastAsia="Arial" w:hAnsi="Arial"/>
          <w:sz w:val="17"/>
          <w:szCs w:val="17"/>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81" w:lineRule="exact"/>
        <w:rPr>
          <w:rFonts w:ascii="Arial" w:cs="Arial" w:eastAsia="Arial" w:hAnsi="Arial"/>
          <w:sz w:val="17"/>
          <w:szCs w:val="17"/>
          <w:color w:val="auto"/>
        </w:rPr>
      </w:pPr>
    </w:p>
    <w:p>
      <w:pPr>
        <w:ind w:left="840" w:hanging="292"/>
        <w:spacing w:after="0"/>
        <w:tabs>
          <w:tab w:leader="none" w:pos="840" w:val="left"/>
        </w:tabs>
        <w:numPr>
          <w:ilvl w:val="1"/>
          <w:numId w:val="377"/>
        </w:numPr>
        <w:rPr>
          <w:rFonts w:ascii="Arial" w:cs="Arial" w:eastAsia="Arial" w:hAnsi="Arial"/>
          <w:sz w:val="15"/>
          <w:szCs w:val="15"/>
          <w:color w:val="auto"/>
        </w:rPr>
      </w:pPr>
      <w:r>
        <w:rPr>
          <w:rFonts w:ascii="Arial" w:cs="Arial" w:eastAsia="Arial" w:hAnsi="Arial"/>
          <w:sz w:val="15"/>
          <w:szCs w:val="15"/>
          <w:u w:val="single" w:color="auto"/>
          <w:color w:val="auto"/>
        </w:rPr>
        <w:t>Adjustments to Stock-Based Awards</w:t>
      </w:r>
      <w:r>
        <w:rPr>
          <w:rFonts w:ascii="Arial" w:cs="Arial" w:eastAsia="Arial" w:hAnsi="Arial"/>
          <w:sz w:val="15"/>
          <w:szCs w:val="15"/>
          <w:color w:val="auto"/>
        </w:rPr>
        <w:t>. Upon the happening of any of the events described in Subparagraphs (a), (b) or</w:t>
      </w:r>
    </w:p>
    <w:p>
      <w:pPr>
        <w:spacing w:after="0" w:line="40" w:lineRule="exact"/>
        <w:rPr>
          <w:rFonts w:ascii="Arial" w:cs="Arial" w:eastAsia="Arial" w:hAnsi="Arial"/>
          <w:sz w:val="15"/>
          <w:szCs w:val="15"/>
          <w:color w:val="auto"/>
        </w:rPr>
      </w:pPr>
    </w:p>
    <w:p>
      <w:pPr>
        <w:jc w:val="both"/>
        <w:ind w:left="300" w:right="1239" w:hanging="2"/>
        <w:spacing w:after="0" w:line="248" w:lineRule="auto"/>
        <w:tabs>
          <w:tab w:leader="none" w:pos="576" w:val="left"/>
        </w:tabs>
        <w:numPr>
          <w:ilvl w:val="0"/>
          <w:numId w:val="378"/>
        </w:numPr>
        <w:rPr>
          <w:rFonts w:ascii="Arial" w:cs="Arial" w:eastAsia="Arial" w:hAnsi="Arial"/>
          <w:sz w:val="17"/>
          <w:szCs w:val="17"/>
          <w:color w:val="auto"/>
        </w:rPr>
      </w:pPr>
      <w:r>
        <w:rPr>
          <w:rFonts w:ascii="Arial" w:cs="Arial" w:eastAsia="Arial" w:hAnsi="Arial"/>
          <w:sz w:val="17"/>
          <w:szCs w:val="17"/>
          <w:color w:val="auto"/>
        </w:rPr>
        <w:t>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subject to Paragraph 4, its determination shall be conclusive.</w:t>
      </w:r>
    </w:p>
    <w:p>
      <w:pPr>
        <w:spacing w:after="0" w:line="81" w:lineRule="exact"/>
        <w:rPr>
          <w:rFonts w:ascii="Arial" w:cs="Arial" w:eastAsia="Arial" w:hAnsi="Arial"/>
          <w:sz w:val="17"/>
          <w:szCs w:val="17"/>
          <w:color w:val="auto"/>
        </w:rPr>
      </w:pPr>
    </w:p>
    <w:p>
      <w:pPr>
        <w:jc w:val="both"/>
        <w:ind w:left="300" w:right="1239" w:firstLine="248"/>
        <w:spacing w:after="0" w:line="265" w:lineRule="auto"/>
        <w:tabs>
          <w:tab w:leader="none" w:pos="819" w:val="left"/>
        </w:tabs>
        <w:numPr>
          <w:ilvl w:val="1"/>
          <w:numId w:val="378"/>
        </w:numPr>
        <w:rPr>
          <w:rFonts w:ascii="Arial" w:cs="Arial" w:eastAsia="Arial" w:hAnsi="Arial"/>
          <w:sz w:val="16"/>
          <w:szCs w:val="16"/>
          <w:color w:val="auto"/>
        </w:rPr>
      </w:pPr>
      <w:r>
        <w:rPr>
          <w:rFonts w:ascii="Arial" w:cs="Arial" w:eastAsia="Arial" w:hAnsi="Arial"/>
          <w:sz w:val="16"/>
          <w:szCs w:val="16"/>
          <w:u w:val="single" w:color="auto"/>
          <w:color w:val="auto"/>
        </w:rPr>
        <w:t>Modification of Options</w:t>
      </w:r>
      <w:r>
        <w:rPr>
          <w:rFonts w:ascii="Arial" w:cs="Arial" w:eastAsia="Arial" w:hAnsi="Arial"/>
          <w:sz w:val="16"/>
          <w:szCs w:val="16"/>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74" w:lineRule="exact"/>
        <w:rPr>
          <w:sz w:val="20"/>
          <w:szCs w:val="20"/>
          <w:color w:val="auto"/>
        </w:rPr>
      </w:pPr>
    </w:p>
    <w:p>
      <w:pPr>
        <w:ind w:left="600" w:hanging="302"/>
        <w:spacing w:after="0"/>
        <w:tabs>
          <w:tab w:leader="none" w:pos="600"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ISSUANCES OF SECURITIES.</w:t>
      </w:r>
    </w:p>
    <w:p>
      <w:pPr>
        <w:spacing w:after="0" w:line="105"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48" w:lineRule="exact"/>
        <w:rPr>
          <w:sz w:val="20"/>
          <w:szCs w:val="20"/>
          <w:color w:val="auto"/>
        </w:rPr>
      </w:pPr>
    </w:p>
    <w:p>
      <w:pPr>
        <w:ind w:left="600" w:hanging="302"/>
        <w:spacing w:after="0"/>
        <w:tabs>
          <w:tab w:leader="none" w:pos="600"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FRACTIONAL SHARES.</w:t>
      </w:r>
    </w:p>
    <w:p>
      <w:pPr>
        <w:spacing w:after="0" w:line="105"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No fractional shares shall be issued under the Plan and the person exercising a Stock Right shall receive from the Company cash in lieu of such fractional shares equal to the Fair Market Value thereof.</w:t>
      </w:r>
    </w:p>
    <w:p>
      <w:pPr>
        <w:spacing w:after="0" w:line="66" w:lineRule="exact"/>
        <w:rPr>
          <w:sz w:val="20"/>
          <w:szCs w:val="20"/>
          <w:color w:val="auto"/>
        </w:rPr>
      </w:pPr>
    </w:p>
    <w:p>
      <w:pPr>
        <w:ind w:left="600" w:hanging="302"/>
        <w:spacing w:after="0"/>
        <w:tabs>
          <w:tab w:leader="none" w:pos="600"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CONVERSION OF ISOs INTO NON-QUALIFIED OPTIONS; TERMINATION OF ISOs.</w:t>
      </w:r>
    </w:p>
    <w:p>
      <w:pPr>
        <w:spacing w:after="0" w:line="105"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61" w:lineRule="exact"/>
        <w:rPr>
          <w:sz w:val="20"/>
          <w:szCs w:val="20"/>
          <w:color w:val="auto"/>
        </w:rPr>
      </w:pPr>
    </w:p>
    <w:p>
      <w:pPr>
        <w:ind w:left="600" w:hanging="302"/>
        <w:spacing w:after="0"/>
        <w:tabs>
          <w:tab w:leader="none" w:pos="600"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WITHHOLDING.</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22" w:name="page423"/>
    <w:bookmarkEnd w:id="4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5" w:lineRule="auto"/>
        <w:rPr>
          <w:sz w:val="20"/>
          <w:szCs w:val="20"/>
          <w:color w:val="auto"/>
        </w:rPr>
      </w:pPr>
      <w:r>
        <w:rPr>
          <w:rFonts w:ascii="Arial" w:cs="Arial" w:eastAsia="Arial" w:hAnsi="Arial"/>
          <w:sz w:val="16"/>
          <w:szCs w:val="16"/>
          <w:color w:val="auto"/>
        </w:rPr>
        <w:t>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74" w:lineRule="exact"/>
        <w:rPr>
          <w:sz w:val="20"/>
          <w:szCs w:val="20"/>
          <w:color w:val="auto"/>
        </w:rPr>
      </w:pPr>
    </w:p>
    <w:p>
      <w:pPr>
        <w:ind w:left="600" w:hanging="302"/>
        <w:spacing w:after="0"/>
        <w:tabs>
          <w:tab w:leader="none" w:pos="600"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NOTICE TO COMPANY OF DISQUALIFYING DISPOSITION.</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66" w:lineRule="exact"/>
        <w:rPr>
          <w:sz w:val="20"/>
          <w:szCs w:val="20"/>
          <w:color w:val="auto"/>
        </w:rPr>
      </w:pPr>
    </w:p>
    <w:p>
      <w:pPr>
        <w:ind w:left="600" w:hanging="302"/>
        <w:spacing w:after="0"/>
        <w:tabs>
          <w:tab w:leader="none" w:pos="600"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TERMINATION OF THE PLAN.</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The Plan will terminate on the date which is ten years from the </w:t>
      </w:r>
      <w:r>
        <w:rPr>
          <w:rFonts w:ascii="Arial" w:cs="Arial" w:eastAsia="Arial" w:hAnsi="Arial"/>
          <w:sz w:val="17"/>
          <w:szCs w:val="17"/>
          <w:u w:val="single" w:color="auto"/>
          <w:color w:val="auto"/>
        </w:rPr>
        <w:t>earlier</w:t>
      </w:r>
      <w:r>
        <w:rPr>
          <w:rFonts w:ascii="Arial" w:cs="Arial" w:eastAsia="Arial" w:hAnsi="Arial"/>
          <w:sz w:val="17"/>
          <w:szCs w:val="17"/>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80" w:lineRule="exact"/>
        <w:rPr>
          <w:sz w:val="20"/>
          <w:szCs w:val="20"/>
          <w:color w:val="auto"/>
        </w:rPr>
      </w:pPr>
    </w:p>
    <w:p>
      <w:pPr>
        <w:ind w:left="600" w:hanging="302"/>
        <w:spacing w:after="0"/>
        <w:tabs>
          <w:tab w:leader="none" w:pos="600"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AMENDMENT OF THE PLAN AND AGREEMENTS.</w:t>
      </w:r>
    </w:p>
    <w:p>
      <w:pPr>
        <w:spacing w:after="0" w:line="105"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200" w:lineRule="exact"/>
        <w:rPr>
          <w:sz w:val="20"/>
          <w:szCs w:val="20"/>
          <w:color w:val="auto"/>
        </w:rPr>
      </w:pPr>
    </w:p>
    <w:p>
      <w:pPr>
        <w:spacing w:after="0" w:line="27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23" w:name="page424"/>
    <w:bookmarkEnd w:id="4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600" w:hanging="302"/>
        <w:spacing w:after="0"/>
        <w:tabs>
          <w:tab w:leader="none" w:pos="600"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EMPLOYMENT OR OTHER RELATIONSHIP.</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78" w:lineRule="exact"/>
        <w:rPr>
          <w:sz w:val="20"/>
          <w:szCs w:val="20"/>
          <w:color w:val="auto"/>
        </w:rPr>
      </w:pPr>
    </w:p>
    <w:p>
      <w:pPr>
        <w:ind w:left="600" w:hanging="302"/>
        <w:spacing w:after="0"/>
        <w:tabs>
          <w:tab w:leader="none" w:pos="600" w:val="left"/>
        </w:tabs>
        <w:numPr>
          <w:ilvl w:val="0"/>
          <w:numId w:val="387"/>
        </w:numPr>
        <w:rPr>
          <w:rFonts w:ascii="Arial" w:cs="Arial" w:eastAsia="Arial" w:hAnsi="Arial"/>
          <w:sz w:val="17"/>
          <w:szCs w:val="17"/>
          <w:color w:val="auto"/>
        </w:rPr>
      </w:pPr>
      <w:r>
        <w:rPr>
          <w:rFonts w:ascii="Arial" w:cs="Arial" w:eastAsia="Arial" w:hAnsi="Arial"/>
          <w:sz w:val="17"/>
          <w:szCs w:val="17"/>
          <w:u w:val="single" w:color="auto"/>
          <w:color w:val="auto"/>
        </w:rPr>
        <w:t>GOVERNING LAW.</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This Plan shall be construed and enforced in accordance with the law of the State of Delaware.</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4" w:name="page425"/>
    <w:bookmarkEnd w:id="4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2012 EMPLOYEE, DIRECTOR AND CONSULTANT EQUITY INCENTIVE PLAN</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APPENDIX A — ISRAEL</w:t>
      </w:r>
    </w:p>
    <w:p>
      <w:pPr>
        <w:spacing w:after="0" w:line="93" w:lineRule="exact"/>
        <w:rPr>
          <w:sz w:val="20"/>
          <w:szCs w:val="20"/>
          <w:color w:val="auto"/>
        </w:rPr>
      </w:pPr>
    </w:p>
    <w:p>
      <w:pPr>
        <w:ind w:left="260" w:hanging="250"/>
        <w:spacing w:after="0"/>
        <w:tabs>
          <w:tab w:leader="none" w:pos="2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NAME AND EFFECTIVE DATE</w:t>
      </w:r>
    </w:p>
    <w:p>
      <w:pPr>
        <w:spacing w:after="0" w:line="101" w:lineRule="exact"/>
        <w:rPr>
          <w:rFonts w:ascii="Arial" w:cs="Arial" w:eastAsia="Arial" w:hAnsi="Arial"/>
          <w:sz w:val="17"/>
          <w:szCs w:val="17"/>
          <w:color w:val="auto"/>
        </w:rPr>
      </w:pPr>
    </w:p>
    <w:p>
      <w:pPr>
        <w:ind w:left="580" w:right="1239" w:hanging="313"/>
        <w:spacing w:after="0" w:line="259" w:lineRule="auto"/>
        <w:rPr>
          <w:rFonts w:ascii="Arial" w:cs="Arial" w:eastAsia="Arial" w:hAnsi="Arial"/>
          <w:sz w:val="17"/>
          <w:szCs w:val="17"/>
          <w:color w:val="auto"/>
        </w:rPr>
      </w:pPr>
      <w:r>
        <w:rPr>
          <w:rFonts w:ascii="Arial" w:cs="Arial" w:eastAsia="Arial" w:hAnsi="Arial"/>
          <w:sz w:val="17"/>
          <w:szCs w:val="17"/>
          <w:color w:val="auto"/>
        </w:rPr>
        <w:t>1.1 This Appendix A (the “</w:t>
      </w:r>
      <w:r>
        <w:rPr>
          <w:rFonts w:ascii="Arial" w:cs="Arial" w:eastAsia="Arial" w:hAnsi="Arial"/>
          <w:sz w:val="17"/>
          <w:szCs w:val="17"/>
          <w:b w:val="1"/>
          <w:bCs w:val="1"/>
          <w:color w:val="auto"/>
        </w:rPr>
        <w:t>Appendix</w:t>
      </w:r>
      <w:r>
        <w:rPr>
          <w:rFonts w:ascii="Arial" w:cs="Arial" w:eastAsia="Arial" w:hAnsi="Arial"/>
          <w:sz w:val="17"/>
          <w:szCs w:val="17"/>
          <w:color w:val="auto"/>
        </w:rPr>
        <w:t>”) to the Vringo, Inc. 2012 Employee, Director and Consultant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shall apply only to individuals who are granted Options who are residents of the State of Israel for tax purposes, or are otherwise subject to taxation in Israel with respect to Options.</w:t>
      </w:r>
    </w:p>
    <w:p>
      <w:pPr>
        <w:spacing w:after="0" w:line="72"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1.2 This Appendix shall be effective as of _____________ 2012.</w:t>
      </w:r>
    </w:p>
    <w:p>
      <w:pPr>
        <w:spacing w:after="0" w:line="105" w:lineRule="exact"/>
        <w:rPr>
          <w:rFonts w:ascii="Arial" w:cs="Arial" w:eastAsia="Arial" w:hAnsi="Arial"/>
          <w:sz w:val="17"/>
          <w:szCs w:val="17"/>
          <w:color w:val="auto"/>
        </w:rPr>
      </w:pPr>
    </w:p>
    <w:p>
      <w:pPr>
        <w:ind w:left="260" w:hanging="250"/>
        <w:spacing w:after="0"/>
        <w:tabs>
          <w:tab w:leader="none" w:pos="2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PURPOSE</w:t>
      </w:r>
    </w:p>
    <w:p>
      <w:pPr>
        <w:spacing w:after="0" w:line="105" w:lineRule="exact"/>
        <w:rPr>
          <w:rFonts w:ascii="Arial" w:cs="Arial" w:eastAsia="Arial" w:hAnsi="Arial"/>
          <w:sz w:val="17"/>
          <w:szCs w:val="17"/>
          <w:color w:val="auto"/>
        </w:rPr>
      </w:pPr>
    </w:p>
    <w:p>
      <w:pPr>
        <w:ind w:left="580" w:right="1239" w:hanging="313"/>
        <w:spacing w:after="0" w:line="253" w:lineRule="auto"/>
        <w:rPr>
          <w:rFonts w:ascii="Arial" w:cs="Arial" w:eastAsia="Arial" w:hAnsi="Arial"/>
          <w:sz w:val="17"/>
          <w:szCs w:val="17"/>
          <w:color w:val="auto"/>
        </w:rPr>
      </w:pPr>
      <w:r>
        <w:rPr>
          <w:rFonts w:ascii="Arial" w:cs="Arial" w:eastAsia="Arial" w:hAnsi="Arial"/>
          <w:sz w:val="17"/>
          <w:szCs w:val="17"/>
          <w:color w:val="auto"/>
        </w:rPr>
        <w:t>2.1 This Appendix applies to Options granted to Israeli Participants under the Plan and such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7"/>
          <w:szCs w:val="17"/>
          <w:b w:val="1"/>
          <w:bCs w:val="1"/>
          <w:color w:val="auto"/>
        </w:rPr>
        <w:t>102 Options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580" w:right="1239" w:hanging="313"/>
        <w:spacing w:after="0" w:line="253" w:lineRule="auto"/>
        <w:rPr>
          <w:rFonts w:ascii="Arial" w:cs="Arial" w:eastAsia="Arial" w:hAnsi="Arial"/>
          <w:sz w:val="17"/>
          <w:szCs w:val="17"/>
          <w:color w:val="auto"/>
        </w:rPr>
      </w:pPr>
      <w:r>
        <w:rPr>
          <w:rFonts w:ascii="Arial" w:cs="Arial" w:eastAsia="Arial" w:hAnsi="Arial"/>
          <w:sz w:val="17"/>
          <w:szCs w:val="17"/>
          <w:color w:val="auto"/>
        </w:rPr>
        <w:t>2.2 The purpose of this Appendix is to establish certain rules and limitations applicable to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77" w:lineRule="exact"/>
        <w:rPr>
          <w:rFonts w:ascii="Arial" w:cs="Arial" w:eastAsia="Arial" w:hAnsi="Arial"/>
          <w:sz w:val="17"/>
          <w:szCs w:val="17"/>
          <w:color w:val="auto"/>
        </w:rPr>
      </w:pPr>
    </w:p>
    <w:p>
      <w:pPr>
        <w:ind w:left="260" w:hanging="250"/>
        <w:spacing w:after="0"/>
        <w:tabs>
          <w:tab w:leader="none" w:pos="2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DEFINITIONS</w:t>
      </w:r>
    </w:p>
    <w:p>
      <w:pPr>
        <w:spacing w:after="0" w:line="105"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7"/>
          <w:szCs w:val="17"/>
          <w:color w:val="auto"/>
        </w:rPr>
        <w:t>3.1 Capitalized Terms not otherwise defined herein shall have the meanings assigned in the Plan. The following additional terms will apply to grants made pursuant to this Appendix:</w:t>
      </w:r>
    </w:p>
    <w:p>
      <w:pPr>
        <w:spacing w:after="0" w:line="62" w:lineRule="exact"/>
        <w:rPr>
          <w:sz w:val="20"/>
          <w:szCs w:val="20"/>
          <w:color w:val="auto"/>
        </w:rPr>
      </w:pPr>
    </w:p>
    <w:p>
      <w:pPr>
        <w:ind w:left="580" w:right="123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3(i) Option</w:t>
      </w:r>
      <w:r>
        <w:rPr>
          <w:rFonts w:ascii="Arial" w:cs="Arial" w:eastAsia="Arial" w:hAnsi="Arial"/>
          <w:sz w:val="17"/>
          <w:szCs w:val="17"/>
          <w:color w:val="auto"/>
        </w:rPr>
        <w:t>” means an Option granted under the terms of Section 3(i) of the Ordinance to persons which do not qualify as “employees” under the provisions of Section 102.</w:t>
      </w:r>
    </w:p>
    <w:p>
      <w:pPr>
        <w:spacing w:after="0" w:line="58" w:lineRule="exact"/>
        <w:rPr>
          <w:sz w:val="20"/>
          <w:szCs w:val="20"/>
          <w:color w:val="auto"/>
        </w:rPr>
      </w:pPr>
    </w:p>
    <w:p>
      <w:pPr>
        <w:jc w:val="both"/>
        <w:ind w:left="580" w:right="123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102(b) Track Election</w:t>
      </w:r>
      <w:r>
        <w:rPr>
          <w:rFonts w:ascii="Arial" w:cs="Arial" w:eastAsia="Arial" w:hAnsi="Arial"/>
          <w:sz w:val="17"/>
          <w:szCs w:val="17"/>
          <w:color w:val="auto"/>
        </w:rPr>
        <w:t>” means the right of the Company to prefer either the “Capital Track” (as set under Section 102(b) (2)), or the “Ordinary Income Track” (as set under Section 102(b)(1)), but subject to the provisions of Section 102(g) of the Ordinance.</w:t>
      </w:r>
    </w:p>
    <w:p>
      <w:pPr>
        <w:spacing w:after="0" w:line="69" w:lineRule="exact"/>
        <w:rPr>
          <w:sz w:val="20"/>
          <w:szCs w:val="20"/>
          <w:color w:val="auto"/>
        </w:rPr>
      </w:pPr>
    </w:p>
    <w:p>
      <w:pPr>
        <w:ind w:left="580" w:right="123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102(b) Option</w:t>
      </w:r>
      <w:r>
        <w:rPr>
          <w:rFonts w:ascii="Arial" w:cs="Arial" w:eastAsia="Arial" w:hAnsi="Arial"/>
          <w:sz w:val="17"/>
          <w:szCs w:val="17"/>
          <w:color w:val="auto"/>
        </w:rPr>
        <w:t>” means an Option intended to qualify, under the provisions of Section 102(b) of the Ordinance (including the Section 102(b) Choice of Track), as either:</w:t>
      </w:r>
    </w:p>
    <w:p>
      <w:pPr>
        <w:spacing w:after="0" w:line="58" w:lineRule="exact"/>
        <w:rPr>
          <w:sz w:val="20"/>
          <w:szCs w:val="20"/>
          <w:color w:val="auto"/>
        </w:rPr>
      </w:pPr>
    </w:p>
    <w:p>
      <w:pPr>
        <w:ind w:left="1020" w:hanging="259"/>
        <w:spacing w:after="0"/>
        <w:tabs>
          <w:tab w:leader="none" w:pos="10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102(b)(2) Option</w:t>
      </w:r>
      <w:r>
        <w:rPr>
          <w:rFonts w:ascii="Arial" w:cs="Arial" w:eastAsia="Arial" w:hAnsi="Arial"/>
          <w:sz w:val="17"/>
          <w:szCs w:val="17"/>
          <w:color w:val="auto"/>
        </w:rPr>
        <w:t>” for the special tax treatments under the “Capital Track”, or</w:t>
      </w:r>
    </w:p>
    <w:p>
      <w:pPr>
        <w:spacing w:after="0" w:line="105" w:lineRule="exact"/>
        <w:rPr>
          <w:rFonts w:ascii="Arial" w:cs="Arial" w:eastAsia="Arial" w:hAnsi="Arial"/>
          <w:sz w:val="17"/>
          <w:szCs w:val="17"/>
          <w:color w:val="auto"/>
        </w:rPr>
      </w:pPr>
    </w:p>
    <w:p>
      <w:pPr>
        <w:ind w:left="1020" w:hanging="259"/>
        <w:spacing w:after="0"/>
        <w:tabs>
          <w:tab w:leader="none" w:pos="10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102(b)(1) Option</w:t>
      </w:r>
      <w:r>
        <w:rPr>
          <w:rFonts w:ascii="Arial" w:cs="Arial" w:eastAsia="Arial" w:hAnsi="Arial"/>
          <w:sz w:val="17"/>
          <w:szCs w:val="17"/>
          <w:color w:val="auto"/>
        </w:rPr>
        <w:t>” for the special tax treatments under the “Ordinary Income Track”.</w:t>
      </w:r>
    </w:p>
    <w:p>
      <w:pPr>
        <w:spacing w:after="0" w:line="105" w:lineRule="exact"/>
        <w:rPr>
          <w:sz w:val="20"/>
          <w:szCs w:val="20"/>
          <w:color w:val="auto"/>
        </w:rPr>
      </w:pPr>
    </w:p>
    <w:p>
      <w:pPr>
        <w:jc w:val="both"/>
        <w:ind w:left="540" w:right="123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75" w:lineRule="exact"/>
        <w:rPr>
          <w:sz w:val="20"/>
          <w:szCs w:val="20"/>
          <w:color w:val="auto"/>
        </w:rPr>
      </w:pPr>
    </w:p>
    <w:p>
      <w:pPr>
        <w:jc w:val="both"/>
        <w:ind w:left="540" w:right="123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Controlling Person</w:t>
      </w:r>
      <w:r>
        <w:rPr>
          <w:rFonts w:ascii="Arial" w:cs="Arial" w:eastAsia="Arial" w:hAnsi="Arial"/>
          <w:sz w:val="17"/>
          <w:szCs w:val="17"/>
          <w:color w:val="auto"/>
        </w:rPr>
        <w:t>” shall have the meaning ascribed to such definition under Section 102 of the Ordinance, as may be amended from time to time.</w:t>
      </w:r>
    </w:p>
    <w:p>
      <w:pPr>
        <w:spacing w:after="0" w:line="58" w:lineRule="exact"/>
        <w:rPr>
          <w:sz w:val="20"/>
          <w:szCs w:val="20"/>
          <w:color w:val="auto"/>
        </w:rPr>
      </w:pPr>
    </w:p>
    <w:p>
      <w:pPr>
        <w:jc w:val="both"/>
        <w:ind w:left="540" w:right="123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or “</w:t>
      </w:r>
      <w:r>
        <w:rPr>
          <w:rFonts w:ascii="Arial" w:cs="Arial" w:eastAsia="Arial" w:hAnsi="Arial"/>
          <w:sz w:val="17"/>
          <w:szCs w:val="17"/>
          <w:b w:val="1"/>
          <w:bCs w:val="1"/>
          <w:color w:val="auto"/>
        </w:rPr>
        <w:t>employee</w:t>
      </w:r>
      <w:r>
        <w:rPr>
          <w:rFonts w:ascii="Arial" w:cs="Arial" w:eastAsia="Arial" w:hAnsi="Arial"/>
          <w:sz w:val="17"/>
          <w:szCs w:val="17"/>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69" w:lineRule="exact"/>
        <w:rPr>
          <w:sz w:val="20"/>
          <w:szCs w:val="20"/>
          <w:color w:val="auto"/>
        </w:rPr>
      </w:pPr>
    </w:p>
    <w:p>
      <w:pPr>
        <w:jc w:val="both"/>
        <w:ind w:left="540" w:right="123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102(b)(2) Option,</w:t>
      </w:r>
    </w:p>
    <w:p>
      <w:pPr>
        <w:spacing w:after="0" w:line="200" w:lineRule="exact"/>
        <w:rPr>
          <w:sz w:val="20"/>
          <w:szCs w:val="20"/>
          <w:color w:val="auto"/>
        </w:rPr>
      </w:pPr>
    </w:p>
    <w:p>
      <w:pPr>
        <w:spacing w:after="0" w:line="29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5" w:name="page426"/>
    <w:bookmarkEnd w:id="4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307" w:lineRule="auto"/>
        <w:rPr>
          <w:sz w:val="20"/>
          <w:szCs w:val="20"/>
          <w:color w:val="auto"/>
        </w:rPr>
      </w:pPr>
      <w:r>
        <w:rPr>
          <w:rFonts w:ascii="Arial" w:cs="Arial" w:eastAsia="Arial" w:hAnsi="Arial"/>
          <w:sz w:val="15"/>
          <w:szCs w:val="15"/>
          <w:color w:val="auto"/>
        </w:rPr>
        <w:t>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In all other cases Fair Market Value shall be as defined in the Plan.</w:t>
      </w:r>
    </w:p>
    <w:p>
      <w:pPr>
        <w:spacing w:after="0" w:line="36" w:lineRule="exact"/>
        <w:rPr>
          <w:sz w:val="20"/>
          <w:szCs w:val="20"/>
          <w:color w:val="auto"/>
        </w:rPr>
      </w:pPr>
    </w:p>
    <w:p>
      <w:pPr>
        <w:jc w:val="both"/>
        <w:ind w:left="540" w:right="123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Ordinance”</w:t>
      </w:r>
      <w:r>
        <w:rPr>
          <w:rFonts w:ascii="Arial" w:cs="Arial" w:eastAsia="Arial" w:hAnsi="Arial"/>
          <w:sz w:val="17"/>
          <w:szCs w:val="17"/>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69" w:lineRule="exact"/>
        <w:rPr>
          <w:sz w:val="20"/>
          <w:szCs w:val="20"/>
          <w:color w:val="auto"/>
        </w:rPr>
      </w:pPr>
    </w:p>
    <w:p>
      <w:pPr>
        <w:jc w:val="both"/>
        <w:ind w:left="540" w:right="123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Rights</w:t>
      </w:r>
      <w:r>
        <w:rPr>
          <w:rFonts w:ascii="Arial" w:cs="Arial" w:eastAsia="Arial" w:hAnsi="Arial"/>
          <w:sz w:val="17"/>
          <w:szCs w:val="17"/>
          <w:color w:val="auto"/>
        </w:rPr>
        <w:t>” means rights issued or distributed in respect of Shares issued pursuant to exercise of Options under the Appendix, including bonus shares but excluding cash dividends.</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Rules”</w:t>
      </w:r>
      <w:r>
        <w:rPr>
          <w:rFonts w:ascii="Arial" w:cs="Arial" w:eastAsia="Arial" w:hAnsi="Arial"/>
          <w:sz w:val="17"/>
          <w:szCs w:val="17"/>
          <w:color w:val="auto"/>
        </w:rPr>
        <w:t xml:space="preserve"> means the Income Tax Rules (Tax Benefits in Share Issuances to Employees) 5763-2003.</w:t>
      </w:r>
    </w:p>
    <w:p>
      <w:pPr>
        <w:spacing w:after="0" w:line="105" w:lineRule="exact"/>
        <w:rPr>
          <w:sz w:val="20"/>
          <w:szCs w:val="20"/>
          <w:color w:val="auto"/>
        </w:rPr>
      </w:pPr>
    </w:p>
    <w:p>
      <w:pPr>
        <w:jc w:val="both"/>
        <w:ind w:left="540" w:right="123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Unapproved 102 Options</w:t>
      </w:r>
      <w:r>
        <w:rPr>
          <w:rFonts w:ascii="Arial" w:cs="Arial" w:eastAsia="Arial" w:hAnsi="Arial"/>
          <w:sz w:val="17"/>
          <w:szCs w:val="17"/>
          <w:color w:val="auto"/>
        </w:rPr>
        <w:t>” means 102 Options granted pursuant to Section 102(c) of the Ordinance and not held in trust by a Trustee.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4.  DESIGNATION OF PARTICIPANTS</w:t>
      </w:r>
    </w:p>
    <w:p>
      <w:pPr>
        <w:spacing w:after="0" w:line="105" w:lineRule="exact"/>
        <w:rPr>
          <w:sz w:val="20"/>
          <w:szCs w:val="20"/>
          <w:color w:val="auto"/>
        </w:rPr>
      </w:pPr>
    </w:p>
    <w:p>
      <w:pPr>
        <w:jc w:val="both"/>
        <w:ind w:left="300" w:right="1239"/>
        <w:spacing w:after="0" w:line="249" w:lineRule="auto"/>
        <w:rPr>
          <w:sz w:val="20"/>
          <w:szCs w:val="20"/>
          <w:color w:val="auto"/>
        </w:rPr>
      </w:pPr>
      <w:r>
        <w:rPr>
          <w:rFonts w:ascii="Arial" w:cs="Arial" w:eastAsia="Arial" w:hAnsi="Arial"/>
          <w:sz w:val="17"/>
          <w:szCs w:val="17"/>
          <w:color w:val="auto"/>
        </w:rPr>
        <w:t>The persons eligible for participation under the Appendix as recipients of Options shall include any Employees (including officers), directors and consultants of the Company or of any Affiliate of the Company who are residents of the State of Israel or those who are deemed to be residents of the State of Israel for the payment of tax. The grant of an Option hereunder shall neither entitle the recipient thereof to participate nor disqualify him from participating in, any other grant of Options pursuant to the Appendix, the Plan or any other equity plan of the Company or any of its Affiliates. Notwithstanding the foregoing, no 102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82" w:lineRule="exact"/>
        <w:rPr>
          <w:sz w:val="20"/>
          <w:szCs w:val="20"/>
          <w:color w:val="auto"/>
        </w:rPr>
      </w:pPr>
    </w:p>
    <w:p>
      <w:pPr>
        <w:ind w:left="260" w:hanging="250"/>
        <w:spacing w:after="0"/>
        <w:tabs>
          <w:tab w:leader="none" w:pos="2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DESIGNATION OF OPTIONS PURSUANT TO SECTION 102</w:t>
      </w:r>
    </w:p>
    <w:p>
      <w:pPr>
        <w:spacing w:after="0" w:line="105"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7"/>
          <w:szCs w:val="17"/>
          <w:color w:val="auto"/>
        </w:rPr>
        <w:t>5.1 The Company may designate Options granted to Employees pursuant to Section 102 of the Ordinance as Unapproved 102 Options or 102(b) Options.</w:t>
      </w:r>
    </w:p>
    <w:p>
      <w:pPr>
        <w:spacing w:after="0" w:line="66"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7"/>
          <w:szCs w:val="17"/>
          <w:color w:val="auto"/>
        </w:rPr>
        <w:t>5.2 The grant of 102(b) Options shall be made under this Appendix and shall be conditioned upon the approval of this Appendix by the Israeli Tax Authorities (the “</w:t>
      </w:r>
      <w:r>
        <w:rPr>
          <w:rFonts w:ascii="Arial" w:cs="Arial" w:eastAsia="Arial" w:hAnsi="Arial"/>
          <w:sz w:val="17"/>
          <w:szCs w:val="17"/>
          <w:b w:val="1"/>
          <w:bCs w:val="1"/>
          <w:color w:val="auto"/>
        </w:rPr>
        <w:t>ITA</w:t>
      </w:r>
      <w:r>
        <w:rPr>
          <w:rFonts w:ascii="Arial" w:cs="Arial" w:eastAsia="Arial" w:hAnsi="Arial"/>
          <w:sz w:val="17"/>
          <w:szCs w:val="17"/>
          <w:color w:val="auto"/>
        </w:rPr>
        <w:t>”).</w:t>
      </w:r>
    </w:p>
    <w:p>
      <w:pPr>
        <w:spacing w:after="0" w:line="66"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7"/>
          <w:szCs w:val="17"/>
          <w:color w:val="auto"/>
        </w:rPr>
        <w:t>5.3 102(b) Options may either be classified as 102(b)(2) Options under the capital gain tax Track or 102(b)(1) Options under the Ordinary Income Track.</w:t>
      </w:r>
    </w:p>
    <w:p>
      <w:pPr>
        <w:spacing w:after="0" w:line="66" w:lineRule="exact"/>
        <w:rPr>
          <w:rFonts w:ascii="Arial" w:cs="Arial" w:eastAsia="Arial" w:hAnsi="Arial"/>
          <w:sz w:val="17"/>
          <w:szCs w:val="17"/>
          <w:color w:val="auto"/>
        </w:rPr>
      </w:pPr>
    </w:p>
    <w:p>
      <w:pPr>
        <w:ind w:left="580" w:right="1239" w:hanging="313"/>
        <w:spacing w:after="0" w:line="266" w:lineRule="auto"/>
        <w:rPr>
          <w:rFonts w:ascii="Arial" w:cs="Arial" w:eastAsia="Arial" w:hAnsi="Arial"/>
          <w:sz w:val="17"/>
          <w:szCs w:val="17"/>
          <w:color w:val="auto"/>
        </w:rPr>
      </w:pPr>
      <w:r>
        <w:rPr>
          <w:rFonts w:ascii="Arial" w:cs="Arial" w:eastAsia="Arial" w:hAnsi="Arial"/>
          <w:sz w:val="16"/>
          <w:szCs w:val="16"/>
          <w:color w:val="auto"/>
        </w:rPr>
        <w:t>5.4 The Company’s election of the type of 102(b) Options as 102(b)(2) Options or 102(b)(1) Options granted to Employees (the “</w:t>
      </w:r>
      <w:r>
        <w:rPr>
          <w:rFonts w:ascii="Arial" w:cs="Arial" w:eastAsia="Arial" w:hAnsi="Arial"/>
          <w:sz w:val="16"/>
          <w:szCs w:val="16"/>
          <w:b w:val="1"/>
          <w:bCs w:val="1"/>
          <w:color w:val="auto"/>
        </w:rPr>
        <w:t>Election</w:t>
      </w:r>
      <w:r>
        <w:rPr>
          <w:rFonts w:ascii="Arial" w:cs="Arial" w:eastAsia="Arial" w:hAnsi="Arial"/>
          <w:sz w:val="16"/>
          <w:szCs w:val="16"/>
          <w:color w:val="auto"/>
        </w:rPr>
        <w:t>”), shall be appropriately filed with the ITA before the date of grant of 102(b) Options. Such Election shall become effective beginning the first date of grant of 102(b) Option under this Appendix and shall remain in effect at least until the end of the year following the year during which the Company first granted 102(b) Options or such other period as shall be determined from time to time under Section 102 of the Ordinance and the Rules, regulation and orders promulgated thereunder. The Election shall obligate the Company to grant only the type of 102(b)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Options simultaneously.</w:t>
      </w:r>
    </w:p>
    <w:p>
      <w:pPr>
        <w:spacing w:after="0" w:line="69"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5.5 All 102(b) Options must be held in trust by a Trustee, as described in Section 6 below.</w:t>
      </w:r>
    </w:p>
    <w:p>
      <w:pPr>
        <w:spacing w:after="0" w:line="105" w:lineRule="exact"/>
        <w:rPr>
          <w:rFonts w:ascii="Arial" w:cs="Arial" w:eastAsia="Arial" w:hAnsi="Arial"/>
          <w:sz w:val="17"/>
          <w:szCs w:val="17"/>
          <w:color w:val="auto"/>
        </w:rPr>
      </w:pPr>
    </w:p>
    <w:p>
      <w:pPr>
        <w:ind w:left="580" w:right="1239" w:hanging="313"/>
        <w:spacing w:after="0" w:line="335" w:lineRule="auto"/>
        <w:rPr>
          <w:rFonts w:ascii="Arial" w:cs="Arial" w:eastAsia="Arial" w:hAnsi="Arial"/>
          <w:sz w:val="17"/>
          <w:szCs w:val="17"/>
          <w:color w:val="auto"/>
        </w:rPr>
      </w:pPr>
      <w:r>
        <w:rPr>
          <w:rFonts w:ascii="Arial" w:cs="Arial" w:eastAsia="Arial" w:hAnsi="Arial"/>
          <w:sz w:val="15"/>
          <w:szCs w:val="15"/>
          <w:color w:val="auto"/>
        </w:rPr>
        <w:t>5.6 For the avoidance of doubt, the designation of Unapproved 102 Options and 102(b) Options shall be subject to the terms and conditions set forth in Section 102 of the Ordinance and Rules, regulations and orders promulgated thereunder.</w:t>
      </w:r>
    </w:p>
    <w:p>
      <w:pPr>
        <w:spacing w:after="0" w:line="19" w:lineRule="exact"/>
        <w:rPr>
          <w:rFonts w:ascii="Arial" w:cs="Arial" w:eastAsia="Arial" w:hAnsi="Arial"/>
          <w:sz w:val="17"/>
          <w:szCs w:val="17"/>
          <w:color w:val="auto"/>
        </w:rPr>
      </w:pPr>
    </w:p>
    <w:p>
      <w:pPr>
        <w:ind w:left="580" w:right="1239" w:hanging="313"/>
        <w:spacing w:after="0" w:line="256" w:lineRule="auto"/>
        <w:rPr>
          <w:rFonts w:ascii="Arial" w:cs="Arial" w:eastAsia="Arial" w:hAnsi="Arial"/>
          <w:sz w:val="17"/>
          <w:szCs w:val="17"/>
          <w:color w:val="auto"/>
        </w:rPr>
      </w:pPr>
      <w:r>
        <w:rPr>
          <w:rFonts w:ascii="Arial" w:cs="Arial" w:eastAsia="Arial" w:hAnsi="Arial"/>
          <w:sz w:val="17"/>
          <w:szCs w:val="17"/>
          <w:color w:val="auto"/>
        </w:rPr>
        <w:t>5.7 With regards to 102(b) Options, the provisions of the Appendix and/or the Option Agreement shall be subject to the provisions of Section 102 of the Ordinance and the Tax Assessing Officer’s permit, and the said provisions and permit shall be deemed an integral part of the Plan, the</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6" w:name="page427"/>
    <w:bookmarkEnd w:id="4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80" w:right="1239"/>
        <w:spacing w:after="0" w:line="253" w:lineRule="auto"/>
        <w:rPr>
          <w:sz w:val="20"/>
          <w:szCs w:val="20"/>
          <w:color w:val="auto"/>
        </w:rPr>
      </w:pPr>
      <w:r>
        <w:rPr>
          <w:rFonts w:ascii="Arial" w:cs="Arial" w:eastAsia="Arial" w:hAnsi="Arial"/>
          <w:sz w:val="17"/>
          <w:szCs w:val="17"/>
          <w:color w:val="auto"/>
        </w:rPr>
        <w:t>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78" w:lineRule="exact"/>
        <w:rPr>
          <w:sz w:val="20"/>
          <w:szCs w:val="20"/>
          <w:color w:val="auto"/>
        </w:rPr>
      </w:pPr>
    </w:p>
    <w:p>
      <w:pPr>
        <w:ind w:left="260" w:hanging="213"/>
        <w:spacing w:after="0"/>
        <w:tabs>
          <w:tab w:leader="none" w:pos="26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TRUSTEE</w:t>
      </w:r>
    </w:p>
    <w:p>
      <w:pPr>
        <w:spacing w:after="0" w:line="105" w:lineRule="exact"/>
        <w:rPr>
          <w:rFonts w:ascii="Arial" w:cs="Arial" w:eastAsia="Arial" w:hAnsi="Arial"/>
          <w:sz w:val="17"/>
          <w:szCs w:val="17"/>
          <w:color w:val="auto"/>
        </w:rPr>
      </w:pPr>
    </w:p>
    <w:p>
      <w:pPr>
        <w:ind w:left="580" w:right="1239" w:hanging="313"/>
        <w:spacing w:after="0" w:line="282" w:lineRule="auto"/>
        <w:rPr>
          <w:rFonts w:ascii="Arial" w:cs="Arial" w:eastAsia="Arial" w:hAnsi="Arial"/>
          <w:sz w:val="17"/>
          <w:szCs w:val="17"/>
          <w:color w:val="auto"/>
        </w:rPr>
      </w:pPr>
      <w:r>
        <w:rPr>
          <w:rFonts w:ascii="Arial" w:cs="Arial" w:eastAsia="Arial" w:hAnsi="Arial"/>
          <w:sz w:val="15"/>
          <w:szCs w:val="15"/>
          <w:color w:val="auto"/>
        </w:rPr>
        <w:t>6.1 The 102(b) Options which shall be granted to Participants and/or any Shares issued upon exercise of such 102(b) Options and/or any other shares received subsequently following any realization of rights resulting from a 102(b)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5"/>
          <w:szCs w:val="15"/>
          <w:b w:val="1"/>
          <w:bCs w:val="1"/>
          <w:color w:val="auto"/>
        </w:rPr>
        <w:t>Trustee</w:t>
      </w:r>
      <w:r>
        <w:rPr>
          <w:rFonts w:ascii="Arial" w:cs="Arial" w:eastAsia="Arial" w:hAnsi="Arial"/>
          <w:sz w:val="15"/>
          <w:szCs w:val="15"/>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Options and Shares held by such Trustee at such time to its successor. The Trustee will hold such 102(b)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Options may be regarded as Unapproved 102 Options, all in accordance with the provisions of Section 102.</w:t>
      </w:r>
    </w:p>
    <w:p>
      <w:pPr>
        <w:spacing w:after="0" w:line="63" w:lineRule="exact"/>
        <w:rPr>
          <w:rFonts w:ascii="Arial" w:cs="Arial" w:eastAsia="Arial" w:hAnsi="Arial"/>
          <w:sz w:val="17"/>
          <w:szCs w:val="17"/>
          <w:color w:val="auto"/>
        </w:rPr>
      </w:pPr>
    </w:p>
    <w:p>
      <w:pPr>
        <w:ind w:left="580" w:right="1239" w:hanging="313"/>
        <w:spacing w:after="0" w:line="253" w:lineRule="auto"/>
        <w:rPr>
          <w:rFonts w:ascii="Arial" w:cs="Arial" w:eastAsia="Arial" w:hAnsi="Arial"/>
          <w:sz w:val="17"/>
          <w:szCs w:val="17"/>
          <w:color w:val="auto"/>
        </w:rPr>
      </w:pPr>
      <w:r>
        <w:rPr>
          <w:rFonts w:ascii="Arial" w:cs="Arial" w:eastAsia="Arial" w:hAnsi="Arial"/>
          <w:sz w:val="17"/>
          <w:szCs w:val="17"/>
          <w:color w:val="auto"/>
        </w:rPr>
        <w:t>6.2 Anything to the contrary notwithstanding, the Trustee shall not release any 102(b) Options which were not already exercised into Shares by the Participant or release any Shares issued upon exercise of such 102(b) Options prior to the full payment of the Participant’s tax liabilities arising from such 102(b) Options which were granted to him and/or any Shares issued upon exercise of such 102(b) Options.</w:t>
      </w:r>
    </w:p>
    <w:p>
      <w:pPr>
        <w:spacing w:after="0" w:line="77" w:lineRule="exact"/>
        <w:rPr>
          <w:rFonts w:ascii="Arial" w:cs="Arial" w:eastAsia="Arial" w:hAnsi="Arial"/>
          <w:sz w:val="17"/>
          <w:szCs w:val="17"/>
          <w:color w:val="auto"/>
        </w:rPr>
      </w:pPr>
    </w:p>
    <w:p>
      <w:pPr>
        <w:ind w:left="580" w:right="1239" w:hanging="313"/>
        <w:spacing w:after="0" w:line="253" w:lineRule="auto"/>
        <w:rPr>
          <w:rFonts w:ascii="Arial" w:cs="Arial" w:eastAsia="Arial" w:hAnsi="Arial"/>
          <w:sz w:val="17"/>
          <w:szCs w:val="17"/>
          <w:color w:val="auto"/>
        </w:rPr>
      </w:pPr>
      <w:r>
        <w:rPr>
          <w:rFonts w:ascii="Arial" w:cs="Arial" w:eastAsia="Arial" w:hAnsi="Arial"/>
          <w:sz w:val="17"/>
          <w:szCs w:val="17"/>
          <w:color w:val="auto"/>
        </w:rPr>
        <w:t>6.3 Upon receipt of a 102(b) Option, the Participant will sign the Option Agreement or an applicable option award which shall be deemed as the Participant’s undertaking to exempt the Trustee from any liability in respect of any action or decision duly taken and bona fide executed in relation with the Plan and the Appendix, or any 102(b) Option or Share granted to him thereunder.</w:t>
      </w:r>
    </w:p>
    <w:p>
      <w:pPr>
        <w:spacing w:after="0" w:line="77" w:lineRule="exact"/>
        <w:rPr>
          <w:rFonts w:ascii="Arial" w:cs="Arial" w:eastAsia="Arial" w:hAnsi="Arial"/>
          <w:sz w:val="17"/>
          <w:szCs w:val="17"/>
          <w:color w:val="auto"/>
        </w:rPr>
      </w:pPr>
    </w:p>
    <w:p>
      <w:pPr>
        <w:ind w:left="580" w:right="1239" w:hanging="313"/>
        <w:spacing w:after="0" w:line="251" w:lineRule="auto"/>
        <w:rPr>
          <w:rFonts w:ascii="Arial" w:cs="Arial" w:eastAsia="Arial" w:hAnsi="Arial"/>
          <w:sz w:val="17"/>
          <w:szCs w:val="17"/>
          <w:color w:val="auto"/>
        </w:rPr>
      </w:pPr>
      <w:r>
        <w:rPr>
          <w:rFonts w:ascii="Arial" w:cs="Arial" w:eastAsia="Arial" w:hAnsi="Arial"/>
          <w:sz w:val="17"/>
          <w:szCs w:val="17"/>
          <w:color w:val="auto"/>
        </w:rPr>
        <w:t>6.4 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Option, which are expressly provided for in this Appendix or the respective Option Agreement with such Participant, or is (ii) necessary or desirable in the light of any change or replacement of Section 102 of the Ordinance.</w:t>
      </w:r>
    </w:p>
    <w:p>
      <w:pPr>
        <w:spacing w:after="0" w:line="80"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6"/>
          <w:szCs w:val="16"/>
          <w:color w:val="auto"/>
        </w:rPr>
        <w:t>6.5 Any and all Rights with respect to a 102(b)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Option hereunder. Notwithstanding the aforesaid, Shares issued pursuant to the exercise of 102(b) Options hereunder or Rights may be sold or transferred, and the Trustee may release such Shares issued pursuant to the exercise of 102(b) Options hereunder (or the applicable option award) or Rights from trust, prior to the lapse of the transferred until the lapse of the minimum period permitted by applicable law.</w:t>
      </w:r>
    </w:p>
    <w:p>
      <w:pPr>
        <w:spacing w:after="0" w:line="200" w:lineRule="exact"/>
        <w:rPr>
          <w:sz w:val="20"/>
          <w:szCs w:val="20"/>
          <w:color w:val="auto"/>
        </w:rPr>
      </w:pPr>
    </w:p>
    <w:p>
      <w:pPr>
        <w:spacing w:after="0" w:line="28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7" w:name="page428"/>
    <w:bookmarkEnd w:id="4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80" w:right="1239" w:hanging="312"/>
        <w:spacing w:after="0" w:line="253" w:lineRule="auto"/>
        <w:rPr>
          <w:sz w:val="20"/>
          <w:szCs w:val="20"/>
          <w:color w:val="auto"/>
        </w:rPr>
      </w:pPr>
      <w:r>
        <w:rPr>
          <w:rFonts w:ascii="Arial" w:cs="Arial" w:eastAsia="Arial" w:hAnsi="Arial"/>
          <w:sz w:val="17"/>
          <w:szCs w:val="17"/>
          <w:color w:val="auto"/>
        </w:rPr>
        <w:t>6.6 During the period in which Shares, issued to the Trustee on behalf of a Participant upon exercise of a 102(b)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78" w:lineRule="exact"/>
        <w:rPr>
          <w:sz w:val="20"/>
          <w:szCs w:val="20"/>
          <w:color w:val="auto"/>
        </w:rPr>
      </w:pPr>
    </w:p>
    <w:p>
      <w:pPr>
        <w:jc w:val="both"/>
        <w:ind w:left="580" w:right="1239" w:hanging="312"/>
        <w:spacing w:after="0" w:line="335" w:lineRule="auto"/>
        <w:rPr>
          <w:sz w:val="20"/>
          <w:szCs w:val="20"/>
          <w:color w:val="auto"/>
        </w:rPr>
      </w:pPr>
      <w:r>
        <w:rPr>
          <w:rFonts w:ascii="Arial" w:cs="Arial" w:eastAsia="Arial" w:hAnsi="Arial"/>
          <w:sz w:val="15"/>
          <w:szCs w:val="15"/>
          <w:color w:val="auto"/>
        </w:rPr>
        <w:t>6.7 As long as Shares are held by the Trustee in favor of the Participant, then all rights the last possesses over the Shares are personal, cannot be transferred, assigned, pledged or mortgaged, other than by will or laws of descent and distribution.</w:t>
      </w:r>
    </w:p>
    <w:p>
      <w:pPr>
        <w:spacing w:after="0" w:line="20" w:lineRule="exact"/>
        <w:rPr>
          <w:sz w:val="20"/>
          <w:szCs w:val="20"/>
          <w:color w:val="auto"/>
        </w:rPr>
      </w:pPr>
    </w:p>
    <w:p>
      <w:pPr>
        <w:ind w:left="260" w:hanging="250"/>
        <w:spacing w:after="0"/>
        <w:tabs>
          <w:tab w:leader="none" w:pos="2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SHARES RESERVED FOR THE PLAN; RESTRICTION THEREON</w:t>
      </w:r>
    </w:p>
    <w:p>
      <w:pPr>
        <w:spacing w:after="0" w:line="105"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6"/>
          <w:szCs w:val="16"/>
          <w:color w:val="auto"/>
        </w:rPr>
        <w:t>7.1 Each Option granted pursuant to this Appendix, shall be evidenced by an Option Agreement between the Company and the Participant, in such form as the Board of Directors or the Administrator, as applicable, shall from time to time approve. Each Option Agreement shall state a number of the Shares to which the Option relates and the type of Option granted thereunder (whether a 102(b)(1) Option, 102(b)(2) Option, or a 3(i) Option), the purchase price per Share and the vesting schedule to which such Option shall become exercisable. Options may be granted at any time after this Appendix has been approved by the Company, subject to any further approval or consent required under Section 102 of the Ordinance or the Rules, in case of 102(b) Options, and other applicable law.</w:t>
      </w:r>
    </w:p>
    <w:p>
      <w:pPr>
        <w:spacing w:after="0" w:line="70" w:lineRule="exact"/>
        <w:rPr>
          <w:rFonts w:ascii="Arial" w:cs="Arial" w:eastAsia="Arial" w:hAnsi="Arial"/>
          <w:sz w:val="17"/>
          <w:szCs w:val="17"/>
          <w:color w:val="auto"/>
        </w:rPr>
      </w:pPr>
    </w:p>
    <w:p>
      <w:pPr>
        <w:ind w:left="580" w:right="1239" w:hanging="313"/>
        <w:spacing w:after="0" w:line="290" w:lineRule="auto"/>
        <w:rPr>
          <w:rFonts w:ascii="Arial" w:cs="Arial" w:eastAsia="Arial" w:hAnsi="Arial"/>
          <w:sz w:val="17"/>
          <w:szCs w:val="17"/>
          <w:color w:val="auto"/>
        </w:rPr>
      </w:pPr>
      <w:r>
        <w:rPr>
          <w:rFonts w:ascii="Arial" w:cs="Arial" w:eastAsia="Arial" w:hAnsi="Arial"/>
          <w:sz w:val="15"/>
          <w:szCs w:val="15"/>
          <w:color w:val="auto"/>
        </w:rPr>
        <w:t>7.3 Each Option Agreement evidencing 102(b)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Options and/or the Shares issued pursuant to the exercise of Options prior to the lapse of the period in which the Options and/or such Shares are held in trust, unless the Participant pays all taxes, which may arise in connection with such sale and/or transfer (as provided in Section 6.5 above).</w:t>
      </w:r>
    </w:p>
    <w:p>
      <w:pPr>
        <w:spacing w:after="0" w:line="52" w:lineRule="exact"/>
        <w:rPr>
          <w:rFonts w:ascii="Arial" w:cs="Arial" w:eastAsia="Arial" w:hAnsi="Arial"/>
          <w:sz w:val="17"/>
          <w:szCs w:val="17"/>
          <w:color w:val="auto"/>
        </w:rPr>
      </w:pPr>
    </w:p>
    <w:p>
      <w:pPr>
        <w:ind w:left="260" w:hanging="250"/>
        <w:spacing w:after="0"/>
        <w:tabs>
          <w:tab w:leader="none" w:pos="2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AMENDMENTS OR TERMINATION</w:t>
      </w:r>
    </w:p>
    <w:p>
      <w:pPr>
        <w:spacing w:after="0" w:line="105" w:lineRule="exact"/>
        <w:rPr>
          <w:rFonts w:ascii="Arial" w:cs="Arial" w:eastAsia="Arial" w:hAnsi="Arial"/>
          <w:sz w:val="17"/>
          <w:szCs w:val="17"/>
          <w:color w:val="auto"/>
        </w:rPr>
      </w:pPr>
    </w:p>
    <w:p>
      <w:pPr>
        <w:ind w:left="580" w:right="1239" w:hanging="313"/>
        <w:spacing w:after="0" w:line="253" w:lineRule="auto"/>
        <w:rPr>
          <w:rFonts w:ascii="Arial" w:cs="Arial" w:eastAsia="Arial" w:hAnsi="Arial"/>
          <w:sz w:val="17"/>
          <w:szCs w:val="17"/>
          <w:color w:val="auto"/>
        </w:rPr>
      </w:pPr>
      <w:r>
        <w:rPr>
          <w:rFonts w:ascii="Arial" w:cs="Arial" w:eastAsia="Arial" w:hAnsi="Arial"/>
          <w:sz w:val="17"/>
          <w:szCs w:val="17"/>
          <w:color w:val="auto"/>
        </w:rPr>
        <w:t>8.1 The Board of Directors or the Administrator, as required by law, may, at any time and from time to time, amend, alter or discontinue this Appendix, except that no amendment or alteration shall be made which would impair the rights of the holder of any share and/or Option granted, if and to the extent such rights are specifically set forth under the applicable Option Agreement, without such Participant’s written consent.</w:t>
      </w:r>
    </w:p>
    <w:p>
      <w:pPr>
        <w:spacing w:after="0" w:line="77" w:lineRule="exact"/>
        <w:rPr>
          <w:rFonts w:ascii="Arial" w:cs="Arial" w:eastAsia="Arial" w:hAnsi="Arial"/>
          <w:sz w:val="17"/>
          <w:szCs w:val="17"/>
          <w:color w:val="auto"/>
        </w:rPr>
      </w:pPr>
    </w:p>
    <w:p>
      <w:pPr>
        <w:ind w:left="260" w:hanging="250"/>
        <w:spacing w:after="0"/>
        <w:tabs>
          <w:tab w:leader="none" w:pos="2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GOVERNMENT REGULATION</w:t>
      </w:r>
    </w:p>
    <w:p>
      <w:pPr>
        <w:spacing w:after="0" w:line="105" w:lineRule="exact"/>
        <w:rPr>
          <w:sz w:val="20"/>
          <w:szCs w:val="20"/>
          <w:color w:val="auto"/>
        </w:rPr>
      </w:pPr>
    </w:p>
    <w:p>
      <w:pPr>
        <w:jc w:val="both"/>
        <w:ind w:left="300" w:right="1239"/>
        <w:spacing w:after="0" w:line="280" w:lineRule="auto"/>
        <w:rPr>
          <w:sz w:val="20"/>
          <w:szCs w:val="20"/>
          <w:color w:val="auto"/>
        </w:rPr>
      </w:pPr>
      <w:r>
        <w:rPr>
          <w:rFonts w:ascii="Arial" w:cs="Arial" w:eastAsia="Arial" w:hAnsi="Arial"/>
          <w:sz w:val="16"/>
          <w:szCs w:val="16"/>
          <w:color w:val="auto"/>
        </w:rPr>
        <w:t>This Appendix and the granting and exercise of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10. CONTINUANCE OF EMPLOYMENT OR HIRED SERVICES</w:t>
      </w:r>
    </w:p>
    <w:p>
      <w:pPr>
        <w:spacing w:after="0" w:line="105" w:lineRule="exact"/>
        <w:rPr>
          <w:sz w:val="20"/>
          <w:szCs w:val="20"/>
          <w:color w:val="auto"/>
        </w:rPr>
      </w:pPr>
    </w:p>
    <w:p>
      <w:pPr>
        <w:jc w:val="both"/>
        <w:ind w:left="300" w:right="1239"/>
        <w:spacing w:after="0" w:line="251" w:lineRule="auto"/>
        <w:rPr>
          <w:sz w:val="20"/>
          <w:szCs w:val="20"/>
          <w:color w:val="auto"/>
        </w:rPr>
      </w:pPr>
      <w:r>
        <w:rPr>
          <w:rFonts w:ascii="Arial" w:cs="Arial" w:eastAsia="Arial" w:hAnsi="Arial"/>
          <w:sz w:val="17"/>
          <w:szCs w:val="17"/>
          <w:color w:val="auto"/>
        </w:rPr>
        <w:t>Neither the Plan nor the Option Agreement with the Participant shall impose any obligation on the Company or an Affiliate thereof, to continue any Participant in its employ, or the hiring by the Company of the Participant’s services and nothing in the Plan or in any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200" w:lineRule="exact"/>
        <w:rPr>
          <w:sz w:val="20"/>
          <w:szCs w:val="20"/>
          <w:color w:val="auto"/>
        </w:rPr>
      </w:pPr>
    </w:p>
    <w:p>
      <w:pPr>
        <w:spacing w:after="0" w:line="29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8" w:name="page429"/>
    <w:bookmarkEnd w:id="4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260" w:hanging="250"/>
        <w:spacing w:after="0"/>
        <w:tabs>
          <w:tab w:leader="none" w:pos="26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TAX CONSEQUENCES</w:t>
      </w:r>
    </w:p>
    <w:p>
      <w:pPr>
        <w:spacing w:after="0" w:line="105" w:lineRule="exact"/>
        <w:rPr>
          <w:rFonts w:ascii="Arial" w:cs="Arial" w:eastAsia="Arial" w:hAnsi="Arial"/>
          <w:sz w:val="17"/>
          <w:szCs w:val="17"/>
          <w:color w:val="auto"/>
        </w:rPr>
      </w:pPr>
    </w:p>
    <w:p>
      <w:pPr>
        <w:ind w:left="580" w:right="1239" w:hanging="313"/>
        <w:spacing w:after="0" w:line="266" w:lineRule="auto"/>
        <w:rPr>
          <w:rFonts w:ascii="Arial" w:cs="Arial" w:eastAsia="Arial" w:hAnsi="Arial"/>
          <w:sz w:val="17"/>
          <w:szCs w:val="17"/>
          <w:color w:val="auto"/>
        </w:rPr>
      </w:pPr>
      <w:r>
        <w:rPr>
          <w:rFonts w:ascii="Arial" w:cs="Arial" w:eastAsia="Arial" w:hAnsi="Arial"/>
          <w:sz w:val="16"/>
          <w:szCs w:val="16"/>
          <w:color w:val="auto"/>
        </w:rPr>
        <w:t>11.1 To the extent permitted by applicable law, any tax consequences arising from the grant or exercise of any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72" w:lineRule="exact"/>
        <w:rPr>
          <w:rFonts w:ascii="Arial" w:cs="Arial" w:eastAsia="Arial" w:hAnsi="Arial"/>
          <w:sz w:val="17"/>
          <w:szCs w:val="17"/>
          <w:color w:val="auto"/>
        </w:rPr>
      </w:pPr>
    </w:p>
    <w:p>
      <w:pPr>
        <w:ind w:left="580" w:right="1239" w:hanging="313"/>
        <w:spacing w:after="0" w:line="299" w:lineRule="auto"/>
        <w:rPr>
          <w:rFonts w:ascii="Arial" w:cs="Arial" w:eastAsia="Arial" w:hAnsi="Arial"/>
          <w:sz w:val="17"/>
          <w:szCs w:val="17"/>
          <w:color w:val="auto"/>
        </w:rPr>
      </w:pPr>
      <w:r>
        <w:rPr>
          <w:rFonts w:ascii="Arial" w:cs="Arial" w:eastAsia="Arial" w:hAnsi="Arial"/>
          <w:sz w:val="16"/>
          <w:szCs w:val="16"/>
          <w:color w:val="auto"/>
        </w:rPr>
        <w:t>11.2 The Board of Directors, the Administrator and/or the Trustee shall not be required to release any Share certificate, issued upon exercise of an Option, to a Participant, until all required payments have been fully made.</w:t>
      </w:r>
    </w:p>
    <w:p>
      <w:pPr>
        <w:spacing w:after="0" w:line="42"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7"/>
          <w:szCs w:val="17"/>
          <w:color w:val="auto"/>
        </w:rPr>
        <w:t>11.3 Notwithstanding anything herein to the contrary, this Appendix shall be governed by the provisions of the Ordinance, the rules promulgated thereunder, and any other applicable Israeli laws.</w:t>
      </w:r>
    </w:p>
    <w:p>
      <w:pPr>
        <w:spacing w:after="0" w:line="66" w:lineRule="exact"/>
        <w:rPr>
          <w:rFonts w:ascii="Arial" w:cs="Arial" w:eastAsia="Arial" w:hAnsi="Arial"/>
          <w:sz w:val="17"/>
          <w:szCs w:val="17"/>
          <w:color w:val="auto"/>
        </w:rPr>
      </w:pPr>
    </w:p>
    <w:p>
      <w:pPr>
        <w:ind w:left="580" w:right="1239" w:hanging="313"/>
        <w:spacing w:after="0" w:line="251" w:lineRule="auto"/>
        <w:rPr>
          <w:rFonts w:ascii="Arial" w:cs="Arial" w:eastAsia="Arial" w:hAnsi="Arial"/>
          <w:sz w:val="17"/>
          <w:szCs w:val="17"/>
          <w:color w:val="auto"/>
        </w:rPr>
      </w:pPr>
      <w:r>
        <w:rPr>
          <w:rFonts w:ascii="Arial" w:cs="Arial" w:eastAsia="Arial" w:hAnsi="Arial"/>
          <w:sz w:val="17"/>
          <w:szCs w:val="17"/>
          <w:color w:val="auto"/>
        </w:rPr>
        <w:t>11.4 Following the grant of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80" w:lineRule="exact"/>
        <w:rPr>
          <w:rFonts w:ascii="Arial" w:cs="Arial" w:eastAsia="Arial" w:hAnsi="Arial"/>
          <w:sz w:val="17"/>
          <w:szCs w:val="17"/>
          <w:color w:val="auto"/>
        </w:rPr>
      </w:pPr>
    </w:p>
    <w:p>
      <w:pPr>
        <w:ind w:left="4160"/>
        <w:spacing w:after="0"/>
        <w:rPr>
          <w:rFonts w:ascii="Arial" w:cs="Arial" w:eastAsia="Arial" w:hAnsi="Arial"/>
          <w:sz w:val="17"/>
          <w:szCs w:val="17"/>
          <w:color w:val="auto"/>
        </w:rPr>
      </w:pPr>
      <w:r>
        <w:rPr>
          <w:rFonts w:ascii="Arial" w:cs="Arial" w:eastAsia="Arial" w:hAnsi="Arial"/>
          <w:sz w:val="17"/>
          <w:szCs w:val="17"/>
          <w:color w:val="auto"/>
        </w:rPr>
        <w:t>*  *  *</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9" w:name="page430"/>
    <w:bookmarkEnd w:id="42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E</w:t>
      </w:r>
    </w:p>
    <w:p>
      <w:pPr>
        <w:spacing w:after="0" w:line="205" w:lineRule="exact"/>
        <w:rPr>
          <w:sz w:val="20"/>
          <w:szCs w:val="20"/>
          <w:color w:val="auto"/>
        </w:rPr>
      </w:pPr>
    </w:p>
    <w:p>
      <w:pPr>
        <w:jc w:val="center"/>
        <w:ind w:left="380" w:right="1880"/>
        <w:spacing w:after="0" w:line="259" w:lineRule="auto"/>
        <w:rPr>
          <w:sz w:val="20"/>
          <w:szCs w:val="20"/>
          <w:color w:val="auto"/>
        </w:rPr>
      </w:pPr>
      <w:r>
        <w:rPr>
          <w:rFonts w:ascii="Arial" w:cs="Arial" w:eastAsia="Arial" w:hAnsi="Arial"/>
          <w:sz w:val="17"/>
          <w:szCs w:val="17"/>
          <w:b w:val="1"/>
          <w:bCs w:val="1"/>
          <w:color w:val="auto"/>
        </w:rPr>
        <w:t>FORM OF CERTIFICATE OF DESIGNATIONS, PREFERENCES AND RIGHTS OF SERIES A CONVERTIBLE PREFERRED STOCK OF VRINGO, INC.</w:t>
      </w:r>
    </w:p>
    <w:p>
      <w:pPr>
        <w:spacing w:after="0" w:line="69" w:lineRule="exact"/>
        <w:rPr>
          <w:sz w:val="20"/>
          <w:szCs w:val="20"/>
          <w:color w:val="auto"/>
        </w:rPr>
      </w:pPr>
    </w:p>
    <w:p>
      <w:pPr>
        <w:jc w:val="both"/>
        <w:ind w:left="40" w:right="1239" w:firstLine="251"/>
        <w:spacing w:after="0" w:line="268" w:lineRule="auto"/>
        <w:rPr>
          <w:sz w:val="20"/>
          <w:szCs w:val="20"/>
          <w:color w:val="auto"/>
        </w:rPr>
      </w:pPr>
      <w:r>
        <w:rPr>
          <w:rFonts w:ascii="Arial" w:cs="Arial" w:eastAsia="Arial" w:hAnsi="Arial"/>
          <w:sz w:val="16"/>
          <w:szCs w:val="16"/>
          <w:color w:val="auto"/>
        </w:rPr>
        <w:t>Vringo, Inc. (the “</w:t>
      </w:r>
      <w:r>
        <w:rPr>
          <w:rFonts w:ascii="Arial" w:cs="Arial" w:eastAsia="Arial" w:hAnsi="Arial"/>
          <w:sz w:val="16"/>
          <w:szCs w:val="16"/>
          <w:b w:val="1"/>
          <w:bCs w:val="1"/>
          <w:color w:val="auto"/>
        </w:rPr>
        <w:t>Corporation</w:t>
      </w:r>
      <w:r>
        <w:rPr>
          <w:rFonts w:ascii="Arial" w:cs="Arial" w:eastAsia="Arial" w:hAnsi="Arial"/>
          <w:sz w:val="16"/>
          <w:szCs w:val="16"/>
          <w:color w:val="auto"/>
        </w:rPr>
        <w:t>”), a corporation organized and existing under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does hereby certify that, pursuant to authority conferred upon the Board of Directors of the Corporation (the “</w:t>
      </w:r>
      <w:r>
        <w:rPr>
          <w:rFonts w:ascii="Arial" w:cs="Arial" w:eastAsia="Arial" w:hAnsi="Arial"/>
          <w:sz w:val="16"/>
          <w:szCs w:val="16"/>
          <w:b w:val="1"/>
          <w:bCs w:val="1"/>
          <w:color w:val="auto"/>
        </w:rPr>
        <w:t>Board</w:t>
      </w:r>
      <w:r>
        <w:rPr>
          <w:rFonts w:ascii="Arial" w:cs="Arial" w:eastAsia="Arial" w:hAnsi="Arial"/>
          <w:sz w:val="16"/>
          <w:szCs w:val="16"/>
          <w:color w:val="auto"/>
        </w:rPr>
        <w:t>”) by the Amended and Restated Certificate of Incorporation, as amended, of the Corporation, and pursuant to Sections 151 and 141 of the DGCL, the Board adopted resolutions (i) designating a series of the Corporation’s previously authorized preferred stock, par value $0.01 per share, and (ii) providing for the designations, preferences and relative, participating, optional or other rights, and the qualifications, limitations or restrictions thereof, of six thousand nine hundred and sixty eight (6,968) shares of Series A Convertible Preferred Stock of the Corporation, as follows:</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RESOLVED, that the Corporation is authorized to issue six thousand nine hundred and sixty eight (6,968) shares of Series A Convertible Preferred Stock (the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par value $0.01 per share, which shall have the following powers, designations, preferences and other special rights:</w:t>
      </w:r>
    </w:p>
    <w:p>
      <w:pPr>
        <w:spacing w:after="0" w:line="76" w:lineRule="exact"/>
        <w:rPr>
          <w:sz w:val="20"/>
          <w:szCs w:val="20"/>
          <w:color w:val="auto"/>
        </w:rPr>
      </w:pPr>
    </w:p>
    <w:p>
      <w:pPr>
        <w:jc w:val="both"/>
        <w:ind w:left="40" w:right="1239" w:firstLine="258"/>
        <w:spacing w:after="0" w:line="274" w:lineRule="auto"/>
        <w:tabs>
          <w:tab w:leader="none" w:pos="499"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Designation and Amount</w:t>
      </w:r>
      <w:r>
        <w:rPr>
          <w:rFonts w:ascii="Arial" w:cs="Arial" w:eastAsia="Arial" w:hAnsi="Arial"/>
          <w:sz w:val="16"/>
          <w:szCs w:val="16"/>
          <w:color w:val="auto"/>
        </w:rPr>
        <w:t>. The class of preferred stock hereby classified shall be designated the “Series A Preferred Stock”. The initial number of authorized shares of the Series A Preferred Stock shall be six thousand nine hundred and sixty eight (6,968), which shall not be subject to increase without the consent of the holders of a majority of the then outstanding shares of Series A Preferred Stock. Each share of the Series A Preferred Stock shall have a par value of $0.01.</w:t>
      </w:r>
    </w:p>
    <w:p>
      <w:pPr>
        <w:spacing w:after="0" w:line="61" w:lineRule="exact"/>
        <w:rPr>
          <w:rFonts w:ascii="Arial" w:cs="Arial" w:eastAsia="Arial" w:hAnsi="Arial"/>
          <w:sz w:val="16"/>
          <w:szCs w:val="16"/>
          <w:color w:val="auto"/>
        </w:rPr>
      </w:pPr>
    </w:p>
    <w:p>
      <w:pPr>
        <w:jc w:val="both"/>
        <w:ind w:left="40" w:right="1239" w:firstLine="258"/>
        <w:spacing w:after="0" w:line="292" w:lineRule="auto"/>
        <w:tabs>
          <w:tab w:leader="none" w:pos="499"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Ranking</w:t>
      </w:r>
      <w:r>
        <w:rPr>
          <w:rFonts w:ascii="Arial" w:cs="Arial" w:eastAsia="Arial" w:hAnsi="Arial"/>
          <w:sz w:val="15"/>
          <w:szCs w:val="15"/>
          <w:color w:val="auto"/>
        </w:rPr>
        <w:t>. The Series A Preferred Stock shall rank prior and superior to all of the common stock, par value $0.01 per share, of the Corporation (“</w:t>
      </w:r>
      <w:r>
        <w:rPr>
          <w:rFonts w:ascii="Arial" w:cs="Arial" w:eastAsia="Arial" w:hAnsi="Arial"/>
          <w:sz w:val="15"/>
          <w:szCs w:val="15"/>
          <w:b w:val="1"/>
          <w:bCs w:val="1"/>
          <w:color w:val="auto"/>
        </w:rPr>
        <w:t>Common Stock</w:t>
      </w:r>
      <w:r>
        <w:rPr>
          <w:rFonts w:ascii="Arial" w:cs="Arial" w:eastAsia="Arial" w:hAnsi="Arial"/>
          <w:sz w:val="15"/>
          <w:szCs w:val="15"/>
          <w:color w:val="auto"/>
        </w:rPr>
        <w:t>”) and any other capital stock of the Corporation (other than the Series A Preferred Stock) with respect to the preferences as to dividends, distributions and payments upon the liquidation, dissolution and winding up of the Corporation. The rights of the shares of Common Stock and other capital stock of the Corporation (other than the Series A Preferred Stock) shall be subject to the preferences and relative rights of the Series A Preferred Stock.</w:t>
      </w:r>
    </w:p>
    <w:p>
      <w:pPr>
        <w:spacing w:after="0" w:line="49" w:lineRule="exact"/>
        <w:rPr>
          <w:rFonts w:ascii="Arial" w:cs="Arial" w:eastAsia="Arial" w:hAnsi="Arial"/>
          <w:sz w:val="15"/>
          <w:szCs w:val="15"/>
          <w:color w:val="auto"/>
        </w:rPr>
      </w:pPr>
    </w:p>
    <w:p>
      <w:pPr>
        <w:jc w:val="both"/>
        <w:ind w:left="40" w:right="1239" w:firstLine="258"/>
        <w:spacing w:after="0" w:line="282" w:lineRule="auto"/>
        <w:tabs>
          <w:tab w:leader="none" w:pos="499"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From and after the first date of issuance of any shares of Series A Preferred Stock (the “</w:t>
      </w:r>
      <w:r>
        <w:rPr>
          <w:rFonts w:ascii="Arial" w:cs="Arial" w:eastAsia="Arial" w:hAnsi="Arial"/>
          <w:sz w:val="15"/>
          <w:szCs w:val="15"/>
          <w:b w:val="1"/>
          <w:bCs w:val="1"/>
          <w:color w:val="auto"/>
        </w:rPr>
        <w:t>Initial Issuance Date</w:t>
      </w:r>
      <w:r>
        <w:rPr>
          <w:rFonts w:ascii="Arial" w:cs="Arial" w:eastAsia="Arial" w:hAnsi="Arial"/>
          <w:sz w:val="15"/>
          <w:szCs w:val="15"/>
          <w:color w:val="auto"/>
        </w:rPr>
        <w:t>”), the holders of Series A Preferred Stock (each, a “</w:t>
      </w:r>
      <w:r>
        <w:rPr>
          <w:rFonts w:ascii="Arial" w:cs="Arial" w:eastAsia="Arial" w:hAnsi="Arial"/>
          <w:sz w:val="15"/>
          <w:szCs w:val="15"/>
          <w:b w:val="1"/>
          <w:bCs w:val="1"/>
          <w:color w:val="auto"/>
        </w:rPr>
        <w:t>Holder</w:t>
      </w:r>
      <w:r>
        <w:rPr>
          <w:rFonts w:ascii="Arial" w:cs="Arial" w:eastAsia="Arial" w:hAnsi="Arial"/>
          <w:sz w:val="15"/>
          <w:szCs w:val="15"/>
          <w:color w:val="auto"/>
        </w:rPr>
        <w:t>” and collectively, the “</w:t>
      </w:r>
      <w:r>
        <w:rPr>
          <w:rFonts w:ascii="Arial" w:cs="Arial" w:eastAsia="Arial" w:hAnsi="Arial"/>
          <w:sz w:val="15"/>
          <w:szCs w:val="15"/>
          <w:b w:val="1"/>
          <w:bCs w:val="1"/>
          <w:color w:val="auto"/>
        </w:rPr>
        <w:t>Holders</w:t>
      </w:r>
      <w:r>
        <w:rPr>
          <w:rFonts w:ascii="Arial" w:cs="Arial" w:eastAsia="Arial" w:hAnsi="Arial"/>
          <w:sz w:val="15"/>
          <w:szCs w:val="15"/>
          <w:color w:val="auto"/>
        </w:rPr>
        <w:t>”) shall be entitled to receive such dividends paid and distributions made to the holders of Common Stock, which right shall be prior to the rights of the holders of capital stock of the Corporation, including the Common Stock, junior in rank to the Series A Preferred Stock in respect of the preferences as to distributions and payments upon a Liquidation Event (such stock, including the Common Stock, being referred to hereinafter collectively as “</w:t>
      </w:r>
      <w:r>
        <w:rPr>
          <w:rFonts w:ascii="Arial" w:cs="Arial" w:eastAsia="Arial" w:hAnsi="Arial"/>
          <w:sz w:val="15"/>
          <w:szCs w:val="15"/>
          <w:b w:val="1"/>
          <w:bCs w:val="1"/>
          <w:color w:val="auto"/>
        </w:rPr>
        <w:t>Junior Stock</w:t>
      </w:r>
      <w:r>
        <w:rPr>
          <w:rFonts w:ascii="Arial" w:cs="Arial" w:eastAsia="Arial" w:hAnsi="Arial"/>
          <w:sz w:val="15"/>
          <w:szCs w:val="15"/>
          <w:color w:val="auto"/>
        </w:rPr>
        <w:t xml:space="preserve">”) (if any) (but after and subject to the rights of holders of Senior Preferred Stock (as defined below), if any, and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to the rights of holders of capital stock of the Corporation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rank to the Series A Preferred Stock in respect of the preferences as to distributions and payments upon a Liquidation Event (such stock being referred to hereinafter collectively as “</w:t>
      </w:r>
      <w:r>
        <w:rPr>
          <w:rFonts w:ascii="Arial" w:cs="Arial" w:eastAsia="Arial" w:hAnsi="Arial"/>
          <w:sz w:val="15"/>
          <w:szCs w:val="15"/>
          <w:b w:val="1"/>
          <w:bCs w:val="1"/>
          <w:color w:val="auto"/>
        </w:rPr>
        <w:t>Pari Passu Stock</w:t>
      </w:r>
      <w:r>
        <w:rPr>
          <w:rFonts w:ascii="Arial" w:cs="Arial" w:eastAsia="Arial" w:hAnsi="Arial"/>
          <w:sz w:val="15"/>
          <w:szCs w:val="15"/>
          <w:color w:val="auto"/>
        </w:rPr>
        <w:t>”) (if any)), to the same extent as if such Holders had converted the Series A Preferred Stock into Common Stock (without regard to any limitations on conversion herein or elsewhere) and had held such shares of Common Stock on the record date for such dividends and distributions (provided, however, to the extent that a Holder’s right to participate in any such dividend or distribution would result in the Holder exceeding the Maximum Percentage (as defined below), then the Holder shall not be entitled to participate in such dividend or distribution to such extent (or in the beneficial ownership of any shares of Common Stock as a result of such dividend or distribution to such extent) and the portion of such dividend or distribution shall be held in abeyance for the benefit of the Holder until such time, if ever, as its right thereto would not result in the Holder exceeding the Maximum Percentage, at which time such Holder shall be delivered such dividend or distribution to the extent as if there had been no such limitation). Payments under the preceding sentence shall be made concurrently with the dividend or distribution to the holders of Common Stock. Following the occurrence of a Liquidation Event (as defined below) and the payment in full to a Holder of its applicable liquidation preference, other than as set forth in Section 4 below, such Holder shall cease to have any rights hereunder to participate in any future dividends or distributions made to the holders of Common Stock. The Corporation shall not declare or pay any dividends on any other shares of Junior Stock or any Pari</w:t>
      </w: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0" w:name="page431"/>
    <w:bookmarkEnd w:id="43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0" w:lineRule="auto"/>
        <w:rPr>
          <w:sz w:val="20"/>
          <w:szCs w:val="20"/>
          <w:color w:val="auto"/>
        </w:rPr>
      </w:pPr>
      <w:r>
        <w:rPr>
          <w:rFonts w:ascii="Arial" w:cs="Arial" w:eastAsia="Arial" w:hAnsi="Arial"/>
          <w:sz w:val="16"/>
          <w:szCs w:val="16"/>
          <w:color w:val="auto"/>
        </w:rPr>
        <w:t>Passu Stock unless the holders of Series A Preferred Stock then outstanding shall simultaneously receive a dividend on a pro rata basis as if the shares of Series A Preferred Stock had been converted into shares of Common Stock pursuant to Section 7 immediately prior to the record date for determining the stockholders eligible to receive such dividends.</w:t>
      </w:r>
    </w:p>
    <w:p>
      <w:pPr>
        <w:spacing w:after="0" w:line="58" w:lineRule="exact"/>
        <w:rPr>
          <w:sz w:val="20"/>
          <w:szCs w:val="20"/>
          <w:color w:val="auto"/>
        </w:rPr>
      </w:pPr>
    </w:p>
    <w:p>
      <w:pPr>
        <w:jc w:val="both"/>
        <w:ind w:left="40" w:right="1239" w:firstLine="258"/>
        <w:spacing w:after="0" w:line="282" w:lineRule="auto"/>
        <w:tabs>
          <w:tab w:leader="none" w:pos="549" w:val="left"/>
        </w:tabs>
        <w:numPr>
          <w:ilvl w:val="0"/>
          <w:numId w:val="395"/>
        </w:numPr>
        <w:rPr>
          <w:rFonts w:ascii="Arial" w:cs="Arial" w:eastAsia="Arial" w:hAnsi="Arial"/>
          <w:sz w:val="15"/>
          <w:szCs w:val="15"/>
          <w:color w:val="auto"/>
        </w:rPr>
      </w:pPr>
      <w:r>
        <w:rPr>
          <w:rFonts w:ascii="Arial" w:cs="Arial" w:eastAsia="Arial" w:hAnsi="Arial"/>
          <w:sz w:val="15"/>
          <w:szCs w:val="15"/>
          <w:u w:val="single" w:color="auto"/>
          <w:color w:val="auto"/>
        </w:rPr>
        <w:t>Liquidation Preference</w:t>
      </w:r>
      <w:r>
        <w:rPr>
          <w:rFonts w:ascii="Arial" w:cs="Arial" w:eastAsia="Arial" w:hAnsi="Arial"/>
          <w:sz w:val="15"/>
          <w:szCs w:val="15"/>
          <w:color w:val="auto"/>
        </w:rPr>
        <w:t>. Upon any Liquidation Event, the Holders shall be entitled to be paid out of the assets of the Corporation available for distribution to its stockholders, after and subject to the payment in full of all amounts required to be distributed to the holders of any other Preferred Stock of the Corporation ranking on liquidation prior and in preference to the Series A Preferred Stock (such Preferred Stock being referred to hereinafter as “</w:t>
      </w:r>
      <w:r>
        <w:rPr>
          <w:rFonts w:ascii="Arial" w:cs="Arial" w:eastAsia="Arial" w:hAnsi="Arial"/>
          <w:sz w:val="15"/>
          <w:szCs w:val="15"/>
          <w:b w:val="1"/>
          <w:bCs w:val="1"/>
          <w:color w:val="auto"/>
        </w:rPr>
        <w:t>Senior Preferred Stock</w:t>
      </w:r>
      <w:r>
        <w:rPr>
          <w:rFonts w:ascii="Arial" w:cs="Arial" w:eastAsia="Arial" w:hAnsi="Arial"/>
          <w:sz w:val="15"/>
          <w:szCs w:val="15"/>
          <w:color w:val="auto"/>
        </w:rPr>
        <w:t>”) upon such liquidation, dissolution or winding up, but before any payment shall be made to the holders of Junior Stock, an amount in cash equal to the Stated Value. If upon any such Liquidation Event, the remaining assets of the Corporation available for the distribution to its stockholders after payment in full of amounts required to be paid or distributed to holders of Senior Preferred Stock shall be insufficient to pay the holders of shares of Series A Preferred Stock the full amount to which they shall be entitled, the holders of shares of Series A Preferred Stock and any class of stock ranking on liquidation on a parity with the Series A Preferred Stock, shall share ratably in any distribution of the remaining assets and funds of the Corporation in proportion to the respective amounts which would otherwise be payable in respect to the shares held by them upon such distribution if all amounts payable on or with respect to said shares were paid in full. For purposes of this Certificate of Designations, the term “</w:t>
      </w:r>
      <w:r>
        <w:rPr>
          <w:rFonts w:ascii="Arial" w:cs="Arial" w:eastAsia="Arial" w:hAnsi="Arial"/>
          <w:sz w:val="15"/>
          <w:szCs w:val="15"/>
          <w:b w:val="1"/>
          <w:bCs w:val="1"/>
          <w:color w:val="auto"/>
        </w:rPr>
        <w:t>Stated Value</w:t>
      </w:r>
      <w:r>
        <w:rPr>
          <w:rFonts w:ascii="Arial" w:cs="Arial" w:eastAsia="Arial" w:hAnsi="Arial"/>
          <w:sz w:val="15"/>
          <w:szCs w:val="15"/>
          <w:color w:val="auto"/>
        </w:rPr>
        <w:t>” shall mean one thousand dollars ($1,000) per share, subject to adjustment for stock splits, stock dividends, recapitalizations, reorganizations, reclassifications, combinations, reverse stock splits or other similar events relating to the Series A Preferred Stock after the Initial Issuance Date. For purposes of this Certificate of Designations, a “</w:t>
      </w:r>
      <w:r>
        <w:rPr>
          <w:rFonts w:ascii="Arial" w:cs="Arial" w:eastAsia="Arial" w:hAnsi="Arial"/>
          <w:sz w:val="15"/>
          <w:szCs w:val="15"/>
          <w:b w:val="1"/>
          <w:bCs w:val="1"/>
          <w:color w:val="auto"/>
        </w:rPr>
        <w:t>Liquidation Event</w:t>
      </w:r>
      <w:r>
        <w:rPr>
          <w:rFonts w:ascii="Arial" w:cs="Arial" w:eastAsia="Arial" w:hAnsi="Arial"/>
          <w:sz w:val="15"/>
          <w:szCs w:val="15"/>
          <w:color w:val="auto"/>
        </w:rPr>
        <w:t>” means the voluntary or involuntary liquidation, dissolution or winding up of the Corporation or its Subsidiaries, the assets of which constitute all or substantially all of the assets of the business of the Corporation and its Subsidiaries taken as a whole, in a single transaction or series of transactions.</w:t>
      </w:r>
    </w:p>
    <w:p>
      <w:pPr>
        <w:spacing w:after="0" w:line="63" w:lineRule="exact"/>
        <w:rPr>
          <w:rFonts w:ascii="Arial" w:cs="Arial" w:eastAsia="Arial" w:hAnsi="Arial"/>
          <w:sz w:val="15"/>
          <w:szCs w:val="15"/>
          <w:color w:val="auto"/>
        </w:rPr>
      </w:pPr>
    </w:p>
    <w:p>
      <w:pPr>
        <w:ind w:left="500" w:hanging="202"/>
        <w:spacing w:after="0"/>
        <w:tabs>
          <w:tab w:leader="none" w:pos="500"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Fundamental Transactions; Put Triggering Event</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1"/>
          <w:numId w:val="395"/>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Certificate of Designations, the following definitions shall apply:</w:t>
      </w:r>
    </w:p>
    <w:p>
      <w:pPr>
        <w:spacing w:after="0" w:line="101" w:lineRule="exact"/>
        <w:rPr>
          <w:rFonts w:ascii="Arial" w:cs="Arial" w:eastAsia="Arial" w:hAnsi="Arial"/>
          <w:sz w:val="17"/>
          <w:szCs w:val="17"/>
          <w:color w:val="auto"/>
        </w:rPr>
      </w:pPr>
    </w:p>
    <w:p>
      <w:pPr>
        <w:ind w:left="540" w:right="1239" w:firstLine="259"/>
        <w:spacing w:after="0" w:line="272" w:lineRule="auto"/>
        <w:tabs>
          <w:tab w:leader="none" w:pos="1032" w:val="left"/>
        </w:tabs>
        <w:numPr>
          <w:ilvl w:val="2"/>
          <w:numId w:val="3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Saturday, Sunday or other day on which commercial banks in The City of New York are authorized or required by law to remain closed.</w:t>
      </w:r>
    </w:p>
    <w:p>
      <w:pPr>
        <w:spacing w:after="0" w:line="58" w:lineRule="exact"/>
        <w:rPr>
          <w:rFonts w:ascii="Arial" w:cs="Arial" w:eastAsia="Arial" w:hAnsi="Arial"/>
          <w:sz w:val="17"/>
          <w:szCs w:val="17"/>
          <w:color w:val="auto"/>
        </w:rPr>
      </w:pPr>
    </w:p>
    <w:p>
      <w:pPr>
        <w:jc w:val="both"/>
        <w:ind w:left="540" w:right="1239" w:firstLine="259"/>
        <w:spacing w:after="0" w:line="282" w:lineRule="auto"/>
        <w:tabs>
          <w:tab w:leader="none" w:pos="1103" w:val="left"/>
        </w:tabs>
        <w:numPr>
          <w:ilvl w:val="2"/>
          <w:numId w:val="3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Conversion Amount</w:t>
      </w:r>
      <w:r>
        <w:rPr>
          <w:rFonts w:ascii="Arial" w:cs="Arial" w:eastAsia="Arial" w:hAnsi="Arial"/>
          <w:sz w:val="16"/>
          <w:szCs w:val="16"/>
          <w:color w:val="auto"/>
        </w:rPr>
        <w:t>” means the product of (A) the percentage of the consideration in the Put Triggering Event (in relation to all consideration being paid in such Put Triggering Event) being paid in cash multiplied by (B) the Conversion Amount as to which a Put Triggering Event Redemption Notice is being delivered.</w:t>
      </w:r>
    </w:p>
    <w:p>
      <w:pPr>
        <w:spacing w:after="0" w:line="53" w:lineRule="exact"/>
        <w:rPr>
          <w:rFonts w:ascii="Arial" w:cs="Arial" w:eastAsia="Arial" w:hAnsi="Arial"/>
          <w:sz w:val="16"/>
          <w:szCs w:val="16"/>
          <w:color w:val="auto"/>
        </w:rPr>
      </w:pPr>
    </w:p>
    <w:p>
      <w:pPr>
        <w:ind w:left="1140" w:hanging="341"/>
        <w:spacing w:after="0"/>
        <w:tabs>
          <w:tab w:leader="none" w:pos="1140" w:val="left"/>
        </w:tabs>
        <w:numPr>
          <w:ilvl w:val="2"/>
          <w:numId w:val="3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w:t>
      </w:r>
    </w:p>
    <w:p>
      <w:pPr>
        <w:spacing w:after="0" w:line="105" w:lineRule="exact"/>
        <w:rPr>
          <w:rFonts w:ascii="Arial" w:cs="Arial" w:eastAsia="Arial" w:hAnsi="Arial"/>
          <w:sz w:val="17"/>
          <w:szCs w:val="17"/>
          <w:color w:val="auto"/>
        </w:rPr>
      </w:pPr>
    </w:p>
    <w:p>
      <w:pPr>
        <w:ind w:left="540" w:right="1239" w:firstLine="259"/>
        <w:spacing w:after="0" w:line="272" w:lineRule="auto"/>
        <w:tabs>
          <w:tab w:leader="none" w:pos="1128" w:val="left"/>
        </w:tabs>
        <w:numPr>
          <w:ilvl w:val="2"/>
          <w:numId w:val="3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Market</w:t>
      </w:r>
      <w:r>
        <w:rPr>
          <w:rFonts w:ascii="Arial" w:cs="Arial" w:eastAsia="Arial" w:hAnsi="Arial"/>
          <w:sz w:val="17"/>
          <w:szCs w:val="17"/>
          <w:color w:val="auto"/>
        </w:rPr>
        <w:t>” means The New York Stock Exchange, Inc., the NYSE Amex Equities, The NASDAQ Global Select Market, The NASDAQ Global Market or The NASDAQ Capital Market.</w:t>
      </w:r>
    </w:p>
    <w:p>
      <w:pPr>
        <w:spacing w:after="0" w:line="58" w:lineRule="exact"/>
        <w:rPr>
          <w:rFonts w:ascii="Arial" w:cs="Arial" w:eastAsia="Arial" w:hAnsi="Arial"/>
          <w:sz w:val="17"/>
          <w:szCs w:val="17"/>
          <w:color w:val="auto"/>
        </w:rPr>
      </w:pPr>
    </w:p>
    <w:p>
      <w:pPr>
        <w:jc w:val="both"/>
        <w:ind w:left="540" w:right="1239" w:firstLine="259"/>
        <w:spacing w:after="0" w:line="250" w:lineRule="auto"/>
        <w:tabs>
          <w:tab w:leader="none" w:pos="1094" w:val="left"/>
        </w:tabs>
        <w:numPr>
          <w:ilvl w:val="2"/>
          <w:numId w:val="3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Fundamental Transaction other than (A) any reorganization, recapitalization or 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(B) pursuant to a migratory merger effected solely for the purpose of changing the jurisdiction of incorporation of the Corporation.</w:t>
      </w:r>
    </w:p>
    <w:p>
      <w:pPr>
        <w:spacing w:after="0" w:line="200" w:lineRule="exact"/>
        <w:rPr>
          <w:sz w:val="20"/>
          <w:szCs w:val="20"/>
          <w:color w:val="auto"/>
        </w:rPr>
      </w:pPr>
    </w:p>
    <w:p>
      <w:pPr>
        <w:spacing w:after="0" w:line="29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1" w:name="page432"/>
    <w:bookmarkEnd w:id="4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540" w:right="1239" w:firstLine="259"/>
        <w:spacing w:after="0" w:line="252" w:lineRule="auto"/>
        <w:tabs>
          <w:tab w:leader="none" w:pos="1178" w:val="left"/>
        </w:tabs>
        <w:numPr>
          <w:ilvl w:val="0"/>
          <w:numId w:val="3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Successor Common Stock</w:t>
      </w:r>
      <w:r>
        <w:rPr>
          <w:rFonts w:ascii="Arial" w:cs="Arial" w:eastAsia="Arial" w:hAnsi="Arial"/>
          <w:sz w:val="17"/>
          <w:szCs w:val="17"/>
          <w:color w:val="auto"/>
        </w:rPr>
        <w:t>” means common stock of a Successor Entity that is a publicly traded corporation, whose common stock is quoted or listed for trading on an Eligible Market, and that assumes in writing all obligations of the Corporation under this Certificate of Designations in accordance with Section 5(b) hereof such that the applicable Series A Preferred Stock shall be convertible into publicly traded common stock (or its equivalent) of such Successor Entity.</w:t>
      </w:r>
    </w:p>
    <w:p>
      <w:pPr>
        <w:spacing w:after="0" w:line="76" w:lineRule="exact"/>
        <w:rPr>
          <w:rFonts w:ascii="Arial" w:cs="Arial" w:eastAsia="Arial" w:hAnsi="Arial"/>
          <w:sz w:val="17"/>
          <w:szCs w:val="17"/>
          <w:color w:val="auto"/>
        </w:rPr>
      </w:pPr>
    </w:p>
    <w:p>
      <w:pPr>
        <w:jc w:val="both"/>
        <w:ind w:left="540" w:right="1239" w:firstLine="259"/>
        <w:spacing w:after="0" w:line="283" w:lineRule="auto"/>
        <w:tabs>
          <w:tab w:leader="none" w:pos="1212" w:val="left"/>
        </w:tabs>
        <w:numPr>
          <w:ilvl w:val="0"/>
          <w:numId w:val="3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Fundamental Transaction</w:t>
      </w:r>
      <w:r>
        <w:rPr>
          <w:rFonts w:ascii="Arial" w:cs="Arial" w:eastAsia="Arial" w:hAnsi="Arial"/>
          <w:sz w:val="15"/>
          <w:szCs w:val="15"/>
          <w:color w:val="auto"/>
        </w:rPr>
        <w:t>” means that the Corporation shall (or in the case of clause (F) any “person” or “group” (as 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56" w:lineRule="exact"/>
        <w:rPr>
          <w:rFonts w:ascii="Arial" w:cs="Arial" w:eastAsia="Arial" w:hAnsi="Arial"/>
          <w:sz w:val="15"/>
          <w:szCs w:val="15"/>
          <w:color w:val="auto"/>
        </w:rPr>
      </w:pPr>
    </w:p>
    <w:p>
      <w:pPr>
        <w:jc w:val="both"/>
        <w:ind w:left="540" w:right="1239" w:firstLine="259"/>
        <w:spacing w:after="0" w:line="254" w:lineRule="auto"/>
        <w:tabs>
          <w:tab w:leader="none" w:pos="1208" w:val="left"/>
        </w:tabs>
        <w:numPr>
          <w:ilvl w:val="0"/>
          <w:numId w:val="3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Entity</w:t>
      </w:r>
      <w:r>
        <w:rPr>
          <w:rFonts w:ascii="Arial" w:cs="Arial" w:eastAsia="Arial" w:hAnsi="Arial"/>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74" w:lineRule="exact"/>
        <w:rPr>
          <w:rFonts w:ascii="Arial" w:cs="Arial" w:eastAsia="Arial" w:hAnsi="Arial"/>
          <w:sz w:val="17"/>
          <w:szCs w:val="17"/>
          <w:color w:val="auto"/>
        </w:rPr>
      </w:pPr>
    </w:p>
    <w:p>
      <w:pPr>
        <w:jc w:val="both"/>
        <w:ind w:left="540" w:right="1239" w:firstLine="259"/>
        <w:spacing w:after="0" w:line="252" w:lineRule="auto"/>
        <w:tabs>
          <w:tab w:leader="none" w:pos="1115" w:val="left"/>
        </w:tabs>
        <w:numPr>
          <w:ilvl w:val="0"/>
          <w:numId w:val="3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Put Triggering Event</w:t>
      </w:r>
      <w:r>
        <w:rPr>
          <w:rFonts w:ascii="Arial" w:cs="Arial" w:eastAsia="Arial" w:hAnsi="Arial"/>
          <w:sz w:val="17"/>
          <w:szCs w:val="17"/>
          <w:color w:val="auto"/>
        </w:rPr>
        <w:t>” means any Change of Control other than one in which a Successor Entity that is a publicly traded corporation, whose common stock is quoted or listed for trading on an Eligible Market, assumes in writing all obligations of the Corporation under this Certificate of Designations in accordance with Section 5(b) hereof such that the Series A Preferred Stock shall be convertible into publicly traded common stock (or its equivalent) of such Successor Entity.</w:t>
      </w:r>
    </w:p>
    <w:p>
      <w:pPr>
        <w:spacing w:after="0" w:line="76" w:lineRule="exact"/>
        <w:rPr>
          <w:rFonts w:ascii="Arial" w:cs="Arial" w:eastAsia="Arial" w:hAnsi="Arial"/>
          <w:sz w:val="17"/>
          <w:szCs w:val="17"/>
          <w:color w:val="auto"/>
        </w:rPr>
      </w:pPr>
    </w:p>
    <w:p>
      <w:pPr>
        <w:ind w:left="1120" w:hanging="321"/>
        <w:spacing w:after="0"/>
        <w:tabs>
          <w:tab w:leader="none" w:pos="112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Required Holders</w:t>
      </w:r>
      <w:r>
        <w:rPr>
          <w:rFonts w:ascii="Arial" w:cs="Arial" w:eastAsia="Arial" w:hAnsi="Arial"/>
          <w:sz w:val="15"/>
          <w:szCs w:val="15"/>
          <w:color w:val="auto"/>
        </w:rPr>
        <w:t>” means the holders of record of a majority of the outstanding shares of Series A Preferred</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Stock.</w:t>
      </w:r>
    </w:p>
    <w:p>
      <w:pPr>
        <w:spacing w:after="0" w:line="88" w:lineRule="exact"/>
        <w:rPr>
          <w:rFonts w:ascii="Arial" w:cs="Arial" w:eastAsia="Arial" w:hAnsi="Arial"/>
          <w:sz w:val="15"/>
          <w:szCs w:val="15"/>
          <w:color w:val="auto"/>
        </w:rPr>
      </w:pPr>
    </w:p>
    <w:p>
      <w:pPr>
        <w:jc w:val="both"/>
        <w:ind w:left="540" w:right="1239" w:firstLine="259"/>
        <w:spacing w:after="0" w:line="254" w:lineRule="auto"/>
        <w:tabs>
          <w:tab w:leader="none" w:pos="1178" w:val="left"/>
        </w:tabs>
        <w:numPr>
          <w:ilvl w:val="0"/>
          <w:numId w:val="3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Conversion Amount</w:t>
      </w:r>
      <w:r>
        <w:rPr>
          <w:rFonts w:ascii="Arial" w:cs="Arial" w:eastAsia="Arial" w:hAnsi="Arial"/>
          <w:sz w:val="17"/>
          <w:szCs w:val="17"/>
          <w:color w:val="auto"/>
        </w:rPr>
        <w:t>” means the product of (A) the percentage of the consideration in the Put Triggering Event (in relation to all consideration being paid in such Put Triggering Event) being paid in securities (other than in Eligible Successor Common Stock) multiplied by (B) the Conversion Amount as to which a Put Triggering Event Redemption Notice is being delivered.</w:t>
      </w:r>
    </w:p>
    <w:p>
      <w:pPr>
        <w:spacing w:after="0" w:line="74" w:lineRule="exact"/>
        <w:rPr>
          <w:rFonts w:ascii="Arial" w:cs="Arial" w:eastAsia="Arial" w:hAnsi="Arial"/>
          <w:sz w:val="17"/>
          <w:szCs w:val="17"/>
          <w:color w:val="auto"/>
        </w:rPr>
      </w:pPr>
    </w:p>
    <w:p>
      <w:pPr>
        <w:jc w:val="both"/>
        <w:ind w:left="540" w:right="1239" w:firstLine="259"/>
        <w:spacing w:after="0" w:line="275" w:lineRule="auto"/>
        <w:tabs>
          <w:tab w:leader="none" w:pos="1162" w:val="left"/>
        </w:tabs>
        <w:numPr>
          <w:ilvl w:val="0"/>
          <w:numId w:val="3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which may be the Corporation, formed by, resulting from or surviving 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58" w:lineRule="exact"/>
        <w:rPr>
          <w:rFonts w:ascii="Arial" w:cs="Arial" w:eastAsia="Arial" w:hAnsi="Arial"/>
          <w:sz w:val="16"/>
          <w:szCs w:val="16"/>
          <w:color w:val="auto"/>
        </w:rPr>
      </w:pPr>
    </w:p>
    <w:p>
      <w:pPr>
        <w:jc w:val="both"/>
        <w:ind w:left="540" w:right="1239" w:firstLine="259"/>
        <w:spacing w:after="0" w:line="254" w:lineRule="auto"/>
        <w:tabs>
          <w:tab w:leader="none" w:pos="1208" w:val="left"/>
        </w:tabs>
        <w:numPr>
          <w:ilvl w:val="0"/>
          <w:numId w:val="3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Entity Conversion Amount</w:t>
      </w:r>
      <w:r>
        <w:rPr>
          <w:rFonts w:ascii="Arial" w:cs="Arial" w:eastAsia="Arial" w:hAnsi="Arial"/>
          <w:sz w:val="17"/>
          <w:szCs w:val="17"/>
          <w:color w:val="auto"/>
        </w:rPr>
        <w:t>” means the product of (A) the percentage of the consideration in the Put Triggering Event (in relation to all consideration being paid in such Put Triggering Event) being paid in Eligible Successor Common Stock multiplied by (B) the Conversion Amount as to which a Put Triggering Event Redemption Notice is being delivered.</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2" w:name="page433"/>
    <w:bookmarkEnd w:id="43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540" w:right="1239" w:firstLine="259"/>
        <w:spacing w:after="0" w:line="268" w:lineRule="auto"/>
        <w:tabs>
          <w:tab w:leader="none" w:pos="1199" w:val="left"/>
        </w:tabs>
        <w:numPr>
          <w:ilvl w:val="1"/>
          <w:numId w:val="3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65" w:lineRule="exact"/>
        <w:rPr>
          <w:rFonts w:ascii="Arial" w:cs="Arial" w:eastAsia="Arial" w:hAnsi="Arial"/>
          <w:sz w:val="16"/>
          <w:szCs w:val="16"/>
          <w:color w:val="auto"/>
        </w:rPr>
      </w:pPr>
    </w:p>
    <w:p>
      <w:pPr>
        <w:jc w:val="both"/>
        <w:ind w:left="540" w:right="1239" w:firstLine="259"/>
        <w:spacing w:after="0" w:line="254" w:lineRule="auto"/>
        <w:tabs>
          <w:tab w:leader="none" w:pos="1165" w:val="left"/>
        </w:tabs>
        <w:numPr>
          <w:ilvl w:val="1"/>
          <w:numId w:val="3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Stock</w:t>
      </w:r>
      <w:r>
        <w:rPr>
          <w:rFonts w:ascii="Arial" w:cs="Arial" w:eastAsia="Arial" w:hAnsi="Arial"/>
          <w:sz w:val="17"/>
          <w:szCs w:val="17"/>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78" w:lineRule="exact"/>
        <w:rPr>
          <w:rFonts w:ascii="Arial" w:cs="Arial" w:eastAsia="Arial" w:hAnsi="Arial"/>
          <w:sz w:val="17"/>
          <w:szCs w:val="17"/>
          <w:color w:val="auto"/>
        </w:rPr>
      </w:pPr>
    </w:p>
    <w:p>
      <w:pPr>
        <w:jc w:val="both"/>
        <w:ind w:left="300" w:right="1239" w:firstLine="248"/>
        <w:spacing w:after="0" w:line="280" w:lineRule="auto"/>
        <w:tabs>
          <w:tab w:leader="none" w:pos="854" w:val="left"/>
        </w:tabs>
        <w:numPr>
          <w:ilvl w:val="0"/>
          <w:numId w:val="398"/>
        </w:numPr>
        <w:rPr>
          <w:rFonts w:ascii="Arial" w:cs="Arial" w:eastAsia="Arial" w:hAnsi="Arial"/>
          <w:sz w:val="15"/>
          <w:szCs w:val="15"/>
          <w:color w:val="auto"/>
        </w:rPr>
      </w:pPr>
      <w:r>
        <w:rPr>
          <w:rFonts w:ascii="Arial" w:cs="Arial" w:eastAsia="Arial" w:hAnsi="Arial"/>
          <w:sz w:val="15"/>
          <w:szCs w:val="15"/>
          <w:u w:val="single" w:color="auto"/>
          <w:color w:val="auto"/>
        </w:rPr>
        <w:t>Assumption</w:t>
      </w:r>
      <w:r>
        <w:rPr>
          <w:rFonts w:ascii="Arial" w:cs="Arial" w:eastAsia="Arial" w:hAnsi="Arial"/>
          <w:sz w:val="15"/>
          <w:szCs w:val="15"/>
          <w:color w:val="auto"/>
        </w:rPr>
        <w:t>. The Corporation shall not enter into or be party to a Fundamental Transaction unless (i) the Successor Entity assumes in writing all of the obligations of the Corporation under this Certificate of Designations in accordance with the provisions of this Section 5 pursuant to written agreements in form and substance satisfactory to the Required Holders and approved by the Required Holders prior to such Fundamental Transaction, including agreements to deliver to each Holder of Series A Preferred Stock in exchange for such Series A Preferred Stock a security of the Successor Entity evidenced by a written instrument substantially similar in form and substance to this Certificate of Designations including, without limitation, having a stated value equal to the Stated Value of the Series A Preferred Stock held by such Holder and having similar ranking to the Series A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 Upon consummation of the Fundamental Transaction, the Successor Entity shall deliver to the Holder confirmation that there shall be issued upon conversion of the Series A Preferred Stock at any time after the consummation of the Fundamental Transaction, in lieu of the shares of Common Stock (or other securities, cash, assets or other property) issuable upon the conversion of the Series A Preferred Stock prior to such Fundamental Transaction (without regard to any limitations on the conversion of the Series A Preferred Stock), such shares of publicly traded common stock (or their equivalent) of the Successor Entity, as adjusted in accordance with the provisions of this Certificate of Designations, which the Holder would have been entitled to receive had such Holder converted the Series A Preferred Stock in full (without regard to any limitations on conversion, including without limitation, the Maximum Percentage) immediately prior to such Fundamental Transaction (provided, however, to the extent that a Holder’s right to receive any such shares of publicly traded common stock (or their equivalent) of the Successor Entity would result in the Holder exceeding the Maximum Percentage, then the Holder shall not be entitled to receive such shares to such extent (or to beneficially own any shares of publicly traded common stock (or their equivalent) of the Successor Entity as a result of such consideration to such extent) and the portion of such shares shall be held in abeyance for the benefit of the Holder until such time, if ever, as its right thereto would not result in the Holder exceeding the Maximum Percentage, at which time such Holder shall be delivered such shares to the extent as if there had been no such limitation). The provisions of this Section shall apply similarly and equally to successive Fundamental Transactions and shall be applied without regard to any limitations on the conversion of the Series A Preferred Stock.</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3" w:name="page434"/>
    <w:bookmarkEnd w:id="4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80" w:lineRule="auto"/>
        <w:tabs>
          <w:tab w:leader="none" w:pos="845" w:val="left"/>
        </w:tabs>
        <w:numPr>
          <w:ilvl w:val="0"/>
          <w:numId w:val="399"/>
        </w:numPr>
        <w:rPr>
          <w:rFonts w:ascii="Arial" w:cs="Arial" w:eastAsia="Arial" w:hAnsi="Arial"/>
          <w:sz w:val="15"/>
          <w:szCs w:val="15"/>
          <w:color w:val="auto"/>
        </w:rPr>
      </w:pPr>
      <w:r>
        <w:rPr>
          <w:rFonts w:ascii="Arial" w:cs="Arial" w:eastAsia="Arial" w:hAnsi="Arial"/>
          <w:sz w:val="15"/>
          <w:szCs w:val="15"/>
          <w:u w:val="single" w:color="auto"/>
          <w:color w:val="auto"/>
        </w:rPr>
        <w:t>Put Triggering Event</w:t>
      </w:r>
      <w:r>
        <w:rPr>
          <w:rFonts w:ascii="Arial" w:cs="Arial" w:eastAsia="Arial" w:hAnsi="Arial"/>
          <w:sz w:val="15"/>
          <w:szCs w:val="15"/>
          <w:color w:val="auto"/>
        </w:rPr>
        <w:t>. No sooner than fifteen (15) days nor later than ten (10) days prior to the consummation of a Change of Control, but not prior to the public announcement of such Change of Control, the Corporation shall deliver written notice thereof via facsimile and overnight courier to the Holders (a “</w:t>
      </w:r>
      <w:r>
        <w:rPr>
          <w:rFonts w:ascii="Arial" w:cs="Arial" w:eastAsia="Arial" w:hAnsi="Arial"/>
          <w:sz w:val="15"/>
          <w:szCs w:val="15"/>
          <w:b w:val="1"/>
          <w:bCs w:val="1"/>
          <w:color w:val="auto"/>
        </w:rPr>
        <w:t>Change of Control Notice</w:t>
      </w:r>
      <w:r>
        <w:rPr>
          <w:rFonts w:ascii="Arial" w:cs="Arial" w:eastAsia="Arial" w:hAnsi="Arial"/>
          <w:sz w:val="15"/>
          <w:szCs w:val="15"/>
          <w:color w:val="auto"/>
        </w:rPr>
        <w:t>”). At any time during the period beginning after a Holder’s receipt of a Change of Control Notice with respect to a Put Triggering Event and ending on the date that is twenty (20) Trading Days after such Put Triggering Event, such Holder may require the Corporation to redeem all or any portion of such Holder’s Series A Preferred Stock by delivering (such date of delivery, the “</w:t>
      </w:r>
      <w:r>
        <w:rPr>
          <w:rFonts w:ascii="Arial" w:cs="Arial" w:eastAsia="Arial" w:hAnsi="Arial"/>
          <w:sz w:val="15"/>
          <w:szCs w:val="15"/>
          <w:b w:val="1"/>
          <w:bCs w:val="1"/>
          <w:color w:val="auto"/>
        </w:rPr>
        <w:t>Put Triggering Event</w:t>
      </w:r>
      <w:r>
        <w:rPr>
          <w:rFonts w:ascii="Arial" w:cs="Arial" w:eastAsia="Arial" w:hAnsi="Arial"/>
          <w:sz w:val="15"/>
          <w:szCs w:val="15"/>
          <w:color w:val="auto"/>
        </w:rPr>
        <w:t xml:space="preserve"> </w:t>
      </w:r>
      <w:r>
        <w:rPr>
          <w:rFonts w:ascii="Arial" w:cs="Arial" w:eastAsia="Arial" w:hAnsi="Arial"/>
          <w:sz w:val="15"/>
          <w:szCs w:val="15"/>
          <w:b w:val="1"/>
          <w:bCs w:val="1"/>
          <w:color w:val="auto"/>
        </w:rPr>
        <w:t>Redemption Notice Date</w:t>
      </w:r>
      <w:r>
        <w:rPr>
          <w:rFonts w:ascii="Arial" w:cs="Arial" w:eastAsia="Arial" w:hAnsi="Arial"/>
          <w:sz w:val="15"/>
          <w:szCs w:val="15"/>
          <w:color w:val="auto"/>
        </w:rPr>
        <w:t>”) written notice thereof (“</w:t>
      </w:r>
      <w:r>
        <w:rPr>
          <w:rFonts w:ascii="Arial" w:cs="Arial" w:eastAsia="Arial" w:hAnsi="Arial"/>
          <w:sz w:val="15"/>
          <w:szCs w:val="15"/>
          <w:b w:val="1"/>
          <w:bCs w:val="1"/>
          <w:color w:val="auto"/>
        </w:rPr>
        <w:t>Put Triggering Event Redemption Notice</w:t>
      </w:r>
      <w:r>
        <w:rPr>
          <w:rFonts w:ascii="Arial" w:cs="Arial" w:eastAsia="Arial" w:hAnsi="Arial"/>
          <w:sz w:val="15"/>
          <w:szCs w:val="15"/>
          <w:color w:val="auto"/>
        </w:rPr>
        <w:t>”) to the Corporation, which</w:t>
      </w:r>
      <w:r>
        <w:rPr>
          <w:rFonts w:ascii="Arial" w:cs="Arial" w:eastAsia="Arial" w:hAnsi="Arial"/>
          <w:sz w:val="15"/>
          <w:szCs w:val="15"/>
          <w:b w:val="1"/>
          <w:bCs w:val="1"/>
          <w:color w:val="auto"/>
        </w:rPr>
        <w:t xml:space="preserve"> </w:t>
      </w:r>
      <w:r>
        <w:rPr>
          <w:rFonts w:ascii="Arial" w:cs="Arial" w:eastAsia="Arial" w:hAnsi="Arial"/>
          <w:sz w:val="15"/>
          <w:szCs w:val="15"/>
          <w:color w:val="auto"/>
        </w:rPr>
        <w:t>Put Triggering Event Redemption Notice shall indicate the Conversion Amount the Holder is electing to be redeemed and/or assumed as provided below. Any Series A Preferred Stock subject to redemption pursuant to this Section 5(c) shall be redeemed by the Corporation in cash at a price equal to (I) in the event of a Put Triggering Event that provides for cash payments to the Corporation or the equity holders of the Corporation, the greater of (i) 100% of the Cash Conversion Amount and (ii) the product of (x) the Conversion Rate in effect at such time as the Holder delivers a Put Triggering Event Redemption Notice with respect to such Cash Conversion Amount and (y) the highest amount of cash consideration to be paid to a holder of one share of Common Stock upon consummation of such Put Triggering Event (or, if such cash consideration is paid to the Corporation, that would be payable to a holder of one share of Common Stock after consummation of such Put Triggering Event and distribution of such cash by the Corporation to its holders of Common Stock), (II) in the event of a Put Triggering Event that provides for payments in securities (other than in Eligible Successor Common Stock) to the Corporation or the equity holders of the Corporation, the greater of (i) 100% of the Securities Conversion Amount and (ii) the product of (x) the Conversion Rate in effect at such time as the Holder delivers a Put Triggering Event Redemption Notice with respect to such Securities Conversion Amount and (y) the last Closing Sale Price of the Common Stock in effect immediately prior to the consummation of the Put Triggering Event (the “</w:t>
      </w:r>
      <w:r>
        <w:rPr>
          <w:rFonts w:ascii="Arial" w:cs="Arial" w:eastAsia="Arial" w:hAnsi="Arial"/>
          <w:sz w:val="15"/>
          <w:szCs w:val="15"/>
          <w:b w:val="1"/>
          <w:bCs w:val="1"/>
          <w:color w:val="auto"/>
        </w:rPr>
        <w:t>Put Triggering Event Redemption Price</w:t>
      </w:r>
      <w:r>
        <w:rPr>
          <w:rFonts w:ascii="Arial" w:cs="Arial" w:eastAsia="Arial" w:hAnsi="Arial"/>
          <w:sz w:val="15"/>
          <w:szCs w:val="15"/>
          <w:color w:val="auto"/>
        </w:rPr>
        <w:t>”), and (III) in the event of a Triggering Event that provides for payments in Eligible Successor Common Stock to the Corporation or the equity holders of the Corporation, the Successor Entity shall assume the Successor Entity Conversion Amount in accordance with the provisions of Section 5(b) above. Upon the Corporation’s receipt of a Put Triggering Event Redemption Notice(s) from any Holder, the Corporation shall within one (1) Business Day of such receipt notify each other Holder by facsimile of the Corporation’s receipt of such notice(s). The Corporation shall make payment of the Put Triggering Event Redemption Price concurrently with the consummation of such Put Triggering Event to all Holders that deliver a Put Triggering Event Redemption Notice prior to the consummation of such Put Triggering Event and within five (5) Trading Days after the Corporation’s receipt of such notice otherwise (the “</w:t>
      </w:r>
      <w:r>
        <w:rPr>
          <w:rFonts w:ascii="Arial" w:cs="Arial" w:eastAsia="Arial" w:hAnsi="Arial"/>
          <w:sz w:val="15"/>
          <w:szCs w:val="15"/>
          <w:b w:val="1"/>
          <w:bCs w:val="1"/>
          <w:color w:val="auto"/>
        </w:rPr>
        <w:t>Put</w:t>
      </w:r>
      <w:r>
        <w:rPr>
          <w:rFonts w:ascii="Arial" w:cs="Arial" w:eastAsia="Arial" w:hAnsi="Arial"/>
          <w:sz w:val="15"/>
          <w:szCs w:val="15"/>
          <w:color w:val="auto"/>
        </w:rPr>
        <w:t xml:space="preserve"> </w:t>
      </w:r>
      <w:r>
        <w:rPr>
          <w:rFonts w:ascii="Arial" w:cs="Arial" w:eastAsia="Arial" w:hAnsi="Arial"/>
          <w:sz w:val="15"/>
          <w:szCs w:val="15"/>
          <w:b w:val="1"/>
          <w:bCs w:val="1"/>
          <w:color w:val="auto"/>
        </w:rPr>
        <w:t>Triggering Event Redemption Date</w:t>
      </w:r>
      <w:r>
        <w:rPr>
          <w:rFonts w:ascii="Arial" w:cs="Arial" w:eastAsia="Arial" w:hAnsi="Arial"/>
          <w:sz w:val="15"/>
          <w:szCs w:val="15"/>
          <w:color w:val="auto"/>
        </w:rPr>
        <w:t>”). To the extent redemptions required by this Section 5(c) are deemed or determined by a</w:t>
      </w:r>
      <w:r>
        <w:rPr>
          <w:rFonts w:ascii="Arial" w:cs="Arial" w:eastAsia="Arial" w:hAnsi="Arial"/>
          <w:sz w:val="15"/>
          <w:szCs w:val="15"/>
          <w:b w:val="1"/>
          <w:bCs w:val="1"/>
          <w:color w:val="auto"/>
        </w:rPr>
        <w:t xml:space="preserve"> </w:t>
      </w:r>
      <w:r>
        <w:rPr>
          <w:rFonts w:ascii="Arial" w:cs="Arial" w:eastAsia="Arial" w:hAnsi="Arial"/>
          <w:sz w:val="15"/>
          <w:szCs w:val="15"/>
          <w:color w:val="auto"/>
        </w:rPr>
        <w:t>court of competent jurisdiction to be prepayments of the Series A Preferred Stock by the Corporation, such redemptions shall be deemed to be voluntary prepayments. Notwithstanding anything to the contrary in this Section 5(c), until the Put Triggering Event Redemption Price (together with any interest thereon) is paid in full, the Conversion Amount submitted for redemption under this Section 5(c) may be converted, in whole or in part, by the Holder into shares of Common Stock, or in the event the Conversion Date is after the consummation of the Put Triggering Event, shares or equity interests of the Successor Entity substantially equivalent to the Corporation’s Common Stock pursuant to Section 7(c)(i). The Holders and the Corporation agree that in the event of the Corporation’s redemption of any Series A Preferred Stock under this Section 5(c), the Holder’s damages would be uncertain and difficult to estimate because of the parties’ inability to predict future dividend rates and the uncertainty of the availability of a suitable substitute investment opportunity for the Holder. Accordingly, any redemption premium due under this Section 5(c) is intended by the parties to be, and shall be deemed, a reasonable estimate of the Holder’s actual loss of its investment opportunity and not as a penalty. In the event that the Corporation does not pay the Put Triggering Event Redemption Price on the Put Triggering Event Redemption Date, then the Holder shall have the right to void the redemption pursuant to Section 5(d).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4" w:name="page435"/>
    <w:bookmarkEnd w:id="43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80" w:lineRule="auto"/>
        <w:tabs>
          <w:tab w:leader="none" w:pos="841" w:val="left"/>
        </w:tabs>
        <w:numPr>
          <w:ilvl w:val="1"/>
          <w:numId w:val="400"/>
        </w:numPr>
        <w:rPr>
          <w:rFonts w:ascii="Arial" w:cs="Arial" w:eastAsia="Arial" w:hAnsi="Arial"/>
          <w:sz w:val="15"/>
          <w:szCs w:val="15"/>
          <w:color w:val="auto"/>
        </w:rPr>
      </w:pPr>
      <w:r>
        <w:rPr>
          <w:rFonts w:ascii="Arial" w:cs="Arial" w:eastAsia="Arial" w:hAnsi="Arial"/>
          <w:sz w:val="15"/>
          <w:szCs w:val="15"/>
          <w:u w:val="single" w:color="auto"/>
          <w:color w:val="auto"/>
        </w:rPr>
        <w:t>Void Redemption</w:t>
      </w:r>
      <w:r>
        <w:rPr>
          <w:rFonts w:ascii="Arial" w:cs="Arial" w:eastAsia="Arial" w:hAnsi="Arial"/>
          <w:sz w:val="15"/>
          <w:szCs w:val="15"/>
          <w:color w:val="auto"/>
        </w:rPr>
        <w:t>. In the event that the Corporation does not pay a Put Triggering Event Redemption Price within the time period set forth in this Certificate of Designations, at any time thereafter and until the Corporation pays such unpaid applicable Put Triggering Event Redemption Price in full, a Holder shall have the option to, in lieu of redemption, require the Corporation to promptly return to such Holder any or all of the Series A Preferred Stock that were submitted for redemption by such Holder and for which the applicable Put Triggering Event Redemption Price has not been paid, by sending written notice thereof to the Corporation via facsimile (the “</w:t>
      </w:r>
      <w:r>
        <w:rPr>
          <w:rFonts w:ascii="Arial" w:cs="Arial" w:eastAsia="Arial" w:hAnsi="Arial"/>
          <w:sz w:val="15"/>
          <w:szCs w:val="15"/>
          <w:b w:val="1"/>
          <w:bCs w:val="1"/>
          <w:color w:val="auto"/>
        </w:rPr>
        <w:t>Void Redemption Notice</w:t>
      </w:r>
      <w:r>
        <w:rPr>
          <w:rFonts w:ascii="Arial" w:cs="Arial" w:eastAsia="Arial" w:hAnsi="Arial"/>
          <w:sz w:val="15"/>
          <w:szCs w:val="15"/>
          <w:color w:val="auto"/>
        </w:rPr>
        <w:t>”). Upon the Corporation’s receipt of such Void Redemption Notice, (i) the applicable Redemption Notice shall be null and void with respect to the Series A Preferred Stock subject to the Void Redemption Notice, (ii) the Corporation shall immediately return any Series A Preferred Stock subject to the Void Redemption Notice, and (iii) the Conversion Price of such returned Series A Preferred Stock shall be adjusted to the lesser of (A) the Conversion Price as in effect on the date on which the Void Redemption Notice is delivered to the Corporation and</w:t>
      </w:r>
    </w:p>
    <w:p>
      <w:pPr>
        <w:spacing w:after="0" w:line="4" w:lineRule="exact"/>
        <w:rPr>
          <w:rFonts w:ascii="Arial" w:cs="Arial" w:eastAsia="Arial" w:hAnsi="Arial"/>
          <w:sz w:val="15"/>
          <w:szCs w:val="15"/>
          <w:color w:val="auto"/>
        </w:rPr>
      </w:pPr>
    </w:p>
    <w:p>
      <w:pPr>
        <w:jc w:val="both"/>
        <w:ind w:left="300" w:right="1239" w:hanging="2"/>
        <w:spacing w:after="0" w:line="298" w:lineRule="auto"/>
        <w:tabs>
          <w:tab w:leader="none" w:pos="571" w:val="left"/>
        </w:tabs>
        <w:numPr>
          <w:ilvl w:val="0"/>
          <w:numId w:val="401"/>
        </w:numPr>
        <w:rPr>
          <w:rFonts w:ascii="Arial" w:cs="Arial" w:eastAsia="Arial" w:hAnsi="Arial"/>
          <w:sz w:val="15"/>
          <w:szCs w:val="15"/>
          <w:color w:val="auto"/>
        </w:rPr>
      </w:pPr>
      <w:r>
        <w:rPr>
          <w:rFonts w:ascii="Arial" w:cs="Arial" w:eastAsia="Arial" w:hAnsi="Arial"/>
          <w:sz w:val="15"/>
          <w:szCs w:val="15"/>
          <w:color w:val="auto"/>
        </w:rPr>
        <w:t>the lowest Weighted Average Price of the Common Stock during the period beginning on the date on which the applicable Redemption Notice is delivered to the Corporation and ending on the date on which the Void Redemption Notice is delivered to the Corporation, as applicable, subject to further adjustment as provided in this Certificate of Designations.</w:t>
      </w:r>
    </w:p>
    <w:p>
      <w:pPr>
        <w:spacing w:after="0" w:line="46" w:lineRule="exact"/>
        <w:rPr>
          <w:rFonts w:ascii="Arial" w:cs="Arial" w:eastAsia="Arial" w:hAnsi="Arial"/>
          <w:sz w:val="15"/>
          <w:szCs w:val="15"/>
          <w:color w:val="auto"/>
        </w:rPr>
      </w:pPr>
    </w:p>
    <w:p>
      <w:pPr>
        <w:jc w:val="both"/>
        <w:ind w:left="300" w:right="1239" w:firstLine="248"/>
        <w:spacing w:after="0" w:line="251" w:lineRule="auto"/>
        <w:tabs>
          <w:tab w:leader="none" w:pos="845" w:val="left"/>
        </w:tabs>
        <w:numPr>
          <w:ilvl w:val="1"/>
          <w:numId w:val="401"/>
        </w:numPr>
        <w:rPr>
          <w:rFonts w:ascii="Arial" w:cs="Arial" w:eastAsia="Arial" w:hAnsi="Arial"/>
          <w:sz w:val="17"/>
          <w:szCs w:val="17"/>
          <w:color w:val="auto"/>
        </w:rPr>
      </w:pPr>
      <w:r>
        <w:rPr>
          <w:rFonts w:ascii="Arial" w:cs="Arial" w:eastAsia="Arial" w:hAnsi="Arial"/>
          <w:sz w:val="17"/>
          <w:szCs w:val="17"/>
          <w:u w:val="single" w:color="auto"/>
          <w:color w:val="auto"/>
        </w:rPr>
        <w:t>Disputes</w:t>
      </w:r>
      <w:r>
        <w:rPr>
          <w:rFonts w:ascii="Arial" w:cs="Arial" w:eastAsia="Arial" w:hAnsi="Arial"/>
          <w:sz w:val="17"/>
          <w:szCs w:val="17"/>
          <w:color w:val="auto"/>
        </w:rPr>
        <w:t>. In the event of a dispute as to the determination of the arithmetic calculation of the Put Triggering Event Redemption Price, such dispute shall be resolved pursuant to Section 7(e) with the term “Put Triggering Event Redemption Price” being substituted for the term “Conversion Rate”. A Holder’s delivery of a Void Redemption Notice and exercise of its rights following such notice shall not effect the Corporation’s obligations to make any payments which have accrued prior to the date of such notice.</w:t>
      </w:r>
    </w:p>
    <w:p>
      <w:pPr>
        <w:spacing w:after="0" w:line="80" w:lineRule="exact"/>
        <w:rPr>
          <w:sz w:val="20"/>
          <w:szCs w:val="20"/>
          <w:color w:val="auto"/>
        </w:rPr>
      </w:pPr>
    </w:p>
    <w:p>
      <w:pPr>
        <w:ind w:left="500" w:hanging="202"/>
        <w:spacing w:after="0"/>
        <w:tabs>
          <w:tab w:leader="none" w:pos="500"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1"/>
          <w:numId w:val="402"/>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Certificate of Designations, the following definitions shall apply:</w:t>
      </w:r>
    </w:p>
    <w:p>
      <w:pPr>
        <w:spacing w:after="0" w:line="101" w:lineRule="exact"/>
        <w:rPr>
          <w:rFonts w:ascii="Arial" w:cs="Arial" w:eastAsia="Arial" w:hAnsi="Arial"/>
          <w:sz w:val="17"/>
          <w:szCs w:val="17"/>
          <w:color w:val="auto"/>
        </w:rPr>
      </w:pPr>
    </w:p>
    <w:p>
      <w:pPr>
        <w:jc w:val="both"/>
        <w:ind w:left="540" w:right="1239" w:firstLine="259"/>
        <w:spacing w:after="0" w:line="294" w:lineRule="auto"/>
        <w:tabs>
          <w:tab w:leader="none" w:pos="1057" w:val="left"/>
        </w:tabs>
        <w:numPr>
          <w:ilvl w:val="2"/>
          <w:numId w:val="4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Contingent Obligation</w:t>
      </w:r>
      <w:r>
        <w:rPr>
          <w:rFonts w:ascii="Arial" w:cs="Arial" w:eastAsia="Arial" w:hAnsi="Arial"/>
          <w:sz w:val="15"/>
          <w:szCs w:val="15"/>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46" w:lineRule="exact"/>
        <w:rPr>
          <w:rFonts w:ascii="Arial" w:cs="Arial" w:eastAsia="Arial" w:hAnsi="Arial"/>
          <w:sz w:val="15"/>
          <w:szCs w:val="15"/>
          <w:color w:val="auto"/>
        </w:rPr>
      </w:pPr>
    </w:p>
    <w:p>
      <w:pPr>
        <w:ind w:left="1080" w:hanging="281"/>
        <w:spacing w:after="0"/>
        <w:tabs>
          <w:tab w:leader="none" w:pos="1080" w:val="left"/>
        </w:tabs>
        <w:numPr>
          <w:ilvl w:val="2"/>
          <w:numId w:val="4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United States generally accepted accounting principles, consistently applied.</w:t>
      </w:r>
    </w:p>
    <w:p>
      <w:pPr>
        <w:spacing w:after="0" w:line="105" w:lineRule="exact"/>
        <w:rPr>
          <w:rFonts w:ascii="Arial" w:cs="Arial" w:eastAsia="Arial" w:hAnsi="Arial"/>
          <w:sz w:val="17"/>
          <w:szCs w:val="17"/>
          <w:color w:val="auto"/>
        </w:rPr>
      </w:pPr>
    </w:p>
    <w:p>
      <w:pPr>
        <w:jc w:val="both"/>
        <w:ind w:left="540" w:right="1239" w:firstLine="259"/>
        <w:spacing w:after="0" w:line="283" w:lineRule="auto"/>
        <w:tabs>
          <w:tab w:leader="none" w:pos="1200" w:val="left"/>
        </w:tabs>
        <w:numPr>
          <w:ilvl w:val="2"/>
          <w:numId w:val="4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Indebtedness</w:t>
      </w:r>
      <w:r>
        <w:rPr>
          <w:rFonts w:ascii="Arial" w:cs="Arial" w:eastAsia="Arial" w:hAnsi="Arial"/>
          <w:sz w:val="15"/>
          <w:szCs w:val="15"/>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w:t>
      </w:r>
    </w:p>
    <w:p>
      <w:pPr>
        <w:spacing w:after="0" w:line="200" w:lineRule="exact"/>
        <w:rPr>
          <w:sz w:val="20"/>
          <w:szCs w:val="20"/>
          <w:color w:val="auto"/>
        </w:rPr>
      </w:pPr>
    </w:p>
    <w:p>
      <w:pPr>
        <w:spacing w:after="0" w:line="27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5" w:name="page436"/>
    <w:bookmarkEnd w:id="4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40" w:right="1239"/>
        <w:spacing w:after="0" w:line="335" w:lineRule="auto"/>
        <w:rPr>
          <w:sz w:val="20"/>
          <w:szCs w:val="20"/>
          <w:color w:val="auto"/>
        </w:rPr>
      </w:pPr>
      <w:r>
        <w:rPr>
          <w:rFonts w:ascii="Arial" w:cs="Arial" w:eastAsia="Arial" w:hAnsi="Arial"/>
          <w:sz w:val="15"/>
          <w:szCs w:val="15"/>
          <w:color w:val="auto"/>
        </w:rPr>
        <w:t>or property has not assumed or become liable for the payment of such indebtedness, and (viii) all Contingent Obligations in respect of indebtedness or obligations of others of the kinds referred to in clauses (i) through (vii) above.</w:t>
      </w:r>
    </w:p>
    <w:p>
      <w:pPr>
        <w:spacing w:after="0" w:line="16" w:lineRule="exact"/>
        <w:rPr>
          <w:sz w:val="20"/>
          <w:szCs w:val="20"/>
          <w:color w:val="auto"/>
        </w:rPr>
      </w:pPr>
    </w:p>
    <w:p>
      <w:pPr>
        <w:ind w:left="540" w:right="1239" w:firstLine="259"/>
        <w:spacing w:after="0" w:line="304" w:lineRule="auto"/>
        <w:tabs>
          <w:tab w:leader="none" w:pos="1128" w:val="left"/>
        </w:tabs>
        <w:numPr>
          <w:ilvl w:val="1"/>
          <w:numId w:val="4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any other entity and a government or any department or agency thereof.</w:t>
      </w:r>
    </w:p>
    <w:p>
      <w:pPr>
        <w:spacing w:after="0" w:line="39" w:lineRule="exact"/>
        <w:rPr>
          <w:rFonts w:ascii="Arial" w:cs="Arial" w:eastAsia="Arial" w:hAnsi="Arial"/>
          <w:sz w:val="16"/>
          <w:szCs w:val="16"/>
          <w:color w:val="auto"/>
        </w:rPr>
      </w:pPr>
    </w:p>
    <w:p>
      <w:pPr>
        <w:jc w:val="both"/>
        <w:ind w:left="300" w:right="1239" w:firstLine="248"/>
        <w:spacing w:after="0" w:line="285" w:lineRule="auto"/>
        <w:tabs>
          <w:tab w:leader="none" w:pos="829" w:val="left"/>
        </w:tabs>
        <w:numPr>
          <w:ilvl w:val="0"/>
          <w:numId w:val="404"/>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Holders shall not be entitled to vote, except (i) as otherwise required by applicable law and (ii) subject to Section 7(i), that each issued and outstanding share of Series A Preferred Stock shall be entitled to the number of votes equal to the number of shares of Common Stock into which each such share of Series A Preferred Stock is convertible (as adjusted from time to time pursuant to Section 8 hereof), at each meeting of stockholders of the Corporation (or pursuant to any action by written consent) with respect to matters presented to the stockholders of the Corporation for their action or consideration in connection with (A) a Change of Control of the Corporation or (B) the issuance by the Corporation, directly or indirectly, in one or more transactions or series of transactions, of shares of Common Stock, Options or Convertible Securities if, in the aggregate, the number of such shares of Common Stock together with the number of shares of Common Stock issuable upon the conversion or exercise, as applicable, of such Options and Convertible Securities is more than 20% of the number of shares of Common Stock issued and outstanding prior to any such issuance (such issuance, the “</w:t>
      </w:r>
      <w:r>
        <w:rPr>
          <w:rFonts w:ascii="Arial" w:cs="Arial" w:eastAsia="Arial" w:hAnsi="Arial"/>
          <w:sz w:val="15"/>
          <w:szCs w:val="15"/>
          <w:b w:val="1"/>
          <w:bCs w:val="1"/>
          <w:color w:val="auto"/>
        </w:rPr>
        <w:t>Twenty Percent Issuance</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jc w:val="both"/>
        <w:ind w:left="300" w:right="1239" w:firstLine="248"/>
        <w:spacing w:after="0" w:line="280" w:lineRule="auto"/>
        <w:tabs>
          <w:tab w:leader="none" w:pos="832"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Series A Preferred Stock Protective Provisions</w:t>
      </w:r>
      <w:r>
        <w:rPr>
          <w:rFonts w:ascii="Arial" w:cs="Arial" w:eastAsia="Arial" w:hAnsi="Arial"/>
          <w:sz w:val="16"/>
          <w:szCs w:val="16"/>
          <w:color w:val="auto"/>
        </w:rPr>
        <w:t>. In addition to any other rights provided by law, the Corporation shall not and shall not permit any direct or indirect Subsidiary of the Corporation to, without first obtaining the affirmative vote or written consent of the holders of a majority of the outstanding shares of Series A Preferred Stock:</w:t>
      </w:r>
    </w:p>
    <w:p>
      <w:pPr>
        <w:spacing w:after="0" w:line="57" w:lineRule="exact"/>
        <w:rPr>
          <w:rFonts w:ascii="Arial" w:cs="Arial" w:eastAsia="Arial" w:hAnsi="Arial"/>
          <w:sz w:val="16"/>
          <w:szCs w:val="16"/>
          <w:color w:val="auto"/>
        </w:rPr>
      </w:pPr>
    </w:p>
    <w:p>
      <w:pPr>
        <w:ind w:left="1040" w:hanging="241"/>
        <w:spacing w:after="0"/>
        <w:tabs>
          <w:tab w:leader="none" w:pos="104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increase the authorized number of shares of Series A Preferred Stock;</w:t>
      </w:r>
    </w:p>
    <w:p>
      <w:pPr>
        <w:spacing w:after="0" w:line="105" w:lineRule="exact"/>
        <w:rPr>
          <w:rFonts w:ascii="Arial" w:cs="Arial" w:eastAsia="Arial" w:hAnsi="Arial"/>
          <w:sz w:val="17"/>
          <w:szCs w:val="17"/>
          <w:color w:val="auto"/>
        </w:rPr>
      </w:pPr>
    </w:p>
    <w:p>
      <w:pPr>
        <w:ind w:left="540" w:right="1239" w:firstLine="259"/>
        <w:spacing w:after="0" w:line="267" w:lineRule="auto"/>
        <w:tabs>
          <w:tab w:leader="none" w:pos="1088" w:val="left"/>
        </w:tabs>
        <w:numPr>
          <w:ilvl w:val="1"/>
          <w:numId w:val="404"/>
        </w:numPr>
        <w:rPr>
          <w:rFonts w:ascii="Arial" w:cs="Arial" w:eastAsia="Arial" w:hAnsi="Arial"/>
          <w:sz w:val="17"/>
          <w:szCs w:val="17"/>
          <w:color w:val="auto"/>
        </w:rPr>
      </w:pPr>
      <w:r>
        <w:rPr>
          <w:rFonts w:ascii="Arial" w:cs="Arial" w:eastAsia="Arial" w:hAnsi="Arial"/>
          <w:sz w:val="17"/>
          <w:szCs w:val="17"/>
          <w:color w:val="auto"/>
        </w:rPr>
        <w:t>amend, alter or repeal the preferences, special rights or other powers of the Series A Preferred Stock so as to affect adversely the Series A Preferred Stock;</w:t>
      </w:r>
    </w:p>
    <w:p>
      <w:pPr>
        <w:spacing w:after="0" w:line="93" w:lineRule="exact"/>
        <w:rPr>
          <w:rFonts w:ascii="Arial" w:cs="Arial" w:eastAsia="Arial" w:hAnsi="Arial"/>
          <w:sz w:val="17"/>
          <w:szCs w:val="17"/>
          <w:color w:val="auto"/>
        </w:rPr>
      </w:pPr>
    </w:p>
    <w:p>
      <w:pPr>
        <w:jc w:val="both"/>
        <w:ind w:left="540" w:right="1239" w:firstLine="259"/>
        <w:spacing w:after="0" w:line="255" w:lineRule="auto"/>
        <w:tabs>
          <w:tab w:leader="none" w:pos="1135" w:val="left"/>
        </w:tabs>
        <w:numPr>
          <w:ilvl w:val="1"/>
          <w:numId w:val="404"/>
        </w:numPr>
        <w:rPr>
          <w:rFonts w:ascii="Arial" w:cs="Arial" w:eastAsia="Arial" w:hAnsi="Arial"/>
          <w:sz w:val="16"/>
          <w:szCs w:val="16"/>
          <w:color w:val="auto"/>
        </w:rPr>
      </w:pPr>
      <w:r>
        <w:rPr>
          <w:rFonts w:ascii="Arial" w:cs="Arial" w:eastAsia="Arial" w:hAnsi="Arial"/>
          <w:sz w:val="16"/>
          <w:szCs w:val="16"/>
          <w:color w:val="auto"/>
        </w:rPr>
        <w:t>on or prior to the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anniversary of the Initial Issuance Date, create, or authorize the creation of, or issue, or authorize the issuance of any debt security or any equity security or incur, or authorize the incurrence of any other Indebtedness, if such debt security, equity security or other Indebtedness is (A) one with preference or priority over the rights of the Series A Preferred Stock as to the right to either receive dividends or amounts distributable upon liquidation, dissolution or winding up of the Corporation and (B) issued or incurred with net proceeds to the Corporation or will have outstanding principal amount incurred plus accrued interest, as applicable, in an amount, individually or in the aggregate, more than $6,000,000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then outstanding principal amount of Vringo Notes (as defined in the Agreement and Plan of Merger, dated as of [___], 2012 (the “</w:t>
      </w:r>
      <w:r>
        <w:rPr>
          <w:rFonts w:ascii="Arial" w:cs="Arial" w:eastAsia="Arial" w:hAnsi="Arial"/>
          <w:sz w:val="16"/>
          <w:szCs w:val="16"/>
          <w:b w:val="1"/>
          <w:bCs w:val="1"/>
          <w:color w:val="auto"/>
        </w:rPr>
        <w:t>Subscription Date</w:t>
      </w:r>
      <w:r>
        <w:rPr>
          <w:rFonts w:ascii="Arial" w:cs="Arial" w:eastAsia="Arial" w:hAnsi="Arial"/>
          <w:sz w:val="16"/>
          <w:szCs w:val="16"/>
          <w:color w:val="auto"/>
        </w:rPr>
        <w:t>”), by and among Vringo,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xml:space="preserve">”), VIP Merger Sub, Inc., a Delaware corporation and wholly owned Subsidiary of Parent, and the Corporation; provided, that the Corporation and its Subsidiaries shall be permitted to incur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that the liens or other encumbrances, if any, on such Indebtedness cover only assets acquired after the Initial Issuance Date, and the holder of such Indebtedness expressly subordinates to the Holders of the Series A Preferred Stock with respect to assets owned by the Corporation on or prior to the Initial Issuance Date pursuant to a subordination agreement in form and substance reasonably satisfactory to the Required Holders; or</w:t>
      </w:r>
    </w:p>
    <w:p>
      <w:pPr>
        <w:spacing w:after="0" w:line="84" w:lineRule="exact"/>
        <w:rPr>
          <w:sz w:val="20"/>
          <w:szCs w:val="20"/>
          <w:color w:val="auto"/>
        </w:rPr>
      </w:pPr>
    </w:p>
    <w:p>
      <w:pPr>
        <w:jc w:val="both"/>
        <w:ind w:left="540" w:right="1239" w:firstLine="259"/>
        <w:spacing w:after="0" w:line="269" w:lineRule="auto"/>
        <w:tabs>
          <w:tab w:leader="none" w:pos="1077" w:val="left"/>
        </w:tabs>
        <w:numPr>
          <w:ilvl w:val="0"/>
          <w:numId w:val="405"/>
        </w:numPr>
        <w:rPr>
          <w:rFonts w:ascii="Arial" w:cs="Arial" w:eastAsia="Arial" w:hAnsi="Arial"/>
          <w:sz w:val="16"/>
          <w:szCs w:val="16"/>
          <w:color w:val="auto"/>
        </w:rPr>
      </w:pPr>
      <w:r>
        <w:rPr>
          <w:rFonts w:ascii="Arial" w:cs="Arial" w:eastAsia="Arial" w:hAnsi="Arial"/>
          <w:sz w:val="16"/>
          <w:szCs w:val="16"/>
          <w:color w:val="auto"/>
        </w:rPr>
        <w:t>in any manner, issue or sell any rights, warrants or options to subscribe for or purchase shares of Common Stock or securities directly or indirectly convertible into or exchangeable or exercisable for shares of Common Stock at a price which varies or may vary with the market price of the shares of Common Stock, including by way of one or more reset(s) to any fixed price, unless the conversion, exchange or exercise price of any such security cannot be less than the then applicable Conversion Price. Nothing herein shall prevent the Corporation from consummating an acquisition that does not result in capital raising for the Corporation and/or any of its Subsidiaries</w:t>
      </w:r>
    </w:p>
    <w:p>
      <w:pPr>
        <w:spacing w:after="0" w:line="200" w:lineRule="exact"/>
        <w:rPr>
          <w:sz w:val="20"/>
          <w:szCs w:val="20"/>
          <w:color w:val="auto"/>
        </w:rPr>
      </w:pPr>
    </w:p>
    <w:p>
      <w:pPr>
        <w:spacing w:after="0" w:line="27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6" w:name="page437"/>
    <w:bookmarkEnd w:id="43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92" w:lineRule="auto"/>
        <w:rPr>
          <w:sz w:val="20"/>
          <w:szCs w:val="20"/>
          <w:color w:val="auto"/>
        </w:rPr>
      </w:pPr>
      <w:r>
        <w:rPr>
          <w:rFonts w:ascii="Arial" w:cs="Arial" w:eastAsia="Arial" w:hAnsi="Arial"/>
          <w:sz w:val="15"/>
          <w:szCs w:val="15"/>
          <w:color w:val="auto"/>
        </w:rPr>
        <w:t>where the purchase price with respect thereto is a fixed price determined on or prior to the consummation of such transaction based on an average of recent market prices prior to such consummation, but only if all parties to any agreement with respect to such transaction and all Persons that are entitled to receive any securities pursuant to any such agreement are prohibited from selling, directly or indirectly, all equity and equity linked securities of the Corporation at all times after commencement of negotiations with respect to any such transaction until the consummation of any such transaction.</w:t>
      </w:r>
    </w:p>
    <w:p>
      <w:pPr>
        <w:spacing w:after="0" w:line="53" w:lineRule="exact"/>
        <w:rPr>
          <w:sz w:val="20"/>
          <w:szCs w:val="20"/>
          <w:color w:val="auto"/>
        </w:rPr>
      </w:pPr>
    </w:p>
    <w:p>
      <w:pPr>
        <w:jc w:val="both"/>
        <w:ind w:left="40" w:right="1239" w:firstLine="258"/>
        <w:spacing w:after="0" w:line="297" w:lineRule="auto"/>
        <w:tabs>
          <w:tab w:leader="none" w:pos="499" w:val="left"/>
        </w:tabs>
        <w:numPr>
          <w:ilvl w:val="0"/>
          <w:numId w:val="406"/>
        </w:numPr>
        <w:rPr>
          <w:rFonts w:ascii="Arial" w:cs="Arial" w:eastAsia="Arial" w:hAnsi="Arial"/>
          <w:sz w:val="15"/>
          <w:szCs w:val="15"/>
          <w:color w:val="auto"/>
        </w:rPr>
      </w:pPr>
      <w:r>
        <w:rPr>
          <w:rFonts w:ascii="Arial" w:cs="Arial" w:eastAsia="Arial" w:hAnsi="Arial"/>
          <w:sz w:val="15"/>
          <w:szCs w:val="15"/>
          <w:u w:val="single" w:color="auto"/>
          <w:color w:val="auto"/>
        </w:rPr>
        <w:t>Conversion</w:t>
      </w:r>
      <w:r>
        <w:rPr>
          <w:rFonts w:ascii="Arial" w:cs="Arial" w:eastAsia="Arial" w:hAnsi="Arial"/>
          <w:sz w:val="15"/>
          <w:szCs w:val="15"/>
          <w:color w:val="auto"/>
        </w:rPr>
        <w:t xml:space="preserve">. Subject to Section 7(i), each share of Series A Preferred Stock may be converted into shares of Common Stock at any time or times, at the option of any Holder as provided in this Section 7,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connection with any Liquidation Event, the right of conversion shall terminate at the close of business on the full business day next preceding the date fixed for the payment of any amounts distributable on liquidation to the holders of Series A Preferred Stock.</w:t>
      </w:r>
    </w:p>
    <w:p>
      <w:pPr>
        <w:spacing w:after="0" w:line="48" w:lineRule="exact"/>
        <w:rPr>
          <w:rFonts w:ascii="Arial" w:cs="Arial" w:eastAsia="Arial" w:hAnsi="Arial"/>
          <w:sz w:val="15"/>
          <w:szCs w:val="15"/>
          <w:color w:val="auto"/>
        </w:rPr>
      </w:pPr>
    </w:p>
    <w:p>
      <w:pPr>
        <w:ind w:left="820" w:hanging="272"/>
        <w:spacing w:after="0"/>
        <w:tabs>
          <w:tab w:leader="none" w:pos="820" w:val="left"/>
        </w:tabs>
        <w:numPr>
          <w:ilvl w:val="1"/>
          <w:numId w:val="406"/>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Certificate of Designations, the following definitions shall apply:</w:t>
      </w:r>
    </w:p>
    <w:p>
      <w:pPr>
        <w:spacing w:after="0" w:line="101" w:lineRule="exact"/>
        <w:rPr>
          <w:rFonts w:ascii="Arial" w:cs="Arial" w:eastAsia="Arial" w:hAnsi="Arial"/>
          <w:sz w:val="17"/>
          <w:szCs w:val="17"/>
          <w:color w:val="auto"/>
        </w:rPr>
      </w:pPr>
    </w:p>
    <w:p>
      <w:pPr>
        <w:ind w:left="1040" w:hanging="241"/>
        <w:spacing w:after="0"/>
        <w:tabs>
          <w:tab w:leader="none" w:pos="1040" w:val="left"/>
        </w:tabs>
        <w:numPr>
          <w:ilvl w:val="2"/>
          <w:numId w:val="4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Bloomberg</w:t>
      </w:r>
      <w:r>
        <w:rPr>
          <w:rFonts w:ascii="Arial" w:cs="Arial" w:eastAsia="Arial" w:hAnsi="Arial"/>
          <w:sz w:val="17"/>
          <w:szCs w:val="17"/>
          <w:color w:val="auto"/>
        </w:rPr>
        <w:t>” means Bloomberg Financial Markets.</w:t>
      </w:r>
    </w:p>
    <w:p>
      <w:pPr>
        <w:spacing w:after="0" w:line="105" w:lineRule="exact"/>
        <w:rPr>
          <w:rFonts w:ascii="Arial" w:cs="Arial" w:eastAsia="Arial" w:hAnsi="Arial"/>
          <w:sz w:val="17"/>
          <w:szCs w:val="17"/>
          <w:color w:val="auto"/>
        </w:rPr>
      </w:pPr>
    </w:p>
    <w:p>
      <w:pPr>
        <w:ind w:left="1080" w:hanging="281"/>
        <w:spacing w:after="0"/>
        <w:tabs>
          <w:tab w:leader="none" w:pos="1080" w:val="left"/>
        </w:tabs>
        <w:numPr>
          <w:ilvl w:val="2"/>
          <w:numId w:val="4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Amount</w:t>
      </w:r>
      <w:r>
        <w:rPr>
          <w:rFonts w:ascii="Arial" w:cs="Arial" w:eastAsia="Arial" w:hAnsi="Arial"/>
          <w:sz w:val="17"/>
          <w:szCs w:val="17"/>
          <w:color w:val="auto"/>
        </w:rPr>
        <w:t>” means the Stated Value.</w:t>
      </w:r>
    </w:p>
    <w:p>
      <w:pPr>
        <w:spacing w:after="0" w:line="105" w:lineRule="exact"/>
        <w:rPr>
          <w:rFonts w:ascii="Arial" w:cs="Arial" w:eastAsia="Arial" w:hAnsi="Arial"/>
          <w:sz w:val="17"/>
          <w:szCs w:val="17"/>
          <w:color w:val="auto"/>
        </w:rPr>
      </w:pPr>
    </w:p>
    <w:p>
      <w:pPr>
        <w:ind w:left="1140" w:hanging="341"/>
        <w:spacing w:after="0"/>
        <w:tabs>
          <w:tab w:leader="none" w:pos="1140" w:val="left"/>
        </w:tabs>
        <w:numPr>
          <w:ilvl w:val="2"/>
          <w:numId w:val="4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Price</w:t>
      </w:r>
      <w:r>
        <w:rPr>
          <w:rFonts w:ascii="Arial" w:cs="Arial" w:eastAsia="Arial" w:hAnsi="Arial"/>
          <w:sz w:val="17"/>
          <w:szCs w:val="17"/>
          <w:color w:val="auto"/>
        </w:rPr>
        <w:t>” means $.33138918, subject to adjustment as provided herein.</w:t>
      </w:r>
    </w:p>
    <w:p>
      <w:pPr>
        <w:spacing w:after="0" w:line="105" w:lineRule="exact"/>
        <w:rPr>
          <w:rFonts w:ascii="Arial" w:cs="Arial" w:eastAsia="Arial" w:hAnsi="Arial"/>
          <w:sz w:val="17"/>
          <w:szCs w:val="17"/>
          <w:color w:val="auto"/>
        </w:rPr>
      </w:pPr>
    </w:p>
    <w:p>
      <w:pPr>
        <w:ind w:left="540" w:right="1239" w:firstLine="259"/>
        <w:spacing w:after="0" w:line="272" w:lineRule="auto"/>
        <w:tabs>
          <w:tab w:leader="none" w:pos="1140" w:val="left"/>
        </w:tabs>
        <w:numPr>
          <w:ilvl w:val="2"/>
          <w:numId w:val="4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the Corporation, any entity in which the Corporation, directly or indirectly, owns any of the capital stock or holds an equity or similar interest.</w:t>
      </w:r>
    </w:p>
    <w:p>
      <w:pPr>
        <w:spacing w:after="0" w:line="58" w:lineRule="exact"/>
        <w:rPr>
          <w:rFonts w:ascii="Arial" w:cs="Arial" w:eastAsia="Arial" w:hAnsi="Arial"/>
          <w:sz w:val="17"/>
          <w:szCs w:val="17"/>
          <w:color w:val="auto"/>
        </w:rPr>
      </w:pPr>
    </w:p>
    <w:p>
      <w:pPr>
        <w:jc w:val="both"/>
        <w:ind w:left="540" w:right="1239" w:firstLine="259"/>
        <w:spacing w:after="0" w:line="283" w:lineRule="auto"/>
        <w:tabs>
          <w:tab w:leader="none" w:pos="1094" w:val="left"/>
        </w:tabs>
        <w:numPr>
          <w:ilvl w:val="2"/>
          <w:numId w:val="40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Weighted Average Price</w:t>
      </w:r>
      <w:r>
        <w:rPr>
          <w:rFonts w:ascii="Arial" w:cs="Arial" w:eastAsia="Arial" w:hAnsi="Arial"/>
          <w:sz w:val="15"/>
          <w:szCs w:val="15"/>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Weighted Average Price cannot be calculated for such security on such date on any of the foregoing bases, the Weighted Average Price of such security on such date shall be the fair market value as mutually determined by the Corporation and the Required Holders. If the Corporation and the Required Holders are unable to agree upon the fair market value of the Common Stock, then such dispute shall be resolved pursuant to Section 7(e) below with the term “Weighted Average Price” being substituted for the term “Conversion Rate.” All such determinations shall be appropriately adjusted for any stock dividend, stock split, stock combination or other similar transaction during such period.</w:t>
      </w:r>
    </w:p>
    <w:p>
      <w:pPr>
        <w:spacing w:after="0" w:line="63" w:lineRule="exact"/>
        <w:rPr>
          <w:rFonts w:ascii="Arial" w:cs="Arial" w:eastAsia="Arial" w:hAnsi="Arial"/>
          <w:sz w:val="15"/>
          <w:szCs w:val="15"/>
          <w:color w:val="auto"/>
        </w:rPr>
      </w:pPr>
    </w:p>
    <w:p>
      <w:pPr>
        <w:ind w:left="300" w:right="1239" w:firstLine="248"/>
        <w:spacing w:after="0" w:line="335" w:lineRule="auto"/>
        <w:tabs>
          <w:tab w:leader="none" w:pos="854" w:val="left"/>
        </w:tabs>
        <w:numPr>
          <w:ilvl w:val="1"/>
          <w:numId w:val="406"/>
        </w:numPr>
        <w:rPr>
          <w:rFonts w:ascii="Arial" w:cs="Arial" w:eastAsia="Arial" w:hAnsi="Arial"/>
          <w:sz w:val="15"/>
          <w:szCs w:val="15"/>
          <w:color w:val="auto"/>
        </w:rPr>
      </w:pPr>
      <w:r>
        <w:rPr>
          <w:rFonts w:ascii="Arial" w:cs="Arial" w:eastAsia="Arial" w:hAnsi="Arial"/>
          <w:sz w:val="15"/>
          <w:szCs w:val="15"/>
          <w:u w:val="single" w:color="auto"/>
          <w:color w:val="auto"/>
        </w:rPr>
        <w:t>Conversion</w:t>
      </w:r>
      <w:r>
        <w:rPr>
          <w:rFonts w:ascii="Arial" w:cs="Arial" w:eastAsia="Arial" w:hAnsi="Arial"/>
          <w:sz w:val="15"/>
          <w:szCs w:val="15"/>
          <w:color w:val="auto"/>
        </w:rPr>
        <w:t>. The number of shares of Common Stock issuable upon conversion of each share of Series A Preferred Stock pursuant to this Section 7 shall be determined according to the following formula (the “</w:t>
      </w:r>
      <w:r>
        <w:rPr>
          <w:rFonts w:ascii="Arial" w:cs="Arial" w:eastAsia="Arial" w:hAnsi="Arial"/>
          <w:sz w:val="15"/>
          <w:szCs w:val="15"/>
          <w:b w:val="1"/>
          <w:bCs w:val="1"/>
          <w:color w:val="auto"/>
        </w:rPr>
        <w:t>Conversion Rate</w:t>
      </w:r>
      <w:r>
        <w:rPr>
          <w:rFonts w:ascii="Arial" w:cs="Arial" w:eastAsia="Arial" w:hAnsi="Arial"/>
          <w:sz w:val="15"/>
          <w:szCs w:val="15"/>
          <w:color w:val="auto"/>
        </w:rPr>
        <w:t>”):</w:t>
      </w:r>
    </w:p>
    <w:p>
      <w:pPr>
        <w:spacing w:after="0" w:line="20" w:lineRule="exact"/>
        <w:rPr>
          <w:sz w:val="20"/>
          <w:szCs w:val="20"/>
          <w:color w:val="auto"/>
        </w:rPr>
      </w:pPr>
    </w:p>
    <w:p>
      <w:pPr>
        <w:jc w:val="center"/>
        <w:ind w:right="1199"/>
        <w:spacing w:after="0"/>
        <w:rPr>
          <w:sz w:val="20"/>
          <w:szCs w:val="20"/>
          <w:color w:val="auto"/>
        </w:rPr>
      </w:pPr>
      <w:r>
        <w:rPr>
          <w:rFonts w:ascii="Arial" w:cs="Arial" w:eastAsia="Arial" w:hAnsi="Arial"/>
          <w:sz w:val="17"/>
          <w:szCs w:val="17"/>
          <w:u w:val="single" w:color="auto"/>
          <w:color w:val="auto"/>
        </w:rPr>
        <w:t>Conversion Amount</w:t>
      </w:r>
    </w:p>
    <w:p>
      <w:pPr>
        <w:spacing w:after="0" w:line="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Conversion Price</w:t>
      </w:r>
    </w:p>
    <w:p>
      <w:pPr>
        <w:spacing w:after="0" w:line="93" w:lineRule="exact"/>
        <w:rPr>
          <w:sz w:val="20"/>
          <w:szCs w:val="20"/>
          <w:color w:val="auto"/>
        </w:rPr>
      </w:pPr>
    </w:p>
    <w:p>
      <w:pPr>
        <w:ind w:left="540" w:right="1239"/>
        <w:spacing w:after="0" w:line="299" w:lineRule="auto"/>
        <w:rPr>
          <w:sz w:val="20"/>
          <w:szCs w:val="20"/>
          <w:color w:val="auto"/>
        </w:rPr>
      </w:pPr>
      <w:r>
        <w:rPr>
          <w:rFonts w:ascii="Arial" w:cs="Arial" w:eastAsia="Arial" w:hAnsi="Arial"/>
          <w:sz w:val="16"/>
          <w:szCs w:val="16"/>
          <w:color w:val="auto"/>
        </w:rPr>
        <w:t>No fractional shares of Common Stock are to be issued upon the conversion of any Series A Preferred Stock, but rather the number of shares of Common Stock to be issued shall be rounded up to the nearest whole number.</w:t>
      </w:r>
    </w:p>
    <w:p>
      <w:pPr>
        <w:spacing w:after="0" w:line="43" w:lineRule="exact"/>
        <w:rPr>
          <w:sz w:val="20"/>
          <w:szCs w:val="20"/>
          <w:color w:val="auto"/>
        </w:rPr>
      </w:pPr>
    </w:p>
    <w:p>
      <w:pPr>
        <w:ind w:left="540" w:right="1239"/>
        <w:spacing w:after="0" w:line="267" w:lineRule="auto"/>
        <w:rPr>
          <w:sz w:val="20"/>
          <w:szCs w:val="20"/>
          <w:color w:val="auto"/>
        </w:rPr>
      </w:pPr>
      <w:r>
        <w:rPr>
          <w:rFonts w:ascii="Arial" w:cs="Arial" w:eastAsia="Arial" w:hAnsi="Arial"/>
          <w:sz w:val="17"/>
          <w:szCs w:val="17"/>
          <w:color w:val="auto"/>
        </w:rPr>
        <w:t>The applicable Conversion Rate and Conversion Price from time to time in effect is subject to adjustment as hereinafter provided.</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7" w:name="page438"/>
    <w:bookmarkEnd w:id="4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0" w:hanging="272"/>
        <w:spacing w:after="0"/>
        <w:tabs>
          <w:tab w:leader="none" w:pos="820" w:val="left"/>
        </w:tabs>
        <w:numPr>
          <w:ilvl w:val="0"/>
          <w:numId w:val="407"/>
        </w:numPr>
        <w:rPr>
          <w:rFonts w:ascii="Arial" w:cs="Arial" w:eastAsia="Arial" w:hAnsi="Arial"/>
          <w:sz w:val="15"/>
          <w:szCs w:val="15"/>
          <w:color w:val="auto"/>
        </w:rPr>
      </w:pPr>
      <w:r>
        <w:rPr>
          <w:rFonts w:ascii="Arial" w:cs="Arial" w:eastAsia="Arial" w:hAnsi="Arial"/>
          <w:sz w:val="15"/>
          <w:szCs w:val="15"/>
          <w:u w:val="single" w:color="auto"/>
          <w:color w:val="auto"/>
        </w:rPr>
        <w:t>Mechanics of Conversion</w:t>
      </w:r>
      <w:r>
        <w:rPr>
          <w:rFonts w:ascii="Arial" w:cs="Arial" w:eastAsia="Arial" w:hAnsi="Arial"/>
          <w:sz w:val="15"/>
          <w:szCs w:val="15"/>
          <w:color w:val="auto"/>
        </w:rPr>
        <w:t>. The conversion of Series A Preferred Stock shall be conducted in the following manner:</w:t>
      </w:r>
    </w:p>
    <w:p>
      <w:pPr>
        <w:spacing w:after="0" w:line="128" w:lineRule="exact"/>
        <w:rPr>
          <w:rFonts w:ascii="Arial" w:cs="Arial" w:eastAsia="Arial" w:hAnsi="Arial"/>
          <w:sz w:val="15"/>
          <w:szCs w:val="15"/>
          <w:color w:val="auto"/>
        </w:rPr>
      </w:pPr>
    </w:p>
    <w:p>
      <w:pPr>
        <w:jc w:val="both"/>
        <w:ind w:left="540" w:right="1239" w:firstLine="259"/>
        <w:spacing w:after="0" w:line="265" w:lineRule="auto"/>
        <w:tabs>
          <w:tab w:leader="none" w:pos="1032" w:val="left"/>
        </w:tabs>
        <w:numPr>
          <w:ilvl w:val="1"/>
          <w:numId w:val="407"/>
        </w:numPr>
        <w:rPr>
          <w:rFonts w:ascii="Arial" w:cs="Arial" w:eastAsia="Arial" w:hAnsi="Arial"/>
          <w:sz w:val="16"/>
          <w:szCs w:val="16"/>
          <w:color w:val="auto"/>
        </w:rPr>
      </w:pPr>
      <w:r>
        <w:rPr>
          <w:rFonts w:ascii="Arial" w:cs="Arial" w:eastAsia="Arial" w:hAnsi="Arial"/>
          <w:sz w:val="16"/>
          <w:szCs w:val="16"/>
          <w:u w:val="single" w:color="auto"/>
          <w:color w:val="auto"/>
        </w:rPr>
        <w:t>Holder’s Delivery Requirements</w:t>
      </w:r>
      <w:r>
        <w:rPr>
          <w:rFonts w:ascii="Arial" w:cs="Arial" w:eastAsia="Arial" w:hAnsi="Arial"/>
          <w:sz w:val="16"/>
          <w:szCs w:val="16"/>
          <w:color w:val="auto"/>
        </w:rPr>
        <w:t>. To convert Series A Preferred Stock into shares of Common Stock on any date (a “</w:t>
      </w:r>
      <w:r>
        <w:rPr>
          <w:rFonts w:ascii="Arial" w:cs="Arial" w:eastAsia="Arial" w:hAnsi="Arial"/>
          <w:sz w:val="16"/>
          <w:szCs w:val="16"/>
          <w:b w:val="1"/>
          <w:bCs w:val="1"/>
          <w:color w:val="auto"/>
        </w:rPr>
        <w:t>Conversion Date</w:t>
      </w:r>
      <w:r>
        <w:rPr>
          <w:rFonts w:ascii="Arial" w:cs="Arial" w:eastAsia="Arial" w:hAnsi="Arial"/>
          <w:sz w:val="16"/>
          <w:szCs w:val="16"/>
          <w:color w:val="auto"/>
        </w:rPr>
        <w:t xml:space="preserve">”), the Holder shall (A) transmit by facsimile (or otherwise deliver), for receipt on or prior to 11:59 p.m., New York City time, on such date, a copy of a properly completed notice of conversion executed by the registered Holder of the Series A Preferred Stock subject to such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to the Corporation and if the Corporation has appointed a registered transfer agent, the Corporations registered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(if the Corporation does not have a registered transfer agent, references hereto to the “Transfer Agent” shall be deemed to be references to the Corporation) and (B) if required by Section 7(c)(iv), surrender to a common carrier for delivery to the Corporation as soon as practicable following such date the original certificates representing the Series A Preferred Stock being converted (or compliance with the procedures set forth in Section 11) (the “</w:t>
      </w:r>
      <w:r>
        <w:rPr>
          <w:rFonts w:ascii="Arial" w:cs="Arial" w:eastAsia="Arial" w:hAnsi="Arial"/>
          <w:sz w:val="16"/>
          <w:szCs w:val="16"/>
          <w:b w:val="1"/>
          <w:bCs w:val="1"/>
          <w:color w:val="auto"/>
        </w:rPr>
        <w:t>Preferred Stock Certificates</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100" w:hanging="301"/>
        <w:spacing w:after="0"/>
        <w:tabs>
          <w:tab w:leader="none" w:pos="1100" w:val="left"/>
        </w:tabs>
        <w:numPr>
          <w:ilvl w:val="1"/>
          <w:numId w:val="407"/>
        </w:numPr>
        <w:rPr>
          <w:rFonts w:ascii="Arial" w:cs="Arial" w:eastAsia="Arial" w:hAnsi="Arial"/>
          <w:sz w:val="15"/>
          <w:szCs w:val="15"/>
          <w:color w:val="auto"/>
        </w:rPr>
      </w:pPr>
      <w:r>
        <w:rPr>
          <w:rFonts w:ascii="Arial" w:cs="Arial" w:eastAsia="Arial" w:hAnsi="Arial"/>
          <w:sz w:val="15"/>
          <w:szCs w:val="15"/>
          <w:u w:val="single" w:color="auto"/>
          <w:color w:val="auto"/>
        </w:rPr>
        <w:t>Corporation’s Response</w:t>
      </w:r>
      <w:r>
        <w:rPr>
          <w:rFonts w:ascii="Arial" w:cs="Arial" w:eastAsia="Arial" w:hAnsi="Arial"/>
          <w:sz w:val="15"/>
          <w:szCs w:val="15"/>
          <w:color w:val="auto"/>
        </w:rPr>
        <w:t>. Upon receipt by the Corporation of a copy of a Conversion Notice, the Corporation shall</w:t>
      </w:r>
    </w:p>
    <w:p>
      <w:pPr>
        <w:spacing w:after="0" w:line="40" w:lineRule="exact"/>
        <w:rPr>
          <w:rFonts w:ascii="Arial" w:cs="Arial" w:eastAsia="Arial" w:hAnsi="Arial"/>
          <w:sz w:val="15"/>
          <w:szCs w:val="15"/>
          <w:color w:val="auto"/>
        </w:rPr>
      </w:pPr>
    </w:p>
    <w:p>
      <w:pPr>
        <w:jc w:val="both"/>
        <w:ind w:left="540" w:right="1239"/>
        <w:spacing w:after="0" w:line="285" w:lineRule="auto"/>
        <w:rPr>
          <w:rFonts w:ascii="Arial" w:cs="Arial" w:eastAsia="Arial" w:hAnsi="Arial"/>
          <w:sz w:val="15"/>
          <w:szCs w:val="15"/>
          <w:color w:val="auto"/>
        </w:rPr>
      </w:pPr>
      <w:r>
        <w:rPr>
          <w:rFonts w:ascii="Arial" w:cs="Arial" w:eastAsia="Arial" w:hAnsi="Arial"/>
          <w:sz w:val="15"/>
          <w:szCs w:val="15"/>
          <w:color w:val="auto"/>
        </w:rPr>
        <w:t>(A) as soon as practicable, but in any event within two (2) Trading Days, send, via facsimile, a confirmation of receipt of such Conversion Notice to such Holder and the Transfer Agent, if applicable, which confirmation shall constitute an instruction to the Transfer Agent to process such Conversion Notice in accordance with the terms herein and (B) on or</w:t>
      </w:r>
    </w:p>
    <w:p>
      <w:pPr>
        <w:spacing w:after="0" w:line="1" w:lineRule="exact"/>
        <w:rPr>
          <w:sz w:val="20"/>
          <w:szCs w:val="20"/>
          <w:color w:val="auto"/>
        </w:rPr>
      </w:pPr>
    </w:p>
    <w:p>
      <w:pPr>
        <w:jc w:val="both"/>
        <w:ind w:left="540" w:right="1239"/>
        <w:spacing w:after="0" w:line="273" w:lineRule="auto"/>
        <w:rPr>
          <w:sz w:val="20"/>
          <w:szCs w:val="20"/>
          <w:color w:val="auto"/>
        </w:rPr>
      </w:pPr>
      <w:r>
        <w:rPr>
          <w:rFonts w:ascii="Arial" w:cs="Arial" w:eastAsia="Arial" w:hAnsi="Arial"/>
          <w:sz w:val="15"/>
          <w:szCs w:val="15"/>
          <w:color w:val="auto"/>
        </w:rPr>
        <w:t>before the third (3</w:t>
      </w:r>
      <w:r>
        <w:rPr>
          <w:rFonts w:ascii="Arial" w:cs="Arial" w:eastAsia="Arial" w:hAnsi="Arial"/>
          <w:sz w:val="24"/>
          <w:szCs w:val="24"/>
          <w:color w:val="auto"/>
          <w:vertAlign w:val="superscript"/>
        </w:rPr>
        <w:t>rd</w:t>
      </w:r>
      <w:r>
        <w:rPr>
          <w:rFonts w:ascii="Arial" w:cs="Arial" w:eastAsia="Arial" w:hAnsi="Arial"/>
          <w:sz w:val="15"/>
          <w:szCs w:val="15"/>
          <w:color w:val="auto"/>
        </w:rPr>
        <w:t>) Trading Day following the date of receipt by the Corporation of such Conversion Notice (the “</w:t>
      </w:r>
      <w:r>
        <w:rPr>
          <w:rFonts w:ascii="Arial" w:cs="Arial" w:eastAsia="Arial" w:hAnsi="Arial"/>
          <w:sz w:val="15"/>
          <w:szCs w:val="15"/>
          <w:b w:val="1"/>
          <w:bCs w:val="1"/>
          <w:color w:val="auto"/>
        </w:rPr>
        <w:t>Share</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Date</w:t>
      </w:r>
      <w:r>
        <w:rPr>
          <w:rFonts w:ascii="Arial" w:cs="Arial" w:eastAsia="Arial" w:hAnsi="Arial"/>
          <w:sz w:val="15"/>
          <w:szCs w:val="15"/>
          <w:color w:val="auto"/>
        </w:rPr>
        <w:t>”), (1) provided the Transfer Agent is participating in the DTC Fast Automated Securities Transfer Program,</w:t>
      </w:r>
      <w:r>
        <w:rPr>
          <w:rFonts w:ascii="Arial" w:cs="Arial" w:eastAsia="Arial" w:hAnsi="Arial"/>
          <w:sz w:val="15"/>
          <w:szCs w:val="15"/>
          <w:b w:val="1"/>
          <w:bCs w:val="1"/>
          <w:color w:val="auto"/>
        </w:rPr>
        <w:t xml:space="preserve"> </w:t>
      </w:r>
      <w:r>
        <w:rPr>
          <w:rFonts w:ascii="Arial" w:cs="Arial" w:eastAsia="Arial" w:hAnsi="Arial"/>
          <w:sz w:val="15"/>
          <w:szCs w:val="15"/>
          <w:color w:val="auto"/>
        </w:rPr>
        <w:t>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A Preferred Stock represented by the Preferred Stock Certificate(s) submitted for conversion, as may be required pursuant to Section 7(c)(iv), is greater than the number of shares of Series A Preferred Stock being converted, then the Corporation shall, as soon as practicable and in no event later than five (5) Business Days after receipt of the Preferred Stock Certificate(s) (the “</w:t>
      </w:r>
      <w:r>
        <w:rPr>
          <w:rFonts w:ascii="Arial" w:cs="Arial" w:eastAsia="Arial" w:hAnsi="Arial"/>
          <w:sz w:val="15"/>
          <w:szCs w:val="15"/>
          <w:b w:val="1"/>
          <w:bCs w:val="1"/>
          <w:color w:val="auto"/>
        </w:rPr>
        <w:t>Preferred Stock Delivery</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and at its own expense, issue and deliver to the Holder a new Preferred Stock Certificate representing the number of</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Series A Preferred Stock not converted.</w:t>
      </w:r>
    </w:p>
    <w:p>
      <w:pPr>
        <w:spacing w:after="0" w:line="70" w:lineRule="exact"/>
        <w:rPr>
          <w:sz w:val="20"/>
          <w:szCs w:val="20"/>
          <w:color w:val="auto"/>
        </w:rPr>
      </w:pPr>
    </w:p>
    <w:p>
      <w:pPr>
        <w:ind w:left="1140" w:hanging="341"/>
        <w:spacing w:after="0"/>
        <w:tabs>
          <w:tab w:leader="none" w:pos="1140"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t>Corporation’s Failure to Timely Convert</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1040" w:right="1239" w:firstLine="260"/>
        <w:spacing w:after="0" w:line="280" w:lineRule="auto"/>
        <w:tabs>
          <w:tab w:leader="none" w:pos="1618" w:val="left"/>
        </w:tabs>
        <w:numPr>
          <w:ilvl w:val="2"/>
          <w:numId w:val="408"/>
        </w:numPr>
        <w:rPr>
          <w:rFonts w:ascii="Arial" w:cs="Arial" w:eastAsia="Arial" w:hAnsi="Arial"/>
          <w:sz w:val="15"/>
          <w:szCs w:val="15"/>
          <w:color w:val="auto"/>
        </w:rPr>
      </w:pPr>
      <w:r>
        <w:rPr>
          <w:rFonts w:ascii="Arial" w:cs="Arial" w:eastAsia="Arial" w:hAnsi="Arial"/>
          <w:sz w:val="15"/>
          <w:szCs w:val="15"/>
          <w:u w:val="single" w:color="auto"/>
          <w:color w:val="auto"/>
        </w:rPr>
        <w:t>Cash Damages</w:t>
      </w:r>
      <w:r>
        <w:rPr>
          <w:rFonts w:ascii="Arial" w:cs="Arial" w:eastAsia="Arial" w:hAnsi="Arial"/>
          <w:sz w:val="15"/>
          <w:szCs w:val="15"/>
          <w:color w:val="auto"/>
        </w:rPr>
        <w:t>.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A Preferred Stock (a “</w:t>
      </w:r>
      <w:r>
        <w:rPr>
          <w:rFonts w:ascii="Arial" w:cs="Arial" w:eastAsia="Arial" w:hAnsi="Arial"/>
          <w:sz w:val="15"/>
          <w:szCs w:val="15"/>
          <w:b w:val="1"/>
          <w:bCs w:val="1"/>
          <w:color w:val="auto"/>
        </w:rPr>
        <w:t>Conversion Failure</w:t>
      </w:r>
      <w:r>
        <w:rPr>
          <w:rFonts w:ascii="Arial" w:cs="Arial" w:eastAsia="Arial" w:hAnsi="Arial"/>
          <w:sz w:val="15"/>
          <w:szCs w:val="15"/>
          <w:color w:val="auto"/>
        </w:rPr>
        <w:t>”),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5"/>
          <w:szCs w:val="15"/>
          <w:b w:val="1"/>
          <w:bCs w:val="1"/>
          <w:color w:val="auto"/>
        </w:rPr>
        <w:t>Buy-In</w:t>
      </w:r>
      <w:r>
        <w:rPr>
          <w:rFonts w:ascii="Arial" w:cs="Arial" w:eastAsia="Arial" w:hAnsi="Arial"/>
          <w:sz w:val="15"/>
          <w:szCs w:val="15"/>
          <w:color w:val="auto"/>
        </w:rPr>
        <w:t>”),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5"/>
          <w:szCs w:val="15"/>
          <w:b w:val="1"/>
          <w:bCs w:val="1"/>
          <w:color w:val="auto"/>
        </w:rPr>
        <w:t>Buy-In Price</w:t>
      </w:r>
      <w:r>
        <w:rPr>
          <w:rFonts w:ascii="Arial" w:cs="Arial" w:eastAsia="Arial" w:hAnsi="Arial"/>
          <w:sz w:val="15"/>
          <w:szCs w:val="15"/>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w:t>
      </w:r>
    </w:p>
    <w:p>
      <w:pPr>
        <w:spacing w:after="0" w:line="2" w:lineRule="exact"/>
        <w:rPr>
          <w:rFonts w:ascii="Arial" w:cs="Arial" w:eastAsia="Arial" w:hAnsi="Arial"/>
          <w:sz w:val="15"/>
          <w:szCs w:val="15"/>
          <w:color w:val="auto"/>
        </w:rPr>
      </w:pPr>
    </w:p>
    <w:p>
      <w:pPr>
        <w:ind w:left="1320" w:hanging="270"/>
        <w:spacing w:after="0"/>
        <w:tabs>
          <w:tab w:leader="none" w:pos="132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the Closing Sale Price</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8" w:name="page439"/>
    <w:bookmarkEnd w:id="4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1040" w:right="1239"/>
        <w:spacing w:after="0" w:line="274" w:lineRule="auto"/>
        <w:rPr>
          <w:sz w:val="20"/>
          <w:szCs w:val="20"/>
          <w:color w:val="auto"/>
        </w:rPr>
      </w:pPr>
      <w:r>
        <w:rPr>
          <w:rFonts w:ascii="Arial" w:cs="Arial" w:eastAsia="Arial" w:hAnsi="Arial"/>
          <w:sz w:val="16"/>
          <w:szCs w:val="16"/>
          <w:color w:val="auto"/>
        </w:rPr>
        <w:t>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A Preferred Stock as required pursuant to the terms hereof.</w:t>
      </w:r>
    </w:p>
    <w:p>
      <w:pPr>
        <w:spacing w:after="0" w:line="62" w:lineRule="exact"/>
        <w:rPr>
          <w:sz w:val="20"/>
          <w:szCs w:val="20"/>
          <w:color w:val="auto"/>
        </w:rPr>
      </w:pPr>
    </w:p>
    <w:p>
      <w:pPr>
        <w:ind w:left="1600" w:hanging="300"/>
        <w:spacing w:after="0"/>
        <w:tabs>
          <w:tab w:leader="none" w:pos="1600" w:val="left"/>
        </w:tabs>
        <w:numPr>
          <w:ilvl w:val="0"/>
          <w:numId w:val="409"/>
        </w:numPr>
        <w:rPr>
          <w:rFonts w:ascii="Arial" w:cs="Arial" w:eastAsia="Arial" w:hAnsi="Arial"/>
          <w:sz w:val="15"/>
          <w:szCs w:val="15"/>
          <w:color w:val="auto"/>
        </w:rPr>
      </w:pPr>
      <w:r>
        <w:rPr>
          <w:rFonts w:ascii="Arial" w:cs="Arial" w:eastAsia="Arial" w:hAnsi="Arial"/>
          <w:sz w:val="15"/>
          <w:szCs w:val="15"/>
          <w:u w:val="single" w:color="auto"/>
          <w:color w:val="auto"/>
        </w:rPr>
        <w:t>Void Conversion Notice; Adjustment of Conversion Price</w:t>
      </w:r>
      <w:r>
        <w:rPr>
          <w:rFonts w:ascii="Arial" w:cs="Arial" w:eastAsia="Arial" w:hAnsi="Arial"/>
          <w:sz w:val="15"/>
          <w:szCs w:val="15"/>
          <w:color w:val="auto"/>
        </w:rPr>
        <w:t>. If for any reason a Holder has not received all of</w:t>
      </w:r>
    </w:p>
    <w:p>
      <w:pPr>
        <w:spacing w:after="0" w:line="55" w:lineRule="exact"/>
        <w:rPr>
          <w:sz w:val="20"/>
          <w:szCs w:val="20"/>
          <w:color w:val="auto"/>
        </w:rPr>
      </w:pPr>
    </w:p>
    <w:p>
      <w:pPr>
        <w:jc w:val="both"/>
        <w:ind w:left="1040" w:right="1239"/>
        <w:spacing w:after="0" w:line="234" w:lineRule="auto"/>
        <w:rPr>
          <w:sz w:val="20"/>
          <w:szCs w:val="20"/>
          <w:color w:val="auto"/>
        </w:rPr>
      </w:pPr>
      <w:r>
        <w:rPr>
          <w:rFonts w:ascii="Arial" w:cs="Arial" w:eastAsia="Arial" w:hAnsi="Arial"/>
          <w:sz w:val="17"/>
          <w:szCs w:val="17"/>
          <w:color w:val="auto"/>
        </w:rPr>
        <w:t>the shares of Common Stock to which such Holder is entitled prior to the tenth (10</w:t>
      </w:r>
      <w:r>
        <w:rPr>
          <w:rFonts w:ascii="Arial" w:cs="Arial" w:eastAsia="Arial" w:hAnsi="Arial"/>
          <w:sz w:val="27"/>
          <w:szCs w:val="27"/>
          <w:color w:val="auto"/>
          <w:vertAlign w:val="superscript"/>
        </w:rPr>
        <w:t>th</w:t>
      </w:r>
      <w:r>
        <w:rPr>
          <w:rFonts w:ascii="Arial" w:cs="Arial" w:eastAsia="Arial" w:hAnsi="Arial"/>
          <w:sz w:val="17"/>
          <w:szCs w:val="17"/>
          <w:color w:val="auto"/>
        </w:rPr>
        <w:t>) Trading Day after the Share Delivery Date with respect to a conversion of Series A Preferred Stock, then the Holder, upon written notice to the Corporation, with a copy to the Transfer Agent, may void its Conversion Notice with respect to, and retain or have returned, as the case may be, any shares of Series A Preferred Stock that have not been converted pursuant to such Holder’s Conversion Notice; provided that the voiding of a Holder’s Conversion Notice shall not effect the Corporation’s obligations to make any payments which have accrued prior to the date of such notice pursuant to Section 7(c)(iii)(A) or otherwise.</w:t>
      </w:r>
    </w:p>
    <w:p>
      <w:pPr>
        <w:spacing w:after="0" w:line="93" w:lineRule="exact"/>
        <w:rPr>
          <w:sz w:val="20"/>
          <w:szCs w:val="20"/>
          <w:color w:val="auto"/>
        </w:rPr>
      </w:pPr>
    </w:p>
    <w:p>
      <w:pPr>
        <w:jc w:val="both"/>
        <w:ind w:left="540" w:right="1239" w:firstLine="259"/>
        <w:spacing w:after="0" w:line="281" w:lineRule="auto"/>
        <w:tabs>
          <w:tab w:leader="none" w:pos="1153" w:val="left"/>
        </w:tabs>
        <w:numPr>
          <w:ilvl w:val="0"/>
          <w:numId w:val="410"/>
        </w:numPr>
        <w:rPr>
          <w:rFonts w:ascii="Arial" w:cs="Arial" w:eastAsia="Arial" w:hAnsi="Arial"/>
          <w:sz w:val="15"/>
          <w:szCs w:val="15"/>
          <w:color w:val="auto"/>
        </w:rPr>
      </w:pPr>
      <w:r>
        <w:rPr>
          <w:rFonts w:ascii="Arial" w:cs="Arial" w:eastAsia="Arial" w:hAnsi="Arial"/>
          <w:sz w:val="15"/>
          <w:szCs w:val="15"/>
          <w:u w:val="single" w:color="auto"/>
          <w:color w:val="auto"/>
        </w:rPr>
        <w:t>Book-Entry</w:t>
      </w:r>
      <w:r>
        <w:rPr>
          <w:rFonts w:ascii="Arial" w:cs="Arial" w:eastAsia="Arial" w:hAnsi="Arial"/>
          <w:sz w:val="15"/>
          <w:szCs w:val="15"/>
          <w:color w:val="auto"/>
        </w:rPr>
        <w:t>. Notwithstanding anything to the contrary set forth herein, upon conversion of Series A Preferred Stock in accordance with the terms hereof, the Holder thereof shall not be required to physically surrender the certificate representing the Series A Preferred Stock to the Corporation unless (A) the full or remaining number of shares of Series A Preferred Stock represented by the certificate are being converted, in which case the Holder shall deliver such stock certificate to the Corporation promptly following such conversion, or (B) a Holder has provided the Corporation with prior written notice (which notice may be included in a Conversion Notice) requesting reissuance of Series A Preferred Stock upon physical surrender of any Series A Preferred Stock. The Holder and the Corporation shall maintain records showing the number of shares of Series A Preferred Stock so converted and the dates of such conversions or shall use such other method, reasonably satisfactory to the Holder and the Corporation, so as not to require physical surrender of the certificate representing the Series A Preferred Stock upon each such conversion. In the event of any dispute or discrepancy, such records of the Corporation establishing the number of shares of Series A Preferred Stock to which the record holder is entitled shall be controlling and determinative in the absence of manifest error. Notwithstanding the foregoing, if Series A Preferred Stock represented by a certificate are converted as aforesaid, a Holder may not transfer the certificate representing the Series A Preferred Stock unless such Holder first physically surrenders the certificate representing the Series A Preferred Stock to the Corporation, whereupon the Corporation will forthwith issue and deliver upon the order of such Holder a new certificate of like tenor, registered as such Holder may request, representing in the aggregate the remaining number of shares of Series A Preferred Stock represented by such certificate. A Holder and any assignee, by acceptance of a certificate, acknowledge and agree that, by reason of the provisions of this paragraph, following conversion of any Series A Preferred Stock, the number of shares of Series A Preferred Stock represented by such certificate may be less than the number of shares of Series A Preferred Stock stated on the face thereof. Each certificate for Series A Preferred Stock shall bear the following legend:</w:t>
      </w:r>
    </w:p>
    <w:p>
      <w:pPr>
        <w:spacing w:after="0" w:line="69" w:lineRule="exact"/>
        <w:rPr>
          <w:sz w:val="20"/>
          <w:szCs w:val="20"/>
          <w:color w:val="auto"/>
        </w:rPr>
      </w:pPr>
    </w:p>
    <w:p>
      <w:pPr>
        <w:jc w:val="both"/>
        <w:ind w:left="800" w:right="1239"/>
        <w:spacing w:after="0" w:line="249" w:lineRule="auto"/>
        <w:rPr>
          <w:sz w:val="20"/>
          <w:szCs w:val="20"/>
          <w:color w:val="auto"/>
        </w:rPr>
      </w:pPr>
      <w:r>
        <w:rPr>
          <w:rFonts w:ascii="Arial" w:cs="Arial" w:eastAsia="Arial" w:hAnsi="Arial"/>
          <w:sz w:val="17"/>
          <w:szCs w:val="17"/>
          <w:color w:val="auto"/>
        </w:rPr>
        <w:t>ANY TRANSFEREE OF THIS CERTIFICATE SHOULD CAREFULLY REVIEW THE TERMS OF THE CORPORATION’S CERTIFICATE OF DESIGNATIONS RELATING TO THE SERIES A PREFERRED STOCK REPRESENTED BY THIS CERTIFICATE, INCLUDING SECTION 7(c)(iv) THEREOF. THE NUMBER OF SHARES OF SERIES A PREFERRED STOCK REPRESENTED BY THIS CERTIFICATE MAY BE LESS THAN THE NUMBER OF SHARES OF SERIES A PREFERRED STOCK STATED ON THE FACE HEREOF PURSUANT TO SECTION 7(c)(iv) OF THE CERTIFICATE OF DESIGNATIONS RELATING TO THE SERIES A PREFERRED STOCK REPRESENTED BY THIS CERTIFICATE.</w:t>
      </w:r>
    </w:p>
    <w:p>
      <w:pPr>
        <w:spacing w:after="0" w:line="200" w:lineRule="exact"/>
        <w:rPr>
          <w:sz w:val="20"/>
          <w:szCs w:val="20"/>
          <w:color w:val="auto"/>
        </w:rPr>
      </w:pPr>
    </w:p>
    <w:p>
      <w:pPr>
        <w:spacing w:after="0" w:line="29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39" w:name="page440"/>
    <w:bookmarkEnd w:id="43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0" w:hanging="272"/>
        <w:spacing w:after="0"/>
        <w:tabs>
          <w:tab w:leader="none" w:pos="820"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Reservation of Shares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281" w:lineRule="auto"/>
        <w:tabs>
          <w:tab w:leader="none" w:pos="1072" w:val="left"/>
        </w:tabs>
        <w:numPr>
          <w:ilvl w:val="1"/>
          <w:numId w:val="411"/>
        </w:numPr>
        <w:rPr>
          <w:rFonts w:ascii="Arial" w:cs="Arial" w:eastAsia="Arial" w:hAnsi="Arial"/>
          <w:sz w:val="15"/>
          <w:szCs w:val="15"/>
          <w:color w:val="auto"/>
        </w:rPr>
      </w:pPr>
      <w:r>
        <w:rPr>
          <w:rFonts w:ascii="Arial" w:cs="Arial" w:eastAsia="Arial" w:hAnsi="Arial"/>
          <w:sz w:val="15"/>
          <w:szCs w:val="15"/>
          <w:color w:val="auto"/>
        </w:rPr>
        <w:t>The Corporation shall have such number of its duly authorized and unissued shares of Common Stock for each Series A Preferred Stock equal to 130% of the number of shares of Common Stock necessary to effect the conversion at the Conversion Rate with respect to each such Series A Preferred Stock as of the Initial Issuance Date. The Corporation shall at all times when the Series A Preferred Stock shall be outstanding reserve and keep available out of its authorized but unissued stock, for the purposes of effecting the conversion of the Series A Preferred Stock, such number of its duly authorized and unissued shares of Common Stock as shall from time to time be sufficient to effect the conversion of all outstanding Series A Preferred Stock (the “</w:t>
      </w:r>
      <w:r>
        <w:rPr>
          <w:rFonts w:ascii="Arial" w:cs="Arial" w:eastAsia="Arial" w:hAnsi="Arial"/>
          <w:sz w:val="15"/>
          <w:szCs w:val="15"/>
          <w:b w:val="1"/>
          <w:bCs w:val="1"/>
          <w:color w:val="auto"/>
        </w:rPr>
        <w:t>Required Reserve Amount</w:t>
      </w:r>
      <w:r>
        <w:rPr>
          <w:rFonts w:ascii="Arial" w:cs="Arial" w:eastAsia="Arial" w:hAnsi="Arial"/>
          <w:sz w:val="15"/>
          <w:szCs w:val="15"/>
          <w:color w:val="auto"/>
        </w:rPr>
        <w:t>”). The initial number of shares of Common Stock reserved for conversions of the Series A Preferred Stock and each increase in the number of shares so reserved shall be allocated pro rata among the Holders based on the number of shares of Series A Preferred Stock held by each Holder at the time of issuance of the Series A Preferred Stock or increase in the number of reserved shares, as the case may be (the “</w:t>
      </w:r>
      <w:r>
        <w:rPr>
          <w:rFonts w:ascii="Arial" w:cs="Arial" w:eastAsia="Arial" w:hAnsi="Arial"/>
          <w:sz w:val="15"/>
          <w:szCs w:val="15"/>
          <w:b w:val="1"/>
          <w:bCs w:val="1"/>
          <w:color w:val="auto"/>
        </w:rPr>
        <w:t>Authorized Share Allocation</w:t>
      </w:r>
      <w:r>
        <w:rPr>
          <w:rFonts w:ascii="Arial" w:cs="Arial" w:eastAsia="Arial" w:hAnsi="Arial"/>
          <w:sz w:val="15"/>
          <w:szCs w:val="15"/>
          <w:color w:val="auto"/>
        </w:rPr>
        <w:t>”). In the event a Holder shall sell or otherwise transfer any of such Holder’s Series A Preferred Stock, each transferee shall be allocated a pro rata portion of the number of reserved shares of Common Stock reserved for such transferor. Any shares of Common Stock reserved and allocated to any Person which ceases to hold any Series A Preferred Stock (other than pursuant to a transfer of Series A Preferred Stock in accordance with the immediately preceding sentence) shall be allocated to the remaining Holders of Series A Preferred Stock, pro rata based on the number of shares of Series A Preferred Stock then held by such Holders. Before taking any action that would cause an adjustment reducing the Conversion Price below the then par value of the shares of Common Stock issuable upon conversion of the Series A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70" w:lineRule="exact"/>
        <w:rPr>
          <w:rFonts w:ascii="Arial" w:cs="Arial" w:eastAsia="Arial" w:hAnsi="Arial"/>
          <w:sz w:val="15"/>
          <w:szCs w:val="15"/>
          <w:color w:val="auto"/>
        </w:rPr>
      </w:pPr>
    </w:p>
    <w:p>
      <w:pPr>
        <w:jc w:val="both"/>
        <w:ind w:left="540" w:right="1239" w:firstLine="259"/>
        <w:spacing w:after="0" w:line="284" w:lineRule="auto"/>
        <w:tabs>
          <w:tab w:leader="none" w:pos="1132" w:val="left"/>
        </w:tabs>
        <w:numPr>
          <w:ilvl w:val="1"/>
          <w:numId w:val="411"/>
        </w:numPr>
        <w:rPr>
          <w:rFonts w:ascii="Arial" w:cs="Arial" w:eastAsia="Arial" w:hAnsi="Arial"/>
          <w:sz w:val="15"/>
          <w:szCs w:val="15"/>
          <w:color w:val="auto"/>
        </w:rPr>
      </w:pPr>
      <w:r>
        <w:rPr>
          <w:rFonts w:ascii="Arial" w:cs="Arial" w:eastAsia="Arial" w:hAnsi="Arial"/>
          <w:sz w:val="15"/>
          <w:szCs w:val="15"/>
          <w:color w:val="auto"/>
        </w:rPr>
        <w:t>If at any time while any of the Series A Preferred Stock remain outstanding the Corporation does not have a sufficient number of duly authorized and unreserved shares of Common Stock to satisfy its obligation to reserve for issuance upon conversion of the Series A Preferred Stock at least a number of shares of Common Stock equal to the Required Reserve Amount (an “</w:t>
      </w:r>
      <w:r>
        <w:rPr>
          <w:rFonts w:ascii="Arial" w:cs="Arial" w:eastAsia="Arial" w:hAnsi="Arial"/>
          <w:sz w:val="15"/>
          <w:szCs w:val="15"/>
          <w:b w:val="1"/>
          <w:bCs w:val="1"/>
          <w:color w:val="auto"/>
        </w:rPr>
        <w:t>Authorized Share Failure</w:t>
      </w:r>
      <w:r>
        <w:rPr>
          <w:rFonts w:ascii="Arial" w:cs="Arial" w:eastAsia="Arial" w:hAnsi="Arial"/>
          <w:sz w:val="15"/>
          <w:szCs w:val="15"/>
          <w:color w:val="auto"/>
        </w:rPr>
        <w:t>”), then the Corporation shall immediately take all action necessary to increase the Corporation’s authorized shares of Common Stock to an amount sufficient to allow the Corporation to reserve the Required Reserve Amount for the Series A Preferred Stock then outstanding. Without limiting the generality of the foregoing sentence, as soon as practicable after the date of the occurrence of an Authorized Share Failure, but in no event later than sixty (60) days after the occurrence of such Authorized Share Failure, the Corporation shall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56" w:lineRule="exact"/>
        <w:rPr>
          <w:rFonts w:ascii="Arial" w:cs="Arial" w:eastAsia="Arial" w:hAnsi="Arial"/>
          <w:sz w:val="15"/>
          <w:szCs w:val="15"/>
          <w:color w:val="auto"/>
        </w:rPr>
      </w:pPr>
    </w:p>
    <w:p>
      <w:pPr>
        <w:jc w:val="both"/>
        <w:ind w:left="300" w:right="1239" w:firstLine="248"/>
        <w:spacing w:after="0" w:line="264" w:lineRule="auto"/>
        <w:tabs>
          <w:tab w:leader="none" w:pos="845"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40" w:name="page441"/>
    <w:bookmarkEnd w:id="4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6" w:lineRule="auto"/>
        <w:tabs>
          <w:tab w:leader="none" w:pos="813" w:val="left"/>
        </w:tabs>
        <w:numPr>
          <w:ilvl w:val="1"/>
          <w:numId w:val="412"/>
        </w:numPr>
        <w:rPr>
          <w:rFonts w:ascii="Arial" w:cs="Arial" w:eastAsia="Arial" w:hAnsi="Arial"/>
          <w:sz w:val="17"/>
          <w:szCs w:val="17"/>
          <w:color w:val="auto"/>
        </w:rPr>
      </w:pPr>
      <w:r>
        <w:rPr>
          <w:rFonts w:ascii="Arial" w:cs="Arial" w:eastAsia="Arial" w:hAnsi="Arial"/>
          <w:sz w:val="17"/>
          <w:szCs w:val="17"/>
          <w:u w:val="single" w:color="auto"/>
          <w:color w:val="auto"/>
        </w:rPr>
        <w:t>Record Holder</w:t>
      </w:r>
      <w:r>
        <w:rPr>
          <w:rFonts w:ascii="Arial" w:cs="Arial" w:eastAsia="Arial" w:hAnsi="Arial"/>
          <w:sz w:val="17"/>
          <w:szCs w:val="17"/>
          <w:color w:val="auto"/>
        </w:rPr>
        <w:t>. The Person or Persons entitled to receive the shares of Common Stock issuable upon a conversion of Series A Preferred Stock shall be treated for all purposes as the record holder or holders of such shares of Common Stock on the Conversion Date.</w:t>
      </w:r>
    </w:p>
    <w:p>
      <w:pPr>
        <w:spacing w:after="0" w:line="76" w:lineRule="exact"/>
        <w:rPr>
          <w:rFonts w:ascii="Arial" w:cs="Arial" w:eastAsia="Arial" w:hAnsi="Arial"/>
          <w:sz w:val="17"/>
          <w:szCs w:val="17"/>
          <w:color w:val="auto"/>
        </w:rPr>
      </w:pPr>
    </w:p>
    <w:p>
      <w:pPr>
        <w:jc w:val="both"/>
        <w:ind w:left="300" w:right="1239" w:firstLine="248"/>
        <w:spacing w:after="0" w:line="267" w:lineRule="auto"/>
        <w:tabs>
          <w:tab w:leader="none" w:pos="866" w:val="left"/>
        </w:tabs>
        <w:numPr>
          <w:ilvl w:val="1"/>
          <w:numId w:val="412"/>
        </w:numPr>
        <w:rPr>
          <w:rFonts w:ascii="Arial" w:cs="Arial" w:eastAsia="Arial" w:hAnsi="Arial"/>
          <w:sz w:val="16"/>
          <w:szCs w:val="16"/>
          <w:color w:val="auto"/>
        </w:rPr>
      </w:pPr>
      <w:r>
        <w:rPr>
          <w:rFonts w:ascii="Arial" w:cs="Arial" w:eastAsia="Arial" w:hAnsi="Arial"/>
          <w:sz w:val="16"/>
          <w:szCs w:val="16"/>
          <w:u w:val="single" w:color="auto"/>
          <w:color w:val="auto"/>
        </w:rPr>
        <w:t>Effect of Conversion</w:t>
      </w:r>
      <w:r>
        <w:rPr>
          <w:rFonts w:ascii="Arial" w:cs="Arial" w:eastAsia="Arial" w:hAnsi="Arial"/>
          <w:sz w:val="16"/>
          <w:szCs w:val="16"/>
          <w:color w:val="auto"/>
        </w:rPr>
        <w:t>. All shares of Series A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7(c)(iii)(B), any shares of Series A Preferred Stock so converted shall be retired and canceled and shall not be reissued, and the Corporation may from time to time take such appropriate action as may be necessary to reduce the authorized Series A Preferred Stock accordingly.</w:t>
      </w:r>
    </w:p>
    <w:p>
      <w:pPr>
        <w:spacing w:after="0" w:line="70" w:lineRule="exact"/>
        <w:rPr>
          <w:rFonts w:ascii="Arial" w:cs="Arial" w:eastAsia="Arial" w:hAnsi="Arial"/>
          <w:sz w:val="16"/>
          <w:szCs w:val="16"/>
          <w:color w:val="auto"/>
        </w:rPr>
      </w:pPr>
    </w:p>
    <w:p>
      <w:pPr>
        <w:jc w:val="both"/>
        <w:ind w:left="300" w:right="1239" w:firstLine="248"/>
        <w:spacing w:after="0" w:line="288" w:lineRule="auto"/>
        <w:tabs>
          <w:tab w:leader="none" w:pos="841" w:val="left"/>
        </w:tabs>
        <w:numPr>
          <w:ilvl w:val="1"/>
          <w:numId w:val="412"/>
        </w:numPr>
        <w:rPr>
          <w:rFonts w:ascii="Arial" w:cs="Arial" w:eastAsia="Arial" w:hAnsi="Arial"/>
          <w:sz w:val="15"/>
          <w:szCs w:val="15"/>
          <w:color w:val="auto"/>
        </w:rPr>
      </w:pPr>
      <w:r>
        <w:rPr>
          <w:rFonts w:ascii="Arial" w:cs="Arial" w:eastAsia="Arial" w:hAnsi="Arial"/>
          <w:sz w:val="15"/>
          <w:szCs w:val="15"/>
          <w:u w:val="single" w:color="auto"/>
          <w:color w:val="auto"/>
        </w:rPr>
        <w:t>Transfer Taxes</w:t>
      </w:r>
      <w:r>
        <w:rPr>
          <w:rFonts w:ascii="Arial" w:cs="Arial" w:eastAsia="Arial" w:hAnsi="Arial"/>
          <w:sz w:val="15"/>
          <w:szCs w:val="15"/>
          <w:color w:val="auto"/>
        </w:rPr>
        <w:t>. The issuance of certificates for shares of the Common Stock on conversion of this Series A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A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54" w:lineRule="exact"/>
        <w:rPr>
          <w:rFonts w:ascii="Arial" w:cs="Arial" w:eastAsia="Arial" w:hAnsi="Arial"/>
          <w:sz w:val="15"/>
          <w:szCs w:val="15"/>
          <w:color w:val="auto"/>
        </w:rPr>
      </w:pPr>
    </w:p>
    <w:p>
      <w:pPr>
        <w:jc w:val="both"/>
        <w:ind w:left="300" w:right="1239" w:firstLine="248"/>
        <w:spacing w:after="0" w:line="279" w:lineRule="auto"/>
        <w:tabs>
          <w:tab w:leader="none" w:pos="817" w:val="left"/>
        </w:tabs>
        <w:numPr>
          <w:ilvl w:val="1"/>
          <w:numId w:val="412"/>
        </w:numPr>
        <w:rPr>
          <w:rFonts w:ascii="Arial" w:cs="Arial" w:eastAsia="Arial" w:hAnsi="Arial"/>
          <w:sz w:val="15"/>
          <w:szCs w:val="15"/>
          <w:color w:val="auto"/>
        </w:rPr>
      </w:pPr>
      <w:r>
        <w:rPr>
          <w:rFonts w:ascii="Arial" w:cs="Arial" w:eastAsia="Arial" w:hAnsi="Arial"/>
          <w:sz w:val="15"/>
          <w:szCs w:val="15"/>
          <w:u w:val="single" w:color="auto"/>
          <w:color w:val="auto"/>
        </w:rPr>
        <w:t>Maximum Percentage</w:t>
      </w:r>
      <w:r>
        <w:rPr>
          <w:rFonts w:ascii="Arial" w:cs="Arial" w:eastAsia="Arial" w:hAnsi="Arial"/>
          <w:sz w:val="15"/>
          <w:szCs w:val="15"/>
          <w:color w:val="auto"/>
        </w:rPr>
        <w:t>. Notwithstanding anything to the contrary set forth herein, the Corporation shall not effect any conversion of Series A Preferred Stock, and no Holder shall have the right to convert any Series A Preferred Stock, to the extent that after giving effect to such conversion, the beneficial owner of such shares (together with such Person’s affiliates) would have acquired, through conversion of Series A Preferred Stock or otherwise, beneficial ownership of a number of shares of Common Stock that exceeds 9.99% (the “</w:t>
      </w:r>
      <w:r>
        <w:rPr>
          <w:rFonts w:ascii="Arial" w:cs="Arial" w:eastAsia="Arial" w:hAnsi="Arial"/>
          <w:sz w:val="15"/>
          <w:szCs w:val="15"/>
          <w:b w:val="1"/>
          <w:bCs w:val="1"/>
          <w:color w:val="auto"/>
        </w:rPr>
        <w:t>Maximum Percentage</w:t>
      </w:r>
      <w:r>
        <w:rPr>
          <w:rFonts w:ascii="Arial" w:cs="Arial" w:eastAsia="Arial" w:hAnsi="Arial"/>
          <w:sz w:val="15"/>
          <w:szCs w:val="15"/>
          <w:color w:val="auto"/>
        </w:rPr>
        <w:t>”) of the number of shares of Common Stock outstanding immediately after giving effect to such conversion. The Corporation shall not give effect to any voting rights of the Series A Preferred Stock, and any Holder shall not have the right to exercise voting rights with respect to any Series A Preferred Stock pursuant hereto, to the extent that giving effect to such voting rights would result in such Holder (together with its affiliates) being deemed to beneficially own in excess of the Maximum Percentage of the number of shares of Common Stock outstanding immediately after giving effect to such exercise, assuming such exercise as being equivalent to conversion. For purposes of the foregoing, the number of shares of Common Stock beneficially owned by a Person and its affiliates shall include the number of shares of Common Stock issuable upon conversion of the Series A Preferred Stock with respect to which the determination of such sentence is being made, but shall exclude the number of shares of Common Stock which would be issuable upon (A) conversion of the remaining, nonconverted shares of Series A Preferred Stock beneficially owned by such Person or any of its affiliates and (B) exercise or conversion of the unexercised or unconverted portion of any other securities of the Corporation (including, without limitation, any notes or warrants) subject to a limitation on conversion or exercise analogous to the limitation contained in this Section 7(i) beneficially owned by such Person or any of its affiliates. Except as set forth in the preceding sentence, for purposes of this Section 7(i), beneficial ownership shall be calculated in accordance with Section 13(d) of the Securities Exchange Act of 1934, as amended. For purposes of this Section 7(i), in determining the number of outstanding shares of Common Stock, a Holder may rely on the number of outstanding shares of Common Stock as reflected in</w:t>
      </w:r>
    </w:p>
    <w:p>
      <w:pPr>
        <w:spacing w:after="0" w:line="11" w:lineRule="exact"/>
        <w:rPr>
          <w:rFonts w:ascii="Arial" w:cs="Arial" w:eastAsia="Arial" w:hAnsi="Arial"/>
          <w:sz w:val="15"/>
          <w:szCs w:val="15"/>
          <w:color w:val="auto"/>
        </w:rPr>
      </w:pPr>
    </w:p>
    <w:p>
      <w:pPr>
        <w:jc w:val="both"/>
        <w:ind w:left="300" w:right="1239" w:hanging="2"/>
        <w:spacing w:after="0" w:line="247" w:lineRule="auto"/>
        <w:tabs>
          <w:tab w:leader="none" w:pos="574"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Corporation’s most recent Form 10-K, Form 10-Q, or Form 8-K, as the case may be, (2) a more recent public announcement by the Corporation, or (3) any other notice by the Corporation or the Transfer Agent setting forth the number of shares of Common Stock outstanding. For any reason at any time, upon the written request of any Holder, the Corporation shall within one (1) Business Day following the receipt of such notice, confirm orally and in writing to any such Holder the number of shares of Common Stock then outstanding. In any case, the number of outstanding shares of Common Stock shall be determined after giving effect to the conversion or exercise of securities of the Corporation, including the Series A Preferred Stock, by</w:t>
      </w:r>
    </w:p>
    <w:p>
      <w:pPr>
        <w:spacing w:after="0" w:line="200" w:lineRule="exact"/>
        <w:rPr>
          <w:sz w:val="20"/>
          <w:szCs w:val="20"/>
          <w:color w:val="auto"/>
        </w:rPr>
      </w:pPr>
    </w:p>
    <w:p>
      <w:pPr>
        <w:spacing w:after="0" w:line="29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41" w:name="page442"/>
    <w:bookmarkEnd w:id="44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91" w:lineRule="auto"/>
        <w:rPr>
          <w:sz w:val="20"/>
          <w:szCs w:val="20"/>
          <w:color w:val="auto"/>
        </w:rPr>
      </w:pPr>
      <w:r>
        <w:rPr>
          <w:rFonts w:ascii="Arial" w:cs="Arial" w:eastAsia="Arial" w:hAnsi="Arial"/>
          <w:sz w:val="15"/>
          <w:szCs w:val="15"/>
          <w:color w:val="auto"/>
        </w:rPr>
        <w:t>such Holder and its affiliates since the date as of which such number of outstanding shares of Common Stock was reported. By written notice to the Corporation, the Holder may from time to time increase or decrease the Maximum Percentage to any other percentage not in excess of 9.99% specified in such notice; provided, that (i) any such increase will not be effective until the</w:t>
      </w:r>
    </w:p>
    <w:p>
      <w:pPr>
        <w:spacing w:after="0" w:line="1" w:lineRule="exact"/>
        <w:rPr>
          <w:sz w:val="20"/>
          <w:szCs w:val="20"/>
          <w:color w:val="auto"/>
        </w:rPr>
      </w:pPr>
    </w:p>
    <w:p>
      <w:pPr>
        <w:jc w:val="both"/>
        <w:ind w:left="300" w:right="1239"/>
        <w:spacing w:after="0" w:line="273" w:lineRule="auto"/>
        <w:rPr>
          <w:sz w:val="20"/>
          <w:szCs w:val="20"/>
          <w:color w:val="auto"/>
        </w:rPr>
      </w:pPr>
      <w:r>
        <w:rPr>
          <w:rFonts w:ascii="Arial" w:cs="Arial" w:eastAsia="Arial" w:hAnsi="Arial"/>
          <w:sz w:val="15"/>
          <w:szCs w:val="15"/>
          <w:color w:val="auto"/>
        </w:rPr>
        <w:t>sixty-first (61</w:t>
      </w:r>
      <w:r>
        <w:rPr>
          <w:rFonts w:ascii="Arial" w:cs="Arial" w:eastAsia="Arial" w:hAnsi="Arial"/>
          <w:sz w:val="24"/>
          <w:szCs w:val="24"/>
          <w:color w:val="auto"/>
          <w:vertAlign w:val="superscript"/>
        </w:rPr>
        <w:t>st</w:t>
      </w:r>
      <w:r>
        <w:rPr>
          <w:rFonts w:ascii="Arial" w:cs="Arial" w:eastAsia="Arial" w:hAnsi="Arial"/>
          <w:sz w:val="15"/>
          <w:szCs w:val="15"/>
          <w:color w:val="auto"/>
        </w:rPr>
        <w:t>) day after such notice is delivered to the Corporation, and (ii) any such increase or decrease will apply only to the Holder providing such written notice and not to any other Holder. In the event that the Corporation cannot pay any portion of any dividend, distribution, grant or issuance hereunder (including pursuant to Sections 3, 5(b) or 8(f)) to a Holder solely by reason of this Section 7(i) (such shares, the “</w:t>
      </w:r>
      <w:r>
        <w:rPr>
          <w:rFonts w:ascii="Arial" w:cs="Arial" w:eastAsia="Arial" w:hAnsi="Arial"/>
          <w:sz w:val="15"/>
          <w:szCs w:val="15"/>
          <w:b w:val="1"/>
          <w:bCs w:val="1"/>
          <w:color w:val="auto"/>
        </w:rPr>
        <w:t>Limited Shares</w:t>
      </w:r>
      <w:r>
        <w:rPr>
          <w:rFonts w:ascii="Arial" w:cs="Arial" w:eastAsia="Arial" w:hAnsi="Arial"/>
          <w:sz w:val="15"/>
          <w:szCs w:val="15"/>
          <w:color w:val="auto"/>
        </w:rPr>
        <w:t>”), notwithstanding anything to the contrary contained herein, the Corporation shall not be required to pay cash in lieu of the payment that otherwise would have been made in such Limited Shares, but shall hold any such Limited Shares in abeyance for such Holder until such time, if ever, that the delivery of such Limited Shares shall not cause the Holder to exceed the Maximum Percentage, at which time such Holder shall be delivered such Limited Shares to the extent as if there had been no such limitation. The provisions of this paragraph shall be construed and implemented in a manner otherwise than in strict conformity with the terms of this Section 7(i)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65" w:lineRule="exact"/>
        <w:rPr>
          <w:sz w:val="20"/>
          <w:szCs w:val="20"/>
          <w:color w:val="auto"/>
        </w:rPr>
      </w:pPr>
    </w:p>
    <w:p>
      <w:pPr>
        <w:ind w:left="40" w:right="1239" w:firstLine="258"/>
        <w:spacing w:after="0" w:line="267" w:lineRule="auto"/>
        <w:tabs>
          <w:tab w:leader="none" w:pos="524" w:val="left"/>
        </w:tabs>
        <w:numPr>
          <w:ilvl w:val="0"/>
          <w:numId w:val="414"/>
        </w:numPr>
        <w:rPr>
          <w:rFonts w:ascii="Arial" w:cs="Arial" w:eastAsia="Arial" w:hAnsi="Arial"/>
          <w:sz w:val="17"/>
          <w:szCs w:val="17"/>
          <w:color w:val="auto"/>
        </w:rPr>
      </w:pPr>
      <w:r>
        <w:rPr>
          <w:rFonts w:ascii="Arial" w:cs="Arial" w:eastAsia="Arial" w:hAnsi="Arial"/>
          <w:sz w:val="17"/>
          <w:szCs w:val="17"/>
          <w:u w:val="single" w:color="auto"/>
          <w:color w:val="auto"/>
        </w:rPr>
        <w:t>Anti-Dilution Provisions</w:t>
      </w:r>
      <w:r>
        <w:rPr>
          <w:rFonts w:ascii="Arial" w:cs="Arial" w:eastAsia="Arial" w:hAnsi="Arial"/>
          <w:sz w:val="17"/>
          <w:szCs w:val="17"/>
          <w:color w:val="auto"/>
        </w:rPr>
        <w:t>. The Conversion Price shall be subject to adjustment from time to time in accordance with this Section 8.</w:t>
      </w:r>
    </w:p>
    <w:p>
      <w:pPr>
        <w:spacing w:after="0" w:line="66" w:lineRule="exact"/>
        <w:rPr>
          <w:rFonts w:ascii="Arial" w:cs="Arial" w:eastAsia="Arial" w:hAnsi="Arial"/>
          <w:sz w:val="17"/>
          <w:szCs w:val="17"/>
          <w:color w:val="auto"/>
        </w:rPr>
      </w:pPr>
    </w:p>
    <w:p>
      <w:pPr>
        <w:ind w:left="820" w:hanging="272"/>
        <w:spacing w:after="0"/>
        <w:tabs>
          <w:tab w:leader="none" w:pos="820"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Certificate of Designations, the following definitions shall apply:</w:t>
      </w:r>
    </w:p>
    <w:p>
      <w:pPr>
        <w:spacing w:after="0" w:line="101" w:lineRule="exact"/>
        <w:rPr>
          <w:rFonts w:ascii="Arial" w:cs="Arial" w:eastAsia="Arial" w:hAnsi="Arial"/>
          <w:sz w:val="17"/>
          <w:szCs w:val="17"/>
          <w:color w:val="auto"/>
        </w:rPr>
      </w:pPr>
    </w:p>
    <w:p>
      <w:pPr>
        <w:jc w:val="both"/>
        <w:ind w:left="540" w:right="1239" w:firstLine="259"/>
        <w:spacing w:after="0" w:line="283" w:lineRule="auto"/>
        <w:tabs>
          <w:tab w:leader="none" w:pos="1057" w:val="left"/>
        </w:tabs>
        <w:numPr>
          <w:ilvl w:val="2"/>
          <w:numId w:val="4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Closing Sale Price</w:t>
      </w:r>
      <w:r>
        <w:rPr>
          <w:rFonts w:ascii="Arial" w:cs="Arial" w:eastAsia="Arial" w:hAnsi="Arial"/>
          <w:sz w:val="15"/>
          <w:szCs w:val="15"/>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Corporation and the Required Holders. If the Corporation and the Required Holders are unable to agree upon the fair market value of such security, then such dispute shall be resolved pursuant to Section 7(e). All such determinations to be appropriately adjusted for any stock dividend, stock split, stock combination or other similar transaction during the applicable calculation period.</w:t>
      </w:r>
    </w:p>
    <w:p>
      <w:pPr>
        <w:spacing w:after="0" w:line="59" w:lineRule="exact"/>
        <w:rPr>
          <w:rFonts w:ascii="Arial" w:cs="Arial" w:eastAsia="Arial" w:hAnsi="Arial"/>
          <w:sz w:val="15"/>
          <w:szCs w:val="15"/>
          <w:color w:val="auto"/>
        </w:rPr>
      </w:pPr>
    </w:p>
    <w:p>
      <w:pPr>
        <w:ind w:left="540" w:right="1239" w:firstLine="259"/>
        <w:spacing w:after="0" w:line="272" w:lineRule="auto"/>
        <w:tabs>
          <w:tab w:leader="none" w:pos="1091" w:val="left"/>
        </w:tabs>
        <w:numPr>
          <w:ilvl w:val="2"/>
          <w:numId w:val="4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Securities</w:t>
      </w:r>
      <w:r>
        <w:rPr>
          <w:rFonts w:ascii="Arial" w:cs="Arial" w:eastAsia="Arial" w:hAnsi="Arial"/>
          <w:sz w:val="17"/>
          <w:szCs w:val="17"/>
          <w:color w:val="auto"/>
        </w:rPr>
        <w:t>” means any stock or securities (other than Options) directly or indirectly convertible into or exchangeable or exercisable for Common Stock.</w:t>
      </w:r>
    </w:p>
    <w:p>
      <w:pPr>
        <w:spacing w:after="0" w:line="58" w:lineRule="exact"/>
        <w:rPr>
          <w:rFonts w:ascii="Arial" w:cs="Arial" w:eastAsia="Arial" w:hAnsi="Arial"/>
          <w:sz w:val="17"/>
          <w:szCs w:val="17"/>
          <w:color w:val="auto"/>
        </w:rPr>
      </w:pPr>
    </w:p>
    <w:p>
      <w:pPr>
        <w:jc w:val="both"/>
        <w:ind w:left="540" w:right="1239" w:firstLine="259"/>
        <w:spacing w:after="0" w:line="267" w:lineRule="auto"/>
        <w:tabs>
          <w:tab w:leader="none" w:pos="1150" w:val="left"/>
        </w:tabs>
        <w:numPr>
          <w:ilvl w:val="2"/>
          <w:numId w:val="4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any capital stock issued or issuable: (i) upon conversion of the Series A Preferred Stock; (ii) as a dividend or distribution on the Series A Preferred Stock; (iii) upon conversion of any Options or Convertible Securities which are outstanding on the day immediately preceding the Subscription Date, provided that the terms of such Options or Convertible Securities are not amended, modified or changed on or after the Subscription Date; (iv) pursuant to any benefit plan, program or agreement approved by the Corporation’s board of directors or any committee thereof pursuant to which the Corporation’s securities may be issued to any employee, officer or director for bona fide services provided to the Corporation; and (v) securities issued pursuant to acquisitions or strategic transactions approved by a majority of the disinterested directors</w:t>
      </w: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42" w:name="page443"/>
    <w:bookmarkEnd w:id="44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51" w:lineRule="auto"/>
        <w:rPr>
          <w:sz w:val="20"/>
          <w:szCs w:val="20"/>
          <w:color w:val="auto"/>
        </w:rPr>
      </w:pPr>
      <w:r>
        <w:rPr>
          <w:rFonts w:ascii="Arial" w:cs="Arial" w:eastAsia="Arial" w:hAnsi="Arial"/>
          <w:sz w:val="17"/>
          <w:szCs w:val="17"/>
          <w:color w:val="auto"/>
        </w:rPr>
        <w:t>of the Corporation, provided that any such issuance shall only be to a Person (or to the equity holders of a Person) which is, itself or through its subsidiaries, an operating company or an owner of an asset in a business synergistic with the business of the Corporation and shall provide to Corporation additional benefits in addition to the investment of funds, but shall not include a transaction in which the Corporation is issuing securities for the purpose of raising capital or to an entity whose primary business is investing in securities.</w:t>
      </w:r>
    </w:p>
    <w:p>
      <w:pPr>
        <w:spacing w:after="0" w:line="76" w:lineRule="exact"/>
        <w:rPr>
          <w:sz w:val="20"/>
          <w:szCs w:val="20"/>
          <w:color w:val="auto"/>
        </w:rPr>
      </w:pPr>
    </w:p>
    <w:p>
      <w:pPr>
        <w:ind w:left="540" w:right="1239" w:firstLine="259"/>
        <w:spacing w:after="0" w:line="272" w:lineRule="auto"/>
        <w:tabs>
          <w:tab w:leader="none" w:pos="1165" w:val="left"/>
        </w:tabs>
        <w:numPr>
          <w:ilvl w:val="1"/>
          <w:numId w:val="4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Common Stock or Convertible Securities.</w:t>
      </w:r>
    </w:p>
    <w:p>
      <w:pPr>
        <w:spacing w:after="0" w:line="58" w:lineRule="exact"/>
        <w:rPr>
          <w:rFonts w:ascii="Arial" w:cs="Arial" w:eastAsia="Arial" w:hAnsi="Arial"/>
          <w:sz w:val="17"/>
          <w:szCs w:val="17"/>
          <w:color w:val="auto"/>
        </w:rPr>
      </w:pPr>
    </w:p>
    <w:p>
      <w:pPr>
        <w:jc w:val="both"/>
        <w:ind w:left="540" w:right="1239" w:firstLine="259"/>
        <w:spacing w:after="0" w:line="285" w:lineRule="auto"/>
        <w:tabs>
          <w:tab w:leader="none" w:pos="1069" w:val="left"/>
        </w:tabs>
        <w:numPr>
          <w:ilvl w:val="1"/>
          <w:numId w:val="4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 Value</w:t>
      </w:r>
      <w:r>
        <w:rPr>
          <w:rFonts w:ascii="Arial" w:cs="Arial" w:eastAsia="Arial" w:hAnsi="Arial"/>
          <w:sz w:val="15"/>
          <w:szCs w:val="15"/>
          <w:color w:val="auto"/>
        </w:rPr>
        <w:t>” means the value of an Option based on the Black and Scholes Option Pricing model obtained from the “OV” function on Bloomberg determined (1) in the event the issuance of such Option is publicly announced, the day prior to the public announcement of the applicable Option for pricing purposes or (2) in the event the issuance of such Option is not publicly announced, the day of issuance of such Option, and reflecting (i) a risk-free interest rate corresponding to the U.S. Treasury rate for a period equal to the remaining term of the applicable Option as of the applicable date of determination, (ii) an expected volatility equal to the lesser of 50% and the 100 day volatility obtained from the HVT function on Bloomberg as of the day immediately following the public announcement of the applicable Option, (iii) the underlying price per share used in such calculation shall be the highest Weighted Average Price during the period beginning on the day prior to the execution of definitive documentation relating to the issuance of the applicable Option and the public announcement of such issuance, (iv) a zero cost of borrow, and (v) a 250 day annualization factor.</w:t>
      </w:r>
    </w:p>
    <w:p>
      <w:pPr>
        <w:spacing w:after="0" w:line="56" w:lineRule="exact"/>
        <w:rPr>
          <w:rFonts w:ascii="Arial" w:cs="Arial" w:eastAsia="Arial" w:hAnsi="Arial"/>
          <w:sz w:val="15"/>
          <w:szCs w:val="15"/>
          <w:color w:val="auto"/>
        </w:rPr>
      </w:pPr>
    </w:p>
    <w:p>
      <w:pPr>
        <w:ind w:left="1140" w:hanging="341"/>
        <w:spacing w:after="0"/>
        <w:tabs>
          <w:tab w:leader="none" w:pos="1140" w:val="left"/>
        </w:tabs>
        <w:numPr>
          <w:ilvl w:val="1"/>
          <w:numId w:val="4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Principal Market</w:t>
      </w:r>
      <w:r>
        <w:rPr>
          <w:rFonts w:ascii="Arial" w:cs="Arial" w:eastAsia="Arial" w:hAnsi="Arial"/>
          <w:sz w:val="15"/>
          <w:szCs w:val="15"/>
          <w:color w:val="auto"/>
        </w:rPr>
        <w:t>” means the Eligible Market that is the principal securities exchange market for the Common</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Stock.</w:t>
      </w:r>
    </w:p>
    <w:p>
      <w:pPr>
        <w:spacing w:after="0" w:line="92" w:lineRule="exact"/>
        <w:rPr>
          <w:rFonts w:ascii="Arial" w:cs="Arial" w:eastAsia="Arial" w:hAnsi="Arial"/>
          <w:sz w:val="15"/>
          <w:szCs w:val="15"/>
          <w:color w:val="auto"/>
        </w:rPr>
      </w:pPr>
    </w:p>
    <w:p>
      <w:pPr>
        <w:jc w:val="both"/>
        <w:ind w:left="300" w:right="1239" w:firstLine="248"/>
        <w:spacing w:after="0" w:line="284" w:lineRule="auto"/>
        <w:tabs>
          <w:tab w:leader="none" w:pos="854" w:val="left"/>
        </w:tabs>
        <w:numPr>
          <w:ilvl w:val="0"/>
          <w:numId w:val="416"/>
        </w:numPr>
        <w:rPr>
          <w:rFonts w:ascii="Arial" w:cs="Arial" w:eastAsia="Arial" w:hAnsi="Arial"/>
          <w:sz w:val="15"/>
          <w:szCs w:val="15"/>
          <w:color w:val="auto"/>
        </w:rPr>
      </w:pPr>
      <w:r>
        <w:rPr>
          <w:rFonts w:ascii="Arial" w:cs="Arial" w:eastAsia="Arial" w:hAnsi="Arial"/>
          <w:sz w:val="15"/>
          <w:szCs w:val="15"/>
          <w:u w:val="single" w:color="auto"/>
          <w:color w:val="auto"/>
        </w:rPr>
        <w:t>Adjustment of Series A Conversion Price Upon Issuance of Additional Shares of Common Stock</w:t>
      </w:r>
      <w:r>
        <w:rPr>
          <w:rFonts w:ascii="Arial" w:cs="Arial" w:eastAsia="Arial" w:hAnsi="Arial"/>
          <w:sz w:val="15"/>
          <w:szCs w:val="15"/>
          <w:color w:val="auto"/>
        </w:rPr>
        <w:t>. If and whenever after the Subscription Date the Corporation issues or sells, or in accordance with this Section 8(b) is deemed to have issued or sold, any Common Stock (including the issuance or sale of Common Stock owned or held by or for the account of the Corporation but excluding Excluded Securities) for a consideration per share (the “</w:t>
      </w:r>
      <w:r>
        <w:rPr>
          <w:rFonts w:ascii="Arial" w:cs="Arial" w:eastAsia="Arial" w:hAnsi="Arial"/>
          <w:sz w:val="15"/>
          <w:szCs w:val="15"/>
          <w:b w:val="1"/>
          <w:bCs w:val="1"/>
          <w:color w:val="auto"/>
        </w:rPr>
        <w:t>New Issuance Price</w:t>
      </w:r>
      <w:r>
        <w:rPr>
          <w:rFonts w:ascii="Arial" w:cs="Arial" w:eastAsia="Arial" w:hAnsi="Arial"/>
          <w:sz w:val="15"/>
          <w:szCs w:val="15"/>
          <w:color w:val="auto"/>
        </w:rPr>
        <w:t>”) less than a price (the “</w:t>
      </w:r>
      <w:r>
        <w:rPr>
          <w:rFonts w:ascii="Arial" w:cs="Arial" w:eastAsia="Arial" w:hAnsi="Arial"/>
          <w:sz w:val="15"/>
          <w:szCs w:val="15"/>
          <w:b w:val="1"/>
          <w:bCs w:val="1"/>
          <w:color w:val="auto"/>
        </w:rPr>
        <w:t>Applicable Price</w:t>
      </w:r>
      <w:r>
        <w:rPr>
          <w:rFonts w:ascii="Arial" w:cs="Arial" w:eastAsia="Arial" w:hAnsi="Arial"/>
          <w:sz w:val="15"/>
          <w:szCs w:val="15"/>
          <w:color w:val="auto"/>
        </w:rPr>
        <w:t>”) equal to the Conversion Price in effect immediately prior to such issue or sale or deemed issuance or sale (the foregoing, a “</w:t>
      </w:r>
      <w:r>
        <w:rPr>
          <w:rFonts w:ascii="Arial" w:cs="Arial" w:eastAsia="Arial" w:hAnsi="Arial"/>
          <w:sz w:val="15"/>
          <w:szCs w:val="15"/>
          <w:b w:val="1"/>
          <w:bCs w:val="1"/>
          <w:color w:val="auto"/>
        </w:rPr>
        <w:t>Dilutive Issuance</w:t>
      </w:r>
      <w:r>
        <w:rPr>
          <w:rFonts w:ascii="Arial" w:cs="Arial" w:eastAsia="Arial" w:hAnsi="Arial"/>
          <w:sz w:val="15"/>
          <w:szCs w:val="15"/>
          <w:color w:val="auto"/>
        </w:rPr>
        <w:t>”), then immediately after such Dilutive Issuance, the Conversion Price then in effect shall be reduced to an amount equal to the New Issuance Price. Notwithstanding anything to the contrary contained herein, from and after the date on which an aggregate of at least 100,000,000 shares of Common Stock have been traded on an Eligible Market from and after the Initial Issuance Date at a per share price above $3.00 (as adjusted for any stock dividend, stock split, stock combination or other similar transaction during such period), the provisions of this Section 8(b) shall no longer be applicable. For purposes of determining the adjusted Conversion Price under this Section 8(b), the following shall be applicable:</w:t>
      </w:r>
    </w:p>
    <w:p>
      <w:pPr>
        <w:spacing w:after="0" w:line="60" w:lineRule="exact"/>
        <w:rPr>
          <w:rFonts w:ascii="Arial" w:cs="Arial" w:eastAsia="Arial" w:hAnsi="Arial"/>
          <w:sz w:val="15"/>
          <w:szCs w:val="15"/>
          <w:color w:val="auto"/>
        </w:rPr>
      </w:pPr>
    </w:p>
    <w:p>
      <w:pPr>
        <w:jc w:val="both"/>
        <w:ind w:left="540" w:right="1239" w:firstLine="259"/>
        <w:spacing w:after="0" w:line="264" w:lineRule="auto"/>
        <w:tabs>
          <w:tab w:leader="none" w:pos="1032"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Corporation in any manner grants or sells any Options and the lowest price per share for which one share of Common Stock is issuable upon the exercise of any such Option or upon conversion or exchange or exercise of any Convertible Securities issuable upon exercise of such Option is less than the Applicable Price, then each such share of Common Stock underlying such Option shall be deemed to be outstanding and to have been issued and sold by the Corporation at the time of the granting or sale of such Option for such price per share. For purposes of this Section 8(b)(i),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less any consideration paid or payable by the Corporation with respect to such one Ordinary Share upon the granting or sale of such Option, upon exercise of such Option and upon</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43" w:name="page444"/>
    <w:bookmarkEnd w:id="44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53" w:lineRule="auto"/>
        <w:rPr>
          <w:sz w:val="20"/>
          <w:szCs w:val="20"/>
          <w:color w:val="auto"/>
        </w:rPr>
      </w:pPr>
      <w:r>
        <w:rPr>
          <w:rFonts w:ascii="Arial" w:cs="Arial" w:eastAsia="Arial" w:hAnsi="Arial"/>
          <w:sz w:val="17"/>
          <w:szCs w:val="17"/>
          <w:color w:val="auto"/>
        </w:rPr>
        <w:t>conversion exercise or exchange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78" w:lineRule="exact"/>
        <w:rPr>
          <w:sz w:val="20"/>
          <w:szCs w:val="20"/>
          <w:color w:val="auto"/>
        </w:rPr>
      </w:pPr>
    </w:p>
    <w:p>
      <w:pPr>
        <w:jc w:val="both"/>
        <w:ind w:left="540" w:right="1239" w:firstLine="259"/>
        <w:spacing w:after="0" w:line="282" w:lineRule="auto"/>
        <w:tabs>
          <w:tab w:leader="none" w:pos="1078" w:val="left"/>
        </w:tabs>
        <w:numPr>
          <w:ilvl w:val="0"/>
          <w:numId w:val="417"/>
        </w:numPr>
        <w:rPr>
          <w:rFonts w:ascii="Arial" w:cs="Arial" w:eastAsia="Arial" w:hAnsi="Arial"/>
          <w:sz w:val="15"/>
          <w:szCs w:val="15"/>
          <w:color w:val="auto"/>
        </w:rPr>
      </w:pPr>
      <w:r>
        <w:rPr>
          <w:rFonts w:ascii="Arial" w:cs="Arial" w:eastAsia="Arial" w:hAnsi="Arial"/>
          <w:sz w:val="15"/>
          <w:szCs w:val="15"/>
          <w:u w:val="single" w:color="auto"/>
          <w:color w:val="auto"/>
        </w:rPr>
        <w:t>Issuance of Convertible Securities</w:t>
      </w:r>
      <w:r>
        <w:rPr>
          <w:rFonts w:ascii="Arial" w:cs="Arial" w:eastAsia="Arial" w:hAnsi="Arial"/>
          <w:sz w:val="15"/>
          <w:szCs w:val="15"/>
          <w:color w:val="auto"/>
        </w:rPr>
        <w:t>. If the Corporation in any manner issues or sells any Convertible Securities and the lowest price per share for which one share of Common Stock is issuable upon such conversion or exchange or exercise thereof is less than the Applicable Price, then each such share of Common Stock underlying such Convertible Securities shall be deemed to be outstanding and to have been issued and sold by the Corporation at the time of the issuance or sale of such Convertible Securities for such price per share. For the purposes of this Section 8(b)(ii),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less any consideration paid or payable by the Corporation with respect to such one Ordinary Share upon the issuance or sale of such Convertible Security and upon conversion, exercise or exchange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8(b), no further adjustment of the Conversion Price shall be made by reason of such issue or sale.</w:t>
      </w:r>
    </w:p>
    <w:p>
      <w:pPr>
        <w:spacing w:after="0" w:line="67" w:lineRule="exact"/>
        <w:rPr>
          <w:rFonts w:ascii="Arial" w:cs="Arial" w:eastAsia="Arial" w:hAnsi="Arial"/>
          <w:sz w:val="15"/>
          <w:szCs w:val="15"/>
          <w:color w:val="auto"/>
        </w:rPr>
      </w:pPr>
    </w:p>
    <w:p>
      <w:pPr>
        <w:jc w:val="both"/>
        <w:ind w:left="540" w:right="1239" w:firstLine="259"/>
        <w:spacing w:after="0" w:line="265" w:lineRule="auto"/>
        <w:tabs>
          <w:tab w:leader="none" w:pos="1137" w:val="left"/>
        </w:tabs>
        <w:numPr>
          <w:ilvl w:val="0"/>
          <w:numId w:val="417"/>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8(b)(iii),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70" w:lineRule="exact"/>
        <w:rPr>
          <w:rFonts w:ascii="Arial" w:cs="Arial" w:eastAsia="Arial" w:hAnsi="Arial"/>
          <w:sz w:val="16"/>
          <w:szCs w:val="16"/>
          <w:color w:val="auto"/>
        </w:rPr>
      </w:pPr>
    </w:p>
    <w:p>
      <w:pPr>
        <w:jc w:val="both"/>
        <w:ind w:left="540" w:right="1239" w:firstLine="259"/>
        <w:spacing w:after="0" w:line="283" w:lineRule="auto"/>
        <w:tabs>
          <w:tab w:leader="none" w:pos="1128" w:val="left"/>
        </w:tabs>
        <w:numPr>
          <w:ilvl w:val="0"/>
          <w:numId w:val="417"/>
        </w:numPr>
        <w:rPr>
          <w:rFonts w:ascii="Arial" w:cs="Arial" w:eastAsia="Arial" w:hAnsi="Arial"/>
          <w:sz w:val="15"/>
          <w:szCs w:val="15"/>
          <w:color w:val="auto"/>
        </w:rPr>
      </w:pPr>
      <w:r>
        <w:rPr>
          <w:rFonts w:ascii="Arial" w:cs="Arial" w:eastAsia="Arial" w:hAnsi="Arial"/>
          <w:sz w:val="15"/>
          <w:szCs w:val="15"/>
          <w:u w:val="single" w:color="auto"/>
          <w:color w:val="auto"/>
        </w:rPr>
        <w:t>Calculation of Consideration Received</w:t>
      </w:r>
      <w:r>
        <w:rPr>
          <w:rFonts w:ascii="Arial" w:cs="Arial" w:eastAsia="Arial" w:hAnsi="Arial"/>
          <w:sz w:val="15"/>
          <w:szCs w:val="15"/>
          <w:color w:val="auto"/>
        </w:rPr>
        <w:t>. In case any Option is issued in connection with the issue or sale of other securities of the Corporation, together comprising one integrated transaction (x) the Options will be deemed to have been issued for the Option Value of such Options and (y) the other securities issued or sold in such integrated transaction shall be deemed to have been issued for the difference of (x) the aggregate consideration received by the Corporation less any consideration paid or payable by the Corporation pursuant to the terms of such other securities of the Corporation, less (y) the Option Value of such Options. If any Common Stock, Options or Convertible Securities are issued or sold for a consideration other than cash, the amount of the consideration other than cash received by the Corporation will be the fair value of such consideration, except where such consideration consists of marketable securities, in which case the amount of consideration received by the Corporation will be the Closing Sale Price of such marketable securities on the date of receipt of such securities.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Common Stock, Options or Convertible Securities, as the case may be. The</w:t>
      </w: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44" w:name="page445"/>
    <w:bookmarkEnd w:id="4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91" w:lineRule="auto"/>
        <w:rPr>
          <w:sz w:val="20"/>
          <w:szCs w:val="20"/>
          <w:color w:val="auto"/>
        </w:rPr>
      </w:pPr>
      <w:r>
        <w:rPr>
          <w:rFonts w:ascii="Arial" w:cs="Arial" w:eastAsia="Arial" w:hAnsi="Arial"/>
          <w:sz w:val="15"/>
          <w:szCs w:val="15"/>
          <w:color w:val="auto"/>
        </w:rPr>
        <w:t>fair value of any consideration other than cash or marketable securities will be determined jointly by the Corporation and the Required Holders. If such parties are unable to reach agreement within ten (10) days after the occurrence of an event requiring valuation (the “</w:t>
      </w:r>
      <w:r>
        <w:rPr>
          <w:rFonts w:ascii="Arial" w:cs="Arial" w:eastAsia="Arial" w:hAnsi="Arial"/>
          <w:sz w:val="15"/>
          <w:szCs w:val="15"/>
          <w:b w:val="1"/>
          <w:bCs w:val="1"/>
          <w:color w:val="auto"/>
        </w:rPr>
        <w:t>Valuation Event</w:t>
      </w:r>
      <w:r>
        <w:rPr>
          <w:rFonts w:ascii="Arial" w:cs="Arial" w:eastAsia="Arial" w:hAnsi="Arial"/>
          <w:sz w:val="15"/>
          <w:szCs w:val="15"/>
          <w:color w:val="auto"/>
        </w:rPr>
        <w:t>”), the fair value of such consideration will be determined within five (5)</w:t>
      </w:r>
    </w:p>
    <w:p>
      <w:pPr>
        <w:spacing w:after="0" w:line="1" w:lineRule="exact"/>
        <w:rPr>
          <w:sz w:val="20"/>
          <w:szCs w:val="20"/>
          <w:color w:val="auto"/>
        </w:rPr>
      </w:pPr>
    </w:p>
    <w:p>
      <w:pPr>
        <w:jc w:val="both"/>
        <w:ind w:left="540" w:right="1239"/>
        <w:spacing w:after="0" w:line="255" w:lineRule="auto"/>
        <w:rPr>
          <w:sz w:val="20"/>
          <w:szCs w:val="20"/>
          <w:color w:val="auto"/>
        </w:rPr>
      </w:pPr>
      <w:r>
        <w:rPr>
          <w:rFonts w:ascii="Arial" w:cs="Arial" w:eastAsia="Arial" w:hAnsi="Arial"/>
          <w:sz w:val="15"/>
          <w:szCs w:val="15"/>
          <w:color w:val="auto"/>
        </w:rPr>
        <w:t>Business Days after the tenth (10</w:t>
      </w:r>
      <w:r>
        <w:rPr>
          <w:rFonts w:ascii="Arial" w:cs="Arial" w:eastAsia="Arial" w:hAnsi="Arial"/>
          <w:sz w:val="24"/>
          <w:szCs w:val="24"/>
          <w:color w:val="auto"/>
          <w:vertAlign w:val="superscript"/>
        </w:rPr>
        <w:t>th</w:t>
      </w:r>
      <w:r>
        <w:rPr>
          <w:rFonts w:ascii="Arial" w:cs="Arial" w:eastAsia="Arial" w:hAnsi="Arial"/>
          <w:sz w:val="15"/>
          <w:szCs w:val="15"/>
          <w:color w:val="auto"/>
        </w:rPr>
        <w:t>) day following the Valuation Event by an independent, reputable appraiser jointly selected by the Corporation and the Required Holders. The determination of such appraiser shall be deemed binding upon all parties absent manifest error and the fees and expenses of such appraiser shall be borne by the Corporation.</w:t>
      </w:r>
    </w:p>
    <w:p>
      <w:pPr>
        <w:spacing w:after="0" w:line="78" w:lineRule="exact"/>
        <w:rPr>
          <w:sz w:val="20"/>
          <w:szCs w:val="20"/>
          <w:color w:val="auto"/>
        </w:rPr>
      </w:pPr>
    </w:p>
    <w:p>
      <w:pPr>
        <w:jc w:val="both"/>
        <w:ind w:left="300" w:right="1239" w:firstLine="248"/>
        <w:spacing w:after="0" w:line="269" w:lineRule="auto"/>
        <w:tabs>
          <w:tab w:leader="none" w:pos="832"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Adjustment of Conversion Price upon Subdivision or Combination of Common Stock</w:t>
      </w:r>
      <w:r>
        <w:rPr>
          <w:rFonts w:ascii="Arial" w:cs="Arial" w:eastAsia="Arial" w:hAnsi="Arial"/>
          <w:sz w:val="16"/>
          <w:szCs w:val="16"/>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65" w:lineRule="exact"/>
        <w:rPr>
          <w:rFonts w:ascii="Arial" w:cs="Arial" w:eastAsia="Arial" w:hAnsi="Arial"/>
          <w:sz w:val="16"/>
          <w:szCs w:val="16"/>
          <w:color w:val="auto"/>
        </w:rPr>
      </w:pPr>
    </w:p>
    <w:p>
      <w:pPr>
        <w:jc w:val="both"/>
        <w:ind w:left="300" w:right="1239" w:firstLine="248"/>
        <w:spacing w:after="0" w:line="292" w:lineRule="auto"/>
        <w:tabs>
          <w:tab w:leader="none" w:pos="879" w:val="left"/>
        </w:tabs>
        <w:numPr>
          <w:ilvl w:val="0"/>
          <w:numId w:val="418"/>
        </w:numPr>
        <w:rPr>
          <w:rFonts w:ascii="Arial" w:cs="Arial" w:eastAsia="Arial" w:hAnsi="Arial"/>
          <w:sz w:val="15"/>
          <w:szCs w:val="15"/>
          <w:color w:val="auto"/>
        </w:rPr>
      </w:pPr>
      <w:r>
        <w:rPr>
          <w:rFonts w:ascii="Arial" w:cs="Arial" w:eastAsia="Arial" w:hAnsi="Arial"/>
          <w:sz w:val="15"/>
          <w:szCs w:val="15"/>
          <w:u w:val="single" w:color="auto"/>
          <w:color w:val="auto"/>
        </w:rPr>
        <w:t>Other Events</w:t>
      </w:r>
      <w:r>
        <w:rPr>
          <w:rFonts w:ascii="Arial" w:cs="Arial" w:eastAsia="Arial" w:hAnsi="Arial"/>
          <w:sz w:val="15"/>
          <w:szCs w:val="15"/>
          <w:color w:val="auto"/>
        </w:rPr>
        <w:t>. If any event occurs of the type contemplated by the provisions of this Section 8 but not expressly provided for by such provisions (including, without limitation, the granting of stock appreciation rights, phantom stock rights or other rights with equity features, other than the issuance of Excluded Securities), then the Corporation’s Board of Directors will make an appropriate adjustment in the Conversion Price so as to protect the rights of the holders of Series A Preferred Stock; provided that no such adjustment will increase the Conversion Price as otherwise determined pursuant to this Section 8.</w:t>
      </w:r>
    </w:p>
    <w:p>
      <w:pPr>
        <w:spacing w:after="0" w:line="53" w:lineRule="exact"/>
        <w:rPr>
          <w:rFonts w:ascii="Arial" w:cs="Arial" w:eastAsia="Arial" w:hAnsi="Arial"/>
          <w:sz w:val="15"/>
          <w:szCs w:val="15"/>
          <w:color w:val="auto"/>
        </w:rPr>
      </w:pPr>
    </w:p>
    <w:p>
      <w:pPr>
        <w:jc w:val="both"/>
        <w:ind w:left="300" w:right="1239" w:firstLine="248"/>
        <w:spacing w:after="0" w:line="256" w:lineRule="auto"/>
        <w:tabs>
          <w:tab w:leader="none" w:pos="832"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Voluntary Adjustment By Corporation</w:t>
      </w:r>
      <w:r>
        <w:rPr>
          <w:rFonts w:ascii="Arial" w:cs="Arial" w:eastAsia="Arial" w:hAnsi="Arial"/>
          <w:sz w:val="17"/>
          <w:szCs w:val="17"/>
          <w:color w:val="auto"/>
        </w:rPr>
        <w:t>. The Corporation may at any time reduce the then current Conversion Price to any amount and for any period of time deemed appropriate and approved by the Board of Directors in accordance with Delaware law.</w:t>
      </w:r>
    </w:p>
    <w:p>
      <w:pPr>
        <w:spacing w:after="0" w:line="76" w:lineRule="exact"/>
        <w:rPr>
          <w:rFonts w:ascii="Arial" w:cs="Arial" w:eastAsia="Arial" w:hAnsi="Arial"/>
          <w:sz w:val="17"/>
          <w:szCs w:val="17"/>
          <w:color w:val="auto"/>
        </w:rPr>
      </w:pPr>
    </w:p>
    <w:p>
      <w:pPr>
        <w:jc w:val="both"/>
        <w:ind w:left="300" w:right="1239" w:firstLine="248"/>
        <w:spacing w:after="0" w:line="283" w:lineRule="auto"/>
        <w:tabs>
          <w:tab w:leader="none" w:pos="813" w:val="left"/>
        </w:tabs>
        <w:numPr>
          <w:ilvl w:val="0"/>
          <w:numId w:val="418"/>
        </w:numPr>
        <w:rPr>
          <w:rFonts w:ascii="Arial" w:cs="Arial" w:eastAsia="Arial" w:hAnsi="Arial"/>
          <w:sz w:val="15"/>
          <w:szCs w:val="15"/>
          <w:color w:val="auto"/>
        </w:rPr>
      </w:pPr>
      <w:r>
        <w:rPr>
          <w:rFonts w:ascii="Arial" w:cs="Arial" w:eastAsia="Arial" w:hAnsi="Arial"/>
          <w:sz w:val="15"/>
          <w:szCs w:val="15"/>
          <w:u w:val="single" w:color="auto"/>
          <w:color w:val="auto"/>
        </w:rPr>
        <w:t>Purchase Rights</w:t>
      </w:r>
      <w:r>
        <w:rPr>
          <w:rFonts w:ascii="Arial" w:cs="Arial" w:eastAsia="Arial" w:hAnsi="Arial"/>
          <w:sz w:val="15"/>
          <w:szCs w:val="15"/>
          <w:color w:val="auto"/>
        </w:rPr>
        <w:t>.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5"/>
          <w:szCs w:val="15"/>
          <w:b w:val="1"/>
          <w:bCs w:val="1"/>
          <w:color w:val="auto"/>
        </w:rPr>
        <w:t>Purchase Rights</w:t>
      </w:r>
      <w:r>
        <w:rPr>
          <w:rFonts w:ascii="Arial" w:cs="Arial" w:eastAsia="Arial" w:hAnsi="Arial"/>
          <w:sz w:val="15"/>
          <w:szCs w:val="15"/>
          <w:color w:val="auto"/>
        </w:rPr>
        <w:t>”), then the Holders will be entitled to acquire, upon the terms applicable to such Purchase Rights, the aggregate Purchase Rights which such Holder could have acquired if such Holder had held the number of shares of Common Stock acquirable upon complete conversion of the Series A Preferred Stock (without taking into account any limitations or restrictions on the convertibility of the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that to the extent that a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 at which time the Holder shall be granted such right to the same extent as if there had been no such limitation).</w:t>
      </w:r>
    </w:p>
    <w:p>
      <w:pPr>
        <w:spacing w:after="0" w:line="62" w:lineRule="exact"/>
        <w:rPr>
          <w:rFonts w:ascii="Arial" w:cs="Arial" w:eastAsia="Arial" w:hAnsi="Arial"/>
          <w:sz w:val="15"/>
          <w:szCs w:val="15"/>
          <w:color w:val="auto"/>
        </w:rPr>
      </w:pPr>
    </w:p>
    <w:p>
      <w:pPr>
        <w:ind w:left="820" w:hanging="272"/>
        <w:spacing w:after="0"/>
        <w:tabs>
          <w:tab w:leader="none" w:pos="820"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251" w:lineRule="auto"/>
        <w:tabs>
          <w:tab w:leader="none" w:pos="1061" w:val="left"/>
        </w:tabs>
        <w:numPr>
          <w:ilvl w:val="1"/>
          <w:numId w:val="418"/>
        </w:numPr>
        <w:rPr>
          <w:rFonts w:ascii="Arial" w:cs="Arial" w:eastAsia="Arial" w:hAnsi="Arial"/>
          <w:sz w:val="17"/>
          <w:szCs w:val="17"/>
          <w:color w:val="auto"/>
        </w:rPr>
      </w:pPr>
      <w:r>
        <w:rPr>
          <w:rFonts w:ascii="Arial" w:cs="Arial" w:eastAsia="Arial" w:hAnsi="Arial"/>
          <w:sz w:val="17"/>
          <w:szCs w:val="17"/>
          <w:color w:val="auto"/>
        </w:rPr>
        <w:t>Immediately upon any adjustment of the Conversion Rate and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7(e).</w:t>
      </w:r>
    </w:p>
    <w:p>
      <w:pPr>
        <w:spacing w:after="0" w:line="200" w:lineRule="exact"/>
        <w:rPr>
          <w:sz w:val="20"/>
          <w:szCs w:val="20"/>
          <w:color w:val="auto"/>
        </w:rPr>
      </w:pPr>
    </w:p>
    <w:p>
      <w:pPr>
        <w:spacing w:after="0" w:line="29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5" w:name="page446"/>
    <w:bookmarkEnd w:id="4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firstLine="259"/>
        <w:spacing w:after="0" w:line="284" w:lineRule="auto"/>
        <w:tabs>
          <w:tab w:leader="none" w:pos="1131" w:val="left"/>
        </w:tabs>
        <w:numPr>
          <w:ilvl w:val="3"/>
          <w:numId w:val="419"/>
        </w:numPr>
        <w:rPr>
          <w:rFonts w:ascii="Arial" w:cs="Arial" w:eastAsia="Arial" w:hAnsi="Arial"/>
          <w:sz w:val="15"/>
          <w:szCs w:val="15"/>
          <w:color w:val="auto"/>
        </w:rPr>
      </w:pPr>
      <w:r>
        <w:rPr>
          <w:rFonts w:ascii="Arial" w:cs="Arial" w:eastAsia="Arial" w:hAnsi="Arial"/>
          <w:sz w:val="15"/>
          <w:szCs w:val="15"/>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w:t>
      </w:r>
    </w:p>
    <w:p>
      <w:pPr>
        <w:spacing w:after="0" w:line="1" w:lineRule="exact"/>
        <w:rPr>
          <w:rFonts w:ascii="Arial" w:cs="Arial" w:eastAsia="Arial" w:hAnsi="Arial"/>
          <w:sz w:val="15"/>
          <w:szCs w:val="15"/>
          <w:color w:val="auto"/>
        </w:rPr>
      </w:pPr>
    </w:p>
    <w:p>
      <w:pPr>
        <w:ind w:left="540" w:right="1239" w:firstLine="8"/>
        <w:spacing w:after="0" w:line="252" w:lineRule="auto"/>
        <w:tabs>
          <w:tab w:leader="none" w:pos="870" w:val="left"/>
        </w:tabs>
        <w:numPr>
          <w:ilvl w:val="2"/>
          <w:numId w:val="420"/>
        </w:numPr>
        <w:rPr>
          <w:rFonts w:ascii="Arial" w:cs="Arial" w:eastAsia="Arial" w:hAnsi="Arial"/>
          <w:sz w:val="17"/>
          <w:szCs w:val="17"/>
          <w:color w:val="auto"/>
        </w:rPr>
      </w:pPr>
      <w:r>
        <w:rPr>
          <w:rFonts w:ascii="Arial" w:cs="Arial" w:eastAsia="Arial" w:hAnsi="Arial"/>
          <w:sz w:val="17"/>
          <w:szCs w:val="17"/>
          <w:color w:val="auto"/>
        </w:rPr>
        <w:t>for determining rights to vote with respect to any Change of Control, any Twenty Percent Issuance, any Fundamental Transaction or any Liquidation Event.</w:t>
      </w:r>
    </w:p>
    <w:p>
      <w:pPr>
        <w:spacing w:after="0" w:line="78" w:lineRule="exact"/>
        <w:rPr>
          <w:rFonts w:ascii="Arial" w:cs="Arial" w:eastAsia="Arial" w:hAnsi="Arial"/>
          <w:sz w:val="17"/>
          <w:szCs w:val="17"/>
          <w:color w:val="auto"/>
        </w:rPr>
      </w:pPr>
    </w:p>
    <w:p>
      <w:pPr>
        <w:jc w:val="both"/>
        <w:ind w:left="540" w:right="1239" w:firstLine="259"/>
        <w:spacing w:after="0" w:line="256" w:lineRule="auto"/>
        <w:tabs>
          <w:tab w:leader="none" w:pos="1148" w:val="left"/>
        </w:tabs>
        <w:numPr>
          <w:ilvl w:val="3"/>
          <w:numId w:val="420"/>
        </w:numPr>
        <w:rPr>
          <w:rFonts w:ascii="Arial" w:cs="Arial" w:eastAsia="Arial" w:hAnsi="Arial"/>
          <w:sz w:val="17"/>
          <w:szCs w:val="17"/>
          <w:color w:val="auto"/>
        </w:rPr>
      </w:pPr>
      <w:r>
        <w:rPr>
          <w:rFonts w:ascii="Arial" w:cs="Arial" w:eastAsia="Arial" w:hAnsi="Arial"/>
          <w:sz w:val="17"/>
          <w:szCs w:val="17"/>
          <w:color w:val="auto"/>
        </w:rPr>
        <w:t>The Corporation will also give written notice to each Holder at least ten (10) Business Days prior to the date on which any Change of Control, any Twenty Percent Issuance, any Fundamental Transaction or any Liquidation Event will take place.</w:t>
      </w:r>
    </w:p>
    <w:p>
      <w:pPr>
        <w:spacing w:after="0" w:line="76" w:lineRule="exact"/>
        <w:rPr>
          <w:rFonts w:ascii="Arial" w:cs="Arial" w:eastAsia="Arial" w:hAnsi="Arial"/>
          <w:sz w:val="17"/>
          <w:szCs w:val="17"/>
          <w:color w:val="auto"/>
        </w:rPr>
      </w:pPr>
    </w:p>
    <w:p>
      <w:pPr>
        <w:jc w:val="both"/>
        <w:ind w:left="40" w:right="1239" w:firstLine="258"/>
        <w:spacing w:after="0" w:line="279" w:lineRule="auto"/>
        <w:tabs>
          <w:tab w:leader="none" w:pos="524" w:val="left"/>
        </w:tabs>
        <w:numPr>
          <w:ilvl w:val="1"/>
          <w:numId w:val="421"/>
        </w:numPr>
        <w:rPr>
          <w:rFonts w:ascii="Arial" w:cs="Arial" w:eastAsia="Arial" w:hAnsi="Arial"/>
          <w:sz w:val="15"/>
          <w:szCs w:val="15"/>
          <w:color w:val="auto"/>
        </w:rPr>
      </w:pPr>
      <w:r>
        <w:rPr>
          <w:rFonts w:ascii="Arial" w:cs="Arial" w:eastAsia="Arial" w:hAnsi="Arial"/>
          <w:sz w:val="15"/>
          <w:szCs w:val="15"/>
          <w:u w:val="single" w:color="auto"/>
          <w:color w:val="auto"/>
        </w:rPr>
        <w:t>Suspension from Trading</w:t>
      </w:r>
      <w:r>
        <w:rPr>
          <w:rFonts w:ascii="Arial" w:cs="Arial" w:eastAsia="Arial" w:hAnsi="Arial"/>
          <w:sz w:val="15"/>
          <w:szCs w:val="15"/>
          <w:color w:val="auto"/>
        </w:rPr>
        <w:t>. If on any day after the Initial Issuance Date, the sale of any of the shares of Common Stock issued or issuable upon the conversion of any shares of Series A Preferred Stock (the “</w:t>
      </w:r>
      <w:r>
        <w:rPr>
          <w:rFonts w:ascii="Arial" w:cs="Arial" w:eastAsia="Arial" w:hAnsi="Arial"/>
          <w:sz w:val="15"/>
          <w:szCs w:val="15"/>
          <w:b w:val="1"/>
          <w:bCs w:val="1"/>
          <w:color w:val="auto"/>
        </w:rPr>
        <w:t>Conversion Shares</w:t>
      </w:r>
      <w:r>
        <w:rPr>
          <w:rFonts w:ascii="Arial" w:cs="Arial" w:eastAsia="Arial" w:hAnsi="Arial"/>
          <w:sz w:val="15"/>
          <w:szCs w:val="15"/>
          <w:color w:val="auto"/>
        </w:rPr>
        <w:t>”) (without giving effect to the Maximum Percentage) issuable hereunder cannot be made (i) because of the suspension of trading by the Principal Market, or, if the Principal Market is not the principal trading market for the Common Stock, then on the principal securities exchange or securities market on which the shares of Common Stock are then traded (a “</w:t>
      </w:r>
      <w:r>
        <w:rPr>
          <w:rFonts w:ascii="Arial" w:cs="Arial" w:eastAsia="Arial" w:hAnsi="Arial"/>
          <w:sz w:val="15"/>
          <w:szCs w:val="15"/>
          <w:b w:val="1"/>
          <w:bCs w:val="1"/>
          <w:color w:val="auto"/>
        </w:rPr>
        <w:t>Maintenance Failure</w:t>
      </w:r>
      <w:r>
        <w:rPr>
          <w:rFonts w:ascii="Arial" w:cs="Arial" w:eastAsia="Arial" w:hAnsi="Arial"/>
          <w:sz w:val="15"/>
          <w:szCs w:val="15"/>
          <w:color w:val="auto"/>
        </w:rPr>
        <w:t>”),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Maintenance Failure, an amount in cash equal to one quarter of one percent (0.25%) of the product of (I) the total number of Conversion Shares issuable hereunder (without giving effect to the Maximum Percentage) and (II) the highest Closing Sale Price of the Common Stock during the period beginning on the Trading Date immediately prior to the first date of the Maintenance Failure and ending on the date such Maintenance Failure is cured or (ii) because of a failure to maintain the listing of the Common Stock on one or more Eligible Markets (a “</w:t>
      </w:r>
      <w:r>
        <w:rPr>
          <w:rFonts w:ascii="Arial" w:cs="Arial" w:eastAsia="Arial" w:hAnsi="Arial"/>
          <w:sz w:val="15"/>
          <w:szCs w:val="15"/>
          <w:b w:val="1"/>
          <w:bCs w:val="1"/>
          <w:color w:val="auto"/>
        </w:rPr>
        <w:t>Delisting Maintenance Failure</w:t>
      </w:r>
      <w:r>
        <w:rPr>
          <w:rFonts w:ascii="Arial" w:cs="Arial" w:eastAsia="Arial" w:hAnsi="Arial"/>
          <w:sz w:val="15"/>
          <w:szCs w:val="15"/>
          <w:color w:val="auto"/>
        </w:rPr>
        <w:t xml:space="preserve"> ”),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Delisting Maintenance Failure, an amount in cash equal to one quarter of one percent (0.25%) of the Conversion Amount then held by such Holder. The payments to which a Holder shall be entitled pursuant to this Section 9 are referred to herein as “</w:t>
      </w:r>
      <w:r>
        <w:rPr>
          <w:rFonts w:ascii="Arial" w:cs="Arial" w:eastAsia="Arial" w:hAnsi="Arial"/>
          <w:sz w:val="15"/>
          <w:szCs w:val="15"/>
          <w:b w:val="1"/>
          <w:bCs w:val="1"/>
          <w:color w:val="auto"/>
        </w:rPr>
        <w:t>Suspension Payments</w:t>
      </w:r>
      <w:r>
        <w:rPr>
          <w:rFonts w:ascii="Arial" w:cs="Arial" w:eastAsia="Arial" w:hAnsi="Arial"/>
          <w:sz w:val="15"/>
          <w:szCs w:val="15"/>
          <w:color w:val="auto"/>
        </w:rPr>
        <w:t>”. Suspension Payments shall be paid on the third Business Day after each full fifteen</w:t>
      </w:r>
    </w:p>
    <w:p>
      <w:pPr>
        <w:spacing w:after="0" w:line="11" w:lineRule="exact"/>
        <w:rPr>
          <w:rFonts w:ascii="Arial" w:cs="Arial" w:eastAsia="Arial" w:hAnsi="Arial"/>
          <w:sz w:val="15"/>
          <w:szCs w:val="15"/>
          <w:color w:val="auto"/>
        </w:rPr>
      </w:pPr>
    </w:p>
    <w:p>
      <w:pPr>
        <w:ind w:left="360" w:hanging="313"/>
        <w:spacing w:after="0"/>
        <w:tabs>
          <w:tab w:leader="none" w:pos="36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day period during which there is a Maintenance Failure or a Delisting Maintenance Failure, as applicable.</w:t>
      </w:r>
    </w:p>
    <w:p>
      <w:pPr>
        <w:spacing w:after="0" w:line="92" w:lineRule="exact"/>
        <w:rPr>
          <w:rFonts w:ascii="Arial" w:cs="Arial" w:eastAsia="Arial" w:hAnsi="Arial"/>
          <w:sz w:val="17"/>
          <w:szCs w:val="17"/>
          <w:color w:val="auto"/>
        </w:rPr>
      </w:pPr>
    </w:p>
    <w:p>
      <w:pPr>
        <w:ind w:left="40" w:right="1239" w:firstLine="258"/>
        <w:spacing w:after="0" w:line="267" w:lineRule="auto"/>
        <w:tabs>
          <w:tab w:leader="none" w:pos="595" w:val="left"/>
        </w:tabs>
        <w:numPr>
          <w:ilvl w:val="1"/>
          <w:numId w:val="422"/>
        </w:numPr>
        <w:rPr>
          <w:rFonts w:ascii="Arial" w:cs="Arial" w:eastAsia="Arial" w:hAnsi="Arial"/>
          <w:sz w:val="17"/>
          <w:szCs w:val="17"/>
          <w:color w:val="auto"/>
        </w:rPr>
      </w:pPr>
      <w:r>
        <w:rPr>
          <w:rFonts w:ascii="Arial" w:cs="Arial" w:eastAsia="Arial" w:hAnsi="Arial"/>
          <w:sz w:val="17"/>
          <w:szCs w:val="17"/>
          <w:u w:val="single" w:color="auto"/>
          <w:color w:val="auto"/>
        </w:rPr>
        <w:t>Status of Converted Stock</w:t>
      </w:r>
      <w:r>
        <w:rPr>
          <w:rFonts w:ascii="Arial" w:cs="Arial" w:eastAsia="Arial" w:hAnsi="Arial"/>
          <w:sz w:val="17"/>
          <w:szCs w:val="17"/>
          <w:color w:val="auto"/>
        </w:rPr>
        <w:t>. In the event any shares of Series A Preferred Stock shall be converted pursuant to Section 7 hereof, the shares so converted shall be canceled and shall not be issuable by the Corporation.</w:t>
      </w:r>
    </w:p>
    <w:p>
      <w:pPr>
        <w:spacing w:after="0" w:line="66" w:lineRule="exact"/>
        <w:rPr>
          <w:rFonts w:ascii="Arial" w:cs="Arial" w:eastAsia="Arial" w:hAnsi="Arial"/>
          <w:sz w:val="17"/>
          <w:szCs w:val="17"/>
          <w:color w:val="auto"/>
        </w:rPr>
      </w:pPr>
    </w:p>
    <w:p>
      <w:pPr>
        <w:jc w:val="both"/>
        <w:ind w:left="40" w:right="1239" w:firstLine="258"/>
        <w:spacing w:after="0" w:line="267" w:lineRule="auto"/>
        <w:tabs>
          <w:tab w:leader="none" w:pos="589"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Lost or Stolen Certificates</w:t>
      </w:r>
      <w:r>
        <w:rPr>
          <w:rFonts w:ascii="Arial" w:cs="Arial" w:eastAsia="Arial" w:hAnsi="Arial"/>
          <w:sz w:val="16"/>
          <w:szCs w:val="16"/>
          <w:color w:val="auto"/>
        </w:rPr>
        <w:t xml:space="preserve">. Upon receipt by the Corporation of evidence reasonably satisfactory to the Corporation of the loss, theft, destruction or mutilation of any Series A Preferred Stock Certificates representing the Series A Preferred Stock, and, in the case of loss, theft or destruction, of an indemnification undertaking by the holder thereof to the Corporation in customary form and, in the case of mutilation, upon surrender and cancellation of the Series A Preferred Stock Certificate(s), the Corporation shall execute and deliver new preferred stock certificate(s) of like tenor and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Corporation shall not be obligated to re-issue preferred stock certificates if the holder contemporaneously requests the Corporation to convert such Series A Preferred Stock into Common Stock.</w:t>
      </w:r>
    </w:p>
    <w:p>
      <w:pPr>
        <w:spacing w:after="0" w:line="70" w:lineRule="exact"/>
        <w:rPr>
          <w:rFonts w:ascii="Arial" w:cs="Arial" w:eastAsia="Arial" w:hAnsi="Arial"/>
          <w:sz w:val="16"/>
          <w:szCs w:val="16"/>
          <w:color w:val="auto"/>
        </w:rPr>
      </w:pPr>
    </w:p>
    <w:p>
      <w:pPr>
        <w:jc w:val="both"/>
        <w:ind w:left="40" w:right="1239" w:firstLine="258"/>
        <w:spacing w:after="0" w:line="267" w:lineRule="auto"/>
        <w:tabs>
          <w:tab w:leader="none" w:pos="583"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 of Series A Preferred Stock’s right to pursue actual damages for any failure by the Corporation to comply with the terms of this Certificate of Designations. The Corporation covenants to each holder of Series A Preferred Stock that there shall be no characterization concerning this instrument other than as expressly provided herein. Amounts set forth or</w:t>
      </w: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6" w:name="page447"/>
    <w:bookmarkEnd w:id="4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8" w:lineRule="auto"/>
        <w:rPr>
          <w:sz w:val="20"/>
          <w:szCs w:val="20"/>
          <w:color w:val="auto"/>
        </w:rPr>
      </w:pPr>
      <w:r>
        <w:rPr>
          <w:rFonts w:ascii="Arial" w:cs="Arial" w:eastAsia="Arial" w:hAnsi="Arial"/>
          <w:sz w:val="15"/>
          <w:szCs w:val="15"/>
          <w:color w:val="auto"/>
        </w:rPr>
        <w:t>provided for herein with respect to payments, conversion and the like (and the computation thereof) shall be the amounts to be received by the holder of Series A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A Preferred Stock and that the remedy at law for any such breach may be inadequate. The Corporation therefore agrees that, in the event of any such breach or threatened breach, the holders of Series A Preferred Stock shall be entitled, in addition to all other available remedies, to an injunction restraining any breach, without the necessity of showing economic loss and without any bond or other security being required.</w:t>
      </w:r>
    </w:p>
    <w:p>
      <w:pPr>
        <w:spacing w:after="0" w:line="55" w:lineRule="exact"/>
        <w:rPr>
          <w:sz w:val="20"/>
          <w:szCs w:val="20"/>
          <w:color w:val="auto"/>
        </w:rPr>
      </w:pPr>
    </w:p>
    <w:p>
      <w:pPr>
        <w:jc w:val="both"/>
        <w:ind w:left="40" w:right="1239" w:firstLine="258"/>
        <w:spacing w:after="0" w:line="307" w:lineRule="auto"/>
        <w:tabs>
          <w:tab w:leader="none" w:pos="608" w:val="left"/>
        </w:tabs>
        <w:numPr>
          <w:ilvl w:val="0"/>
          <w:numId w:val="423"/>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Whenever notice or other communication is required to be given under this Certificate of Designations, unless otherwise provided herein, such notice shall be given in accordance with contact information provided by each Holder to the Corporation and set forth in the register for the Series A Preferred Stock maintained by the Corporation as set forth in Section 16.</w:t>
      </w:r>
    </w:p>
    <w:p>
      <w:pPr>
        <w:spacing w:after="0" w:line="39" w:lineRule="exact"/>
        <w:rPr>
          <w:rFonts w:ascii="Arial" w:cs="Arial" w:eastAsia="Arial" w:hAnsi="Arial"/>
          <w:sz w:val="15"/>
          <w:szCs w:val="15"/>
          <w:color w:val="auto"/>
        </w:rPr>
      </w:pPr>
    </w:p>
    <w:p>
      <w:pPr>
        <w:jc w:val="both"/>
        <w:ind w:left="40" w:right="1239" w:firstLine="258"/>
        <w:spacing w:after="0" w:line="280" w:lineRule="auto"/>
        <w:tabs>
          <w:tab w:leader="none" w:pos="583" w:val="left"/>
        </w:tabs>
        <w:numPr>
          <w:ilvl w:val="0"/>
          <w:numId w:val="423"/>
        </w:numPr>
        <w:rPr>
          <w:rFonts w:ascii="Arial" w:cs="Arial" w:eastAsia="Arial" w:hAnsi="Arial"/>
          <w:sz w:val="16"/>
          <w:szCs w:val="16"/>
          <w:color w:val="auto"/>
        </w:rPr>
      </w:pPr>
      <w:r>
        <w:rPr>
          <w:rFonts w:ascii="Arial" w:cs="Arial" w:eastAsia="Arial" w:hAnsi="Arial"/>
          <w:sz w:val="16"/>
          <w:szCs w:val="16"/>
          <w:u w:val="single" w:color="auto"/>
          <w:color w:val="auto"/>
        </w:rPr>
        <w:t>Failure or Indulgence Not Waiver</w:t>
      </w:r>
      <w:r>
        <w:rPr>
          <w:rFonts w:ascii="Arial" w:cs="Arial" w:eastAsia="Arial" w:hAnsi="Arial"/>
          <w:sz w:val="16"/>
          <w:szCs w:val="16"/>
          <w:color w:val="auto"/>
        </w:rPr>
        <w:t>. No failure or delay on the part of any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57" w:lineRule="exact"/>
        <w:rPr>
          <w:rFonts w:ascii="Arial" w:cs="Arial" w:eastAsia="Arial" w:hAnsi="Arial"/>
          <w:sz w:val="16"/>
          <w:szCs w:val="16"/>
          <w:color w:val="auto"/>
        </w:rPr>
      </w:pPr>
    </w:p>
    <w:p>
      <w:pPr>
        <w:jc w:val="both"/>
        <w:ind w:left="40" w:right="1239" w:firstLine="258"/>
        <w:spacing w:after="0" w:line="256" w:lineRule="auto"/>
        <w:tabs>
          <w:tab w:leader="none" w:pos="658"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Transfer of Series A Preferred Stock</w:t>
      </w:r>
      <w:r>
        <w:rPr>
          <w:rFonts w:ascii="Arial" w:cs="Arial" w:eastAsia="Arial" w:hAnsi="Arial"/>
          <w:sz w:val="17"/>
          <w:szCs w:val="17"/>
          <w:color w:val="auto"/>
        </w:rPr>
        <w:t>. A Holder may assign some or all of the Series A Preferred Stock and the accompanying rights hereunder held by such Holder without the consent of the Corporation; provided that such assignment is in compliance with applicable securities laws.</w:t>
      </w:r>
    </w:p>
    <w:p>
      <w:pPr>
        <w:spacing w:after="0" w:line="76" w:lineRule="exact"/>
        <w:rPr>
          <w:rFonts w:ascii="Arial" w:cs="Arial" w:eastAsia="Arial" w:hAnsi="Arial"/>
          <w:sz w:val="17"/>
          <w:szCs w:val="17"/>
          <w:color w:val="auto"/>
        </w:rPr>
      </w:pPr>
    </w:p>
    <w:p>
      <w:pPr>
        <w:jc w:val="both"/>
        <w:ind w:left="40" w:right="1239" w:firstLine="258"/>
        <w:spacing w:after="0" w:line="269" w:lineRule="auto"/>
        <w:tabs>
          <w:tab w:leader="none" w:pos="583" w:val="left"/>
        </w:tabs>
        <w:numPr>
          <w:ilvl w:val="0"/>
          <w:numId w:val="423"/>
        </w:numPr>
        <w:rPr>
          <w:rFonts w:ascii="Arial" w:cs="Arial" w:eastAsia="Arial" w:hAnsi="Arial"/>
          <w:sz w:val="16"/>
          <w:szCs w:val="16"/>
          <w:color w:val="auto"/>
        </w:rPr>
      </w:pPr>
      <w:r>
        <w:rPr>
          <w:rFonts w:ascii="Arial" w:cs="Arial" w:eastAsia="Arial" w:hAnsi="Arial"/>
          <w:sz w:val="16"/>
          <w:szCs w:val="16"/>
          <w:u w:val="single" w:color="auto"/>
          <w:color w:val="auto"/>
        </w:rPr>
        <w:t>Series A Preferred Stock Register</w:t>
      </w:r>
      <w:r>
        <w:rPr>
          <w:rFonts w:ascii="Arial" w:cs="Arial" w:eastAsia="Arial" w:hAnsi="Arial"/>
          <w:sz w:val="16"/>
          <w:szCs w:val="16"/>
          <w:color w:val="auto"/>
        </w:rPr>
        <w:t>. The Corporation shall maintain at its principal executive offices (or such other office or agency of the Corporation as it may designate by notice to the Holders), a register for the Series A Preferred Stock, in which the Corporation shall record the name and address of the persons in whose name the Series A Preferred Stock have been issued, as well as the name and address of each transferee. The Corporation may treat the person in whose name any Series A Preferred Stock is registered on the register as the owner and holder thereof for all purposes, notwithstanding any notice to the contrary, but in all events recognizing any properly made transfers.</w:t>
      </w:r>
    </w:p>
    <w:p>
      <w:pPr>
        <w:spacing w:after="0" w:line="65" w:lineRule="exact"/>
        <w:rPr>
          <w:rFonts w:ascii="Arial" w:cs="Arial" w:eastAsia="Arial" w:hAnsi="Arial"/>
          <w:sz w:val="16"/>
          <w:szCs w:val="16"/>
          <w:color w:val="auto"/>
        </w:rPr>
      </w:pPr>
    </w:p>
    <w:p>
      <w:pPr>
        <w:jc w:val="both"/>
        <w:ind w:left="40" w:right="1239" w:firstLine="258"/>
        <w:spacing w:after="0" w:line="250" w:lineRule="auto"/>
        <w:tabs>
          <w:tab w:leader="none" w:pos="583"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Stockholder Matters</w:t>
      </w:r>
      <w:r>
        <w:rPr>
          <w:rFonts w:ascii="Arial" w:cs="Arial" w:eastAsia="Arial" w:hAnsi="Arial"/>
          <w:sz w:val="17"/>
          <w:szCs w:val="17"/>
          <w:color w:val="auto"/>
        </w:rPr>
        <w:t>. Any stockholder action, approval or consent required, desired or otherwise sought by the Corporation pursuant to the DGCL, this Certificate of Designations or otherwise with respect to the issuance of the Series A Preferred Stock or the Common Stock issuable upon conversion thereof may be effected by written consent of the Corporation’s stockholders or at a duly called meeting of the Corporation’s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81" w:lineRule="exact"/>
        <w:rPr>
          <w:rFonts w:ascii="Arial" w:cs="Arial" w:eastAsia="Arial" w:hAnsi="Arial"/>
          <w:sz w:val="17"/>
          <w:szCs w:val="17"/>
          <w:color w:val="auto"/>
        </w:rPr>
      </w:pPr>
    </w:p>
    <w:p>
      <w:pPr>
        <w:jc w:val="both"/>
        <w:ind w:left="40" w:right="1239" w:firstLine="258"/>
        <w:spacing w:after="0" w:line="256" w:lineRule="auto"/>
        <w:tabs>
          <w:tab w:leader="none" w:pos="595"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In addition to the above provisions with respect to Series A Preferred Stock, such Series A Preferred Stock shall be subject to and be entitled to the benefit of the provisions set forth in the Certificate of Incorporation of the Corporation with respect to preferred stock of the Corporation generally.</w:t>
      </w:r>
    </w:p>
    <w:p>
      <w:pPr>
        <w:spacing w:after="0" w:line="76" w:lineRule="exact"/>
        <w:rPr>
          <w:rFonts w:ascii="Arial" w:cs="Arial" w:eastAsia="Arial" w:hAnsi="Arial"/>
          <w:sz w:val="17"/>
          <w:szCs w:val="17"/>
          <w:color w:val="auto"/>
        </w:rPr>
      </w:pPr>
    </w:p>
    <w:p>
      <w:pPr>
        <w:jc w:val="both"/>
        <w:ind w:left="40" w:right="1239" w:firstLine="258"/>
        <w:spacing w:after="0" w:line="286" w:lineRule="auto"/>
        <w:tabs>
          <w:tab w:leader="none" w:pos="595" w:val="left"/>
        </w:tabs>
        <w:numPr>
          <w:ilvl w:val="0"/>
          <w:numId w:val="423"/>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Upon receipt or delivery by the Corporation of any notice in accordance with the terms of this Certificate of Designations,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200" w:lineRule="exact"/>
        <w:rPr>
          <w:sz w:val="20"/>
          <w:szCs w:val="20"/>
          <w:color w:val="auto"/>
        </w:rPr>
      </w:pPr>
    </w:p>
    <w:p>
      <w:pPr>
        <w:spacing w:after="0" w:line="273"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7" w:name="page448"/>
    <w:bookmarkEnd w:id="4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WITNESS WHEREOF, the undersigned has signed this Certificate of Designation on the [__] day of [____] 2012, and</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affirms the statements contained therein as true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1393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Its:</w:t>
      </w:r>
    </w:p>
    <w:p>
      <w:pPr>
        <w:spacing w:after="0" w:line="200" w:lineRule="exact"/>
        <w:rPr>
          <w:sz w:val="20"/>
          <w:szCs w:val="20"/>
          <w:color w:val="auto"/>
        </w:rPr>
      </w:pPr>
    </w:p>
    <w:p>
      <w:pPr>
        <w:spacing w:after="0" w:line="30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8" w:name="page449"/>
    <w:bookmarkEnd w:id="4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u w:val="single" w:color="auto"/>
          <w:color w:val="auto"/>
        </w:rPr>
        <w:t>EXHIBIT I</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Reference is made to the Certificate of Designations, Preferences and Rights of Series A Convertible Preferred Stock of Vringo, Inc. (the “</w:t>
      </w:r>
      <w:r>
        <w:rPr>
          <w:rFonts w:ascii="Arial" w:cs="Arial" w:eastAsia="Arial" w:hAnsi="Arial"/>
          <w:sz w:val="15"/>
          <w:szCs w:val="15"/>
          <w:b w:val="1"/>
          <w:bCs w:val="1"/>
          <w:color w:val="auto"/>
        </w:rPr>
        <w:t>Certificate of Designations</w:t>
      </w:r>
      <w:r>
        <w:rPr>
          <w:rFonts w:ascii="Arial" w:cs="Arial" w:eastAsia="Arial" w:hAnsi="Arial"/>
          <w:sz w:val="15"/>
          <w:szCs w:val="15"/>
          <w:color w:val="auto"/>
        </w:rPr>
        <w:t>”). In accordance with and pursuant to the Certificate of Designations, the undersigned hereby elects to convert the number of shares of Series A Convertible Preferred Stock, par value $0.01 per share (the “</w:t>
      </w:r>
      <w:r>
        <w:rPr>
          <w:rFonts w:ascii="Arial" w:cs="Arial" w:eastAsia="Arial" w:hAnsi="Arial"/>
          <w:sz w:val="15"/>
          <w:szCs w:val="15"/>
          <w:b w:val="1"/>
          <w:bCs w:val="1"/>
          <w:color w:val="auto"/>
        </w:rPr>
        <w:t>Series A</w:t>
      </w:r>
      <w:r>
        <w:rPr>
          <w:rFonts w:ascii="Arial" w:cs="Arial" w:eastAsia="Arial" w:hAnsi="Arial"/>
          <w:sz w:val="15"/>
          <w:szCs w:val="15"/>
          <w:color w:val="auto"/>
        </w:rPr>
        <w:t xml:space="preserve"> </w:t>
      </w:r>
      <w:r>
        <w:rPr>
          <w:rFonts w:ascii="Arial" w:cs="Arial" w:eastAsia="Arial" w:hAnsi="Arial"/>
          <w:sz w:val="15"/>
          <w:szCs w:val="15"/>
          <w:b w:val="1"/>
          <w:bCs w:val="1"/>
          <w:color w:val="auto"/>
        </w:rPr>
        <w:t>Preferred Stock</w:t>
      </w:r>
      <w:r>
        <w:rPr>
          <w:rFonts w:ascii="Arial" w:cs="Arial" w:eastAsia="Arial" w:hAnsi="Arial"/>
          <w:sz w:val="15"/>
          <w:szCs w:val="15"/>
          <w:color w:val="auto"/>
        </w:rPr>
        <w:t>”), of Vringo, Inc., a Delaware corporation (the “</w:t>
      </w:r>
      <w:r>
        <w:rPr>
          <w:rFonts w:ascii="Arial" w:cs="Arial" w:eastAsia="Arial" w:hAnsi="Arial"/>
          <w:sz w:val="15"/>
          <w:szCs w:val="15"/>
          <w:b w:val="1"/>
          <w:bCs w:val="1"/>
          <w:color w:val="auto"/>
        </w:rPr>
        <w:t>Corporation</w:t>
      </w:r>
      <w:r>
        <w:rPr>
          <w:rFonts w:ascii="Arial" w:cs="Arial" w:eastAsia="Arial" w:hAnsi="Arial"/>
          <w:sz w:val="15"/>
          <w:szCs w:val="15"/>
          <w:color w:val="auto"/>
        </w:rPr>
        <w:t>”), indicated below into shares of Common Stock,</w:t>
      </w:r>
      <w:r>
        <w:rPr>
          <w:rFonts w:ascii="Arial" w:cs="Arial" w:eastAsia="Arial" w:hAnsi="Arial"/>
          <w:sz w:val="15"/>
          <w:szCs w:val="15"/>
          <w:b w:val="1"/>
          <w:bCs w:val="1"/>
          <w:color w:val="auto"/>
        </w:rPr>
        <w:t xml:space="preserve"> </w:t>
      </w:r>
      <w:r>
        <w:rPr>
          <w:rFonts w:ascii="Arial" w:cs="Arial" w:eastAsia="Arial" w:hAnsi="Arial"/>
          <w:sz w:val="15"/>
          <w:szCs w:val="15"/>
          <w:color w:val="auto"/>
        </w:rPr>
        <w:t>par value $0.01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of the Corporation, as of the date specified below. The undersigned represents and warrants that such conversion is not prohibited by Section 7(i) of the Certificate of Designations.</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-36195</wp:posOffset>
            </wp:positionV>
            <wp:extent cx="2768600" cy="1587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76860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-36195</wp:posOffset>
            </wp:positionV>
            <wp:extent cx="1368425" cy="1587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36842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Stock certificate no(s).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-35560</wp:posOffset>
            </wp:positionV>
            <wp:extent cx="1217295" cy="1587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1729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-36195</wp:posOffset>
            </wp:positionV>
            <wp:extent cx="2402840" cy="1587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40284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Please confirm the following information: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-36195</wp:posOffset>
            </wp:positionV>
            <wp:extent cx="2848610" cy="1587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84861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-36195</wp:posOffset>
            </wp:positionV>
            <wp:extent cx="1782445" cy="1587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782445" cy="15875"/>
                    </a:xfrm>
                    <a:prstGeom prst="rect">
                      <a:avLst/>
                    </a:prstGeom>
                    <a:noFill/>
                  </pic:spPr>
                </pic:pic>
              </a:graphicData>
            </a:graphic>
          </wp:anchor>
        </w:drawing>
      </w:r>
    </w:p>
    <w:p>
      <w:pPr>
        <w:spacing w:after="0" w:line="8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Please issue the Common Stock into which the Series A Preferred Stock are being converted in the following name and to the following address: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-36195</wp:posOffset>
            </wp:positionV>
            <wp:extent cx="3150870" cy="1587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15087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-36195</wp:posOffset>
            </wp:positionV>
            <wp:extent cx="3134995" cy="1587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13499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-36195</wp:posOffset>
            </wp:positionV>
            <wp:extent cx="2785110" cy="1587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78511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-35560</wp:posOffset>
            </wp:positionV>
            <wp:extent cx="2800985" cy="1587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80098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-36195</wp:posOffset>
            </wp:positionV>
            <wp:extent cx="2959735" cy="1587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95973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-36195</wp:posOffset>
            </wp:positionV>
            <wp:extent cx="3310255" cy="1587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31025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-36195</wp:posOffset>
            </wp:positionV>
            <wp:extent cx="3254375" cy="1587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25437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-36195</wp:posOffset>
            </wp:positionV>
            <wp:extent cx="3214370" cy="1587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21437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-35560</wp:posOffset>
            </wp:positionV>
            <wp:extent cx="1734820" cy="1587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73482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-36195</wp:posOffset>
            </wp:positionV>
            <wp:extent cx="1431925" cy="1587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431925" cy="1587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9" w:name="page450"/>
    <w:bookmarkEnd w:id="4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ACKNOWLEDGMENT</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Corporation hereby acknowledges this Conversion Notice and hereby directs [______] to issue the above indicated number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1393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-123190</wp:posOffset>
            </wp:positionV>
            <wp:extent cx="250634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50634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-123190</wp:posOffset>
            </wp:positionV>
            <wp:extent cx="250634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50634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11430</wp:posOffset>
            </wp:positionV>
            <wp:extent cx="2506345" cy="1587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506345" cy="1587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0" w:name="page451"/>
    <w:bookmarkEnd w:id="4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F</w:t>
      </w:r>
    </w:p>
    <w:p>
      <w:pPr>
        <w:spacing w:after="0" w:line="109"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(Form of Series 1 Warrant)</w:t>
      </w:r>
    </w:p>
    <w:p>
      <w:pPr>
        <w:spacing w:after="0" w:line="105" w:lineRule="exact"/>
        <w:rPr>
          <w:sz w:val="20"/>
          <w:szCs w:val="20"/>
          <w:color w:val="auto"/>
        </w:rPr>
      </w:pPr>
    </w:p>
    <w:p>
      <w:pPr>
        <w:jc w:val="both"/>
        <w:ind w:left="40" w:right="1239"/>
        <w:spacing w:after="0" w:line="248" w:lineRule="auto"/>
        <w:rPr>
          <w:sz w:val="20"/>
          <w:szCs w:val="20"/>
          <w:color w:val="auto"/>
        </w:rPr>
      </w:pPr>
      <w:r>
        <w:rPr>
          <w:rFonts w:ascii="Arial" w:cs="Arial" w:eastAsia="Arial" w:hAnsi="Arial"/>
          <w:sz w:val="17"/>
          <w:szCs w:val="17"/>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215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tabs>
          <w:tab w:leader="none" w:pos="5300" w:val="left"/>
        </w:tabs>
        <w:rPr>
          <w:sz w:val="20"/>
          <w:szCs w:val="20"/>
          <w:color w:val="auto"/>
        </w:rPr>
      </w:pPr>
      <w:r>
        <w:rPr>
          <w:rFonts w:ascii="Arial" w:cs="Arial" w:eastAsia="Arial" w:hAnsi="Arial"/>
          <w:sz w:val="17"/>
          <w:szCs w:val="17"/>
          <w:color w:val="auto"/>
        </w:rPr>
        <w:t>Warrant No. W-___</w:t>
      </w:r>
      <w:r>
        <w:rPr>
          <w:sz w:val="20"/>
          <w:szCs w:val="20"/>
          <w:color w:val="auto"/>
        </w:rPr>
        <w:tab/>
      </w:r>
      <w:r>
        <w:rPr>
          <w:rFonts w:ascii="Arial" w:cs="Arial" w:eastAsia="Arial" w:hAnsi="Arial"/>
          <w:sz w:val="14"/>
          <w:szCs w:val="14"/>
          <w:color w:val="auto"/>
        </w:rPr>
        <w:t>Number of Shares: ____________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Date of Issuance: _________ __, 2012 (“</w:t>
      </w:r>
      <w:r>
        <w:rPr>
          <w:rFonts w:ascii="Arial" w:cs="Arial" w:eastAsia="Arial" w:hAnsi="Arial"/>
          <w:sz w:val="17"/>
          <w:szCs w:val="17"/>
          <w:u w:val="single" w:color="auto"/>
          <w:color w:val="auto"/>
        </w:rPr>
        <w:t>Issuance Date</w:t>
      </w:r>
      <w:r>
        <w:rPr>
          <w:rFonts w:ascii="Arial" w:cs="Arial" w:eastAsia="Arial" w:hAnsi="Arial"/>
          <w:sz w:val="17"/>
          <w:szCs w:val="17"/>
          <w:color w:val="auto"/>
        </w:rPr>
        <w:t>”)</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u w:val="single" w:color="auto"/>
          <w:color w:val="auto"/>
        </w:rPr>
        <w:t>Common Stock Warrant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 xml:space="preserve">Vringo, Inc. </w:t>
      </w:r>
      <w:r>
        <w:rPr>
          <w:rFonts w:ascii="Arial" w:cs="Arial" w:eastAsia="Arial" w:hAnsi="Arial"/>
          <w:sz w:val="15"/>
          <w:szCs w:val="15"/>
          <w:color w:val="auto"/>
        </w:rPr>
        <w:t>(the “</w:t>
      </w:r>
      <w:r>
        <w:rPr>
          <w:rFonts w:ascii="Arial" w:cs="Arial" w:eastAsia="Arial" w:hAnsi="Arial"/>
          <w:sz w:val="15"/>
          <w:szCs w:val="15"/>
          <w:u w:val="single" w:color="auto"/>
          <w:color w:val="auto"/>
        </w:rPr>
        <w:t>Company</w:t>
      </w:r>
      <w:r>
        <w:rPr>
          <w:rFonts w:ascii="Arial" w:cs="Arial" w:eastAsia="Arial" w:hAnsi="Arial"/>
          <w:sz w:val="15"/>
          <w:szCs w:val="15"/>
          <w:color w:val="auto"/>
        </w:rPr>
        <w:t>”), for value received, hereby certifies that ________, or its registered assigns (the “</w:t>
      </w:r>
      <w:r>
        <w:rPr>
          <w:rFonts w:ascii="Arial" w:cs="Arial" w:eastAsia="Arial" w:hAnsi="Arial"/>
          <w:sz w:val="15"/>
          <w:szCs w:val="15"/>
          <w:u w:val="single" w:color="auto"/>
          <w:color w:val="auto"/>
        </w:rPr>
        <w:t>Registered</w:t>
      </w:r>
    </w:p>
    <w:p>
      <w:pPr>
        <w:spacing w:after="0" w:line="44" w:lineRule="exact"/>
        <w:rPr>
          <w:sz w:val="20"/>
          <w:szCs w:val="20"/>
          <w:color w:val="auto"/>
        </w:rPr>
      </w:pPr>
    </w:p>
    <w:p>
      <w:pPr>
        <w:jc w:val="both"/>
        <w:ind w:left="40" w:right="1239"/>
        <w:spacing w:after="0" w:line="261" w:lineRule="auto"/>
        <w:rPr>
          <w:sz w:val="20"/>
          <w:szCs w:val="20"/>
          <w:color w:val="auto"/>
        </w:rPr>
      </w:pPr>
      <w:r>
        <w:rPr>
          <w:rFonts w:ascii="Arial" w:cs="Arial" w:eastAsia="Arial" w:hAnsi="Arial"/>
          <w:sz w:val="16"/>
          <w:szCs w:val="16"/>
          <w:u w:val="single" w:color="auto"/>
          <w:color w:val="auto"/>
        </w:rPr>
        <w:t>Holder</w:t>
      </w:r>
      <w:r>
        <w:rPr>
          <w:rFonts w:ascii="Arial" w:cs="Arial" w:eastAsia="Arial" w:hAnsi="Arial"/>
          <w:sz w:val="16"/>
          <w:szCs w:val="16"/>
          <w:color w:val="auto"/>
        </w:rPr>
        <w:t>”), is entitled, subject to the terms of this Common Stock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set forth below, to purchase from the Company, at any time after the date hereof and on or before ___________ __ 2017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up to ________</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 shares of common stock of the Company (the “</w:t>
      </w:r>
      <w:r>
        <w:rPr>
          <w:rFonts w:ascii="Arial" w:cs="Arial" w:eastAsia="Arial" w:hAnsi="Arial"/>
          <w:sz w:val="15"/>
          <w:szCs w:val="15"/>
          <w:u w:val="single" w:color="auto"/>
          <w:color w:val="auto"/>
        </w:rPr>
        <w:t>Warrant Stock</w:t>
      </w:r>
      <w:r>
        <w:rPr>
          <w:rFonts w:ascii="Arial" w:cs="Arial" w:eastAsia="Arial" w:hAnsi="Arial"/>
          <w:sz w:val="15"/>
          <w:szCs w:val="15"/>
          <w:color w:val="auto"/>
        </w:rPr>
        <w:t>”), par value $0.01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at a</w:t>
      </w:r>
    </w:p>
    <w:p>
      <w:pPr>
        <w:spacing w:after="0" w:line="28" w:lineRule="exact"/>
        <w:rPr>
          <w:sz w:val="20"/>
          <w:szCs w:val="20"/>
          <w:color w:val="auto"/>
        </w:rPr>
      </w:pPr>
    </w:p>
    <w:p>
      <w:pPr>
        <w:jc w:val="both"/>
        <w:ind w:left="40" w:right="1239"/>
        <w:spacing w:after="0" w:line="252" w:lineRule="auto"/>
        <w:rPr>
          <w:sz w:val="20"/>
          <w:szCs w:val="20"/>
          <w:color w:val="auto"/>
        </w:rPr>
      </w:pPr>
      <w:r>
        <w:rPr>
          <w:rFonts w:ascii="Arial" w:cs="Arial" w:eastAsia="Arial" w:hAnsi="Arial"/>
          <w:sz w:val="17"/>
          <w:szCs w:val="17"/>
          <w:color w:val="auto"/>
        </w:rPr>
        <w:t>per share exercise price (the “</w:t>
      </w:r>
      <w:r>
        <w:rPr>
          <w:rFonts w:ascii="Arial" w:cs="Arial" w:eastAsia="Arial" w:hAnsi="Arial"/>
          <w:sz w:val="17"/>
          <w:szCs w:val="17"/>
          <w:u w:val="single" w:color="auto"/>
          <w:color w:val="auto"/>
        </w:rPr>
        <w:t>Exercise Price</w:t>
      </w:r>
      <w:r>
        <w:rPr>
          <w:rFonts w:ascii="Arial" w:cs="Arial" w:eastAsia="Arial" w:hAnsi="Arial"/>
          <w:sz w:val="17"/>
          <w:szCs w:val="17"/>
          <w:color w:val="auto"/>
        </w:rPr>
        <w:t>”) equal to One Dollar and Seventy-Six Cents ($1.76) per share (subject to adjustment as set forth in Section 2).</w:t>
      </w:r>
    </w:p>
    <w:p>
      <w:pPr>
        <w:spacing w:after="0" w:line="74" w:lineRule="exact"/>
        <w:rPr>
          <w:sz w:val="20"/>
          <w:szCs w:val="20"/>
          <w:color w:val="auto"/>
        </w:rPr>
      </w:pPr>
    </w:p>
    <w:p>
      <w:pPr>
        <w:ind w:left="540" w:hanging="242"/>
        <w:spacing w:after="0"/>
        <w:tabs>
          <w:tab w:leader="none" w:pos="540" w:val="left"/>
        </w:tabs>
        <w:numPr>
          <w:ilvl w:val="0"/>
          <w:numId w:val="424"/>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91" w:lineRule="auto"/>
        <w:tabs>
          <w:tab w:leader="none" w:pos="832" w:val="left"/>
        </w:tabs>
        <w:numPr>
          <w:ilvl w:val="1"/>
          <w:numId w:val="424"/>
        </w:numPr>
        <w:rPr>
          <w:rFonts w:ascii="Arial" w:cs="Arial" w:eastAsia="Arial" w:hAnsi="Arial"/>
          <w:sz w:val="15"/>
          <w:szCs w:val="15"/>
          <w:color w:val="auto"/>
        </w:rPr>
      </w:pPr>
      <w:r>
        <w:rPr>
          <w:rFonts w:ascii="Arial" w:cs="Arial" w:eastAsia="Arial" w:hAnsi="Arial"/>
          <w:sz w:val="15"/>
          <w:szCs w:val="15"/>
          <w:b w:val="1"/>
          <w:bCs w:val="1"/>
          <w:u w:val="single" w:color="auto"/>
          <w:color w:val="auto"/>
        </w:rPr>
        <w:t>Method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may be exercised by the Registered Holder, in whole or in part, by delivering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form appended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duly executed by such Registered Holder (the “</w:t>
      </w:r>
      <w:r>
        <w:rPr>
          <w:rFonts w:ascii="Arial" w:cs="Arial" w:eastAsia="Arial" w:hAnsi="Arial"/>
          <w:sz w:val="15"/>
          <w:szCs w:val="15"/>
          <w:u w:val="single" w:color="auto"/>
          <w:color w:val="auto"/>
        </w:rPr>
        <w:t>Exercise Notice</w:t>
      </w:r>
      <w:r>
        <w:rPr>
          <w:rFonts w:ascii="Arial" w:cs="Arial" w:eastAsia="Arial" w:hAnsi="Arial"/>
          <w:sz w:val="15"/>
          <w:szCs w:val="15"/>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48" w:lineRule="exact"/>
        <w:rPr>
          <w:rFonts w:ascii="Arial" w:cs="Arial" w:eastAsia="Arial" w:hAnsi="Arial"/>
          <w:sz w:val="15"/>
          <w:szCs w:val="15"/>
          <w:color w:val="auto"/>
        </w:rPr>
      </w:pPr>
    </w:p>
    <w:p>
      <w:pPr>
        <w:jc w:val="both"/>
        <w:ind w:left="300" w:right="1239" w:firstLine="248"/>
        <w:spacing w:after="0" w:line="272" w:lineRule="auto"/>
        <w:tabs>
          <w:tab w:leader="none" w:pos="829" w:val="left"/>
        </w:tabs>
        <w:numPr>
          <w:ilvl w:val="1"/>
          <w:numId w:val="424"/>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Time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Each exercise of this Warrant shall be deemed to have been effected immediately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close of business on the day on which the Exercise Notice has been delivered to the Company (the “</w:t>
      </w:r>
      <w:r>
        <w:rPr>
          <w:rFonts w:ascii="Arial" w:cs="Arial" w:eastAsia="Arial" w:hAnsi="Arial"/>
          <w:sz w:val="16"/>
          <w:szCs w:val="16"/>
          <w:u w:val="single" w:color="auto"/>
          <w:color w:val="auto"/>
        </w:rPr>
        <w:t>Exercise Date</w:t>
      </w:r>
      <w:r>
        <w:rPr>
          <w:rFonts w:ascii="Arial" w:cs="Arial" w:eastAsia="Arial" w:hAnsi="Arial"/>
          <w:sz w:val="16"/>
          <w:szCs w:val="16"/>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60" w:lineRule="exact"/>
        <w:rPr>
          <w:rFonts w:ascii="Arial" w:cs="Arial" w:eastAsia="Arial" w:hAnsi="Arial"/>
          <w:sz w:val="16"/>
          <w:szCs w:val="16"/>
          <w:color w:val="auto"/>
        </w:rPr>
      </w:pPr>
    </w:p>
    <w:p>
      <w:pPr>
        <w:jc w:val="both"/>
        <w:ind w:left="300" w:right="1239" w:firstLine="248"/>
        <w:spacing w:after="0" w:line="266" w:lineRule="auto"/>
        <w:tabs>
          <w:tab w:leader="none" w:pos="832" w:val="left"/>
        </w:tabs>
        <w:numPr>
          <w:ilvl w:val="1"/>
          <w:numId w:val="424"/>
        </w:numPr>
        <w:rPr>
          <w:rFonts w:ascii="Arial" w:cs="Arial" w:eastAsia="Arial" w:hAnsi="Arial"/>
          <w:sz w:val="16"/>
          <w:szCs w:val="16"/>
          <w:color w:val="auto"/>
        </w:rPr>
      </w:pPr>
      <w:r>
        <w:rPr>
          <w:rFonts w:ascii="Arial" w:cs="Arial" w:eastAsia="Arial" w:hAnsi="Arial"/>
          <w:sz w:val="16"/>
          <w:szCs w:val="16"/>
          <w:b w:val="1"/>
          <w:bCs w:val="1"/>
          <w:u w:val="single" w:color="auto"/>
          <w:color w:val="auto"/>
        </w:rPr>
        <w:t>Cashless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provisions herein to the contrary, if at any time between the three (3) month</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6"/>
          <w:szCs w:val="16"/>
          <w:u w:val="single" w:color="auto"/>
          <w:color w:val="auto"/>
        </w:rPr>
        <w:t>Cashless Exercise</w:t>
      </w:r>
      <w:r>
        <w:rPr>
          <w:rFonts w:ascii="Arial" w:cs="Arial" w:eastAsia="Arial" w:hAnsi="Arial"/>
          <w:sz w:val="16"/>
          <w:szCs w:val="16"/>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X = Y * (A –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53390" cy="1587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453390" cy="15875"/>
                    </a:xfrm>
                    <a:prstGeom prst="rect">
                      <a:avLst/>
                    </a:prstGeom>
                    <a:noFill/>
                  </pic:spPr>
                </pic:pic>
              </a:graphicData>
            </a:graphic>
          </wp:anchor>
        </w:drawing>
      </w:r>
    </w:p>
    <w:p>
      <w:pPr>
        <w:spacing w:after="0" w:line="60" w:lineRule="exact"/>
        <w:rPr>
          <w:sz w:val="20"/>
          <w:szCs w:val="20"/>
          <w:color w:val="auto"/>
        </w:rPr>
      </w:pPr>
    </w:p>
    <w:p>
      <w:pPr>
        <w:ind w:left="4380"/>
        <w:spacing w:after="0"/>
        <w:rPr>
          <w:sz w:val="20"/>
          <w:szCs w:val="20"/>
          <w:color w:val="auto"/>
        </w:rPr>
      </w:pPr>
      <w:r>
        <w:rPr>
          <w:rFonts w:ascii="Arial" w:cs="Arial" w:eastAsia="Arial" w:hAnsi="Arial"/>
          <w:sz w:val="17"/>
          <w:szCs w:val="17"/>
          <w:i w:val="1"/>
          <w:i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1" w:name="page452"/>
    <w:bookmarkEnd w:id="4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where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X = the number of shares of Warrant Stock to be issued to the Registered Holder.</w:t>
      </w:r>
    </w:p>
    <w:p>
      <w:pPr>
        <w:spacing w:after="0" w:line="105" w:lineRule="exact"/>
        <w:rPr>
          <w:sz w:val="20"/>
          <w:szCs w:val="20"/>
          <w:color w:val="auto"/>
        </w:rPr>
      </w:pPr>
    </w:p>
    <w:p>
      <w:pPr>
        <w:ind w:left="300" w:right="1239" w:firstLine="251"/>
        <w:spacing w:after="0" w:line="267" w:lineRule="auto"/>
        <w:rPr>
          <w:sz w:val="20"/>
          <w:szCs w:val="20"/>
          <w:color w:val="auto"/>
        </w:rPr>
      </w:pPr>
      <w:r>
        <w:rPr>
          <w:rFonts w:ascii="Arial" w:cs="Arial" w:eastAsia="Arial" w:hAnsi="Arial"/>
          <w:sz w:val="17"/>
          <w:szCs w:val="17"/>
          <w:color w:val="auto"/>
        </w:rPr>
        <w:t>Y = the Warrant Stock purchasable under this Warrant or, if only a portion of the Warrant is being exercised, the portion of the Warrant Stock being exercised.</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 = the Fair Market Value (defined below) of one share of Common Stock on the Exercise Date.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 = the Exercise Price (as adjusted pursuant to the provisions of this Warrant).</w:t>
      </w:r>
    </w:p>
    <w:p>
      <w:pPr>
        <w:spacing w:after="0" w:line="105"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For purposes of this Section 1(c), the “Fair Market Value” of one share of Common Stock on the Exercise Date shall have one of the following meanings:</w:t>
      </w:r>
    </w:p>
    <w:p>
      <w:pPr>
        <w:spacing w:after="0" w:line="66" w:lineRule="exact"/>
        <w:rPr>
          <w:sz w:val="20"/>
          <w:szCs w:val="20"/>
          <w:color w:val="auto"/>
        </w:rPr>
      </w:pPr>
    </w:p>
    <w:p>
      <w:pPr>
        <w:jc w:val="both"/>
        <w:ind w:left="300" w:right="1239" w:firstLine="248"/>
        <w:spacing w:after="0" w:line="280" w:lineRule="auto"/>
        <w:tabs>
          <w:tab w:leader="none" w:pos="871" w:val="left"/>
        </w:tabs>
        <w:numPr>
          <w:ilvl w:val="0"/>
          <w:numId w:val="425"/>
        </w:numPr>
        <w:rPr>
          <w:rFonts w:ascii="Arial" w:cs="Arial" w:eastAsia="Arial" w:hAnsi="Arial"/>
          <w:sz w:val="16"/>
          <w:szCs w:val="16"/>
          <w:color w:val="auto"/>
        </w:rPr>
      </w:pPr>
      <w:r>
        <w:rPr>
          <w:rFonts w:ascii="Arial" w:cs="Arial" w:eastAsia="Arial" w:hAnsi="Arial"/>
          <w:sz w:val="16"/>
          <w:szCs w:val="16"/>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57" w:lineRule="exact"/>
        <w:rPr>
          <w:rFonts w:ascii="Arial" w:cs="Arial" w:eastAsia="Arial" w:hAnsi="Arial"/>
          <w:sz w:val="16"/>
          <w:szCs w:val="16"/>
          <w:color w:val="auto"/>
        </w:rPr>
      </w:pPr>
    </w:p>
    <w:p>
      <w:pPr>
        <w:ind w:left="300" w:right="1239" w:firstLine="248"/>
        <w:spacing w:after="0" w:line="267" w:lineRule="auto"/>
        <w:tabs>
          <w:tab w:leader="none" w:pos="833"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if the Common Stock is traded over-the-counter, the Fair Market Value shall be deemed to be the average of the closing sales price over the thirty (30) day period ending three (3) days before the Exercise Date; or</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39"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78" w:lineRule="exact"/>
        <w:rPr>
          <w:sz w:val="20"/>
          <w:szCs w:val="20"/>
          <w:color w:val="auto"/>
        </w:rPr>
      </w:pPr>
    </w:p>
    <w:p>
      <w:pPr>
        <w:jc w:val="both"/>
        <w:ind w:left="300" w:right="1239" w:firstLine="251"/>
        <w:spacing w:after="0" w:line="253" w:lineRule="auto"/>
        <w:rPr>
          <w:sz w:val="20"/>
          <w:szCs w:val="20"/>
          <w:color w:val="auto"/>
        </w:rPr>
      </w:pPr>
      <w:r>
        <w:rPr>
          <w:rFonts w:ascii="Arial" w:cs="Arial" w:eastAsia="Arial" w:hAnsi="Arial"/>
          <w:sz w:val="17"/>
          <w:szCs w:val="17"/>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X = 50,000 ($2.00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962660" cy="1587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962660" cy="15875"/>
                    </a:xfrm>
                    <a:prstGeom prst="rect">
                      <a:avLst/>
                    </a:prstGeom>
                    <a:noFill/>
                  </pic:spPr>
                </pic:pic>
              </a:graphicData>
            </a:graphic>
          </wp:anchor>
        </w:drawing>
      </w:r>
    </w:p>
    <w:p>
      <w:pPr>
        <w:spacing w:after="0" w:line="6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$2.00</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X = 25,000</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67" w:lineRule="exact"/>
        <w:rPr>
          <w:sz w:val="20"/>
          <w:szCs w:val="20"/>
          <w:color w:val="auto"/>
        </w:rPr>
      </w:pPr>
    </w:p>
    <w:p>
      <w:pPr>
        <w:jc w:val="both"/>
        <w:ind w:left="300" w:right="1239" w:firstLine="248"/>
        <w:spacing w:after="0" w:line="254" w:lineRule="auto"/>
        <w:tabs>
          <w:tab w:leader="none" w:pos="854" w:val="left"/>
        </w:tabs>
        <w:numPr>
          <w:ilvl w:val="0"/>
          <w:numId w:val="426"/>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to Holder</w:t>
      </w:r>
      <w:r>
        <w:rPr>
          <w:rFonts w:ascii="Arial" w:cs="Arial" w:eastAsia="Arial" w:hAnsi="Arial"/>
          <w:sz w:val="17"/>
          <w:szCs w:val="17"/>
          <w:color w:val="auto"/>
        </w:rPr>
        <w:t>. As soon as practicable after the exercise of this Warrant in whole or in part, and in any event</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three (3) business days thereafter (the “</w:t>
      </w:r>
      <w:r>
        <w:rPr>
          <w:rFonts w:ascii="Arial" w:cs="Arial" w:eastAsia="Arial" w:hAnsi="Arial"/>
          <w:sz w:val="17"/>
          <w:szCs w:val="17"/>
          <w:u w:val="single" w:color="auto"/>
          <w:color w:val="auto"/>
        </w:rPr>
        <w:t>Warrant Stock Delivery Date</w:t>
      </w:r>
      <w:r>
        <w:rPr>
          <w:rFonts w:ascii="Arial" w:cs="Arial" w:eastAsia="Arial" w:hAnsi="Arial"/>
          <w:sz w:val="17"/>
          <w:szCs w:val="17"/>
          <w:color w:val="auto"/>
        </w:rPr>
        <w:t>”), the Company will cause to be issued in the name of, and delivered to, the Registered Holder, or as such Registered Holder (upon payment by such Registered Holder of any applicable transfer taxes) may direct:</w:t>
      </w:r>
    </w:p>
    <w:p>
      <w:pPr>
        <w:spacing w:after="0" w:line="78" w:lineRule="exact"/>
        <w:rPr>
          <w:rFonts w:ascii="Arial" w:cs="Arial" w:eastAsia="Arial" w:hAnsi="Arial"/>
          <w:sz w:val="17"/>
          <w:szCs w:val="17"/>
          <w:color w:val="auto"/>
        </w:rPr>
      </w:pPr>
    </w:p>
    <w:p>
      <w:pPr>
        <w:ind w:left="540" w:right="1239" w:firstLine="259"/>
        <w:spacing w:after="0" w:line="267" w:lineRule="auto"/>
        <w:tabs>
          <w:tab w:leader="none" w:pos="1076" w:val="left"/>
        </w:tabs>
        <w:numPr>
          <w:ilvl w:val="1"/>
          <w:numId w:val="426"/>
        </w:numPr>
        <w:rPr>
          <w:rFonts w:ascii="Arial" w:cs="Arial" w:eastAsia="Arial" w:hAnsi="Arial"/>
          <w:sz w:val="17"/>
          <w:szCs w:val="17"/>
          <w:color w:val="auto"/>
        </w:rPr>
      </w:pPr>
      <w:r>
        <w:rPr>
          <w:rFonts w:ascii="Arial" w:cs="Arial" w:eastAsia="Arial" w:hAnsi="Arial"/>
          <w:sz w:val="17"/>
          <w:szCs w:val="17"/>
          <w:color w:val="auto"/>
        </w:rPr>
        <w:t>a certificate or certificates for the number of shares of Warrant Stock to which such Registered Holder shall be entitled, and</w:t>
      </w:r>
    </w:p>
    <w:p>
      <w:pPr>
        <w:spacing w:after="0" w:line="66" w:lineRule="exact"/>
        <w:rPr>
          <w:rFonts w:ascii="Arial" w:cs="Arial" w:eastAsia="Arial" w:hAnsi="Arial"/>
          <w:sz w:val="17"/>
          <w:szCs w:val="17"/>
          <w:color w:val="auto"/>
        </w:rPr>
      </w:pPr>
    </w:p>
    <w:p>
      <w:pPr>
        <w:jc w:val="both"/>
        <w:ind w:left="540" w:right="1239" w:firstLine="259"/>
        <w:spacing w:after="0" w:line="253" w:lineRule="auto"/>
        <w:tabs>
          <w:tab w:leader="none" w:pos="1098" w:val="left"/>
        </w:tabs>
        <w:numPr>
          <w:ilvl w:val="1"/>
          <w:numId w:val="426"/>
        </w:numPr>
        <w:rPr>
          <w:rFonts w:ascii="Arial" w:cs="Arial" w:eastAsia="Arial" w:hAnsi="Arial"/>
          <w:sz w:val="17"/>
          <w:szCs w:val="17"/>
          <w:color w:val="auto"/>
        </w:rPr>
      </w:pPr>
      <w:r>
        <w:rPr>
          <w:rFonts w:ascii="Arial" w:cs="Arial" w:eastAsia="Arial" w:hAnsi="Arial"/>
          <w:sz w:val="17"/>
          <w:szCs w:val="17"/>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200" w:lineRule="exact"/>
        <w:rPr>
          <w:sz w:val="20"/>
          <w:szCs w:val="20"/>
          <w:color w:val="auto"/>
        </w:rPr>
      </w:pPr>
    </w:p>
    <w:p>
      <w:pPr>
        <w:spacing w:after="0" w:line="30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2" w:name="page453"/>
    <w:bookmarkEnd w:id="4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300" w:right="1239" w:firstLine="248"/>
        <w:spacing w:after="0" w:line="282" w:lineRule="auto"/>
        <w:tabs>
          <w:tab w:leader="none" w:pos="819" w:val="left"/>
        </w:tabs>
        <w:numPr>
          <w:ilvl w:val="0"/>
          <w:numId w:val="427"/>
        </w:numPr>
        <w:rPr>
          <w:rFonts w:ascii="Arial" w:cs="Arial" w:eastAsia="Arial" w:hAnsi="Arial"/>
          <w:sz w:val="15"/>
          <w:szCs w:val="15"/>
          <w:color w:val="auto"/>
        </w:rPr>
      </w:pPr>
      <w:r>
        <w:rPr>
          <w:rFonts w:ascii="Arial" w:cs="Arial" w:eastAsia="Arial" w:hAnsi="Arial"/>
          <w:sz w:val="15"/>
          <w:szCs w:val="15"/>
          <w:b w:val="1"/>
          <w:bCs w:val="1"/>
          <w:u w:val="single" w:color="auto"/>
          <w:color w:val="auto"/>
        </w:rPr>
        <w:t>Compensation for Buy-In on Failure to Timely Deliver Certificates Upon Exercise</w:t>
      </w:r>
      <w:r>
        <w:rPr>
          <w:rFonts w:ascii="Arial" w:cs="Arial" w:eastAsia="Arial" w:hAnsi="Arial"/>
          <w:sz w:val="15"/>
          <w:szCs w:val="15"/>
          <w:color w:val="auto"/>
        </w:rPr>
        <w:t>. In addition to any other rights</w:t>
      </w:r>
      <w:r>
        <w:rPr>
          <w:rFonts w:ascii="Arial" w:cs="Arial" w:eastAsia="Arial" w:hAnsi="Arial"/>
          <w:sz w:val="15"/>
          <w:szCs w:val="15"/>
          <w:b w:val="1"/>
          <w:bCs w:val="1"/>
          <w:color w:val="auto"/>
        </w:rPr>
        <w:t xml:space="preserve"> </w:t>
      </w:r>
      <w:r>
        <w:rPr>
          <w:rFonts w:ascii="Arial" w:cs="Arial" w:eastAsia="Arial" w:hAnsi="Arial"/>
          <w:sz w:val="15"/>
          <w:szCs w:val="15"/>
          <w:color w:val="auto"/>
        </w:rPr>
        <w:t>available to 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5"/>
          <w:szCs w:val="15"/>
          <w:u w:val="single" w:color="auto"/>
          <w:color w:val="auto"/>
        </w:rPr>
        <w:t>Buy-In</w:t>
      </w:r>
      <w:r>
        <w:rPr>
          <w:rFonts w:ascii="Arial" w:cs="Arial" w:eastAsia="Arial" w:hAnsi="Arial"/>
          <w:sz w:val="15"/>
          <w:szCs w:val="15"/>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60" w:lineRule="exact"/>
        <w:rPr>
          <w:rFonts w:ascii="Arial" w:cs="Arial" w:eastAsia="Arial" w:hAnsi="Arial"/>
          <w:sz w:val="15"/>
          <w:szCs w:val="15"/>
          <w:color w:val="auto"/>
        </w:rPr>
      </w:pPr>
    </w:p>
    <w:p>
      <w:pPr>
        <w:jc w:val="both"/>
        <w:ind w:left="300" w:right="1239" w:firstLine="248"/>
        <w:spacing w:after="0" w:line="280" w:lineRule="auto"/>
        <w:tabs>
          <w:tab w:leader="none" w:pos="876" w:val="left"/>
        </w:tabs>
        <w:numPr>
          <w:ilvl w:val="0"/>
          <w:numId w:val="427"/>
        </w:numPr>
        <w:rPr>
          <w:rFonts w:ascii="Arial" w:cs="Arial" w:eastAsia="Arial" w:hAnsi="Arial"/>
          <w:sz w:val="15"/>
          <w:szCs w:val="15"/>
          <w:color w:val="auto"/>
        </w:rPr>
      </w:pPr>
      <w:r>
        <w:rPr>
          <w:rFonts w:ascii="Arial" w:cs="Arial" w:eastAsia="Arial" w:hAnsi="Arial"/>
          <w:sz w:val="15"/>
          <w:szCs w:val="15"/>
          <w:b w:val="1"/>
          <w:bCs w:val="1"/>
          <w:u w:val="single" w:color="auto"/>
          <w:color w:val="auto"/>
        </w:rPr>
        <w:t>Registered Holder’s Exercise Limitations</w:t>
      </w:r>
      <w:r>
        <w:rPr>
          <w:rFonts w:ascii="Arial" w:cs="Arial" w:eastAsia="Arial" w:hAnsi="Arial"/>
          <w:sz w:val="15"/>
          <w:szCs w:val="15"/>
          <w:color w:val="auto"/>
        </w:rPr>
        <w:t>. The Company shall not effect any exercise of this Warrant, and a</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Holder shall 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w:t>
      </w:r>
    </w:p>
    <w:p>
      <w:pPr>
        <w:spacing w:after="0" w:line="13" w:lineRule="exact"/>
        <w:rPr>
          <w:sz w:val="20"/>
          <w:szCs w:val="20"/>
          <w:color w:val="auto"/>
        </w:rPr>
      </w:pPr>
    </w:p>
    <w:p>
      <w:pPr>
        <w:ind w:left="300" w:right="1239"/>
        <w:spacing w:after="0" w:line="213" w:lineRule="auto"/>
        <w:rPr>
          <w:sz w:val="20"/>
          <w:szCs w:val="20"/>
          <w:color w:val="auto"/>
        </w:rPr>
      </w:pPr>
      <w:r>
        <w:rPr>
          <w:rFonts w:ascii="Arial" w:cs="Arial" w:eastAsia="Arial" w:hAnsi="Arial"/>
          <w:sz w:val="17"/>
          <w:szCs w:val="17"/>
          <w:color w:val="auto"/>
        </w:rPr>
        <w:t>such increase or decrease will not be effective until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day after such notice is delivered to the Company. The provisions of this paragraph shall be construed and implemented in a</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3" w:name="page454"/>
    <w:bookmarkEnd w:id="4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4" w:lineRule="exact"/>
        <w:rPr>
          <w:sz w:val="20"/>
          <w:szCs w:val="20"/>
          <w:color w:val="auto"/>
        </w:rPr>
      </w:pPr>
    </w:p>
    <w:p>
      <w:pPr>
        <w:ind w:left="500" w:hanging="202"/>
        <w:spacing w:after="0"/>
        <w:tabs>
          <w:tab w:leader="none" w:pos="500" w:val="left"/>
        </w:tabs>
        <w:numPr>
          <w:ilvl w:val="0"/>
          <w:numId w:val="428"/>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Adjustments</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67" w:lineRule="auto"/>
        <w:tabs>
          <w:tab w:leader="none" w:pos="845" w:val="left"/>
        </w:tabs>
        <w:numPr>
          <w:ilvl w:val="1"/>
          <w:numId w:val="428"/>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Splits and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outstanding shares of the Company’s Common Stock shall be subdivided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greater number 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66" w:lineRule="exact"/>
        <w:rPr>
          <w:rFonts w:ascii="Arial" w:cs="Arial" w:eastAsia="Arial" w:hAnsi="Arial"/>
          <w:sz w:val="16"/>
          <w:szCs w:val="16"/>
          <w:color w:val="auto"/>
        </w:rPr>
      </w:pPr>
    </w:p>
    <w:p>
      <w:pPr>
        <w:jc w:val="both"/>
        <w:ind w:left="300" w:right="1239" w:firstLine="248"/>
        <w:spacing w:after="0" w:line="281" w:lineRule="auto"/>
        <w:tabs>
          <w:tab w:leader="none" w:pos="841" w:val="left"/>
        </w:tabs>
        <w:numPr>
          <w:ilvl w:val="1"/>
          <w:numId w:val="428"/>
        </w:numPr>
        <w:rPr>
          <w:rFonts w:ascii="Arial" w:cs="Arial" w:eastAsia="Arial" w:hAnsi="Arial"/>
          <w:sz w:val="15"/>
          <w:szCs w:val="15"/>
          <w:color w:val="auto"/>
        </w:rPr>
      </w:pPr>
      <w:r>
        <w:rPr>
          <w:rFonts w:ascii="Arial" w:cs="Arial" w:eastAsia="Arial" w:hAnsi="Arial"/>
          <w:sz w:val="15"/>
          <w:szCs w:val="15"/>
          <w:b w:val="1"/>
          <w:bCs w:val="1"/>
          <w:u w:val="single" w:color="auto"/>
          <w:color w:val="auto"/>
        </w:rPr>
        <w:t>Fundamental Transaction</w:t>
      </w:r>
      <w:r>
        <w:rPr>
          <w:rFonts w:ascii="Arial" w:cs="Arial" w:eastAsia="Arial" w:hAnsi="Arial"/>
          <w:sz w:val="15"/>
          <w:szCs w:val="15"/>
          <w:b w:val="1"/>
          <w:bCs w:val="1"/>
          <w:color w:val="auto"/>
        </w:rPr>
        <w:t xml:space="preserve">. </w:t>
      </w:r>
      <w:r>
        <w:rPr>
          <w:rFonts w:ascii="Arial" w:cs="Arial" w:eastAsia="Arial" w:hAnsi="Arial"/>
          <w:sz w:val="15"/>
          <w:szCs w:val="15"/>
          <w:color w:val="auto"/>
        </w:rPr>
        <w:t>If, at any time while this Warrant is outstanding, (i) the Company effects any merger or</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5"/>
          <w:szCs w:val="15"/>
          <w:u w:val="single" w:color="auto"/>
          <w:color w:val="auto"/>
        </w:rPr>
        <w:t>Fundamental Transaction</w:t>
      </w:r>
      <w:r>
        <w:rPr>
          <w:rFonts w:ascii="Arial" w:cs="Arial" w:eastAsia="Arial" w:hAnsi="Arial"/>
          <w:sz w:val="15"/>
          <w:szCs w:val="15"/>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5"/>
          <w:szCs w:val="15"/>
          <w:u w:val="single" w:color="auto"/>
          <w:color w:val="auto"/>
        </w:rPr>
        <w:t>Alternate Consideration</w:t>
      </w:r>
      <w:r>
        <w:rPr>
          <w:rFonts w:ascii="Arial" w:cs="Arial" w:eastAsia="Arial" w:hAnsi="Arial"/>
          <w:sz w:val="15"/>
          <w:szCs w:val="15"/>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65" w:lineRule="exact"/>
        <w:rPr>
          <w:rFonts w:ascii="Arial" w:cs="Arial" w:eastAsia="Arial" w:hAnsi="Arial"/>
          <w:sz w:val="15"/>
          <w:szCs w:val="15"/>
          <w:color w:val="auto"/>
        </w:rPr>
      </w:pPr>
    </w:p>
    <w:p>
      <w:pPr>
        <w:jc w:val="both"/>
        <w:ind w:left="300" w:right="1239" w:firstLine="248"/>
        <w:spacing w:after="0" w:line="275" w:lineRule="auto"/>
        <w:tabs>
          <w:tab w:leader="none" w:pos="819" w:val="left"/>
        </w:tabs>
        <w:numPr>
          <w:ilvl w:val="1"/>
          <w:numId w:val="42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When any adjustment is required to be made in the Exercise Price pursuant to this 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200" w:lineRule="exact"/>
        <w:rPr>
          <w:sz w:val="20"/>
          <w:szCs w:val="20"/>
          <w:color w:val="auto"/>
        </w:rPr>
      </w:pPr>
    </w:p>
    <w:p>
      <w:pPr>
        <w:spacing w:after="0" w:line="27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54" w:name="page455"/>
    <w:bookmarkEnd w:id="4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500" w:hanging="202"/>
        <w:spacing w:after="0"/>
        <w:tabs>
          <w:tab w:leader="none" w:pos="500" w:val="left"/>
        </w:tabs>
        <w:numPr>
          <w:ilvl w:val="0"/>
          <w:numId w:val="429"/>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Transfers</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70" w:lineRule="auto"/>
        <w:tabs>
          <w:tab w:leader="none" w:pos="832" w:val="left"/>
        </w:tabs>
        <w:numPr>
          <w:ilvl w:val="1"/>
          <w:numId w:val="429"/>
        </w:numPr>
        <w:rPr>
          <w:rFonts w:ascii="Arial" w:cs="Arial" w:eastAsia="Arial" w:hAnsi="Arial"/>
          <w:sz w:val="16"/>
          <w:szCs w:val="16"/>
          <w:color w:val="auto"/>
        </w:rPr>
      </w:pPr>
      <w:r>
        <w:rPr>
          <w:rFonts w:ascii="Arial" w:cs="Arial" w:eastAsia="Arial" w:hAnsi="Arial"/>
          <w:sz w:val="16"/>
          <w:szCs w:val="16"/>
          <w:b w:val="1"/>
          <w:bCs w:val="1"/>
          <w:u w:val="single" w:color="auto"/>
          <w:color w:val="auto"/>
        </w:rPr>
        <w:t>Unregistered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Warrant acknowledges that this Warrant has not been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61" w:lineRule="exact"/>
        <w:rPr>
          <w:rFonts w:ascii="Arial" w:cs="Arial" w:eastAsia="Arial" w:hAnsi="Arial"/>
          <w:sz w:val="16"/>
          <w:szCs w:val="16"/>
          <w:color w:val="auto"/>
        </w:rPr>
      </w:pPr>
    </w:p>
    <w:p>
      <w:pPr>
        <w:jc w:val="both"/>
        <w:ind w:left="300" w:right="1239" w:firstLine="248"/>
        <w:spacing w:after="0" w:line="254" w:lineRule="auto"/>
        <w:tabs>
          <w:tab w:leader="none" w:pos="829" w:val="left"/>
        </w:tabs>
        <w:numPr>
          <w:ilvl w:val="1"/>
          <w:numId w:val="429"/>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3(a) hereof, this Warrant and all rights hereunder are transferable,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whole or 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at the principal office of the Company.</w:t>
      </w:r>
    </w:p>
    <w:p>
      <w:pPr>
        <w:spacing w:after="0" w:line="74" w:lineRule="exact"/>
        <w:rPr>
          <w:rFonts w:ascii="Arial" w:cs="Arial" w:eastAsia="Arial" w:hAnsi="Arial"/>
          <w:sz w:val="17"/>
          <w:szCs w:val="17"/>
          <w:color w:val="auto"/>
        </w:rPr>
      </w:pPr>
    </w:p>
    <w:p>
      <w:pPr>
        <w:jc w:val="both"/>
        <w:ind w:left="300" w:right="1239" w:firstLine="248"/>
        <w:spacing w:after="0" w:line="270" w:lineRule="auto"/>
        <w:tabs>
          <w:tab w:leader="none" w:pos="870" w:val="left"/>
        </w:tabs>
        <w:numPr>
          <w:ilvl w:val="1"/>
          <w:numId w:val="429"/>
        </w:numPr>
        <w:rPr>
          <w:rFonts w:ascii="Arial" w:cs="Arial" w:eastAsia="Arial" w:hAnsi="Arial"/>
          <w:sz w:val="16"/>
          <w:szCs w:val="16"/>
          <w:color w:val="auto"/>
        </w:rPr>
      </w:pPr>
      <w:r>
        <w:rPr>
          <w:rFonts w:ascii="Arial" w:cs="Arial" w:eastAsia="Arial" w:hAnsi="Arial"/>
          <w:sz w:val="16"/>
          <w:szCs w:val="16"/>
          <w:b w:val="1"/>
          <w:bCs w:val="1"/>
          <w:u w:val="single" w:color="auto"/>
          <w:color w:val="auto"/>
        </w:rPr>
        <w:t>Warrant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maintain a register containing the names and addresses of the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this Warrant. Until any transfer of this Warrant is made in the warrant register, the Company may treat the Registered Holder of this Warrant as the absolute owner hereof for all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61" w:lineRule="exact"/>
        <w:rPr>
          <w:rFonts w:ascii="Arial" w:cs="Arial" w:eastAsia="Arial" w:hAnsi="Arial"/>
          <w:sz w:val="16"/>
          <w:szCs w:val="16"/>
          <w:color w:val="auto"/>
        </w:rPr>
      </w:pPr>
    </w:p>
    <w:p>
      <w:pPr>
        <w:ind w:left="500" w:hanging="202"/>
        <w:spacing w:after="0"/>
        <w:tabs>
          <w:tab w:leader="none" w:pos="500" w:val="left"/>
        </w:tabs>
        <w:numPr>
          <w:ilvl w:val="0"/>
          <w:numId w:val="429"/>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66" w:lineRule="auto"/>
        <w:tabs>
          <w:tab w:leader="none" w:pos="832" w:val="left"/>
        </w:tabs>
        <w:numPr>
          <w:ilvl w:val="1"/>
          <w:numId w:val="429"/>
        </w:numPr>
        <w:rPr>
          <w:rFonts w:ascii="Arial" w:cs="Arial" w:eastAsia="Arial" w:hAnsi="Arial"/>
          <w:sz w:val="16"/>
          <w:szCs w:val="16"/>
          <w:color w:val="auto"/>
        </w:rPr>
      </w:pPr>
      <w:r>
        <w:rPr>
          <w:rFonts w:ascii="Arial" w:cs="Arial" w:eastAsia="Arial" w:hAnsi="Arial"/>
          <w:sz w:val="16"/>
          <w:szCs w:val="16"/>
          <w:b w:val="1"/>
          <w:bCs w:val="1"/>
          <w:u w:val="single" w:color="auto"/>
          <w:color w:val="auto"/>
        </w:rPr>
        <w:t>Redemption of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may be redeemed, at the option of the Company, at any time after it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and prior to its expiration, at the office of the Company or, if appointed, the Company’s warrant agent, upon the notice referred to in Section 4(b) hereof, at the price of $0.01 per share underlying the Warrant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65" w:lineRule="exact"/>
        <w:rPr>
          <w:rFonts w:ascii="Arial" w:cs="Arial" w:eastAsia="Arial" w:hAnsi="Arial"/>
          <w:sz w:val="16"/>
          <w:szCs w:val="16"/>
          <w:color w:val="auto"/>
        </w:rPr>
      </w:pPr>
    </w:p>
    <w:p>
      <w:pPr>
        <w:jc w:val="both"/>
        <w:ind w:left="300" w:right="1239" w:firstLine="248"/>
        <w:spacing w:after="0" w:line="294" w:lineRule="auto"/>
        <w:tabs>
          <w:tab w:leader="none" w:pos="892" w:val="left"/>
        </w:tabs>
        <w:numPr>
          <w:ilvl w:val="1"/>
          <w:numId w:val="429"/>
        </w:numPr>
        <w:rPr>
          <w:rFonts w:ascii="Arial" w:cs="Arial" w:eastAsia="Arial" w:hAnsi="Arial"/>
          <w:sz w:val="15"/>
          <w:szCs w:val="15"/>
          <w:color w:val="auto"/>
        </w:rPr>
      </w:pPr>
      <w:r>
        <w:rPr>
          <w:rFonts w:ascii="Arial" w:cs="Arial" w:eastAsia="Arial" w:hAnsi="Arial"/>
          <w:sz w:val="15"/>
          <w:szCs w:val="15"/>
          <w:b w:val="1"/>
          <w:bCs w:val="1"/>
          <w:u w:val="single" w:color="auto"/>
          <w:color w:val="auto"/>
        </w:rPr>
        <w:t>Date Fixed for, and Notice of, Redemption</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the Company shall elect to redeem the Warrant,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shall fix a date for 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46" w:lineRule="exact"/>
        <w:rPr>
          <w:rFonts w:ascii="Arial" w:cs="Arial" w:eastAsia="Arial" w:hAnsi="Arial"/>
          <w:sz w:val="15"/>
          <w:szCs w:val="15"/>
          <w:color w:val="auto"/>
        </w:rPr>
      </w:pPr>
    </w:p>
    <w:p>
      <w:pPr>
        <w:jc w:val="both"/>
        <w:ind w:left="300" w:right="1239" w:firstLine="248"/>
        <w:spacing w:after="0" w:line="254" w:lineRule="auto"/>
        <w:tabs>
          <w:tab w:leader="none" w:pos="845" w:val="left"/>
        </w:tabs>
        <w:numPr>
          <w:ilvl w:val="1"/>
          <w:numId w:val="429"/>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After Notice of 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Warrants may be exercised in accordance with this Warrant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after notice of 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74" w:lineRule="exact"/>
        <w:rPr>
          <w:rFonts w:ascii="Arial" w:cs="Arial" w:eastAsia="Arial" w:hAnsi="Arial"/>
          <w:sz w:val="17"/>
          <w:szCs w:val="17"/>
          <w:color w:val="auto"/>
        </w:rPr>
      </w:pPr>
    </w:p>
    <w:p>
      <w:pPr>
        <w:jc w:val="both"/>
        <w:ind w:left="40" w:right="1239" w:firstLine="258"/>
        <w:spacing w:after="0" w:line="291" w:lineRule="auto"/>
        <w:tabs>
          <w:tab w:leader="none" w:pos="499" w:val="left"/>
        </w:tabs>
        <w:numPr>
          <w:ilvl w:val="0"/>
          <w:numId w:val="429"/>
        </w:numPr>
        <w:rPr>
          <w:rFonts w:ascii="Arial" w:cs="Arial" w:eastAsia="Arial" w:hAnsi="Arial"/>
          <w:sz w:val="15"/>
          <w:szCs w:val="15"/>
          <w:color w:val="auto"/>
        </w:rPr>
      </w:pPr>
      <w:r>
        <w:rPr>
          <w:rFonts w:ascii="Arial" w:cs="Arial" w:eastAsia="Arial" w:hAnsi="Arial"/>
          <w:sz w:val="15"/>
          <w:szCs w:val="15"/>
          <w:b w:val="1"/>
          <w:bCs w:val="1"/>
          <w:u w:val="single" w:color="auto"/>
          <w:color w:val="auto"/>
        </w:rPr>
        <w:t>Superior Warrant</w:t>
      </w:r>
      <w:r>
        <w:rPr>
          <w:rFonts w:ascii="Arial" w:cs="Arial" w:eastAsia="Arial" w:hAnsi="Arial"/>
          <w:sz w:val="15"/>
          <w:szCs w:val="15"/>
          <w:b w:val="1"/>
          <w:bCs w:val="1"/>
          <w:color w:val="auto"/>
        </w:rPr>
        <w:t xml:space="preserve">. </w:t>
      </w:r>
      <w:r>
        <w:rPr>
          <w:rFonts w:ascii="Arial" w:cs="Arial" w:eastAsia="Arial" w:hAnsi="Arial"/>
          <w:sz w:val="15"/>
          <w:szCs w:val="15"/>
          <w:color w:val="auto"/>
        </w:rPr>
        <w:t>From the date hereof until December 31, 2014, in the event the Company shall issue or sell a warrant to</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shares of Common Stock of the Company at an exercise price below $1.76 per share or which contain terms that, taken as a whole, are more favorable then the terms of the Warrant as determined in good faith by the Company’s Board of Directors (a “Superior Warrant”) in connection with a financing or a material transaction consummated by the Company, then the Company shall amend the terms of the Warrant to give you the benefit of the more favorable terms or conditions of the Superior Warrant (excluding the expiration date of the Superior Warrant). Notwithstanding the foregoing, no</w:t>
      </w:r>
    </w:p>
    <w:p>
      <w:pPr>
        <w:spacing w:after="0" w:line="200" w:lineRule="exact"/>
        <w:rPr>
          <w:sz w:val="20"/>
          <w:szCs w:val="20"/>
          <w:color w:val="auto"/>
        </w:rPr>
      </w:pPr>
    </w:p>
    <w:p>
      <w:pPr>
        <w:spacing w:after="0" w:line="26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55" w:name="page456"/>
    <w:bookmarkEnd w:id="4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99" w:lineRule="auto"/>
        <w:rPr>
          <w:sz w:val="20"/>
          <w:szCs w:val="20"/>
          <w:color w:val="auto"/>
        </w:rPr>
      </w:pPr>
      <w:r>
        <w:rPr>
          <w:rFonts w:ascii="Arial" w:cs="Arial" w:eastAsia="Arial" w:hAnsi="Arial"/>
          <w:sz w:val="16"/>
          <w:szCs w:val="16"/>
          <w:color w:val="auto"/>
        </w:rPr>
        <w:t>adjustments to the Warrant in accordance with this Section 5 shall be made upon the issuance of any Excluded Securities (as defined in the Company’s Certificate of Designations, Preferences and Rights of Series A Convertible Preferred Stock).</w:t>
      </w:r>
    </w:p>
    <w:p>
      <w:pPr>
        <w:spacing w:after="0" w:line="39" w:lineRule="exact"/>
        <w:rPr>
          <w:sz w:val="20"/>
          <w:szCs w:val="20"/>
          <w:color w:val="auto"/>
        </w:rPr>
      </w:pPr>
    </w:p>
    <w:p>
      <w:pPr>
        <w:ind w:left="40" w:right="1239" w:firstLine="258"/>
        <w:spacing w:after="0" w:line="272" w:lineRule="auto"/>
        <w:tabs>
          <w:tab w:leader="none" w:pos="499" w:val="left"/>
        </w:tabs>
        <w:numPr>
          <w:ilvl w:val="0"/>
          <w:numId w:val="430"/>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the right to purchase securities upon exercise hereof) shall terminate at 5:00 p.m., Eastern</w:t>
      </w:r>
      <w:r>
        <w:rPr>
          <w:rFonts w:ascii="Arial" w:cs="Arial" w:eastAsia="Arial" w:hAnsi="Arial"/>
          <w:sz w:val="17"/>
          <w:szCs w:val="17"/>
          <w:b w:val="1"/>
          <w:bCs w:val="1"/>
          <w:color w:val="auto"/>
        </w:rPr>
        <w:t xml:space="preserve"> </w:t>
      </w:r>
      <w:r>
        <w:rPr>
          <w:rFonts w:ascii="Arial" w:cs="Arial" w:eastAsia="Arial" w:hAnsi="Arial"/>
          <w:sz w:val="17"/>
          <w:szCs w:val="17"/>
          <w:color w:val="auto"/>
        </w:rPr>
        <w:t>time, on the Expiration Date.</w:t>
      </w:r>
    </w:p>
    <w:p>
      <w:pPr>
        <w:spacing w:after="0" w:line="58" w:lineRule="exact"/>
        <w:rPr>
          <w:rFonts w:ascii="Arial" w:cs="Arial" w:eastAsia="Arial" w:hAnsi="Arial"/>
          <w:sz w:val="17"/>
          <w:szCs w:val="17"/>
          <w:color w:val="auto"/>
        </w:rPr>
      </w:pPr>
    </w:p>
    <w:p>
      <w:pPr>
        <w:ind w:left="500" w:hanging="202"/>
        <w:spacing w:after="0"/>
        <w:tabs>
          <w:tab w:leader="none" w:pos="500" w:val="left"/>
        </w:tabs>
        <w:numPr>
          <w:ilvl w:val="0"/>
          <w:numId w:val="430"/>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 of Certain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case:</w:t>
      </w:r>
    </w:p>
    <w:p>
      <w:pPr>
        <w:spacing w:after="0" w:line="109" w:lineRule="exact"/>
        <w:rPr>
          <w:rFonts w:ascii="Arial" w:cs="Arial" w:eastAsia="Arial" w:hAnsi="Arial"/>
          <w:sz w:val="17"/>
          <w:szCs w:val="17"/>
          <w:color w:val="auto"/>
        </w:rPr>
      </w:pPr>
    </w:p>
    <w:p>
      <w:pPr>
        <w:jc w:val="both"/>
        <w:ind w:left="300" w:right="1239" w:firstLine="248"/>
        <w:spacing w:after="0" w:line="297" w:lineRule="auto"/>
        <w:tabs>
          <w:tab w:leader="none" w:pos="825" w:val="left"/>
        </w:tabs>
        <w:numPr>
          <w:ilvl w:val="1"/>
          <w:numId w:val="430"/>
        </w:numPr>
        <w:rPr>
          <w:rFonts w:ascii="Arial" w:cs="Arial" w:eastAsia="Arial" w:hAnsi="Arial"/>
          <w:sz w:val="15"/>
          <w:szCs w:val="15"/>
          <w:color w:val="auto"/>
        </w:rPr>
      </w:pPr>
      <w:r>
        <w:rPr>
          <w:rFonts w:ascii="Arial" w:cs="Arial" w:eastAsia="Arial" w:hAnsi="Arial"/>
          <w:sz w:val="15"/>
          <w:szCs w:val="15"/>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48" w:lineRule="exact"/>
        <w:rPr>
          <w:rFonts w:ascii="Arial" w:cs="Arial" w:eastAsia="Arial" w:hAnsi="Arial"/>
          <w:sz w:val="15"/>
          <w:szCs w:val="15"/>
          <w:color w:val="auto"/>
        </w:rPr>
      </w:pPr>
    </w:p>
    <w:p>
      <w:pPr>
        <w:jc w:val="both"/>
        <w:ind w:left="300" w:right="1239" w:firstLine="248"/>
        <w:spacing w:after="0" w:line="253" w:lineRule="auto"/>
        <w:tabs>
          <w:tab w:leader="none" w:pos="929" w:val="left"/>
        </w:tabs>
        <w:numPr>
          <w:ilvl w:val="1"/>
          <w:numId w:val="430"/>
        </w:numPr>
        <w:rPr>
          <w:rFonts w:ascii="Arial" w:cs="Arial" w:eastAsia="Arial" w:hAnsi="Arial"/>
          <w:sz w:val="17"/>
          <w:szCs w:val="17"/>
          <w:color w:val="auto"/>
        </w:rPr>
      </w:pPr>
      <w:r>
        <w:rPr>
          <w:rFonts w:ascii="Arial" w:cs="Arial" w:eastAsia="Arial" w:hAnsi="Arial"/>
          <w:sz w:val="17"/>
          <w:szCs w:val="17"/>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77" w:lineRule="exact"/>
        <w:rPr>
          <w:rFonts w:ascii="Arial" w:cs="Arial" w:eastAsia="Arial" w:hAnsi="Arial"/>
          <w:sz w:val="17"/>
          <w:szCs w:val="17"/>
          <w:color w:val="auto"/>
        </w:rPr>
      </w:pPr>
    </w:p>
    <w:p>
      <w:pPr>
        <w:ind w:left="820" w:hanging="272"/>
        <w:spacing w:after="0"/>
        <w:tabs>
          <w:tab w:leader="none" w:pos="820" w:val="left"/>
        </w:tabs>
        <w:numPr>
          <w:ilvl w:val="1"/>
          <w:numId w:val="430"/>
        </w:numPr>
        <w:rPr>
          <w:rFonts w:ascii="Arial" w:cs="Arial" w:eastAsia="Arial" w:hAnsi="Arial"/>
          <w:sz w:val="17"/>
          <w:szCs w:val="17"/>
          <w:color w:val="auto"/>
        </w:rPr>
      </w:pPr>
      <w:r>
        <w:rPr>
          <w:rFonts w:ascii="Arial" w:cs="Arial" w:eastAsia="Arial" w:hAnsi="Arial"/>
          <w:sz w:val="17"/>
          <w:szCs w:val="17"/>
          <w:color w:val="auto"/>
        </w:rPr>
        <w:t>of the voluntary or involuntary dissolution, liquidation or winding-up of the Company, or</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1"/>
          <w:numId w:val="430"/>
        </w:numPr>
        <w:rPr>
          <w:rFonts w:ascii="Arial" w:cs="Arial" w:eastAsia="Arial" w:hAnsi="Arial"/>
          <w:sz w:val="17"/>
          <w:szCs w:val="17"/>
          <w:color w:val="auto"/>
        </w:rPr>
      </w:pPr>
      <w:r>
        <w:rPr>
          <w:rFonts w:ascii="Arial" w:cs="Arial" w:eastAsia="Arial" w:hAnsi="Arial"/>
          <w:sz w:val="17"/>
          <w:szCs w:val="17"/>
          <w:color w:val="auto"/>
        </w:rPr>
        <w:t>of any Fundamental Transaction,</w:t>
      </w:r>
    </w:p>
    <w:p>
      <w:pPr>
        <w:spacing w:after="0" w:line="105" w:lineRule="exact"/>
        <w:rPr>
          <w:sz w:val="20"/>
          <w:szCs w:val="20"/>
          <w:color w:val="auto"/>
        </w:rPr>
      </w:pPr>
    </w:p>
    <w:p>
      <w:pPr>
        <w:jc w:val="both"/>
        <w:ind w:left="40" w:right="1239"/>
        <w:spacing w:after="0" w:line="288" w:lineRule="auto"/>
        <w:rPr>
          <w:sz w:val="20"/>
          <w:szCs w:val="20"/>
          <w:color w:val="auto"/>
        </w:rPr>
      </w:pPr>
      <w:r>
        <w:rPr>
          <w:rFonts w:ascii="Arial" w:cs="Arial" w:eastAsia="Arial" w:hAnsi="Arial"/>
          <w:sz w:val="15"/>
          <w:szCs w:val="15"/>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51" w:lineRule="exact"/>
        <w:rPr>
          <w:sz w:val="20"/>
          <w:szCs w:val="20"/>
          <w:color w:val="auto"/>
        </w:rPr>
      </w:pPr>
    </w:p>
    <w:p>
      <w:pPr>
        <w:jc w:val="both"/>
        <w:ind w:left="40" w:right="1239" w:firstLine="258"/>
        <w:spacing w:after="0" w:line="265" w:lineRule="auto"/>
        <w:tabs>
          <w:tab w:leader="none" w:pos="512" w:val="left"/>
        </w:tabs>
        <w:numPr>
          <w:ilvl w:val="0"/>
          <w:numId w:val="431"/>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covenants that at all times it will have authorized, reserve and keep available, solely</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issuance 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70" w:lineRule="exact"/>
        <w:rPr>
          <w:rFonts w:ascii="Arial" w:cs="Arial" w:eastAsia="Arial" w:hAnsi="Arial"/>
          <w:sz w:val="16"/>
          <w:szCs w:val="16"/>
          <w:color w:val="auto"/>
        </w:rPr>
      </w:pPr>
    </w:p>
    <w:p>
      <w:pPr>
        <w:jc w:val="both"/>
        <w:ind w:left="40" w:right="1239" w:firstLine="258"/>
        <w:spacing w:after="0" w:line="299" w:lineRule="auto"/>
        <w:tabs>
          <w:tab w:leader="none" w:pos="499" w:val="left"/>
        </w:tabs>
        <w:numPr>
          <w:ilvl w:val="0"/>
          <w:numId w:val="431"/>
        </w:numPr>
        <w:rPr>
          <w:rFonts w:ascii="Arial" w:cs="Arial" w:eastAsia="Arial" w:hAnsi="Arial"/>
          <w:sz w:val="15"/>
          <w:szCs w:val="15"/>
          <w:color w:val="auto"/>
        </w:rPr>
      </w:pPr>
      <w:r>
        <w:rPr>
          <w:rFonts w:ascii="Arial" w:cs="Arial" w:eastAsia="Arial" w:hAnsi="Arial"/>
          <w:sz w:val="15"/>
          <w:szCs w:val="15"/>
          <w:b w:val="1"/>
          <w:bCs w:val="1"/>
          <w:u w:val="single" w:color="auto"/>
          <w:color w:val="auto"/>
        </w:rPr>
        <w:t>Replacement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Upon receipt of evidence reasonably satisfactory to the Company of the loss, theft, destruction</w:t>
      </w:r>
      <w:r>
        <w:rPr>
          <w:rFonts w:ascii="Arial" w:cs="Arial" w:eastAsia="Arial" w:hAnsi="Arial"/>
          <w:sz w:val="15"/>
          <w:szCs w:val="15"/>
          <w:b w:val="1"/>
          <w:bCs w:val="1"/>
          <w:color w:val="auto"/>
        </w:rPr>
        <w:t xml:space="preserve"> </w:t>
      </w:r>
      <w:r>
        <w:rPr>
          <w:rFonts w:ascii="Arial" w:cs="Arial" w:eastAsia="Arial" w:hAnsi="Arial"/>
          <w:sz w:val="15"/>
          <w:szCs w:val="15"/>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42" w:lineRule="exact"/>
        <w:rPr>
          <w:rFonts w:ascii="Arial" w:cs="Arial" w:eastAsia="Arial" w:hAnsi="Arial"/>
          <w:sz w:val="15"/>
          <w:szCs w:val="15"/>
          <w:color w:val="auto"/>
        </w:rPr>
      </w:pPr>
    </w:p>
    <w:p>
      <w:pPr>
        <w:jc w:val="both"/>
        <w:ind w:left="40" w:right="1239" w:firstLine="258"/>
        <w:spacing w:after="0" w:line="254" w:lineRule="auto"/>
        <w:tabs>
          <w:tab w:leader="none" w:pos="583" w:val="left"/>
        </w:tabs>
        <w:numPr>
          <w:ilvl w:val="0"/>
          <w:numId w:val="431"/>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or permitted by this Warrant shall be in writing and shall be deemed duly given upon receipt,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courier, overnight delivery service or confirmed facsimile, or 48 hours after being deposited in the regular mail as certified or registered mail (airmail if sent internationally) with postage prepaid, addressed (a) if to the Registered Holder, to the address of the</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56" w:name="page457"/>
    <w:bookmarkEnd w:id="4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67" w:lineRule="auto"/>
        <w:rPr>
          <w:sz w:val="20"/>
          <w:szCs w:val="20"/>
          <w:color w:val="auto"/>
        </w:rPr>
      </w:pPr>
      <w:r>
        <w:rPr>
          <w:rFonts w:ascii="Arial" w:cs="Arial" w:eastAsia="Arial" w:hAnsi="Arial"/>
          <w:sz w:val="17"/>
          <w:szCs w:val="17"/>
          <w:color w:val="auto"/>
        </w:rPr>
        <w:t>Registered Holder most recently furnished in writing to the Company and (b) if to the Company, to the address set forth on the signature page of this Warrant or as subsequently modified by written notice to the Registered Holder.</w:t>
      </w:r>
    </w:p>
    <w:p>
      <w:pPr>
        <w:spacing w:after="0" w:line="62" w:lineRule="exact"/>
        <w:rPr>
          <w:sz w:val="20"/>
          <w:szCs w:val="20"/>
          <w:color w:val="auto"/>
        </w:rPr>
      </w:pPr>
    </w:p>
    <w:p>
      <w:pPr>
        <w:ind w:left="40" w:right="1239" w:firstLine="258"/>
        <w:spacing w:after="0" w:line="272" w:lineRule="auto"/>
        <w:tabs>
          <w:tab w:leader="none" w:pos="602" w:val="left"/>
        </w:tabs>
        <w:numPr>
          <w:ilvl w:val="0"/>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No Rights as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 exercise of this Warrant, the Registered Holder of this Warrant shall not have or</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any rights by virtue hereof as a stockholder of the Company.</w:t>
      </w:r>
    </w:p>
    <w:p>
      <w:pPr>
        <w:spacing w:after="0" w:line="58" w:lineRule="exact"/>
        <w:rPr>
          <w:rFonts w:ascii="Arial" w:cs="Arial" w:eastAsia="Arial" w:hAnsi="Arial"/>
          <w:sz w:val="17"/>
          <w:szCs w:val="17"/>
          <w:color w:val="auto"/>
        </w:rPr>
      </w:pPr>
    </w:p>
    <w:p>
      <w:pPr>
        <w:jc w:val="both"/>
        <w:ind w:left="40" w:right="1239" w:firstLine="258"/>
        <w:spacing w:after="0" w:line="259" w:lineRule="auto"/>
        <w:tabs>
          <w:tab w:leader="none" w:pos="595" w:val="left"/>
        </w:tabs>
        <w:numPr>
          <w:ilvl w:val="0"/>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Shares</w:t>
      </w:r>
      <w:r>
        <w:rPr>
          <w:rFonts w:ascii="Arial" w:cs="Arial" w:eastAsia="Arial" w:hAnsi="Arial"/>
          <w:sz w:val="17"/>
          <w:szCs w:val="17"/>
          <w:b w:val="1"/>
          <w:bCs w:val="1"/>
          <w:color w:val="auto"/>
        </w:rPr>
        <w:t xml:space="preserve">. </w:t>
      </w:r>
      <w:r>
        <w:rPr>
          <w:rFonts w:ascii="Arial" w:cs="Arial" w:eastAsia="Arial" w:hAnsi="Arial"/>
          <w:sz w:val="17"/>
          <w:szCs w:val="17"/>
          <w:color w:val="auto"/>
        </w:rPr>
        <w:t>No fractional shares of Common Stock will be issued in connection with any exercise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In lieu of any fractional shares which would otherwise be issuable, the Company shall round the amount of Warrant Stock issuable to the nearest whole share.</w:t>
      </w:r>
    </w:p>
    <w:p>
      <w:pPr>
        <w:spacing w:after="0" w:line="68" w:lineRule="exact"/>
        <w:rPr>
          <w:rFonts w:ascii="Arial" w:cs="Arial" w:eastAsia="Arial" w:hAnsi="Arial"/>
          <w:sz w:val="17"/>
          <w:szCs w:val="17"/>
          <w:color w:val="auto"/>
        </w:rPr>
      </w:pPr>
    </w:p>
    <w:p>
      <w:pPr>
        <w:ind w:left="40" w:right="1239" w:firstLine="258"/>
        <w:spacing w:after="0" w:line="272" w:lineRule="auto"/>
        <w:tabs>
          <w:tab w:leader="none" w:pos="583" w:val="left"/>
        </w:tabs>
        <w:numPr>
          <w:ilvl w:val="0"/>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or Waiver</w:t>
      </w:r>
      <w:r>
        <w:rPr>
          <w:rFonts w:ascii="Arial" w:cs="Arial" w:eastAsia="Arial" w:hAnsi="Arial"/>
          <w:sz w:val="17"/>
          <w:szCs w:val="17"/>
          <w:b w:val="1"/>
          <w:bCs w:val="1"/>
          <w:color w:val="auto"/>
        </w:rPr>
        <w:t xml:space="preserve">. </w:t>
      </w:r>
      <w:r>
        <w:rPr>
          <w:rFonts w:ascii="Arial" w:cs="Arial" w:eastAsia="Arial" w:hAnsi="Arial"/>
          <w:sz w:val="17"/>
          <w:szCs w:val="17"/>
          <w:color w:val="auto"/>
        </w:rPr>
        <w:t>Any term of this Warrant may be amended or waived upon written consent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w:t>
      </w:r>
    </w:p>
    <w:p>
      <w:pPr>
        <w:spacing w:after="0" w:line="58" w:lineRule="exact"/>
        <w:rPr>
          <w:rFonts w:ascii="Arial" w:cs="Arial" w:eastAsia="Arial" w:hAnsi="Arial"/>
          <w:sz w:val="17"/>
          <w:szCs w:val="17"/>
          <w:color w:val="auto"/>
        </w:rPr>
      </w:pPr>
    </w:p>
    <w:p>
      <w:pPr>
        <w:ind w:left="40" w:right="1239" w:firstLine="258"/>
        <w:spacing w:after="0" w:line="272" w:lineRule="auto"/>
        <w:tabs>
          <w:tab w:leader="none" w:pos="620" w:val="left"/>
        </w:tabs>
        <w:numPr>
          <w:ilvl w:val="0"/>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headings in this Warrant are for purposes of reference only and shall not limit or otherwise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any provision of this Warrant.</w:t>
      </w:r>
    </w:p>
    <w:p>
      <w:pPr>
        <w:spacing w:after="0" w:line="58" w:lineRule="exact"/>
        <w:rPr>
          <w:rFonts w:ascii="Arial" w:cs="Arial" w:eastAsia="Arial" w:hAnsi="Arial"/>
          <w:sz w:val="17"/>
          <w:szCs w:val="17"/>
          <w:color w:val="auto"/>
        </w:rPr>
      </w:pPr>
    </w:p>
    <w:p>
      <w:pPr>
        <w:jc w:val="both"/>
        <w:ind w:left="40" w:right="1239" w:firstLine="258"/>
        <w:spacing w:after="0" w:line="259" w:lineRule="auto"/>
        <w:tabs>
          <w:tab w:leader="none" w:pos="595" w:val="left"/>
        </w:tabs>
        <w:numPr>
          <w:ilvl w:val="0"/>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all acts and transactions pursuant hereto and the rights and obligations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shall be governed, construed and interpreted in accordance with the laws of the State of New York, without giving effect to principles of conflicts of law.</w:t>
      </w:r>
    </w:p>
    <w:p>
      <w:pPr>
        <w:spacing w:after="0" w:line="68" w:lineRule="exact"/>
        <w:rPr>
          <w:rFonts w:ascii="Arial" w:cs="Arial" w:eastAsia="Arial" w:hAnsi="Arial"/>
          <w:sz w:val="17"/>
          <w:szCs w:val="17"/>
          <w:color w:val="auto"/>
        </w:rPr>
      </w:pPr>
    </w:p>
    <w:p>
      <w:pPr>
        <w:ind w:left="40" w:right="1239" w:firstLine="258"/>
        <w:spacing w:after="0" w:line="272" w:lineRule="auto"/>
        <w:tabs>
          <w:tab w:leader="none" w:pos="620" w:val="left"/>
        </w:tabs>
        <w:numPr>
          <w:ilvl w:val="0"/>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Covenants of the Registered Holder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has been entered into by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the following representations and covenants of the Registered Holder:</w:t>
      </w:r>
    </w:p>
    <w:p>
      <w:pPr>
        <w:spacing w:after="0" w:line="58" w:lineRule="exact"/>
        <w:rPr>
          <w:rFonts w:ascii="Arial" w:cs="Arial" w:eastAsia="Arial" w:hAnsi="Arial"/>
          <w:sz w:val="17"/>
          <w:szCs w:val="17"/>
          <w:color w:val="auto"/>
        </w:rPr>
      </w:pPr>
    </w:p>
    <w:p>
      <w:pPr>
        <w:jc w:val="both"/>
        <w:ind w:left="300" w:right="1239" w:firstLine="248"/>
        <w:spacing w:after="0" w:line="259" w:lineRule="auto"/>
        <w:tabs>
          <w:tab w:leader="none" w:pos="819" w:val="left"/>
        </w:tabs>
        <w:numPr>
          <w:ilvl w:val="1"/>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Investment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is acquiring the Warrant and the Warrant Stock issuable upon exercise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Warrant for its own account, not as a nominee or agent and with no present intention of selling or otherwise distributing any part thereof.</w:t>
      </w:r>
    </w:p>
    <w:p>
      <w:pPr>
        <w:spacing w:after="0" w:line="68" w:lineRule="exact"/>
        <w:rPr>
          <w:rFonts w:ascii="Arial" w:cs="Arial" w:eastAsia="Arial" w:hAnsi="Arial"/>
          <w:sz w:val="17"/>
          <w:szCs w:val="17"/>
          <w:color w:val="auto"/>
        </w:rPr>
      </w:pPr>
    </w:p>
    <w:p>
      <w:pPr>
        <w:jc w:val="both"/>
        <w:ind w:left="300" w:right="1239" w:firstLine="248"/>
        <w:spacing w:after="0" w:line="252" w:lineRule="auto"/>
        <w:tabs>
          <w:tab w:leader="none" w:pos="854" w:val="left"/>
        </w:tabs>
        <w:numPr>
          <w:ilvl w:val="1"/>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Private Issue</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understands: (i) that the Warrant is not registered under the Securities Act or</w:t>
      </w:r>
      <w:r>
        <w:rPr>
          <w:rFonts w:ascii="Arial" w:cs="Arial" w:eastAsia="Arial" w:hAnsi="Arial"/>
          <w:sz w:val="17"/>
          <w:szCs w:val="17"/>
          <w:b w:val="1"/>
          <w:bCs w:val="1"/>
          <w:color w:val="auto"/>
        </w:rPr>
        <w:t xml:space="preserve"> </w:t>
      </w:r>
      <w:r>
        <w:rPr>
          <w:rFonts w:ascii="Arial" w:cs="Arial" w:eastAsia="Arial" w:hAnsi="Arial"/>
          <w:sz w:val="17"/>
          <w:szCs w:val="17"/>
          <w:color w:val="auto"/>
        </w:rPr>
        <w:t>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16.</w:t>
      </w:r>
    </w:p>
    <w:p>
      <w:pPr>
        <w:spacing w:after="0" w:line="76" w:lineRule="exact"/>
        <w:rPr>
          <w:rFonts w:ascii="Arial" w:cs="Arial" w:eastAsia="Arial" w:hAnsi="Arial"/>
          <w:sz w:val="17"/>
          <w:szCs w:val="17"/>
          <w:color w:val="auto"/>
        </w:rPr>
      </w:pPr>
    </w:p>
    <w:p>
      <w:pPr>
        <w:jc w:val="both"/>
        <w:ind w:left="300" w:right="1239" w:firstLine="248"/>
        <w:spacing w:after="0" w:line="287" w:lineRule="auto"/>
        <w:tabs>
          <w:tab w:leader="none" w:pos="832" w:val="left"/>
        </w:tabs>
        <w:numPr>
          <w:ilvl w:val="1"/>
          <w:numId w:val="432"/>
        </w:numPr>
        <w:rPr>
          <w:rFonts w:ascii="Arial" w:cs="Arial" w:eastAsia="Arial" w:hAnsi="Arial"/>
          <w:sz w:val="15"/>
          <w:szCs w:val="15"/>
          <w:color w:val="auto"/>
        </w:rPr>
      </w:pPr>
      <w:r>
        <w:rPr>
          <w:rFonts w:ascii="Arial" w:cs="Arial" w:eastAsia="Arial" w:hAnsi="Arial"/>
          <w:sz w:val="15"/>
          <w:szCs w:val="15"/>
          <w:b w:val="1"/>
          <w:bCs w:val="1"/>
          <w:u w:val="single" w:color="auto"/>
          <w:color w:val="auto"/>
        </w:rPr>
        <w:t>Disposition of Registered Holder’s Rights</w:t>
      </w:r>
      <w:r>
        <w:rPr>
          <w:rFonts w:ascii="Arial" w:cs="Arial" w:eastAsia="Arial" w:hAnsi="Arial"/>
          <w:sz w:val="15"/>
          <w:szCs w:val="15"/>
          <w:b w:val="1"/>
          <w:bCs w:val="1"/>
          <w:color w:val="auto"/>
        </w:rPr>
        <w:t xml:space="preserve">. </w:t>
      </w:r>
      <w:r>
        <w:rPr>
          <w:rFonts w:ascii="Arial" w:cs="Arial" w:eastAsia="Arial" w:hAnsi="Arial"/>
          <w:sz w:val="15"/>
          <w:szCs w:val="15"/>
          <w:color w:val="auto"/>
        </w:rPr>
        <w:t>In no event will the Registered Holder make a disposition of the Warrant</w:t>
      </w:r>
      <w:r>
        <w:rPr>
          <w:rFonts w:ascii="Arial" w:cs="Arial" w:eastAsia="Arial" w:hAnsi="Arial"/>
          <w:sz w:val="15"/>
          <w:szCs w:val="15"/>
          <w:b w:val="1"/>
          <w:bCs w:val="1"/>
          <w:color w:val="auto"/>
        </w:rPr>
        <w:t xml:space="preserve"> </w:t>
      </w:r>
      <w:r>
        <w:rPr>
          <w:rFonts w:ascii="Arial" w:cs="Arial" w:eastAsia="Arial" w:hAnsi="Arial"/>
          <w:sz w:val="15"/>
          <w:szCs w:val="15"/>
          <w:color w:val="auto"/>
        </w:rPr>
        <w:t>or the 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54" w:lineRule="exact"/>
        <w:rPr>
          <w:rFonts w:ascii="Arial" w:cs="Arial" w:eastAsia="Arial" w:hAnsi="Arial"/>
          <w:sz w:val="15"/>
          <w:szCs w:val="15"/>
          <w:color w:val="auto"/>
        </w:rPr>
      </w:pPr>
    </w:p>
    <w:p>
      <w:pPr>
        <w:ind w:left="300" w:right="1239" w:firstLine="248"/>
        <w:spacing w:after="0" w:line="272" w:lineRule="auto"/>
        <w:tabs>
          <w:tab w:leader="none" w:pos="829" w:val="left"/>
        </w:tabs>
        <w:numPr>
          <w:ilvl w:val="1"/>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Financial Risk</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has such business and financial experience as is required to give it the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to protect its own interests in connection with its investment.</w:t>
      </w:r>
    </w:p>
    <w:p>
      <w:pPr>
        <w:spacing w:after="0" w:line="58" w:lineRule="exact"/>
        <w:rPr>
          <w:rFonts w:ascii="Arial" w:cs="Arial" w:eastAsia="Arial" w:hAnsi="Arial"/>
          <w:sz w:val="17"/>
          <w:szCs w:val="17"/>
          <w:color w:val="auto"/>
        </w:rPr>
      </w:pPr>
    </w:p>
    <w:p>
      <w:pPr>
        <w:ind w:left="300" w:right="1239" w:firstLine="248"/>
        <w:spacing w:after="0" w:line="272" w:lineRule="auto"/>
        <w:tabs>
          <w:tab w:leader="none" w:pos="870" w:val="left"/>
        </w:tabs>
        <w:numPr>
          <w:ilvl w:val="1"/>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Accredited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is an “accredited investor” as defined by Rule 501 of Regulation D</w:t>
      </w:r>
      <w:r>
        <w:rPr>
          <w:rFonts w:ascii="Arial" w:cs="Arial" w:eastAsia="Arial" w:hAnsi="Arial"/>
          <w:sz w:val="17"/>
          <w:szCs w:val="17"/>
          <w:b w:val="1"/>
          <w:bCs w:val="1"/>
          <w:color w:val="auto"/>
        </w:rPr>
        <w:t xml:space="preserve"> </w:t>
      </w:r>
      <w:r>
        <w:rPr>
          <w:rFonts w:ascii="Arial" w:cs="Arial" w:eastAsia="Arial" w:hAnsi="Arial"/>
          <w:sz w:val="17"/>
          <w:szCs w:val="17"/>
          <w:color w:val="auto"/>
        </w:rPr>
        <w:t>promulgated under the Securities Act.</w:t>
      </w:r>
    </w:p>
    <w:p>
      <w:pPr>
        <w:spacing w:after="0" w:line="62" w:lineRule="exact"/>
        <w:rPr>
          <w:sz w:val="20"/>
          <w:szCs w:val="20"/>
          <w:color w:val="auto"/>
        </w:rPr>
      </w:pPr>
    </w:p>
    <w:p>
      <w:pPr>
        <w:ind w:left="3580"/>
        <w:spacing w:after="0"/>
        <w:rPr>
          <w:sz w:val="20"/>
          <w:szCs w:val="20"/>
          <w:color w:val="auto"/>
        </w:rPr>
      </w:pPr>
      <w:r>
        <w:rPr>
          <w:rFonts w:ascii="Arial" w:cs="Arial" w:eastAsia="Arial" w:hAnsi="Arial"/>
          <w:sz w:val="17"/>
          <w:szCs w:val="17"/>
          <w:i w:val="1"/>
          <w:iCs w:val="1"/>
          <w:color w:val="auto"/>
        </w:rPr>
        <w:t>[Signature Page Follows]</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57" w:name="page458"/>
    <w:bookmarkEnd w:id="4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WITNESS WHEREOF, the parties have executed this Warrant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48215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line="20"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-123190</wp:posOffset>
            </wp:positionV>
            <wp:extent cx="190182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58" w:name="page459"/>
    <w:bookmarkEnd w:id="4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Exhibit A</w:t>
      </w:r>
    </w:p>
    <w:p>
      <w:pPr>
        <w:spacing w:after="0" w:line="20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WARRANT EXERCISE FORM</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undersigned hereby irrevocably elects to exercise the within Warrant to the extent of purchasing ______ shares of Common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Stock of Vringo, Inc., a Delaware corporation, and hereby makes payment of $___________ in payment therefore (if a cashless</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exercise, insert “cashless”), all in accordance with the terms and conditions of the Warrant dated ________, 2012.</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-36195</wp:posOffset>
            </wp:positionV>
            <wp:extent cx="2005330" cy="1587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005330"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-36195</wp:posOffset>
            </wp:positionV>
            <wp:extent cx="1909445" cy="1587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90944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-36195</wp:posOffset>
            </wp:positionV>
            <wp:extent cx="1718945" cy="1587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71894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-35560</wp:posOffset>
            </wp:positionV>
            <wp:extent cx="668655" cy="1587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6865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INSTRUCTIONS FOR ISSUANCE OF STOCK</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(if other than to the registered holder of the within Warrant)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-36195</wp:posOffset>
            </wp:positionV>
            <wp:extent cx="1431925" cy="1587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43192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-36195</wp:posOffset>
            </wp:positionV>
            <wp:extent cx="2386965" cy="1587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238696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-35560</wp:posOffset>
            </wp:positionV>
            <wp:extent cx="955040" cy="1587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955040" cy="1587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9" w:name="page460"/>
    <w:bookmarkEnd w:id="4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Exhibit B</w:t>
      </w:r>
    </w:p>
    <w:p>
      <w:pPr>
        <w:spacing w:after="0" w:line="20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ASSIGNMENT FORM</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VALUE RECEIVED, _____________________ hereby sells, assigns and transfers unto _______________________ the right</w:t>
      </w:r>
    </w:p>
    <w:p>
      <w:pPr>
        <w:spacing w:after="0" w:line="40"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6"/>
          <w:szCs w:val="16"/>
          <w:color w:val="auto"/>
        </w:rPr>
        <w:t>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-36195</wp:posOffset>
            </wp:positionV>
            <wp:extent cx="1431925" cy="1587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43192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-36195</wp:posOffset>
            </wp:positionV>
            <wp:extent cx="2100580" cy="1587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100580"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74930</wp:posOffset>
            </wp:positionV>
            <wp:extent cx="238696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0" w:name="page461"/>
    <w:bookmarkEnd w:id="4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G</w:t>
      </w:r>
    </w:p>
    <w:p>
      <w:pPr>
        <w:spacing w:after="0" w:line="109"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(Form of Series 2 Warrant)</w:t>
      </w:r>
    </w:p>
    <w:p>
      <w:pPr>
        <w:spacing w:after="0" w:line="105" w:lineRule="exact"/>
        <w:rPr>
          <w:sz w:val="20"/>
          <w:szCs w:val="20"/>
          <w:color w:val="auto"/>
        </w:rPr>
      </w:pPr>
    </w:p>
    <w:p>
      <w:pPr>
        <w:jc w:val="both"/>
        <w:ind w:left="40" w:right="1239"/>
        <w:spacing w:after="0" w:line="248" w:lineRule="auto"/>
        <w:rPr>
          <w:sz w:val="20"/>
          <w:szCs w:val="20"/>
          <w:color w:val="auto"/>
        </w:rPr>
      </w:pPr>
      <w:r>
        <w:rPr>
          <w:rFonts w:ascii="Arial" w:cs="Arial" w:eastAsia="Arial" w:hAnsi="Arial"/>
          <w:sz w:val="17"/>
          <w:szCs w:val="17"/>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215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tabs>
          <w:tab w:leader="none" w:pos="5300" w:val="left"/>
        </w:tabs>
        <w:rPr>
          <w:sz w:val="20"/>
          <w:szCs w:val="20"/>
          <w:color w:val="auto"/>
        </w:rPr>
      </w:pPr>
      <w:r>
        <w:rPr>
          <w:rFonts w:ascii="Arial" w:cs="Arial" w:eastAsia="Arial" w:hAnsi="Arial"/>
          <w:sz w:val="17"/>
          <w:szCs w:val="17"/>
          <w:color w:val="auto"/>
        </w:rPr>
        <w:t>Warrant No. W-___</w:t>
      </w:r>
      <w:r>
        <w:rPr>
          <w:sz w:val="20"/>
          <w:szCs w:val="20"/>
          <w:color w:val="auto"/>
        </w:rPr>
        <w:tab/>
      </w:r>
      <w:r>
        <w:rPr>
          <w:rFonts w:ascii="Arial" w:cs="Arial" w:eastAsia="Arial" w:hAnsi="Arial"/>
          <w:sz w:val="14"/>
          <w:szCs w:val="14"/>
          <w:color w:val="auto"/>
        </w:rPr>
        <w:t>Number of Shares: ____________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Date of Issuance: ____________ __, 2012 (“</w:t>
      </w:r>
      <w:r>
        <w:rPr>
          <w:rFonts w:ascii="Arial" w:cs="Arial" w:eastAsia="Arial" w:hAnsi="Arial"/>
          <w:sz w:val="17"/>
          <w:szCs w:val="17"/>
          <w:u w:val="single" w:color="auto"/>
          <w:color w:val="auto"/>
        </w:rPr>
        <w:t>Issuance Date</w:t>
      </w:r>
      <w:r>
        <w:rPr>
          <w:rFonts w:ascii="Arial" w:cs="Arial" w:eastAsia="Arial" w:hAnsi="Arial"/>
          <w:sz w:val="17"/>
          <w:szCs w:val="17"/>
          <w:color w:val="auto"/>
        </w:rPr>
        <w:t>”)</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u w:val="single" w:color="auto"/>
          <w:color w:val="auto"/>
        </w:rPr>
        <w:t>Common Stock Warrant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 xml:space="preserve">Vringo, Inc. </w:t>
      </w:r>
      <w:r>
        <w:rPr>
          <w:rFonts w:ascii="Arial" w:cs="Arial" w:eastAsia="Arial" w:hAnsi="Arial"/>
          <w:sz w:val="15"/>
          <w:szCs w:val="15"/>
          <w:color w:val="auto"/>
        </w:rPr>
        <w:t>(the “</w:t>
      </w:r>
      <w:r>
        <w:rPr>
          <w:rFonts w:ascii="Arial" w:cs="Arial" w:eastAsia="Arial" w:hAnsi="Arial"/>
          <w:sz w:val="15"/>
          <w:szCs w:val="15"/>
          <w:u w:val="single" w:color="auto"/>
          <w:color w:val="auto"/>
        </w:rPr>
        <w:t>Company</w:t>
      </w:r>
      <w:r>
        <w:rPr>
          <w:rFonts w:ascii="Arial" w:cs="Arial" w:eastAsia="Arial" w:hAnsi="Arial"/>
          <w:sz w:val="15"/>
          <w:szCs w:val="15"/>
          <w:color w:val="auto"/>
        </w:rPr>
        <w:t>”), for value received, hereby certifies that ________, or its registered assigns (the “</w:t>
      </w:r>
      <w:r>
        <w:rPr>
          <w:rFonts w:ascii="Arial" w:cs="Arial" w:eastAsia="Arial" w:hAnsi="Arial"/>
          <w:sz w:val="15"/>
          <w:szCs w:val="15"/>
          <w:u w:val="single" w:color="auto"/>
          <w:color w:val="auto"/>
        </w:rPr>
        <w:t>Registered</w:t>
      </w:r>
    </w:p>
    <w:p>
      <w:pPr>
        <w:spacing w:after="0" w:line="44" w:lineRule="exact"/>
        <w:rPr>
          <w:sz w:val="20"/>
          <w:szCs w:val="20"/>
          <w:color w:val="auto"/>
        </w:rPr>
      </w:pPr>
    </w:p>
    <w:p>
      <w:pPr>
        <w:jc w:val="both"/>
        <w:ind w:left="40" w:right="1239"/>
        <w:spacing w:after="0" w:line="261" w:lineRule="auto"/>
        <w:rPr>
          <w:sz w:val="20"/>
          <w:szCs w:val="20"/>
          <w:color w:val="auto"/>
        </w:rPr>
      </w:pPr>
      <w:r>
        <w:rPr>
          <w:rFonts w:ascii="Arial" w:cs="Arial" w:eastAsia="Arial" w:hAnsi="Arial"/>
          <w:sz w:val="16"/>
          <w:szCs w:val="16"/>
          <w:u w:val="single" w:color="auto"/>
          <w:color w:val="auto"/>
        </w:rPr>
        <w:t>Holder</w:t>
      </w:r>
      <w:r>
        <w:rPr>
          <w:rFonts w:ascii="Arial" w:cs="Arial" w:eastAsia="Arial" w:hAnsi="Arial"/>
          <w:sz w:val="16"/>
          <w:szCs w:val="16"/>
          <w:color w:val="auto"/>
        </w:rPr>
        <w:t>”), is entitled, subject to the terms of this Common Stock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set forth below, to purchase from the Company, at any time after the date hereof and on or before __________ __, 2017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up to ________</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 shares of common stock of the Company (the “</w:t>
      </w:r>
      <w:r>
        <w:rPr>
          <w:rFonts w:ascii="Arial" w:cs="Arial" w:eastAsia="Arial" w:hAnsi="Arial"/>
          <w:sz w:val="15"/>
          <w:szCs w:val="15"/>
          <w:u w:val="single" w:color="auto"/>
          <w:color w:val="auto"/>
        </w:rPr>
        <w:t>Warrant Stock</w:t>
      </w:r>
      <w:r>
        <w:rPr>
          <w:rFonts w:ascii="Arial" w:cs="Arial" w:eastAsia="Arial" w:hAnsi="Arial"/>
          <w:sz w:val="15"/>
          <w:szCs w:val="15"/>
          <w:color w:val="auto"/>
        </w:rPr>
        <w:t>”), par value $0.01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at a</w:t>
      </w:r>
    </w:p>
    <w:p>
      <w:pPr>
        <w:spacing w:after="0" w:line="28" w:lineRule="exact"/>
        <w:rPr>
          <w:sz w:val="20"/>
          <w:szCs w:val="20"/>
          <w:color w:val="auto"/>
        </w:rPr>
      </w:pPr>
    </w:p>
    <w:p>
      <w:pPr>
        <w:jc w:val="both"/>
        <w:ind w:left="40" w:right="1239"/>
        <w:spacing w:after="0" w:line="252" w:lineRule="auto"/>
        <w:rPr>
          <w:sz w:val="20"/>
          <w:szCs w:val="20"/>
          <w:color w:val="auto"/>
        </w:rPr>
      </w:pPr>
      <w:r>
        <w:rPr>
          <w:rFonts w:ascii="Arial" w:cs="Arial" w:eastAsia="Arial" w:hAnsi="Arial"/>
          <w:sz w:val="17"/>
          <w:szCs w:val="17"/>
          <w:color w:val="auto"/>
        </w:rPr>
        <w:t>per share exercise price (the “</w:t>
      </w:r>
      <w:r>
        <w:rPr>
          <w:rFonts w:ascii="Arial" w:cs="Arial" w:eastAsia="Arial" w:hAnsi="Arial"/>
          <w:sz w:val="17"/>
          <w:szCs w:val="17"/>
          <w:u w:val="single" w:color="auto"/>
          <w:color w:val="auto"/>
        </w:rPr>
        <w:t>Exercise Price</w:t>
      </w:r>
      <w:r>
        <w:rPr>
          <w:rFonts w:ascii="Arial" w:cs="Arial" w:eastAsia="Arial" w:hAnsi="Arial"/>
          <w:sz w:val="17"/>
          <w:szCs w:val="17"/>
          <w:color w:val="auto"/>
        </w:rPr>
        <w:t>”) equal to One Dollar and Seventy-Six Cents ($1.76) per share (subject to adjustment as set forth in Section 2).</w:t>
      </w:r>
    </w:p>
    <w:p>
      <w:pPr>
        <w:spacing w:after="0" w:line="74" w:lineRule="exact"/>
        <w:rPr>
          <w:sz w:val="20"/>
          <w:szCs w:val="20"/>
          <w:color w:val="auto"/>
        </w:rPr>
      </w:pPr>
    </w:p>
    <w:p>
      <w:pPr>
        <w:ind w:left="500" w:hanging="202"/>
        <w:spacing w:after="0"/>
        <w:tabs>
          <w:tab w:leader="none" w:pos="500" w:val="left"/>
        </w:tabs>
        <w:numPr>
          <w:ilvl w:val="0"/>
          <w:numId w:val="433"/>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91" w:lineRule="auto"/>
        <w:tabs>
          <w:tab w:leader="none" w:pos="832" w:val="left"/>
        </w:tabs>
        <w:numPr>
          <w:ilvl w:val="1"/>
          <w:numId w:val="433"/>
        </w:numPr>
        <w:rPr>
          <w:rFonts w:ascii="Arial" w:cs="Arial" w:eastAsia="Arial" w:hAnsi="Arial"/>
          <w:sz w:val="15"/>
          <w:szCs w:val="15"/>
          <w:color w:val="auto"/>
        </w:rPr>
      </w:pPr>
      <w:r>
        <w:rPr>
          <w:rFonts w:ascii="Arial" w:cs="Arial" w:eastAsia="Arial" w:hAnsi="Arial"/>
          <w:sz w:val="15"/>
          <w:szCs w:val="15"/>
          <w:b w:val="1"/>
          <w:bCs w:val="1"/>
          <w:u w:val="single" w:color="auto"/>
          <w:color w:val="auto"/>
        </w:rPr>
        <w:t>Method of Exercise</w:t>
      </w:r>
      <w:r>
        <w:rPr>
          <w:rFonts w:ascii="Arial" w:cs="Arial" w:eastAsia="Arial" w:hAnsi="Arial"/>
          <w:sz w:val="15"/>
          <w:szCs w:val="15"/>
          <w:color w:val="auto"/>
        </w:rPr>
        <w:t>. This Warrant may be exercised by the Registered Holder, in whole or in part, by delivering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form appended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duly executed by such Registered Holder (the “</w:t>
      </w:r>
      <w:r>
        <w:rPr>
          <w:rFonts w:ascii="Arial" w:cs="Arial" w:eastAsia="Arial" w:hAnsi="Arial"/>
          <w:sz w:val="15"/>
          <w:szCs w:val="15"/>
          <w:u w:val="single" w:color="auto"/>
          <w:color w:val="auto"/>
        </w:rPr>
        <w:t>Exercise Notice</w:t>
      </w:r>
      <w:r>
        <w:rPr>
          <w:rFonts w:ascii="Arial" w:cs="Arial" w:eastAsia="Arial" w:hAnsi="Arial"/>
          <w:sz w:val="15"/>
          <w:szCs w:val="15"/>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48" w:lineRule="exact"/>
        <w:rPr>
          <w:rFonts w:ascii="Arial" w:cs="Arial" w:eastAsia="Arial" w:hAnsi="Arial"/>
          <w:sz w:val="15"/>
          <w:szCs w:val="15"/>
          <w:color w:val="auto"/>
        </w:rPr>
      </w:pPr>
    </w:p>
    <w:p>
      <w:pPr>
        <w:jc w:val="both"/>
        <w:ind w:left="300" w:right="1239" w:firstLine="248"/>
        <w:spacing w:after="0" w:line="272" w:lineRule="auto"/>
        <w:tabs>
          <w:tab w:leader="none" w:pos="829" w:val="left"/>
        </w:tabs>
        <w:numPr>
          <w:ilvl w:val="1"/>
          <w:numId w:val="433"/>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Time of Exercise</w:t>
      </w:r>
      <w:r>
        <w:rPr>
          <w:rFonts w:ascii="Arial" w:cs="Arial" w:eastAsia="Arial" w:hAnsi="Arial"/>
          <w:sz w:val="16"/>
          <w:szCs w:val="16"/>
          <w:color w:val="auto"/>
        </w:rPr>
        <w:t>. Each exercise of this Warrant shall be deemed to have been effected immediately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close of business on the day on which the Exercise Notice has been delivered to the Company (the “</w:t>
      </w:r>
      <w:r>
        <w:rPr>
          <w:rFonts w:ascii="Arial" w:cs="Arial" w:eastAsia="Arial" w:hAnsi="Arial"/>
          <w:sz w:val="16"/>
          <w:szCs w:val="16"/>
          <w:u w:val="single" w:color="auto"/>
          <w:color w:val="auto"/>
        </w:rPr>
        <w:t>Exercise Date</w:t>
      </w:r>
      <w:r>
        <w:rPr>
          <w:rFonts w:ascii="Arial" w:cs="Arial" w:eastAsia="Arial" w:hAnsi="Arial"/>
          <w:sz w:val="16"/>
          <w:szCs w:val="16"/>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60" w:lineRule="exact"/>
        <w:rPr>
          <w:rFonts w:ascii="Arial" w:cs="Arial" w:eastAsia="Arial" w:hAnsi="Arial"/>
          <w:sz w:val="16"/>
          <w:szCs w:val="16"/>
          <w:color w:val="auto"/>
        </w:rPr>
      </w:pPr>
    </w:p>
    <w:p>
      <w:pPr>
        <w:jc w:val="both"/>
        <w:ind w:left="300" w:right="1239" w:firstLine="248"/>
        <w:spacing w:after="0" w:line="266" w:lineRule="auto"/>
        <w:tabs>
          <w:tab w:leader="none" w:pos="832" w:val="left"/>
        </w:tabs>
        <w:numPr>
          <w:ilvl w:val="1"/>
          <w:numId w:val="433"/>
        </w:numPr>
        <w:rPr>
          <w:rFonts w:ascii="Arial" w:cs="Arial" w:eastAsia="Arial" w:hAnsi="Arial"/>
          <w:sz w:val="16"/>
          <w:szCs w:val="16"/>
          <w:color w:val="auto"/>
        </w:rPr>
      </w:pPr>
      <w:r>
        <w:rPr>
          <w:rFonts w:ascii="Arial" w:cs="Arial" w:eastAsia="Arial" w:hAnsi="Arial"/>
          <w:sz w:val="16"/>
          <w:szCs w:val="16"/>
          <w:b w:val="1"/>
          <w:bCs w:val="1"/>
          <w:u w:val="single" w:color="auto"/>
          <w:color w:val="auto"/>
        </w:rPr>
        <w:t>Cashless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provisions herein to the contrary, if at any time between the three (3) month</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6"/>
          <w:szCs w:val="16"/>
          <w:u w:val="single" w:color="auto"/>
          <w:color w:val="auto"/>
        </w:rPr>
        <w:t>Cashless Exercise</w:t>
      </w:r>
      <w:r>
        <w:rPr>
          <w:rFonts w:ascii="Arial" w:cs="Arial" w:eastAsia="Arial" w:hAnsi="Arial"/>
          <w:sz w:val="16"/>
          <w:szCs w:val="16"/>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X = Y*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389890" cy="1587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89890" cy="15875"/>
                    </a:xfrm>
                    <a:prstGeom prst="rect">
                      <a:avLst/>
                    </a:prstGeom>
                    <a:noFill/>
                  </pic:spPr>
                </pic:pic>
              </a:graphicData>
            </a:graphic>
          </wp:anchor>
        </w:drawing>
      </w:r>
    </w:p>
    <w:p>
      <w:pPr>
        <w:spacing w:after="0" w:line="60" w:lineRule="exact"/>
        <w:rPr>
          <w:sz w:val="20"/>
          <w:szCs w:val="20"/>
          <w:color w:val="auto"/>
        </w:rPr>
      </w:pPr>
    </w:p>
    <w:p>
      <w:pPr>
        <w:ind w:left="4380"/>
        <w:spacing w:after="0"/>
        <w:rPr>
          <w:sz w:val="20"/>
          <w:szCs w:val="20"/>
          <w:color w:val="auto"/>
        </w:rPr>
      </w:pPr>
      <w:r>
        <w:rPr>
          <w:rFonts w:ascii="Arial" w:cs="Arial" w:eastAsia="Arial" w:hAnsi="Arial"/>
          <w:sz w:val="17"/>
          <w:szCs w:val="17"/>
          <w:i w:val="1"/>
          <w:i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1" w:name="page462"/>
    <w:bookmarkEnd w:id="4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where</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X = the number of shares of Warrant Stock to be issued to the Registered Holder.</w:t>
      </w:r>
    </w:p>
    <w:p>
      <w:pPr>
        <w:spacing w:after="0" w:line="105" w:lineRule="exact"/>
        <w:rPr>
          <w:sz w:val="20"/>
          <w:szCs w:val="20"/>
          <w:color w:val="auto"/>
        </w:rPr>
      </w:pPr>
    </w:p>
    <w:p>
      <w:pPr>
        <w:ind w:left="540" w:right="1239" w:firstLine="251"/>
        <w:spacing w:after="0" w:line="267" w:lineRule="auto"/>
        <w:rPr>
          <w:sz w:val="20"/>
          <w:szCs w:val="20"/>
          <w:color w:val="auto"/>
        </w:rPr>
      </w:pPr>
      <w:r>
        <w:rPr>
          <w:rFonts w:ascii="Arial" w:cs="Arial" w:eastAsia="Arial" w:hAnsi="Arial"/>
          <w:sz w:val="17"/>
          <w:szCs w:val="17"/>
          <w:color w:val="auto"/>
        </w:rPr>
        <w:t>Y = the Warrant Stock purchasable under this Warrant or, if only a portion of the Warrant is being exercised, the portion of the Warrant Stock being exercised.</w:t>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 = the Fair Market Value (defined below) of one share of Common Stock on the Exercise Date.</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 = the Exercise Price (as adjusted pursuant to the provisions of this Warrant).</w:t>
      </w:r>
    </w:p>
    <w:p>
      <w:pPr>
        <w:spacing w:after="0" w:line="105" w:lineRule="exact"/>
        <w:rPr>
          <w:sz w:val="20"/>
          <w:szCs w:val="20"/>
          <w:color w:val="auto"/>
        </w:rPr>
      </w:pPr>
    </w:p>
    <w:p>
      <w:pPr>
        <w:ind w:left="300" w:right="1239" w:firstLine="251"/>
        <w:spacing w:after="0" w:line="267" w:lineRule="auto"/>
        <w:rPr>
          <w:sz w:val="20"/>
          <w:szCs w:val="20"/>
          <w:color w:val="auto"/>
        </w:rPr>
      </w:pPr>
      <w:r>
        <w:rPr>
          <w:rFonts w:ascii="Arial" w:cs="Arial" w:eastAsia="Arial" w:hAnsi="Arial"/>
          <w:sz w:val="17"/>
          <w:szCs w:val="17"/>
          <w:color w:val="auto"/>
        </w:rPr>
        <w:t>For purposes of this Section 1(c), the “Fair Market Value” of one share of Common Stock on the Exercise Date shall have one of the following meanings:</w:t>
      </w:r>
    </w:p>
    <w:p>
      <w:pPr>
        <w:spacing w:after="0" w:line="66" w:lineRule="exact"/>
        <w:rPr>
          <w:sz w:val="20"/>
          <w:szCs w:val="20"/>
          <w:color w:val="auto"/>
        </w:rPr>
      </w:pPr>
    </w:p>
    <w:p>
      <w:pPr>
        <w:jc w:val="both"/>
        <w:ind w:left="540" w:right="1239" w:firstLine="259"/>
        <w:spacing w:after="0" w:line="307" w:lineRule="auto"/>
        <w:tabs>
          <w:tab w:leader="none" w:pos="1088" w:val="left"/>
        </w:tabs>
        <w:numPr>
          <w:ilvl w:val="0"/>
          <w:numId w:val="434"/>
        </w:numPr>
        <w:rPr>
          <w:rFonts w:ascii="Arial" w:cs="Arial" w:eastAsia="Arial" w:hAnsi="Arial"/>
          <w:sz w:val="15"/>
          <w:szCs w:val="15"/>
          <w:color w:val="auto"/>
        </w:rPr>
      </w:pPr>
      <w:r>
        <w:rPr>
          <w:rFonts w:ascii="Arial" w:cs="Arial" w:eastAsia="Arial" w:hAnsi="Arial"/>
          <w:sz w:val="15"/>
          <w:szCs w:val="15"/>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39" w:lineRule="exact"/>
        <w:rPr>
          <w:rFonts w:ascii="Arial" w:cs="Arial" w:eastAsia="Arial" w:hAnsi="Arial"/>
          <w:sz w:val="15"/>
          <w:szCs w:val="15"/>
          <w:color w:val="auto"/>
        </w:rPr>
      </w:pPr>
    </w:p>
    <w:p>
      <w:pPr>
        <w:ind w:left="540" w:right="1239" w:firstLine="259"/>
        <w:spacing w:after="0" w:line="299" w:lineRule="auto"/>
        <w:tabs>
          <w:tab w:leader="none" w:pos="110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if the Common Stock is traded over-the-counter, the Fair Market Value shall be deemed to be the average of the closing sales price over the thirty (30) day period ending three (3) days before the Exercise Date; or</w:t>
      </w:r>
    </w:p>
    <w:p>
      <w:pPr>
        <w:spacing w:after="0" w:line="42" w:lineRule="exact"/>
        <w:rPr>
          <w:rFonts w:ascii="Arial" w:cs="Arial" w:eastAsia="Arial" w:hAnsi="Arial"/>
          <w:sz w:val="16"/>
          <w:szCs w:val="16"/>
          <w:color w:val="auto"/>
        </w:rPr>
      </w:pPr>
    </w:p>
    <w:p>
      <w:pPr>
        <w:jc w:val="both"/>
        <w:ind w:left="540" w:right="1239" w:firstLine="259"/>
        <w:spacing w:after="0" w:line="253" w:lineRule="auto"/>
        <w:tabs>
          <w:tab w:leader="none" w:pos="1099" w:val="left"/>
        </w:tabs>
        <w:numPr>
          <w:ilvl w:val="0"/>
          <w:numId w:val="434"/>
        </w:numPr>
        <w:rPr>
          <w:rFonts w:ascii="Arial" w:cs="Arial" w:eastAsia="Arial" w:hAnsi="Arial"/>
          <w:sz w:val="17"/>
          <w:szCs w:val="17"/>
          <w:color w:val="auto"/>
        </w:rPr>
      </w:pPr>
      <w:r>
        <w:rPr>
          <w:rFonts w:ascii="Arial" w:cs="Arial" w:eastAsia="Arial" w:hAnsi="Arial"/>
          <w:sz w:val="17"/>
          <w:szCs w:val="17"/>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78" w:lineRule="exact"/>
        <w:rPr>
          <w:sz w:val="20"/>
          <w:szCs w:val="20"/>
          <w:color w:val="auto"/>
        </w:rPr>
      </w:pPr>
    </w:p>
    <w:p>
      <w:pPr>
        <w:jc w:val="both"/>
        <w:ind w:left="300" w:right="1239" w:firstLine="251"/>
        <w:spacing w:after="0" w:line="253" w:lineRule="auto"/>
        <w:rPr>
          <w:sz w:val="20"/>
          <w:szCs w:val="20"/>
          <w:color w:val="auto"/>
        </w:rPr>
      </w:pPr>
      <w:r>
        <w:rPr>
          <w:rFonts w:ascii="Arial" w:cs="Arial" w:eastAsia="Arial" w:hAnsi="Arial"/>
          <w:sz w:val="17"/>
          <w:szCs w:val="17"/>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X = 50,000 ($2.00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962660" cy="1587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962660" cy="15875"/>
                    </a:xfrm>
                    <a:prstGeom prst="rect">
                      <a:avLst/>
                    </a:prstGeom>
                    <a:noFill/>
                  </pic:spPr>
                </pic:pic>
              </a:graphicData>
            </a:graphic>
          </wp:anchor>
        </w:drawing>
      </w:r>
    </w:p>
    <w:p>
      <w:pPr>
        <w:spacing w:after="0" w:line="6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$2.00</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X = 25,000</w:t>
      </w:r>
    </w:p>
    <w:p>
      <w:pPr>
        <w:spacing w:after="0" w:line="105" w:lineRule="exact"/>
        <w:rPr>
          <w:sz w:val="20"/>
          <w:szCs w:val="20"/>
          <w:color w:val="auto"/>
        </w:rPr>
      </w:pPr>
    </w:p>
    <w:p>
      <w:pPr>
        <w:jc w:val="both"/>
        <w:ind w:left="300" w:right="1239" w:firstLine="251"/>
        <w:spacing w:after="0" w:line="267" w:lineRule="auto"/>
        <w:rPr>
          <w:sz w:val="20"/>
          <w:szCs w:val="20"/>
          <w:color w:val="auto"/>
        </w:rPr>
      </w:pPr>
      <w:r>
        <w:rPr>
          <w:rFonts w:ascii="Arial" w:cs="Arial" w:eastAsia="Arial" w:hAnsi="Arial"/>
          <w:sz w:val="16"/>
          <w:szCs w:val="16"/>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67" w:lineRule="exact"/>
        <w:rPr>
          <w:sz w:val="20"/>
          <w:szCs w:val="20"/>
          <w:color w:val="auto"/>
        </w:rPr>
      </w:pPr>
    </w:p>
    <w:p>
      <w:pPr>
        <w:jc w:val="both"/>
        <w:ind w:left="300" w:right="1239" w:firstLine="248"/>
        <w:spacing w:after="0" w:line="254" w:lineRule="auto"/>
        <w:tabs>
          <w:tab w:leader="none" w:pos="854" w:val="left"/>
        </w:tabs>
        <w:numPr>
          <w:ilvl w:val="0"/>
          <w:numId w:val="435"/>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to Holder</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the exercise of this Warrant in whole or in part, and in any event</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three (3) business days thereafter (the “</w:t>
      </w:r>
      <w:r>
        <w:rPr>
          <w:rFonts w:ascii="Arial" w:cs="Arial" w:eastAsia="Arial" w:hAnsi="Arial"/>
          <w:sz w:val="17"/>
          <w:szCs w:val="17"/>
          <w:u w:val="single" w:color="auto"/>
          <w:color w:val="auto"/>
        </w:rPr>
        <w:t>Warrant Stock Delivery Date</w:t>
      </w:r>
      <w:r>
        <w:rPr>
          <w:rFonts w:ascii="Arial" w:cs="Arial" w:eastAsia="Arial" w:hAnsi="Arial"/>
          <w:sz w:val="17"/>
          <w:szCs w:val="17"/>
          <w:color w:val="auto"/>
        </w:rPr>
        <w:t>”), the Company will cause to be issued in the name of, and delivered to, the Registered Holder, or as such Registered Holder (upon payment by such Registered Holder of any applicable transfer taxes) may direct:</w:t>
      </w:r>
    </w:p>
    <w:p>
      <w:pPr>
        <w:spacing w:after="0" w:line="78" w:lineRule="exact"/>
        <w:rPr>
          <w:rFonts w:ascii="Arial" w:cs="Arial" w:eastAsia="Arial" w:hAnsi="Arial"/>
          <w:sz w:val="17"/>
          <w:szCs w:val="17"/>
          <w:color w:val="auto"/>
        </w:rPr>
      </w:pPr>
    </w:p>
    <w:p>
      <w:pPr>
        <w:ind w:left="540" w:right="1239" w:firstLine="259"/>
        <w:spacing w:after="0" w:line="267" w:lineRule="auto"/>
        <w:tabs>
          <w:tab w:leader="none" w:pos="1076" w:val="left"/>
        </w:tabs>
        <w:numPr>
          <w:ilvl w:val="1"/>
          <w:numId w:val="435"/>
        </w:numPr>
        <w:rPr>
          <w:rFonts w:ascii="Arial" w:cs="Arial" w:eastAsia="Arial" w:hAnsi="Arial"/>
          <w:sz w:val="17"/>
          <w:szCs w:val="17"/>
          <w:color w:val="auto"/>
        </w:rPr>
      </w:pPr>
      <w:r>
        <w:rPr>
          <w:rFonts w:ascii="Arial" w:cs="Arial" w:eastAsia="Arial" w:hAnsi="Arial"/>
          <w:sz w:val="17"/>
          <w:szCs w:val="17"/>
          <w:color w:val="auto"/>
        </w:rPr>
        <w:t>a certificate or certificates for the number of shares of Warrant Stock to which such Registered Holder shall be entitled, and</w:t>
      </w:r>
    </w:p>
    <w:p>
      <w:pPr>
        <w:spacing w:after="0" w:line="66" w:lineRule="exact"/>
        <w:rPr>
          <w:rFonts w:ascii="Arial" w:cs="Arial" w:eastAsia="Arial" w:hAnsi="Arial"/>
          <w:sz w:val="17"/>
          <w:szCs w:val="17"/>
          <w:color w:val="auto"/>
        </w:rPr>
      </w:pPr>
    </w:p>
    <w:p>
      <w:pPr>
        <w:jc w:val="both"/>
        <w:ind w:left="540" w:right="1239" w:firstLine="259"/>
        <w:spacing w:after="0" w:line="253" w:lineRule="auto"/>
        <w:tabs>
          <w:tab w:leader="none" w:pos="1098" w:val="left"/>
        </w:tabs>
        <w:numPr>
          <w:ilvl w:val="1"/>
          <w:numId w:val="435"/>
        </w:numPr>
        <w:rPr>
          <w:rFonts w:ascii="Arial" w:cs="Arial" w:eastAsia="Arial" w:hAnsi="Arial"/>
          <w:sz w:val="17"/>
          <w:szCs w:val="17"/>
          <w:color w:val="auto"/>
        </w:rPr>
      </w:pPr>
      <w:r>
        <w:rPr>
          <w:rFonts w:ascii="Arial" w:cs="Arial" w:eastAsia="Arial" w:hAnsi="Arial"/>
          <w:sz w:val="17"/>
          <w:szCs w:val="17"/>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200" w:lineRule="exact"/>
        <w:rPr>
          <w:sz w:val="20"/>
          <w:szCs w:val="20"/>
          <w:color w:val="auto"/>
        </w:rPr>
      </w:pPr>
    </w:p>
    <w:p>
      <w:pPr>
        <w:spacing w:after="0" w:line="304"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2" w:name="page463"/>
    <w:bookmarkEnd w:id="4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300" w:right="1239" w:firstLine="248"/>
        <w:spacing w:after="0" w:line="282" w:lineRule="auto"/>
        <w:tabs>
          <w:tab w:leader="none" w:pos="819" w:val="left"/>
        </w:tabs>
        <w:numPr>
          <w:ilvl w:val="0"/>
          <w:numId w:val="436"/>
        </w:numPr>
        <w:rPr>
          <w:rFonts w:ascii="Arial" w:cs="Arial" w:eastAsia="Arial" w:hAnsi="Arial"/>
          <w:sz w:val="15"/>
          <w:szCs w:val="15"/>
          <w:color w:val="auto"/>
        </w:rPr>
      </w:pPr>
      <w:r>
        <w:rPr>
          <w:rFonts w:ascii="Arial" w:cs="Arial" w:eastAsia="Arial" w:hAnsi="Arial"/>
          <w:sz w:val="15"/>
          <w:szCs w:val="15"/>
          <w:b w:val="1"/>
          <w:bCs w:val="1"/>
          <w:u w:val="single" w:color="auto"/>
          <w:color w:val="auto"/>
        </w:rPr>
        <w:t>Compensation for Buy-In on Failure to Timely Deliver Certificates Upon Exercise</w:t>
      </w:r>
      <w:r>
        <w:rPr>
          <w:rFonts w:ascii="Arial" w:cs="Arial" w:eastAsia="Arial" w:hAnsi="Arial"/>
          <w:sz w:val="15"/>
          <w:szCs w:val="15"/>
          <w:color w:val="auto"/>
        </w:rPr>
        <w:t>. In addition to any other rights</w:t>
      </w:r>
      <w:r>
        <w:rPr>
          <w:rFonts w:ascii="Arial" w:cs="Arial" w:eastAsia="Arial" w:hAnsi="Arial"/>
          <w:sz w:val="15"/>
          <w:szCs w:val="15"/>
          <w:b w:val="1"/>
          <w:bCs w:val="1"/>
          <w:color w:val="auto"/>
        </w:rPr>
        <w:t xml:space="preserve"> </w:t>
      </w:r>
      <w:r>
        <w:rPr>
          <w:rFonts w:ascii="Arial" w:cs="Arial" w:eastAsia="Arial" w:hAnsi="Arial"/>
          <w:sz w:val="15"/>
          <w:szCs w:val="15"/>
          <w:color w:val="auto"/>
        </w:rPr>
        <w:t>available to 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5"/>
          <w:szCs w:val="15"/>
          <w:u w:val="single" w:color="auto"/>
          <w:color w:val="auto"/>
        </w:rPr>
        <w:t>Buy-In</w:t>
      </w:r>
      <w:r>
        <w:rPr>
          <w:rFonts w:ascii="Arial" w:cs="Arial" w:eastAsia="Arial" w:hAnsi="Arial"/>
          <w:sz w:val="15"/>
          <w:szCs w:val="15"/>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60" w:lineRule="exact"/>
        <w:rPr>
          <w:rFonts w:ascii="Arial" w:cs="Arial" w:eastAsia="Arial" w:hAnsi="Arial"/>
          <w:sz w:val="15"/>
          <w:szCs w:val="15"/>
          <w:color w:val="auto"/>
        </w:rPr>
      </w:pPr>
    </w:p>
    <w:p>
      <w:pPr>
        <w:jc w:val="both"/>
        <w:ind w:left="300" w:right="1239" w:firstLine="248"/>
        <w:spacing w:after="0" w:line="281" w:lineRule="auto"/>
        <w:tabs>
          <w:tab w:leader="none" w:pos="876" w:val="left"/>
        </w:tabs>
        <w:numPr>
          <w:ilvl w:val="0"/>
          <w:numId w:val="436"/>
        </w:numPr>
        <w:rPr>
          <w:rFonts w:ascii="Arial" w:cs="Arial" w:eastAsia="Arial" w:hAnsi="Arial"/>
          <w:sz w:val="15"/>
          <w:szCs w:val="15"/>
          <w:color w:val="auto"/>
        </w:rPr>
      </w:pPr>
      <w:r>
        <w:rPr>
          <w:rFonts w:ascii="Arial" w:cs="Arial" w:eastAsia="Arial" w:hAnsi="Arial"/>
          <w:sz w:val="15"/>
          <w:szCs w:val="15"/>
          <w:b w:val="1"/>
          <w:bCs w:val="1"/>
          <w:u w:val="single" w:color="auto"/>
          <w:color w:val="auto"/>
        </w:rPr>
        <w:t>Registered Holder’s Exercise Limitations</w:t>
      </w:r>
      <w:r>
        <w:rPr>
          <w:rFonts w:ascii="Arial" w:cs="Arial" w:eastAsia="Arial" w:hAnsi="Arial"/>
          <w:sz w:val="15"/>
          <w:szCs w:val="15"/>
          <w:color w:val="auto"/>
        </w:rPr>
        <w:t>. The Company shall not effect any exercise of this Warrant, and a</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Holder shall 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w:t>
      </w: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3" w:name="page464"/>
    <w:bookmarkEnd w:id="4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4" w:lineRule="exact"/>
        <w:rPr>
          <w:sz w:val="20"/>
          <w:szCs w:val="20"/>
          <w:color w:val="auto"/>
        </w:rPr>
      </w:pPr>
    </w:p>
    <w:p>
      <w:pPr>
        <w:ind w:left="500" w:hanging="202"/>
        <w:spacing w:after="0"/>
        <w:tabs>
          <w:tab w:leader="none" w:pos="500" w:val="left"/>
        </w:tabs>
        <w:numPr>
          <w:ilvl w:val="0"/>
          <w:numId w:val="437"/>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67" w:lineRule="auto"/>
        <w:tabs>
          <w:tab w:leader="none" w:pos="845" w:val="left"/>
        </w:tabs>
        <w:numPr>
          <w:ilvl w:val="1"/>
          <w:numId w:val="437"/>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Splits and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outstanding shares of the Company’s Common Stock shall be subdivided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greater number 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66" w:lineRule="exact"/>
        <w:rPr>
          <w:rFonts w:ascii="Arial" w:cs="Arial" w:eastAsia="Arial" w:hAnsi="Arial"/>
          <w:sz w:val="16"/>
          <w:szCs w:val="16"/>
          <w:color w:val="auto"/>
        </w:rPr>
      </w:pPr>
    </w:p>
    <w:p>
      <w:pPr>
        <w:jc w:val="both"/>
        <w:ind w:left="300" w:right="1239" w:firstLine="248"/>
        <w:spacing w:after="0" w:line="281" w:lineRule="auto"/>
        <w:tabs>
          <w:tab w:leader="none" w:pos="841" w:val="left"/>
        </w:tabs>
        <w:numPr>
          <w:ilvl w:val="1"/>
          <w:numId w:val="437"/>
        </w:numPr>
        <w:rPr>
          <w:rFonts w:ascii="Arial" w:cs="Arial" w:eastAsia="Arial" w:hAnsi="Arial"/>
          <w:sz w:val="15"/>
          <w:szCs w:val="15"/>
          <w:color w:val="auto"/>
        </w:rPr>
      </w:pPr>
      <w:r>
        <w:rPr>
          <w:rFonts w:ascii="Arial" w:cs="Arial" w:eastAsia="Arial" w:hAnsi="Arial"/>
          <w:sz w:val="15"/>
          <w:szCs w:val="15"/>
          <w:b w:val="1"/>
          <w:bCs w:val="1"/>
          <w:u w:val="single" w:color="auto"/>
          <w:color w:val="auto"/>
        </w:rPr>
        <w:t>Fundamental Transaction</w:t>
      </w:r>
      <w:r>
        <w:rPr>
          <w:rFonts w:ascii="Arial" w:cs="Arial" w:eastAsia="Arial" w:hAnsi="Arial"/>
          <w:sz w:val="15"/>
          <w:szCs w:val="15"/>
          <w:color w:val="auto"/>
        </w:rPr>
        <w:t>. If, at any time while this Warrant is outstanding, (i) the Company effects any merger or</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5"/>
          <w:szCs w:val="15"/>
          <w:u w:val="single" w:color="auto"/>
          <w:color w:val="auto"/>
        </w:rPr>
        <w:t>Fundamental Transaction</w:t>
      </w:r>
      <w:r>
        <w:rPr>
          <w:rFonts w:ascii="Arial" w:cs="Arial" w:eastAsia="Arial" w:hAnsi="Arial"/>
          <w:sz w:val="15"/>
          <w:szCs w:val="15"/>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5"/>
          <w:szCs w:val="15"/>
          <w:u w:val="single" w:color="auto"/>
          <w:color w:val="auto"/>
        </w:rPr>
        <w:t>Alternate Consideration</w:t>
      </w:r>
      <w:r>
        <w:rPr>
          <w:rFonts w:ascii="Arial" w:cs="Arial" w:eastAsia="Arial" w:hAnsi="Arial"/>
          <w:sz w:val="15"/>
          <w:szCs w:val="15"/>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65" w:lineRule="exact"/>
        <w:rPr>
          <w:rFonts w:ascii="Arial" w:cs="Arial" w:eastAsia="Arial" w:hAnsi="Arial"/>
          <w:sz w:val="15"/>
          <w:szCs w:val="15"/>
          <w:color w:val="auto"/>
        </w:rPr>
      </w:pPr>
    </w:p>
    <w:p>
      <w:pPr>
        <w:jc w:val="both"/>
        <w:ind w:left="300" w:right="1239" w:firstLine="248"/>
        <w:spacing w:after="0" w:line="275" w:lineRule="auto"/>
        <w:tabs>
          <w:tab w:leader="none" w:pos="819" w:val="left"/>
        </w:tabs>
        <w:numPr>
          <w:ilvl w:val="1"/>
          <w:numId w:val="437"/>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When any adjustment is required to be made in the Exercise Price pursuant to this 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200" w:lineRule="exact"/>
        <w:rPr>
          <w:sz w:val="20"/>
          <w:szCs w:val="20"/>
          <w:color w:val="auto"/>
        </w:rPr>
      </w:pPr>
    </w:p>
    <w:p>
      <w:pPr>
        <w:spacing w:after="0" w:line="276"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4" w:name="page465"/>
    <w:bookmarkEnd w:id="4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500" w:hanging="202"/>
        <w:spacing w:after="0"/>
        <w:tabs>
          <w:tab w:leader="none" w:pos="500" w:val="left"/>
        </w:tabs>
        <w:numPr>
          <w:ilvl w:val="0"/>
          <w:numId w:val="438"/>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Transfers</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70" w:lineRule="auto"/>
        <w:tabs>
          <w:tab w:leader="none" w:pos="832" w:val="left"/>
        </w:tabs>
        <w:numPr>
          <w:ilvl w:val="1"/>
          <w:numId w:val="438"/>
        </w:numPr>
        <w:rPr>
          <w:rFonts w:ascii="Arial" w:cs="Arial" w:eastAsia="Arial" w:hAnsi="Arial"/>
          <w:sz w:val="16"/>
          <w:szCs w:val="16"/>
          <w:color w:val="auto"/>
        </w:rPr>
      </w:pPr>
      <w:r>
        <w:rPr>
          <w:rFonts w:ascii="Arial" w:cs="Arial" w:eastAsia="Arial" w:hAnsi="Arial"/>
          <w:sz w:val="16"/>
          <w:szCs w:val="16"/>
          <w:b w:val="1"/>
          <w:bCs w:val="1"/>
          <w:u w:val="single" w:color="auto"/>
          <w:color w:val="auto"/>
        </w:rPr>
        <w:t>Unregistered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Warrant acknowledges that this Warrant has not been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61" w:lineRule="exact"/>
        <w:rPr>
          <w:rFonts w:ascii="Arial" w:cs="Arial" w:eastAsia="Arial" w:hAnsi="Arial"/>
          <w:sz w:val="16"/>
          <w:szCs w:val="16"/>
          <w:color w:val="auto"/>
        </w:rPr>
      </w:pPr>
    </w:p>
    <w:p>
      <w:pPr>
        <w:jc w:val="both"/>
        <w:ind w:left="300" w:right="1239" w:firstLine="248"/>
        <w:spacing w:after="0" w:line="254" w:lineRule="auto"/>
        <w:tabs>
          <w:tab w:leader="none" w:pos="829" w:val="left"/>
        </w:tabs>
        <w:numPr>
          <w:ilvl w:val="1"/>
          <w:numId w:val="438"/>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3(a) hereof, this Warrant and all rights hereunder are transferable,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whole or 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at the principal office of the Company.</w:t>
      </w:r>
    </w:p>
    <w:p>
      <w:pPr>
        <w:spacing w:after="0" w:line="74" w:lineRule="exact"/>
        <w:rPr>
          <w:rFonts w:ascii="Arial" w:cs="Arial" w:eastAsia="Arial" w:hAnsi="Arial"/>
          <w:sz w:val="17"/>
          <w:szCs w:val="17"/>
          <w:color w:val="auto"/>
        </w:rPr>
      </w:pPr>
    </w:p>
    <w:p>
      <w:pPr>
        <w:jc w:val="both"/>
        <w:ind w:left="300" w:right="1239" w:firstLine="248"/>
        <w:spacing w:after="0" w:line="270" w:lineRule="auto"/>
        <w:tabs>
          <w:tab w:leader="none" w:pos="870" w:val="left"/>
        </w:tabs>
        <w:numPr>
          <w:ilvl w:val="1"/>
          <w:numId w:val="438"/>
        </w:numPr>
        <w:rPr>
          <w:rFonts w:ascii="Arial" w:cs="Arial" w:eastAsia="Arial" w:hAnsi="Arial"/>
          <w:sz w:val="16"/>
          <w:szCs w:val="16"/>
          <w:color w:val="auto"/>
        </w:rPr>
      </w:pPr>
      <w:r>
        <w:rPr>
          <w:rFonts w:ascii="Arial" w:cs="Arial" w:eastAsia="Arial" w:hAnsi="Arial"/>
          <w:sz w:val="16"/>
          <w:szCs w:val="16"/>
          <w:b w:val="1"/>
          <w:bCs w:val="1"/>
          <w:u w:val="single" w:color="auto"/>
          <w:color w:val="auto"/>
        </w:rPr>
        <w:t>Warrant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maintain a register containing the names and addresses of the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this Warrant. Until any transfer of this Warrant is made in the warrant register, the Company may treat the Registered Holder of this Warrant as the absolute owner hereof for all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61" w:lineRule="exact"/>
        <w:rPr>
          <w:rFonts w:ascii="Arial" w:cs="Arial" w:eastAsia="Arial" w:hAnsi="Arial"/>
          <w:sz w:val="16"/>
          <w:szCs w:val="16"/>
          <w:color w:val="auto"/>
        </w:rPr>
      </w:pPr>
    </w:p>
    <w:p>
      <w:pPr>
        <w:ind w:left="500" w:hanging="202"/>
        <w:spacing w:after="0"/>
        <w:tabs>
          <w:tab w:leader="none" w:pos="500" w:val="left"/>
        </w:tabs>
        <w:numPr>
          <w:ilvl w:val="0"/>
          <w:numId w:val="438"/>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66" w:lineRule="auto"/>
        <w:tabs>
          <w:tab w:leader="none" w:pos="832" w:val="left"/>
        </w:tabs>
        <w:numPr>
          <w:ilvl w:val="1"/>
          <w:numId w:val="438"/>
        </w:numPr>
        <w:rPr>
          <w:rFonts w:ascii="Arial" w:cs="Arial" w:eastAsia="Arial" w:hAnsi="Arial"/>
          <w:sz w:val="16"/>
          <w:szCs w:val="16"/>
          <w:color w:val="auto"/>
        </w:rPr>
      </w:pPr>
      <w:r>
        <w:rPr>
          <w:rFonts w:ascii="Arial" w:cs="Arial" w:eastAsia="Arial" w:hAnsi="Arial"/>
          <w:sz w:val="16"/>
          <w:szCs w:val="16"/>
          <w:b w:val="1"/>
          <w:bCs w:val="1"/>
          <w:u w:val="single" w:color="auto"/>
          <w:color w:val="auto"/>
        </w:rPr>
        <w:t>Redemption of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may be redeemed, at the option of the Company, at any time after it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and prior to its expiration, at the office of the Company or, if appointed, the Company’s warrant agent, upon the notice referred to in Section 4(b) hereof, at the price of $0.01 per share underlying the Warrant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65" w:lineRule="exact"/>
        <w:rPr>
          <w:rFonts w:ascii="Arial" w:cs="Arial" w:eastAsia="Arial" w:hAnsi="Arial"/>
          <w:sz w:val="16"/>
          <w:szCs w:val="16"/>
          <w:color w:val="auto"/>
        </w:rPr>
      </w:pPr>
    </w:p>
    <w:p>
      <w:pPr>
        <w:jc w:val="both"/>
        <w:ind w:left="300" w:right="1239" w:firstLine="248"/>
        <w:spacing w:after="0" w:line="294" w:lineRule="auto"/>
        <w:tabs>
          <w:tab w:leader="none" w:pos="892" w:val="left"/>
        </w:tabs>
        <w:numPr>
          <w:ilvl w:val="1"/>
          <w:numId w:val="438"/>
        </w:numPr>
        <w:rPr>
          <w:rFonts w:ascii="Arial" w:cs="Arial" w:eastAsia="Arial" w:hAnsi="Arial"/>
          <w:sz w:val="15"/>
          <w:szCs w:val="15"/>
          <w:color w:val="auto"/>
        </w:rPr>
      </w:pPr>
      <w:r>
        <w:rPr>
          <w:rFonts w:ascii="Arial" w:cs="Arial" w:eastAsia="Arial" w:hAnsi="Arial"/>
          <w:sz w:val="15"/>
          <w:szCs w:val="15"/>
          <w:b w:val="1"/>
          <w:bCs w:val="1"/>
          <w:u w:val="single" w:color="auto"/>
          <w:color w:val="auto"/>
        </w:rPr>
        <w:t>Date Fixed for, and Notice of, Redemption</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the Company shall elect to redeem the Warrant,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shall fix a date for 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46" w:lineRule="exact"/>
        <w:rPr>
          <w:rFonts w:ascii="Arial" w:cs="Arial" w:eastAsia="Arial" w:hAnsi="Arial"/>
          <w:sz w:val="15"/>
          <w:szCs w:val="15"/>
          <w:color w:val="auto"/>
        </w:rPr>
      </w:pPr>
    </w:p>
    <w:p>
      <w:pPr>
        <w:jc w:val="both"/>
        <w:ind w:left="300" w:right="1239" w:firstLine="248"/>
        <w:spacing w:after="0" w:line="254" w:lineRule="auto"/>
        <w:tabs>
          <w:tab w:leader="none" w:pos="845" w:val="left"/>
        </w:tabs>
        <w:numPr>
          <w:ilvl w:val="1"/>
          <w:numId w:val="438"/>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After Notice of 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Warrants may be exercised in accordance with this Warrant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after notice of 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74" w:lineRule="exact"/>
        <w:rPr>
          <w:rFonts w:ascii="Arial" w:cs="Arial" w:eastAsia="Arial" w:hAnsi="Arial"/>
          <w:sz w:val="17"/>
          <w:szCs w:val="17"/>
          <w:color w:val="auto"/>
        </w:rPr>
      </w:pPr>
    </w:p>
    <w:p>
      <w:pPr>
        <w:ind w:left="40" w:right="1239" w:firstLine="258"/>
        <w:spacing w:after="0" w:line="272" w:lineRule="auto"/>
        <w:tabs>
          <w:tab w:leader="none" w:pos="499" w:val="left"/>
        </w:tabs>
        <w:numPr>
          <w:ilvl w:val="0"/>
          <w:numId w:val="438"/>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the right to purchase securities upon exercise hereof) shall terminate at 5:00 p.m., Eastern</w:t>
      </w:r>
      <w:r>
        <w:rPr>
          <w:rFonts w:ascii="Arial" w:cs="Arial" w:eastAsia="Arial" w:hAnsi="Arial"/>
          <w:sz w:val="17"/>
          <w:szCs w:val="17"/>
          <w:b w:val="1"/>
          <w:bCs w:val="1"/>
          <w:color w:val="auto"/>
        </w:rPr>
        <w:t xml:space="preserve"> </w:t>
      </w:r>
      <w:r>
        <w:rPr>
          <w:rFonts w:ascii="Arial" w:cs="Arial" w:eastAsia="Arial" w:hAnsi="Arial"/>
          <w:sz w:val="17"/>
          <w:szCs w:val="17"/>
          <w:color w:val="auto"/>
        </w:rPr>
        <w:t>time, on the Expiration Date.</w:t>
      </w:r>
    </w:p>
    <w:p>
      <w:pPr>
        <w:spacing w:after="0" w:line="58" w:lineRule="exact"/>
        <w:rPr>
          <w:rFonts w:ascii="Arial" w:cs="Arial" w:eastAsia="Arial" w:hAnsi="Arial"/>
          <w:sz w:val="17"/>
          <w:szCs w:val="17"/>
          <w:color w:val="auto"/>
        </w:rPr>
      </w:pPr>
    </w:p>
    <w:p>
      <w:pPr>
        <w:ind w:left="500" w:hanging="202"/>
        <w:spacing w:after="0"/>
        <w:tabs>
          <w:tab w:leader="none" w:pos="500" w:val="left"/>
        </w:tabs>
        <w:numPr>
          <w:ilvl w:val="0"/>
          <w:numId w:val="438"/>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 of Certain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case:</w:t>
      </w:r>
    </w:p>
    <w:p>
      <w:pPr>
        <w:spacing w:after="0" w:line="109" w:lineRule="exact"/>
        <w:rPr>
          <w:rFonts w:ascii="Arial" w:cs="Arial" w:eastAsia="Arial" w:hAnsi="Arial"/>
          <w:sz w:val="17"/>
          <w:szCs w:val="17"/>
          <w:color w:val="auto"/>
        </w:rPr>
      </w:pPr>
    </w:p>
    <w:p>
      <w:pPr>
        <w:jc w:val="both"/>
        <w:ind w:left="300" w:right="1239" w:firstLine="248"/>
        <w:spacing w:after="0" w:line="256" w:lineRule="auto"/>
        <w:tabs>
          <w:tab w:leader="none" w:pos="825" w:val="left"/>
        </w:tabs>
        <w:numPr>
          <w:ilvl w:val="1"/>
          <w:numId w:val="438"/>
        </w:numPr>
        <w:rPr>
          <w:rFonts w:ascii="Arial" w:cs="Arial" w:eastAsia="Arial" w:hAnsi="Arial"/>
          <w:sz w:val="17"/>
          <w:szCs w:val="17"/>
          <w:color w:val="auto"/>
        </w:rPr>
      </w:pPr>
      <w:r>
        <w:rPr>
          <w:rFonts w:ascii="Arial" w:cs="Arial" w:eastAsia="Arial" w:hAnsi="Arial"/>
          <w:sz w:val="17"/>
          <w:szCs w:val="17"/>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5" w:name="page466"/>
    <w:bookmarkEnd w:id="4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purchase any shares of stock of any class or any other securities, or to receive any other right, to subscribe for or purchase any shares of stock of any class or any other securities, or to receive any other right, or</w:t>
      </w:r>
    </w:p>
    <w:p>
      <w:pPr>
        <w:spacing w:after="0" w:line="66" w:lineRule="exact"/>
        <w:rPr>
          <w:sz w:val="20"/>
          <w:szCs w:val="20"/>
          <w:color w:val="auto"/>
        </w:rPr>
      </w:pPr>
    </w:p>
    <w:p>
      <w:pPr>
        <w:jc w:val="both"/>
        <w:ind w:left="300" w:right="1239" w:firstLine="248"/>
        <w:spacing w:after="0" w:line="253" w:lineRule="auto"/>
        <w:tabs>
          <w:tab w:leader="none" w:pos="929" w:val="left"/>
        </w:tabs>
        <w:numPr>
          <w:ilvl w:val="0"/>
          <w:numId w:val="439"/>
        </w:numPr>
        <w:rPr>
          <w:rFonts w:ascii="Arial" w:cs="Arial" w:eastAsia="Arial" w:hAnsi="Arial"/>
          <w:sz w:val="17"/>
          <w:szCs w:val="17"/>
          <w:color w:val="auto"/>
        </w:rPr>
      </w:pPr>
      <w:r>
        <w:rPr>
          <w:rFonts w:ascii="Arial" w:cs="Arial" w:eastAsia="Arial" w:hAnsi="Arial"/>
          <w:sz w:val="17"/>
          <w:szCs w:val="17"/>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77" w:lineRule="exact"/>
        <w:rPr>
          <w:rFonts w:ascii="Arial" w:cs="Arial" w:eastAsia="Arial" w:hAnsi="Arial"/>
          <w:sz w:val="17"/>
          <w:szCs w:val="17"/>
          <w:color w:val="auto"/>
        </w:rPr>
      </w:pPr>
    </w:p>
    <w:p>
      <w:pPr>
        <w:ind w:left="820" w:hanging="272"/>
        <w:spacing w:after="0"/>
        <w:tabs>
          <w:tab w:leader="none" w:pos="82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of the voluntary or involuntary dissolution, liquidation or winding-up of the Company, or</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of any Fundamental Transaction,</w:t>
      </w:r>
    </w:p>
    <w:p>
      <w:pPr>
        <w:spacing w:after="0" w:line="105" w:lineRule="exact"/>
        <w:rPr>
          <w:sz w:val="20"/>
          <w:szCs w:val="20"/>
          <w:color w:val="auto"/>
        </w:rPr>
      </w:pPr>
    </w:p>
    <w:p>
      <w:pPr>
        <w:jc w:val="both"/>
        <w:ind w:left="40" w:right="1239"/>
        <w:spacing w:after="0" w:line="288" w:lineRule="auto"/>
        <w:rPr>
          <w:sz w:val="20"/>
          <w:szCs w:val="20"/>
          <w:color w:val="auto"/>
        </w:rPr>
      </w:pPr>
      <w:r>
        <w:rPr>
          <w:rFonts w:ascii="Arial" w:cs="Arial" w:eastAsia="Arial" w:hAnsi="Arial"/>
          <w:sz w:val="15"/>
          <w:szCs w:val="15"/>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51" w:lineRule="exact"/>
        <w:rPr>
          <w:sz w:val="20"/>
          <w:szCs w:val="20"/>
          <w:color w:val="auto"/>
        </w:rPr>
      </w:pPr>
    </w:p>
    <w:p>
      <w:pPr>
        <w:jc w:val="both"/>
        <w:ind w:left="40" w:right="1239" w:firstLine="258"/>
        <w:spacing w:after="0" w:line="265" w:lineRule="auto"/>
        <w:tabs>
          <w:tab w:leader="none" w:pos="512" w:val="left"/>
        </w:tabs>
        <w:numPr>
          <w:ilvl w:val="0"/>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covenants that at all times it will have authorized, reserve and keep available, solely</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issuance 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70" w:lineRule="exact"/>
        <w:rPr>
          <w:rFonts w:ascii="Arial" w:cs="Arial" w:eastAsia="Arial" w:hAnsi="Arial"/>
          <w:sz w:val="16"/>
          <w:szCs w:val="16"/>
          <w:color w:val="auto"/>
        </w:rPr>
      </w:pPr>
    </w:p>
    <w:p>
      <w:pPr>
        <w:jc w:val="both"/>
        <w:ind w:left="40" w:right="1239" w:firstLine="258"/>
        <w:spacing w:after="0" w:line="299" w:lineRule="auto"/>
        <w:tabs>
          <w:tab w:leader="none" w:pos="499" w:val="left"/>
        </w:tabs>
        <w:numPr>
          <w:ilvl w:val="0"/>
          <w:numId w:val="440"/>
        </w:numPr>
        <w:rPr>
          <w:rFonts w:ascii="Arial" w:cs="Arial" w:eastAsia="Arial" w:hAnsi="Arial"/>
          <w:sz w:val="15"/>
          <w:szCs w:val="15"/>
          <w:color w:val="auto"/>
        </w:rPr>
      </w:pPr>
      <w:r>
        <w:rPr>
          <w:rFonts w:ascii="Arial" w:cs="Arial" w:eastAsia="Arial" w:hAnsi="Arial"/>
          <w:sz w:val="15"/>
          <w:szCs w:val="15"/>
          <w:b w:val="1"/>
          <w:bCs w:val="1"/>
          <w:u w:val="single" w:color="auto"/>
          <w:color w:val="auto"/>
        </w:rPr>
        <w:t>Replacement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Upon receipt of evidence reasonably satisfactory to the Company of the loss, theft, destruction</w:t>
      </w:r>
      <w:r>
        <w:rPr>
          <w:rFonts w:ascii="Arial" w:cs="Arial" w:eastAsia="Arial" w:hAnsi="Arial"/>
          <w:sz w:val="15"/>
          <w:szCs w:val="15"/>
          <w:b w:val="1"/>
          <w:bCs w:val="1"/>
          <w:color w:val="auto"/>
        </w:rPr>
        <w:t xml:space="preserve"> </w:t>
      </w:r>
      <w:r>
        <w:rPr>
          <w:rFonts w:ascii="Arial" w:cs="Arial" w:eastAsia="Arial" w:hAnsi="Arial"/>
          <w:sz w:val="15"/>
          <w:szCs w:val="15"/>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42" w:lineRule="exact"/>
        <w:rPr>
          <w:rFonts w:ascii="Arial" w:cs="Arial" w:eastAsia="Arial" w:hAnsi="Arial"/>
          <w:sz w:val="15"/>
          <w:szCs w:val="15"/>
          <w:color w:val="auto"/>
        </w:rPr>
      </w:pPr>
    </w:p>
    <w:p>
      <w:pPr>
        <w:jc w:val="both"/>
        <w:ind w:left="40" w:right="1239" w:firstLine="258"/>
        <w:spacing w:after="0" w:line="294" w:lineRule="auto"/>
        <w:tabs>
          <w:tab w:leader="none" w:pos="499" w:val="left"/>
        </w:tabs>
        <w:numPr>
          <w:ilvl w:val="0"/>
          <w:numId w:val="440"/>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required or permitted by this Warrant shall be in writing and shall be deemed duly given upon receipt,</w:t>
      </w:r>
      <w:r>
        <w:rPr>
          <w:rFonts w:ascii="Arial" w:cs="Arial" w:eastAsia="Arial" w:hAnsi="Arial"/>
          <w:sz w:val="15"/>
          <w:szCs w:val="15"/>
          <w:b w:val="1"/>
          <w:bCs w:val="1"/>
          <w:color w:val="auto"/>
        </w:rPr>
        <w:t xml:space="preserve"> </w:t>
      </w:r>
      <w:r>
        <w:rPr>
          <w:rFonts w:ascii="Arial" w:cs="Arial" w:eastAsia="Arial" w:hAnsi="Arial"/>
          <w:sz w:val="15"/>
          <w:szCs w:val="15"/>
          <w:color w:val="auto"/>
        </w:rPr>
        <w:t>when delivered personally or by courier, overnight 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46" w:lineRule="exact"/>
        <w:rPr>
          <w:rFonts w:ascii="Arial" w:cs="Arial" w:eastAsia="Arial" w:hAnsi="Arial"/>
          <w:sz w:val="15"/>
          <w:szCs w:val="15"/>
          <w:color w:val="auto"/>
        </w:rPr>
      </w:pPr>
    </w:p>
    <w:p>
      <w:pPr>
        <w:ind w:left="40" w:right="1239" w:firstLine="258"/>
        <w:spacing w:after="0" w:line="272" w:lineRule="auto"/>
        <w:tabs>
          <w:tab w:leader="none" w:pos="608" w:val="left"/>
        </w:tabs>
        <w:numPr>
          <w:ilvl w:val="0"/>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No Rights as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 exercise of this Warrant, the Registered Holder of this Warrant shall not have or</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any rights by virtue hereof as a stockholder of the Company.</w:t>
      </w:r>
    </w:p>
    <w:p>
      <w:pPr>
        <w:spacing w:after="0" w:line="58" w:lineRule="exact"/>
        <w:rPr>
          <w:rFonts w:ascii="Arial" w:cs="Arial" w:eastAsia="Arial" w:hAnsi="Arial"/>
          <w:sz w:val="17"/>
          <w:szCs w:val="17"/>
          <w:color w:val="auto"/>
        </w:rPr>
      </w:pPr>
    </w:p>
    <w:p>
      <w:pPr>
        <w:jc w:val="both"/>
        <w:ind w:left="40" w:right="1239" w:firstLine="258"/>
        <w:spacing w:after="0" w:line="259" w:lineRule="auto"/>
        <w:tabs>
          <w:tab w:leader="none" w:pos="589" w:val="left"/>
        </w:tabs>
        <w:numPr>
          <w:ilvl w:val="0"/>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Shares</w:t>
      </w:r>
      <w:r>
        <w:rPr>
          <w:rFonts w:ascii="Arial" w:cs="Arial" w:eastAsia="Arial" w:hAnsi="Arial"/>
          <w:sz w:val="17"/>
          <w:szCs w:val="17"/>
          <w:b w:val="1"/>
          <w:bCs w:val="1"/>
          <w:color w:val="auto"/>
        </w:rPr>
        <w:t xml:space="preserve">. </w:t>
      </w:r>
      <w:r>
        <w:rPr>
          <w:rFonts w:ascii="Arial" w:cs="Arial" w:eastAsia="Arial" w:hAnsi="Arial"/>
          <w:sz w:val="17"/>
          <w:szCs w:val="17"/>
          <w:color w:val="auto"/>
        </w:rPr>
        <w:t>No fractional shares of Common Stock will be issued in connection with any exercise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In lieu of any fractional shares which would otherwise be issuable, the Company shall round the amount of Warrant Stock issuable to the nearest whole share.</w:t>
      </w:r>
    </w:p>
    <w:p>
      <w:pPr>
        <w:spacing w:after="0" w:line="68" w:lineRule="exact"/>
        <w:rPr>
          <w:rFonts w:ascii="Arial" w:cs="Arial" w:eastAsia="Arial" w:hAnsi="Arial"/>
          <w:sz w:val="17"/>
          <w:szCs w:val="17"/>
          <w:color w:val="auto"/>
        </w:rPr>
      </w:pPr>
    </w:p>
    <w:p>
      <w:pPr>
        <w:ind w:left="40" w:right="1239" w:firstLine="258"/>
        <w:spacing w:after="0" w:line="272" w:lineRule="auto"/>
        <w:tabs>
          <w:tab w:leader="none" w:pos="583" w:val="left"/>
        </w:tabs>
        <w:numPr>
          <w:ilvl w:val="0"/>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or Waiver</w:t>
      </w:r>
      <w:r>
        <w:rPr>
          <w:rFonts w:ascii="Arial" w:cs="Arial" w:eastAsia="Arial" w:hAnsi="Arial"/>
          <w:sz w:val="17"/>
          <w:szCs w:val="17"/>
          <w:b w:val="1"/>
          <w:bCs w:val="1"/>
          <w:color w:val="auto"/>
        </w:rPr>
        <w:t xml:space="preserve">. </w:t>
      </w:r>
      <w:r>
        <w:rPr>
          <w:rFonts w:ascii="Arial" w:cs="Arial" w:eastAsia="Arial" w:hAnsi="Arial"/>
          <w:sz w:val="17"/>
          <w:szCs w:val="17"/>
          <w:color w:val="auto"/>
        </w:rPr>
        <w:t>Any term of this Warrant may be amended or waived upon written consent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w:t>
      </w:r>
    </w:p>
    <w:p>
      <w:pPr>
        <w:spacing w:after="0" w:line="200" w:lineRule="exact"/>
        <w:rPr>
          <w:sz w:val="20"/>
          <w:szCs w:val="20"/>
          <w:color w:val="auto"/>
        </w:rPr>
      </w:pPr>
    </w:p>
    <w:p>
      <w:pPr>
        <w:spacing w:after="0" w:line="276"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6" w:name="page467"/>
    <w:bookmarkEnd w:id="4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40" w:right="1239" w:firstLine="258"/>
        <w:spacing w:after="0" w:line="272" w:lineRule="auto"/>
        <w:tabs>
          <w:tab w:leader="none" w:pos="620" w:val="left"/>
        </w:tabs>
        <w:numPr>
          <w:ilvl w:val="0"/>
          <w:numId w:val="441"/>
        </w:numPr>
        <w:rPr>
          <w:rFonts w:ascii="Arial" w:cs="Arial" w:eastAsia="Arial" w:hAnsi="Arial"/>
          <w:sz w:val="17"/>
          <w:szCs w:val="17"/>
          <w:color w:val="auto"/>
        </w:rPr>
      </w:pP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headings in this Warrant are for purposes of reference only and shall not limit or otherwise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any provision of this Warrant.</w:t>
      </w:r>
    </w:p>
    <w:p>
      <w:pPr>
        <w:spacing w:after="0" w:line="58" w:lineRule="exact"/>
        <w:rPr>
          <w:rFonts w:ascii="Arial" w:cs="Arial" w:eastAsia="Arial" w:hAnsi="Arial"/>
          <w:sz w:val="17"/>
          <w:szCs w:val="17"/>
          <w:color w:val="auto"/>
        </w:rPr>
      </w:pPr>
    </w:p>
    <w:p>
      <w:pPr>
        <w:jc w:val="both"/>
        <w:ind w:left="40" w:right="1239" w:firstLine="258"/>
        <w:spacing w:after="0" w:line="259" w:lineRule="auto"/>
        <w:tabs>
          <w:tab w:leader="none" w:pos="595" w:val="left"/>
        </w:tabs>
        <w:numPr>
          <w:ilvl w:val="0"/>
          <w:numId w:val="441"/>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all acts and transactions pursuant hereto and the rights and obligations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shall be governed, construed and interpreted in accordance with the laws of the State of New York, without giving effect to principles of conflicts of law.</w:t>
      </w:r>
    </w:p>
    <w:p>
      <w:pPr>
        <w:spacing w:after="0" w:line="68" w:lineRule="exact"/>
        <w:rPr>
          <w:rFonts w:ascii="Arial" w:cs="Arial" w:eastAsia="Arial" w:hAnsi="Arial"/>
          <w:sz w:val="17"/>
          <w:szCs w:val="17"/>
          <w:color w:val="auto"/>
        </w:rPr>
      </w:pPr>
    </w:p>
    <w:p>
      <w:pPr>
        <w:ind w:left="40" w:right="1239" w:firstLine="258"/>
        <w:spacing w:after="0" w:line="272" w:lineRule="auto"/>
        <w:tabs>
          <w:tab w:leader="none" w:pos="620" w:val="left"/>
        </w:tabs>
        <w:numPr>
          <w:ilvl w:val="0"/>
          <w:numId w:val="441"/>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Covenants of the Registered Holder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has been entered into by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the following representations and covenants of the Registered Holder:</w:t>
      </w:r>
    </w:p>
    <w:p>
      <w:pPr>
        <w:spacing w:after="0" w:line="58" w:lineRule="exact"/>
        <w:rPr>
          <w:rFonts w:ascii="Arial" w:cs="Arial" w:eastAsia="Arial" w:hAnsi="Arial"/>
          <w:sz w:val="17"/>
          <w:szCs w:val="17"/>
          <w:color w:val="auto"/>
        </w:rPr>
      </w:pPr>
    </w:p>
    <w:p>
      <w:pPr>
        <w:jc w:val="both"/>
        <w:ind w:left="300" w:right="1239" w:firstLine="248"/>
        <w:spacing w:after="0" w:line="259" w:lineRule="auto"/>
        <w:tabs>
          <w:tab w:leader="none" w:pos="819" w:val="left"/>
        </w:tabs>
        <w:numPr>
          <w:ilvl w:val="1"/>
          <w:numId w:val="441"/>
        </w:numPr>
        <w:rPr>
          <w:rFonts w:ascii="Arial" w:cs="Arial" w:eastAsia="Arial" w:hAnsi="Arial"/>
          <w:sz w:val="17"/>
          <w:szCs w:val="17"/>
          <w:color w:val="auto"/>
        </w:rPr>
      </w:pPr>
      <w:r>
        <w:rPr>
          <w:rFonts w:ascii="Arial" w:cs="Arial" w:eastAsia="Arial" w:hAnsi="Arial"/>
          <w:sz w:val="17"/>
          <w:szCs w:val="17"/>
          <w:b w:val="1"/>
          <w:bCs w:val="1"/>
          <w:u w:val="single" w:color="auto"/>
          <w:color w:val="auto"/>
        </w:rPr>
        <w:t>Investment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is acquiring the Warrant and the Warrant Stock issuable upon exercise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Warrant for its own account, not as a nominee or agent and with no present intention of selling or otherwise distributing any part thereof.</w:t>
      </w:r>
    </w:p>
    <w:p>
      <w:pPr>
        <w:spacing w:after="0" w:line="68" w:lineRule="exact"/>
        <w:rPr>
          <w:rFonts w:ascii="Arial" w:cs="Arial" w:eastAsia="Arial" w:hAnsi="Arial"/>
          <w:sz w:val="17"/>
          <w:szCs w:val="17"/>
          <w:color w:val="auto"/>
        </w:rPr>
      </w:pPr>
    </w:p>
    <w:p>
      <w:pPr>
        <w:jc w:val="both"/>
        <w:ind w:left="300" w:right="1239" w:firstLine="248"/>
        <w:spacing w:after="0" w:line="252" w:lineRule="auto"/>
        <w:tabs>
          <w:tab w:leader="none" w:pos="854" w:val="left"/>
        </w:tabs>
        <w:numPr>
          <w:ilvl w:val="1"/>
          <w:numId w:val="441"/>
        </w:numPr>
        <w:rPr>
          <w:rFonts w:ascii="Arial" w:cs="Arial" w:eastAsia="Arial" w:hAnsi="Arial"/>
          <w:sz w:val="17"/>
          <w:szCs w:val="17"/>
          <w:color w:val="auto"/>
        </w:rPr>
      </w:pPr>
      <w:r>
        <w:rPr>
          <w:rFonts w:ascii="Arial" w:cs="Arial" w:eastAsia="Arial" w:hAnsi="Arial"/>
          <w:sz w:val="17"/>
          <w:szCs w:val="17"/>
          <w:b w:val="1"/>
          <w:bCs w:val="1"/>
          <w:u w:val="single" w:color="auto"/>
          <w:color w:val="auto"/>
        </w:rPr>
        <w:t>Private Issue</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understands: (i) that the Warrant is not registered under the Securities Act or</w:t>
      </w:r>
      <w:r>
        <w:rPr>
          <w:rFonts w:ascii="Arial" w:cs="Arial" w:eastAsia="Arial" w:hAnsi="Arial"/>
          <w:sz w:val="17"/>
          <w:szCs w:val="17"/>
          <w:b w:val="1"/>
          <w:bCs w:val="1"/>
          <w:color w:val="auto"/>
        </w:rPr>
        <w:t xml:space="preserve"> </w:t>
      </w:r>
      <w:r>
        <w:rPr>
          <w:rFonts w:ascii="Arial" w:cs="Arial" w:eastAsia="Arial" w:hAnsi="Arial"/>
          <w:sz w:val="17"/>
          <w:szCs w:val="17"/>
          <w:color w:val="auto"/>
        </w:rPr>
        <w:t>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76" w:lineRule="exact"/>
        <w:rPr>
          <w:rFonts w:ascii="Arial" w:cs="Arial" w:eastAsia="Arial" w:hAnsi="Arial"/>
          <w:sz w:val="17"/>
          <w:szCs w:val="17"/>
          <w:color w:val="auto"/>
        </w:rPr>
      </w:pPr>
    </w:p>
    <w:p>
      <w:pPr>
        <w:jc w:val="both"/>
        <w:ind w:left="300" w:right="1239" w:firstLine="248"/>
        <w:spacing w:after="0" w:line="287" w:lineRule="auto"/>
        <w:tabs>
          <w:tab w:leader="none" w:pos="832" w:val="left"/>
        </w:tabs>
        <w:numPr>
          <w:ilvl w:val="1"/>
          <w:numId w:val="441"/>
        </w:numPr>
        <w:rPr>
          <w:rFonts w:ascii="Arial" w:cs="Arial" w:eastAsia="Arial" w:hAnsi="Arial"/>
          <w:sz w:val="15"/>
          <w:szCs w:val="15"/>
          <w:color w:val="auto"/>
        </w:rPr>
      </w:pPr>
      <w:r>
        <w:rPr>
          <w:rFonts w:ascii="Arial" w:cs="Arial" w:eastAsia="Arial" w:hAnsi="Arial"/>
          <w:sz w:val="15"/>
          <w:szCs w:val="15"/>
          <w:b w:val="1"/>
          <w:bCs w:val="1"/>
          <w:u w:val="single" w:color="auto"/>
          <w:color w:val="auto"/>
        </w:rPr>
        <w:t>Disposition of Registered Holder’s Rights</w:t>
      </w:r>
      <w:r>
        <w:rPr>
          <w:rFonts w:ascii="Arial" w:cs="Arial" w:eastAsia="Arial" w:hAnsi="Arial"/>
          <w:sz w:val="15"/>
          <w:szCs w:val="15"/>
          <w:b w:val="1"/>
          <w:bCs w:val="1"/>
          <w:color w:val="auto"/>
        </w:rPr>
        <w:t xml:space="preserve">. </w:t>
      </w:r>
      <w:r>
        <w:rPr>
          <w:rFonts w:ascii="Arial" w:cs="Arial" w:eastAsia="Arial" w:hAnsi="Arial"/>
          <w:sz w:val="15"/>
          <w:szCs w:val="15"/>
          <w:color w:val="auto"/>
        </w:rPr>
        <w:t>In no event will the Registered Holder make a disposition of the Warrant</w:t>
      </w:r>
      <w:r>
        <w:rPr>
          <w:rFonts w:ascii="Arial" w:cs="Arial" w:eastAsia="Arial" w:hAnsi="Arial"/>
          <w:sz w:val="15"/>
          <w:szCs w:val="15"/>
          <w:b w:val="1"/>
          <w:bCs w:val="1"/>
          <w:color w:val="auto"/>
        </w:rPr>
        <w:t xml:space="preserve"> </w:t>
      </w:r>
      <w:r>
        <w:rPr>
          <w:rFonts w:ascii="Arial" w:cs="Arial" w:eastAsia="Arial" w:hAnsi="Arial"/>
          <w:sz w:val="15"/>
          <w:szCs w:val="15"/>
          <w:color w:val="auto"/>
        </w:rPr>
        <w:t>or the 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54" w:lineRule="exact"/>
        <w:rPr>
          <w:rFonts w:ascii="Arial" w:cs="Arial" w:eastAsia="Arial" w:hAnsi="Arial"/>
          <w:sz w:val="15"/>
          <w:szCs w:val="15"/>
          <w:color w:val="auto"/>
        </w:rPr>
      </w:pPr>
    </w:p>
    <w:p>
      <w:pPr>
        <w:ind w:left="300" w:right="1239" w:firstLine="248"/>
        <w:spacing w:after="0" w:line="272" w:lineRule="auto"/>
        <w:tabs>
          <w:tab w:leader="none" w:pos="829" w:val="left"/>
        </w:tabs>
        <w:numPr>
          <w:ilvl w:val="1"/>
          <w:numId w:val="441"/>
        </w:numPr>
        <w:rPr>
          <w:rFonts w:ascii="Arial" w:cs="Arial" w:eastAsia="Arial" w:hAnsi="Arial"/>
          <w:sz w:val="17"/>
          <w:szCs w:val="17"/>
          <w:color w:val="auto"/>
        </w:rPr>
      </w:pPr>
      <w:r>
        <w:rPr>
          <w:rFonts w:ascii="Arial" w:cs="Arial" w:eastAsia="Arial" w:hAnsi="Arial"/>
          <w:sz w:val="17"/>
          <w:szCs w:val="17"/>
          <w:b w:val="1"/>
          <w:bCs w:val="1"/>
          <w:u w:val="single" w:color="auto"/>
          <w:color w:val="auto"/>
        </w:rPr>
        <w:t>Financial Risk</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has such business and financial experience as is required to give it the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to protect its own interests in connection with its investment.</w:t>
      </w:r>
    </w:p>
    <w:p>
      <w:pPr>
        <w:spacing w:after="0" w:line="58" w:lineRule="exact"/>
        <w:rPr>
          <w:rFonts w:ascii="Arial" w:cs="Arial" w:eastAsia="Arial" w:hAnsi="Arial"/>
          <w:sz w:val="17"/>
          <w:szCs w:val="17"/>
          <w:color w:val="auto"/>
        </w:rPr>
      </w:pPr>
    </w:p>
    <w:p>
      <w:pPr>
        <w:ind w:left="300" w:right="1239" w:firstLine="248"/>
        <w:spacing w:after="0" w:line="272" w:lineRule="auto"/>
        <w:tabs>
          <w:tab w:leader="none" w:pos="870" w:val="left"/>
        </w:tabs>
        <w:numPr>
          <w:ilvl w:val="1"/>
          <w:numId w:val="441"/>
        </w:numPr>
        <w:rPr>
          <w:rFonts w:ascii="Arial" w:cs="Arial" w:eastAsia="Arial" w:hAnsi="Arial"/>
          <w:sz w:val="17"/>
          <w:szCs w:val="17"/>
          <w:color w:val="auto"/>
        </w:rPr>
      </w:pPr>
      <w:r>
        <w:rPr>
          <w:rFonts w:ascii="Arial" w:cs="Arial" w:eastAsia="Arial" w:hAnsi="Arial"/>
          <w:sz w:val="17"/>
          <w:szCs w:val="17"/>
          <w:b w:val="1"/>
          <w:bCs w:val="1"/>
          <w:u w:val="single" w:color="auto"/>
          <w:color w:val="auto"/>
        </w:rPr>
        <w:t>Accredited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is an “accredited investor” as defined by Rule 501 of Regulation D</w:t>
      </w:r>
      <w:r>
        <w:rPr>
          <w:rFonts w:ascii="Arial" w:cs="Arial" w:eastAsia="Arial" w:hAnsi="Arial"/>
          <w:sz w:val="17"/>
          <w:szCs w:val="17"/>
          <w:b w:val="1"/>
          <w:bCs w:val="1"/>
          <w:color w:val="auto"/>
        </w:rPr>
        <w:t xml:space="preserve"> </w:t>
      </w:r>
      <w:r>
        <w:rPr>
          <w:rFonts w:ascii="Arial" w:cs="Arial" w:eastAsia="Arial" w:hAnsi="Arial"/>
          <w:sz w:val="17"/>
          <w:szCs w:val="17"/>
          <w:color w:val="auto"/>
        </w:rPr>
        <w:t>promulgated under the Securities Act.</w:t>
      </w:r>
    </w:p>
    <w:p>
      <w:pPr>
        <w:spacing w:after="0" w:line="62" w:lineRule="exact"/>
        <w:rPr>
          <w:sz w:val="20"/>
          <w:szCs w:val="20"/>
          <w:color w:val="auto"/>
        </w:rPr>
      </w:pPr>
    </w:p>
    <w:p>
      <w:pPr>
        <w:ind w:left="3580"/>
        <w:spacing w:after="0"/>
        <w:rPr>
          <w:sz w:val="20"/>
          <w:szCs w:val="20"/>
          <w:color w:val="auto"/>
        </w:rPr>
      </w:pPr>
      <w:r>
        <w:rPr>
          <w:rFonts w:ascii="Arial" w:cs="Arial" w:eastAsia="Arial" w:hAnsi="Arial"/>
          <w:sz w:val="17"/>
          <w:szCs w:val="17"/>
          <w:i w:val="1"/>
          <w:iCs w:val="1"/>
          <w:color w:val="auto"/>
        </w:rPr>
        <w:t>[Signature Page Follows]</w:t>
      </w:r>
    </w:p>
    <w:p>
      <w:pPr>
        <w:spacing w:after="0" w:line="200" w:lineRule="exact"/>
        <w:rPr>
          <w:sz w:val="20"/>
          <w:szCs w:val="20"/>
          <w:color w:val="auto"/>
        </w:rPr>
      </w:pPr>
    </w:p>
    <w:p>
      <w:pPr>
        <w:spacing w:after="0" w:line="31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7" w:name="page468"/>
    <w:bookmarkEnd w:id="4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WITNESS WHEREOF, the parties have executed this Warrant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481393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spacing w:after="0" w:line="2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-123190</wp:posOffset>
            </wp:positionV>
            <wp:extent cx="229171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8" w:name="page469"/>
    <w:bookmarkEnd w:id="4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Exhibit A</w:t>
      </w:r>
    </w:p>
    <w:p>
      <w:pPr>
        <w:spacing w:after="0" w:line="10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WARRANT EXERCISE FORM</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undersigned hereby irrevocably elects to exercise the within Warrant to the extent of purchasing ______ shares of Common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Stock of Vringo, Inc., a Delaware corporation, and hereby makes payment of $___________ in payment therefore (if a cashless</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exercise, insert “cashless”), all in accordance with the terms and conditions of the Warrant dated ________, 2012.</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-36195</wp:posOffset>
            </wp:positionV>
            <wp:extent cx="2005330" cy="1587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005330"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-36195</wp:posOffset>
            </wp:positionV>
            <wp:extent cx="1909445" cy="1587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90944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-35560</wp:posOffset>
            </wp:positionV>
            <wp:extent cx="2275840" cy="1587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275840"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-36195</wp:posOffset>
            </wp:positionV>
            <wp:extent cx="763905" cy="1587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6390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INSTRUCTIONS FOR ISSUANCE OF STOCK</w:t>
      </w:r>
    </w:p>
    <w:p>
      <w:pPr>
        <w:spacing w:after="0" w:line="105"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(if other than to the registered holder of the within Warrant)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-36195</wp:posOffset>
            </wp:positionV>
            <wp:extent cx="1431925" cy="1587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43192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11430</wp:posOffset>
            </wp:positionV>
            <wp:extent cx="560133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5601335" cy="825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-27940</wp:posOffset>
            </wp:positionV>
            <wp:extent cx="149606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49606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9" w:name="page470"/>
    <w:bookmarkEnd w:id="4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Exhibit B</w:t>
      </w:r>
    </w:p>
    <w:p>
      <w:pPr>
        <w:spacing w:after="0" w:line="10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ASSIGNMENT FORM</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VALUE RECEIVED, _____________________ hereby sells, assigns and transfers unto _______________________ the right</w:t>
      </w:r>
    </w:p>
    <w:p>
      <w:pPr>
        <w:spacing w:after="0" w:line="40"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6"/>
          <w:szCs w:val="16"/>
          <w:color w:val="auto"/>
        </w:rPr>
        <w:t>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-36195</wp:posOffset>
            </wp:positionV>
            <wp:extent cx="763905" cy="1587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6390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-35560</wp:posOffset>
            </wp:positionV>
            <wp:extent cx="1909445" cy="1587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90944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138430</wp:posOffset>
            </wp:positionV>
            <wp:extent cx="286448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864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70" w:name="page471"/>
    <w:bookmarkEnd w:id="4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77470</wp:posOffset>
            </wp:positionV>
            <wp:extent cx="1042035" cy="34988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042035" cy="34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March 12, 2012</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CONFIDENTIAL</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Board of Directors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Vringo, Inc.</w:t>
      </w:r>
    </w:p>
    <w:p>
      <w:pPr>
        <w:ind w:left="40"/>
        <w:spacing w:after="0" w:line="208" w:lineRule="auto"/>
        <w:rPr>
          <w:sz w:val="20"/>
          <w:szCs w:val="20"/>
          <w:color w:val="auto"/>
        </w:rPr>
      </w:pPr>
      <w:r>
        <w:rPr>
          <w:rFonts w:ascii="Arial" w:cs="Arial" w:eastAsia="Arial" w:hAnsi="Arial"/>
          <w:sz w:val="17"/>
          <w:szCs w:val="17"/>
          <w:color w:val="auto"/>
        </w:rPr>
        <w:t>44 West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Suite 1414</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New York, New York 10001</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Members of the Board</w:t>
      </w:r>
      <w:r>
        <w:rPr>
          <w:rFonts w:ascii="Arial" w:cs="Arial" w:eastAsia="Arial" w:hAnsi="Arial"/>
          <w:sz w:val="17"/>
          <w:szCs w:val="17"/>
          <w:color w:val="auto"/>
        </w:rPr>
        <w:t>:</w:t>
      </w:r>
    </w:p>
    <w:p>
      <w:pPr>
        <w:spacing w:after="0" w:line="105"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You have requested the Etico Capital Division of Olympus Securities LLC (“Etico”) to render a written opinion (“Opinion”) to the Board of Directors of Vringo, Inc (“Vringo”) as to the fairness, from a financial point of view, to the holders of common stock, par value $.01 per share, of Vringo (“Vringo Common Stock”) (other than any of those holders who own, or whose affiliates own, securities of Innovate/Protect, Inc. (“IPI”)) of the consideration to be issued to the stockholders and warrant holders of IPI provided for in the Agreement and Plan of Merger (the “Agreement”), dated as of March 12, 2012, proposed to be entered into among Vringo, VIP Merger Sub, Inc. (“VMS”) and IPI. The Agreement provides for, among other things, the combination of IPI with Vringo through the merger of IPI into VMS (the “Merger”) pursuant to which (a) each outstanding share of common stock, par value $.0001 per share, of IPI (“IPI Common Stock”), will be converted into 3.0176 shares of Vringo Common Stock, (b) each outstanding share of Series A Convertible Preferred Stock, par value $.0001 per share, of IPI will be converted into one share of a newly created Series A Convertible Preferred Stock, par value $.01 per share, convertible into an aggregate of 21,026,637 shares of Vringo Common Stock and (c) Vringo will issue to the IPI stockholders and warrant holder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In addition, the existing IPI warrant shall be exchanged for an aggregate of 250,000 shares of Vringo Common Stock and an aggregate of 850,000 warrants to acquire an aggregate of 850,000 shares of Vringo Common Stock at an exercise price of $1.76. As a result of the Merger, (i) IPI will merge into VMS and the surviving company will be a wholly-owned subsidiary of Vringo and (ii) the former stockholders, warrant holders and option holders of IPI will, in the aggregate, own approximately 68% Vringo Common Stock on a fully diluted basis. Immediately following the merger, the combined entity will have outstanding common stock, on a fully-diluted basis, as listed in the ‘Total Post-Merger’ column in the attachment annexed hereto (Exhibit A), as provided by management.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arriving at our Opinion, we have among other things:</w:t>
      </w:r>
    </w:p>
    <w:p>
      <w:pPr>
        <w:spacing w:after="0" w:line="105" w:lineRule="exact"/>
        <w:rPr>
          <w:sz w:val="20"/>
          <w:szCs w:val="20"/>
          <w:color w:val="auto"/>
        </w:rPr>
      </w:pPr>
    </w:p>
    <w:p>
      <w:pPr>
        <w:ind w:left="520" w:hanging="260"/>
        <w:spacing w:after="0"/>
        <w:tabs>
          <w:tab w:leader="none" w:pos="52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reviewed a draft, dated March 10, 2012, of the Agreement and the exhibits thereto;</w:t>
      </w:r>
    </w:p>
    <w:p>
      <w:pPr>
        <w:spacing w:after="0" w:line="105"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reviewed the audited financial statements of Vringo as at and for the year ended December 31, 2010 and unaudited financial statements of Vringo as at and for the nine months ended September 30, 2011;</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reviewed the audited financial statements of IPI for period from June 8, 2011 (inception) to and as at December 31, 2011 (the “IPI Financial Statements”);</w:t>
      </w:r>
    </w:p>
    <w:p>
      <w:pPr>
        <w:spacing w:after="0" w:line="66" w:lineRule="exact"/>
        <w:rPr>
          <w:rFonts w:ascii="Arial" w:cs="Arial" w:eastAsia="Arial" w:hAnsi="Arial"/>
          <w:sz w:val="17"/>
          <w:szCs w:val="17"/>
          <w:color w:val="auto"/>
        </w:rPr>
      </w:pPr>
    </w:p>
    <w:p>
      <w:pPr>
        <w:ind w:left="520" w:hanging="260"/>
        <w:spacing w:after="0"/>
        <w:tabs>
          <w:tab w:leader="none" w:pos="52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reviewed the historical market prices and trading volumes of Vringo Common Stock;</w:t>
      </w:r>
    </w:p>
    <w:p>
      <w:pPr>
        <w:spacing w:after="0" w:line="105"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held discussions with the senior management of Vringo with respect to the business and prospects of Vringo and IPI and the reasons for the Merger;</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reviewed and analyzed certain publicly available financial data for companies that we deemed relevant in evaluating Vringo and IPI;</w:t>
      </w: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71" w:name="page472"/>
    <w:bookmarkEnd w:id="4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20" w:right="1239" w:hanging="260"/>
        <w:spacing w:after="0" w:line="299" w:lineRule="auto"/>
        <w:tabs>
          <w:tab w:leader="none" w:pos="52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reviewed and analyzed certain publicly available financial information for transactions that we deemed relevant in evaluating the Merger and the reported prices and historical trading activities of the securities of such companies; and</w:t>
      </w:r>
    </w:p>
    <w:p>
      <w:pPr>
        <w:spacing w:after="0" w:line="42" w:lineRule="exact"/>
        <w:rPr>
          <w:rFonts w:ascii="Arial" w:cs="Arial" w:eastAsia="Arial" w:hAnsi="Arial"/>
          <w:sz w:val="16"/>
          <w:szCs w:val="16"/>
          <w:color w:val="auto"/>
        </w:rPr>
      </w:pPr>
    </w:p>
    <w:p>
      <w:pPr>
        <w:ind w:left="520" w:right="1239" w:hanging="260"/>
        <w:spacing w:after="0" w:line="267" w:lineRule="auto"/>
        <w:tabs>
          <w:tab w:leader="none" w:pos="52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performed such other analyses, reviewed such other information and considered such other factors as we deemed appropriate.</w:t>
      </w:r>
    </w:p>
    <w:p>
      <w:pPr>
        <w:spacing w:after="0" w:line="6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In rendering our Opinion, we relied upon and assumed, without independent verification or investigation, the accuracy and completeness of all of the financial and other information provided to or discussed with us by Vringo, IPI and their respective employees, legal counsel, representatives and affiliates or otherwise reviewed by us. No forecast or projections of financial performance or results of operations or of the financial condition of Vringo, IPI or of the combined entities were supplied and we understand that none exist. We have neither made nor obtained any independent evaluations or appraisals of the assets or liabilities, contingent or otherwise, of Vringo or IPI. We also, at the direction and consent of Vringo, did not, and have not sought to (a) independently value US Patent numbers 6,314,420 and 6,775,664 (collectively, the “Patent”) acquired by IPI in June 2011 or (b) determine the likelihood of success, the amount of damages, if any, that may be recovered, nor the timing and cost (and whether the combined company has or will have adequate resources, financial or otherwise, to prosecute) the lawsuit initiated by IPI in September 15, 2011 in the US District Court for the Eastern District of Virginia, Norfolk Division (Civil Action No: 2:11cv512), in which IPI alleges </w:t>
      </w:r>
      <w:r>
        <w:rPr>
          <w:rFonts w:ascii="Arial" w:cs="Arial" w:eastAsia="Arial" w:hAnsi="Arial"/>
          <w:sz w:val="15"/>
          <w:szCs w:val="15"/>
          <w:i w:val="1"/>
          <w:iCs w:val="1"/>
          <w:color w:val="auto"/>
        </w:rPr>
        <w:t>inter alia</w:t>
      </w:r>
      <w:r>
        <w:rPr>
          <w:rFonts w:ascii="Arial" w:cs="Arial" w:eastAsia="Arial" w:hAnsi="Arial"/>
          <w:sz w:val="15"/>
          <w:szCs w:val="15"/>
          <w:color w:val="auto"/>
        </w:rPr>
        <w:t xml:space="preserve"> infringement of the Patent by the defendants named therein. At the direction and with the consent of Vringo, we also have assumed that (a) the final terms of the Agreement will not vary materially from those set forth in the draft reviewed by us, (b) that the Merger will qualify for federal income tax purposes as reorganization under Section 368(a) of the Internal Revenue Code of 1986, as amended. We also have assumed, with the consent of Vringo, that (a) all representations and warranties of each party contained in the Agreement are true and correct, (b) each party will perform all of the covenants and agreements to be performed by it pursuant to the Agreement and (c) the Merger will be consummated in accordance with its terms without waiver, modification or amendment of any material term, condition or agreement and in compliance with all applicable laws and other requirements and that, in the course of obtaining any necessary regulatory or third party approvals, consents and releases with respect to the Merger, no delay, limitation, restriction or condition will be imposed that would have an adverse effect on Vringo, or IPI.</w:t>
      </w:r>
    </w:p>
    <w:p>
      <w:pPr>
        <w:spacing w:after="0" w:line="25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Our Opinion, as set forth herein, relates to the relative values of Vringo and IPI. We have not served as financial advisor to Vringo in connection with the Merger. We are not expressing any opinion as to the underlying valuation, future performance or long term viability of Vringo, the actual value of Vringo Common Stock when issued in the Merger or the price at which Vringo Common Stock will trade at any time. We express no view as to, and our Opinion does not address, any terms or other aspects or implications of the Merger (other than the consideration to be paid by Vringo in the Merger to the extent expressly specified herein) or any aspect or implication of any other agreement, arrangement or understanding entered into in connection with the Merger or otherwise, including, without limitation, the fairness of the amount or nature of the compensation resulting from the Merger to any individual officers, directors or employees of Vringo or IPI, the existence or lack or conflicts of interest between officers, directors, employees and stockholders of Vringo and IPI or the class of such persons, whether relative to the consideration to be paid by Vringo in the Merger or otherwise. In addition, we express no view as to, and our Opinion does not address, the underlying business decision of Vringo to proceed with or effect the Merger nor does our Opinion address the relative merits of the Merger as compared to any alternative business strategies that might exist for Vringo or the effect of any other transaction in which Vringo might engage. We have relied, without independent verification, upon the views of management of Vringo concerning the business, operational and strategic benefits and implications of the Merger. In connection with our engagement, we were not requested to, and we did not, solicit third party indications of interest in possible alternative transactions for Vringo. Our Opinion is necessarily based on the information available to us and general economic, financial and stock market conditions and circumstances as they exist and can be evaluated by us on the date hereof. It should be understood that, although subsequent developments may affect this Opinion, we do not have any obligation to update, revise or reaffirm the Opinion.</w:t>
      </w:r>
    </w:p>
    <w:p>
      <w:pPr>
        <w:spacing w:after="0" w:line="200" w:lineRule="exact"/>
        <w:rPr>
          <w:sz w:val="20"/>
          <w:szCs w:val="20"/>
          <w:color w:val="auto"/>
        </w:rPr>
      </w:pPr>
    </w:p>
    <w:p>
      <w:pPr>
        <w:spacing w:after="0" w:line="274"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72" w:name="page473"/>
    <w:bookmarkEnd w:id="4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We have only been retained by Vringo to render this Opinion and will (a) receive the fee for our services only upon delivery of an opinion, (b) be reimbursed for certain costs and expenses (including certain of our legal fees) and (c) be indemnified by Vringo against certain liabilities that may arise out of our engagement. As previously discussed and disclosed to Vringo, a principal of Etico is related by marriage to a general partner of a holder of Vringo Common Stock and of warrants to purchase Vringo Common Stock, which holder is also a holder of IPI Common Stock and Series A Convertible Preferred Stock of IPI. In the ordinary course of business, we and our affiliates may actively trade securities of Vringo for our and our affiliates’ own accounts and for the accounts of customers and, accordingly, may at any time hold a long or short position in such securities. The issuance of this Opinion was approved by an authorized committee of Etico.</w:t>
      </w:r>
    </w:p>
    <w:p>
      <w:pPr>
        <w:spacing w:after="0" w:line="7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This Opinion does not constitute a recommendation to any stockholder as to how such stockholder should vote or act with respect to any matters relating to the Merger. Neither this Opinion nor the services provided by Etico in connection herewith may be publicly disclosed or referred to in any manner without the prior written consent of Etico.</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Based upon and subject to the foregoing, and such other factors as we deemed relevant, it is our opinion that, as of the date hereof, the consideration to be paid by Vringo in the Merger is fair, from a financial point of view, to the holders of Vringo Common Stock (other than those who own, or whose affiliates own, securities of IPI).</w:t>
      </w:r>
    </w:p>
    <w:p>
      <w:pPr>
        <w:spacing w:after="0" w:line="76"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Very truly yours,</w:t>
      </w:r>
    </w:p>
    <w:p>
      <w:pPr>
        <w:spacing w:after="0" w:line="105" w:lineRule="exact"/>
        <w:rPr>
          <w:sz w:val="20"/>
          <w:szCs w:val="20"/>
          <w:color w:val="auto"/>
        </w:rPr>
      </w:pPr>
    </w:p>
    <w:p>
      <w:pPr>
        <w:ind w:left="3060"/>
        <w:spacing w:after="0"/>
        <w:rPr>
          <w:sz w:val="20"/>
          <w:szCs w:val="20"/>
          <w:color w:val="auto"/>
        </w:rPr>
      </w:pPr>
      <w:r>
        <w:rPr>
          <w:rFonts w:ascii="Arial" w:cs="Arial" w:eastAsia="Arial" w:hAnsi="Arial"/>
          <w:sz w:val="17"/>
          <w:szCs w:val="17"/>
          <w:b w:val="1"/>
          <w:bCs w:val="1"/>
          <w:i w:val="1"/>
          <w:iCs w:val="1"/>
          <w:color w:val="auto"/>
        </w:rPr>
        <w:t>The Etico Capital Division of Olympus</w:t>
      </w:r>
    </w:p>
    <w:p>
      <w:pPr>
        <w:spacing w:after="0" w:line="17" w:lineRule="exact"/>
        <w:rPr>
          <w:sz w:val="20"/>
          <w:szCs w:val="20"/>
          <w:color w:val="auto"/>
        </w:rPr>
      </w:pPr>
    </w:p>
    <w:p>
      <w:pPr>
        <w:ind w:left="3300"/>
        <w:spacing w:after="0"/>
        <w:rPr>
          <w:sz w:val="20"/>
          <w:szCs w:val="20"/>
          <w:color w:val="auto"/>
        </w:rPr>
      </w:pPr>
      <w:r>
        <w:rPr>
          <w:rFonts w:ascii="Arial" w:cs="Arial" w:eastAsia="Arial" w:hAnsi="Arial"/>
          <w:sz w:val="17"/>
          <w:szCs w:val="17"/>
          <w:b w:val="1"/>
          <w:bCs w:val="1"/>
          <w:i w:val="1"/>
          <w:iCs w:val="1"/>
          <w:color w:val="auto"/>
        </w:rPr>
        <w:t>Securities LLC</w:t>
      </w:r>
    </w:p>
    <w:p>
      <w:pPr>
        <w:spacing w:after="0" w:line="200" w:lineRule="exact"/>
        <w:rPr>
          <w:sz w:val="20"/>
          <w:szCs w:val="20"/>
          <w:color w:val="auto"/>
        </w:rPr>
      </w:pPr>
    </w:p>
    <w:p>
      <w:pPr>
        <w:spacing w:after="0" w:line="306"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73" w:name="page474"/>
    <w:bookmarkEnd w:id="4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PART II</w:t>
      </w:r>
    </w:p>
    <w:p>
      <w:pPr>
        <w:spacing w:after="0" w:line="205" w:lineRule="exact"/>
        <w:rPr>
          <w:sz w:val="20"/>
          <w:szCs w:val="20"/>
          <w:color w:val="auto"/>
        </w:rPr>
      </w:pPr>
    </w:p>
    <w:p>
      <w:pPr>
        <w:ind w:left="40" w:right="3499" w:firstLine="2214"/>
        <w:spacing w:after="0" w:line="384" w:lineRule="auto"/>
        <w:rPr>
          <w:sz w:val="20"/>
          <w:szCs w:val="20"/>
          <w:color w:val="auto"/>
        </w:rPr>
      </w:pPr>
      <w:r>
        <w:rPr>
          <w:rFonts w:ascii="Arial" w:cs="Arial" w:eastAsia="Arial" w:hAnsi="Arial"/>
          <w:sz w:val="17"/>
          <w:szCs w:val="17"/>
          <w:b w:val="1"/>
          <w:bCs w:val="1"/>
          <w:color w:val="auto"/>
        </w:rPr>
        <w:t>INFORMATION NOT REQUIRED IN THE PROSPECTUS Item 20. Indemnification of Directors and Officers.</w:t>
      </w:r>
    </w:p>
    <w:p>
      <w:pPr>
        <w:spacing w:after="0" w:line="1"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color w:val="auto"/>
        </w:rPr>
        <w:t>Vringo, Inc.’s (“</w:t>
      </w:r>
      <w:r>
        <w:rPr>
          <w:rFonts w:ascii="Arial" w:cs="Arial" w:eastAsia="Arial" w:hAnsi="Arial"/>
          <w:sz w:val="17"/>
          <w:szCs w:val="17"/>
          <w:b w:val="1"/>
          <w:bCs w:val="1"/>
          <w:color w:val="auto"/>
        </w:rPr>
        <w:t>Vringo</w:t>
      </w:r>
      <w:r>
        <w:rPr>
          <w:rFonts w:ascii="Arial" w:cs="Arial" w:eastAsia="Arial" w:hAnsi="Arial"/>
          <w:sz w:val="17"/>
          <w:szCs w:val="17"/>
          <w:color w:val="auto"/>
        </w:rPr>
        <w:t>”) amended and restated certificate of incorporation (the “</w:t>
      </w:r>
      <w:r>
        <w:rPr>
          <w:rFonts w:ascii="Arial" w:cs="Arial" w:eastAsia="Arial" w:hAnsi="Arial"/>
          <w:sz w:val="17"/>
          <w:szCs w:val="17"/>
          <w:b w:val="1"/>
          <w:bCs w:val="1"/>
          <w:color w:val="auto"/>
        </w:rPr>
        <w:t>Vringo’s Certificate</w:t>
      </w:r>
      <w:r>
        <w:rPr>
          <w:rFonts w:ascii="Arial" w:cs="Arial" w:eastAsia="Arial" w:hAnsi="Arial"/>
          <w:sz w:val="17"/>
          <w:szCs w:val="17"/>
          <w:color w:val="auto"/>
        </w:rPr>
        <w:t>”) provides that all directors, officers, employees and agents of Vringo shall be entitled to be indemnified by Vringo to the fullest extent permitted by Section 145 of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Article EIGHTH of Vringo’s amended and restated certificate of incorporation provides:</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7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Pursuant to Vringo’s Bylaws, the directors and officers of Vringo shall, to the fullest extent permitted by the DGCL, also have the right to receive from Vringo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Vringo of an undertaking, by or on behalf of such director or officer, to repay all amounts so advanced if it shall ultimately be determined that such director or officer is not entitled to be indemnified for such expenses. Vringo is not required to provide indemnification or advance expenses in connection with (i) any proceeding initiated by a director or officer of Vringo unless such proceeding was authorized by the Vringo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60"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Pursuant to Vringo’s certificate of incorporation Vringo may also maintain a directors’ and officers’ insurance policy which insures Vringo and any of its directors, officers, employees, agents or other entities, against expense, liability or loss asserted against such persons in such capacity whether or Vringo would have the power to indemnify such person under the DGCL.</w:t>
      </w:r>
    </w:p>
    <w:p>
      <w:pPr>
        <w:spacing w:after="0" w:line="40"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Insofar as indemnification for liabilities arising under the Securities Act may be permitted to Vringo’s directors, officers, and controlling persons pursuant to the foregoing provisions, or otherwise, Vringo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Vringo will, unless in the opinion of its counsel the matter has been settled by controlling precedent, submit to the court of appropriate jurisdiction the question whether such indemnification by Vringo is against public policy as expressed in the Securities Act and will be governed by the final adjudication of such issue.</w:t>
      </w:r>
    </w:p>
    <w:p>
      <w:pPr>
        <w:spacing w:after="0" w:line="6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At present, there is no pending litigation or proceeding involving any of Vringo’s directors or executive officers as to which indemnification is required or permitted, and Vringo is not aware of any threatened litigation or proceeding that may result in a claim for indemnification.</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74" w:name="page475"/>
    <w:bookmarkEnd w:id="4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has an insurance policy covering its officers and directors with respect to certain liabilities, including liabilities arising under the Securities Act, or otherwise.</w:t>
      </w:r>
    </w:p>
    <w:p>
      <w:pPr>
        <w:spacing w:after="0" w:line="6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Merger Agreement provides that the combined company following the Merger will continue to indemnify and hold harmless each present and former director or officer of Vringo, with respect to acts or omissions occurring or alleged to have occurred before or at the completion of the Merger to the fullest extent permitted under applicable law and in Vringo Certificate or Bylaws. The Merger Agreement also provides that the combined company will honor all indemnification agreements in place with each present and former director or officer of Vringo.</w:t>
      </w:r>
    </w:p>
    <w:p>
      <w:pPr>
        <w:spacing w:after="0" w:line="200" w:lineRule="exact"/>
        <w:rPr>
          <w:sz w:val="20"/>
          <w:szCs w:val="20"/>
          <w:color w:val="auto"/>
        </w:rPr>
      </w:pPr>
    </w:p>
    <w:p>
      <w:pPr>
        <w:spacing w:after="0" w:line="29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75" w:name="page476"/>
    <w:bookmarkEnd w:id="4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21. Exhibits and Financial Statement Schedules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0568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Exhibit No.</w:t>
            </w:r>
          </w:p>
        </w:tc>
        <w:tc>
          <w:tcPr>
            <w:tcW w:w="140" w:type="dxa"/>
            <w:vAlign w:val="bottom"/>
          </w:tcPr>
          <w:p>
            <w:pPr>
              <w:spacing w:after="0"/>
              <w:rPr>
                <w:sz w:val="14"/>
                <w:szCs w:val="14"/>
                <w:color w:val="auto"/>
              </w:rPr>
            </w:pPr>
          </w:p>
        </w:tc>
        <w:tc>
          <w:tcPr>
            <w:tcW w:w="6580" w:type="dxa"/>
            <w:vAlign w:val="bottom"/>
            <w:tcBorders>
              <w:bottom w:val="single" w:sz="8" w:color="auto"/>
            </w:tcBorders>
          </w:tcPr>
          <w:p>
            <w:pPr>
              <w:ind w:left="2960"/>
              <w:spacing w:after="0"/>
              <w:rPr>
                <w:sz w:val="20"/>
                <w:szCs w:val="20"/>
                <w:color w:val="auto"/>
              </w:rPr>
            </w:pPr>
            <w:r>
              <w:rPr>
                <w:rFonts w:ascii="Arial" w:cs="Arial" w:eastAsia="Arial" w:hAnsi="Arial"/>
                <w:sz w:val="13"/>
                <w:szCs w:val="13"/>
                <w:b w:val="1"/>
                <w:bCs w:val="1"/>
                <w:color w:val="auto"/>
              </w:rPr>
              <w:t>Description</w:t>
            </w:r>
          </w:p>
        </w:tc>
      </w:tr>
      <w:tr>
        <w:trPr>
          <w:trHeight w:val="181"/>
        </w:trPr>
        <w:tc>
          <w:tcPr>
            <w:tcW w:w="900" w:type="dxa"/>
            <w:vAlign w:val="bottom"/>
          </w:tcPr>
          <w:p>
            <w:pPr>
              <w:ind w:left="200"/>
              <w:spacing w:after="0" w:line="180" w:lineRule="exact"/>
              <w:rPr>
                <w:sz w:val="20"/>
                <w:szCs w:val="20"/>
                <w:color w:val="auto"/>
              </w:rPr>
            </w:pPr>
            <w:r>
              <w:rPr>
                <w:rFonts w:ascii="Arial" w:cs="Arial" w:eastAsia="Arial" w:hAnsi="Arial"/>
                <w:sz w:val="17"/>
                <w:szCs w:val="17"/>
                <w:color w:val="auto"/>
              </w:rPr>
              <w:t>2.1*</w:t>
            </w:r>
          </w:p>
        </w:tc>
        <w:tc>
          <w:tcPr>
            <w:tcW w:w="140" w:type="dxa"/>
            <w:vAlign w:val="bottom"/>
          </w:tcPr>
          <w:p>
            <w:pPr>
              <w:spacing w:after="0"/>
              <w:rPr>
                <w:sz w:val="15"/>
                <w:szCs w:val="15"/>
                <w:color w:val="auto"/>
              </w:rPr>
            </w:pPr>
          </w:p>
        </w:tc>
        <w:tc>
          <w:tcPr>
            <w:tcW w:w="6580" w:type="dxa"/>
            <w:vAlign w:val="bottom"/>
          </w:tcPr>
          <w:p>
            <w:pPr>
              <w:spacing w:after="0" w:line="180" w:lineRule="exact"/>
              <w:rPr>
                <w:sz w:val="20"/>
                <w:szCs w:val="20"/>
                <w:color w:val="auto"/>
              </w:rPr>
            </w:pPr>
            <w:r>
              <w:rPr>
                <w:rFonts w:ascii="Arial" w:cs="Arial" w:eastAsia="Arial" w:hAnsi="Arial"/>
                <w:sz w:val="17"/>
                <w:szCs w:val="17"/>
                <w:color w:val="auto"/>
              </w:rPr>
              <w:t>Agreement and Plan of Merger by and among Vringo, Inc., VIP Merger Sub, Inc. and</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Innovate/Protect, Inc., dated as of March 12, 2012 (attached as Annex A)</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4"/>
              </w:rPr>
              <w:t>Amended and Restated Certificate of Incorporation (incorporated by reference from Vringo’s</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Registration Statement on Form S-1 filed on May 18, 2010)</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0"/>
              </w:rPr>
              <w:t>Amended and Restated Bylaws (incorporated by reference from Vringo’s Registration Statement</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on Form S-1 filed on January 29, 2010)</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6"/>
              </w:rPr>
              <w:t>Form of Certificate of Amendment to Amended and Restated Certificate of Incorporation to</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Effect a Reverse Stock Split (attached as Annex B)</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6"/>
              </w:rPr>
              <w:t>Form of Certificate of Amendment to Amended and Restated Certificate of Incorporation to</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Effect an Increase in Authorized Shares (attached as Annex C)</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3"/>
              </w:rPr>
              <w:t>Form of Certificate of Designations, Preferences and Rights of Series A Convertible Preferred</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Stock (attached as Annex E)</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4"/>
              </w:rPr>
              <w:t>Specimen unit certificate (incorporated by reference from Vringo’s Registration Statement on</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Form S-1 filed on May 18, 2010)</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7"/>
              </w:rPr>
              <w:t>Specimen common stock certificate (incorporated by reference from Vringo’s Registration</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Statement on Form S-1 filed on May 18, 2010)</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0"/>
              </w:rPr>
              <w:t>Specimen warrant certificate (incorporated by reference from Vringo’s Registration Statement on</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Form S-1 filed on May 18, 2010)</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0"/>
              </w:rPr>
              <w:t>Form of Warrant Agreement (incorporated by reference from Vringo’s Registration Statement on</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Form S-1 filed on March 29, 2010)</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Form of Special Bridge Warrants (incorporated by reference from Vringo’s Registration</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Statement on Form S-1 filed on January 29, 2010)</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2"/>
              </w:rPr>
              <w:t>Form of Management Option Agreement (incorporated by reference from Vringo’s Registration</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Statement on Form S-1 filed on March 29, 2010)</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1"/>
              </w:rPr>
              <w:t>Form of Preferential Reload Warrant (incorporated by reference from Vringo’s Quarterly Report</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on Form 10-Q for the period ended March 31, 2012 filed on May 15, 2012)</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0"/>
              </w:rPr>
              <w:t>Form of Reload Warrants (incorporated by reference from Vringo’s Quarterly Report on Form 10-</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Q for the period ended March 31, 2012 filed on May 15, 2012)</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Form of Series 1 Warrant (attached as Annex F)</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4.10*</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Form of Series 2 Warrant (attached as Annex G)</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5.1*</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0"/>
              </w:rPr>
              <w:t>Opinion of Mintz, Levin, Cohn, Ferris, Glovsky and Popeo, P.C. as to the validity of the securities</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being registered</w:t>
            </w:r>
          </w:p>
        </w:tc>
      </w:tr>
      <w:tr>
        <w:trPr>
          <w:trHeight w:val="200"/>
        </w:trPr>
        <w:tc>
          <w:tcPr>
            <w:tcW w:w="900" w:type="dxa"/>
            <w:vAlign w:val="bottom"/>
          </w:tcPr>
          <w:p>
            <w:pPr>
              <w:ind w:left="200"/>
              <w:spacing w:after="0"/>
              <w:rPr>
                <w:sz w:val="20"/>
                <w:szCs w:val="20"/>
                <w:color w:val="auto"/>
              </w:rPr>
            </w:pPr>
            <w:r>
              <w:rPr>
                <w:rFonts w:ascii="Arial" w:cs="Arial" w:eastAsia="Arial" w:hAnsi="Arial"/>
                <w:sz w:val="17"/>
                <w:szCs w:val="17"/>
                <w:color w:val="auto"/>
              </w:rPr>
              <w:t>8.1</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1"/>
              </w:rPr>
              <w:t>Opinion of Mintz, Levin, Cohn, Ferris, Glovsky and Popeo, P.C. as to certain federal income tax</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8"/>
              </w:rPr>
              <w:t>matters (previously filed with Vringo’s Registration Statement on Form S-4 (File No. 333-</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180609) filed on June 1, 2012)</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2"/>
              </w:rPr>
              <w:t>Vringo, Inc. 2012 Employee, Director and Consultant Equity Incentive Plan (attached as Annex</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D)</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4"/>
              </w:rPr>
              <w:t>Master Content Provider Agreement, dated June 3, 2009, by and between Vringo and Maxis</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w w:val="92"/>
              </w:rPr>
              <w:t>Mobile Services SDN BHD (incorporated by reference from Vringo’s Registration Statement on</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Form S-1 filing on January 29, 2010)</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10.3</w:t>
            </w: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Marketing Agreement, dated June 30, 2009, by and between Vringo and Emirates</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Telecommunications Corporation (incorporated by reference from Vringo’s Registration</w:t>
            </w:r>
          </w:p>
        </w:tc>
      </w:tr>
      <w:tr>
        <w:trPr>
          <w:trHeight w:val="213"/>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7"/>
                <w:szCs w:val="17"/>
                <w:color w:val="auto"/>
              </w:rPr>
              <w:t>Statement on Form S-1 filing on January 29, 2010)</w:t>
            </w:r>
          </w:p>
        </w:tc>
      </w:tr>
    </w:tbl>
    <w:p>
      <w:pPr>
        <w:spacing w:after="0" w:line="200" w:lineRule="exact"/>
        <w:rPr>
          <w:sz w:val="20"/>
          <w:szCs w:val="20"/>
          <w:color w:val="auto"/>
        </w:rPr>
      </w:pPr>
    </w:p>
    <w:p>
      <w:pPr>
        <w:spacing w:after="0" w:line="30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76" w:name="page477"/>
    <w:bookmarkEnd w:id="476"/>
    <w:p>
      <w:pPr>
        <w:spacing w:after="0"/>
        <w:rPr>
          <w:sz w:val="20"/>
          <w:szCs w:val="20"/>
          <w:color w:val="auto"/>
        </w:rPr>
      </w:pPr>
      <w:r>
        <w:rPr>
          <w:rFonts w:ascii="Arial" w:cs="Arial" w:eastAsia="Arial" w:hAnsi="Arial"/>
          <w:sz w:val="13"/>
          <w:szCs w:val="13"/>
          <w:b w:val="1"/>
          <w:bCs w:val="1"/>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480568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900" w:type="dxa"/>
            <w:vAlign w:val="bottom"/>
            <w:tcBorders>
              <w:top w:val="single" w:sz="8" w:color="0000EE"/>
              <w:bottom w:val="single" w:sz="8" w:color="auto"/>
            </w:tcBorders>
          </w:tcPr>
          <w:p>
            <w:pPr>
              <w:ind w:left="120"/>
              <w:spacing w:after="0"/>
              <w:rPr>
                <w:sz w:val="20"/>
                <w:szCs w:val="20"/>
                <w:color w:val="auto"/>
              </w:rPr>
            </w:pPr>
            <w:r>
              <w:rPr>
                <w:rFonts w:ascii="Arial" w:cs="Arial" w:eastAsia="Arial" w:hAnsi="Arial"/>
                <w:sz w:val="13"/>
                <w:szCs w:val="13"/>
                <w:b w:val="1"/>
                <w:bCs w:val="1"/>
                <w:color w:val="auto"/>
              </w:rPr>
              <w:t>Exhibit No.</w:t>
            </w:r>
          </w:p>
        </w:tc>
        <w:tc>
          <w:tcPr>
            <w:tcW w:w="140" w:type="dxa"/>
            <w:vAlign w:val="bottom"/>
            <w:tcBorders>
              <w:top w:val="single" w:sz="8" w:color="0000EE"/>
            </w:tcBorders>
          </w:tcPr>
          <w:p>
            <w:pPr>
              <w:spacing w:after="0"/>
              <w:rPr>
                <w:sz w:val="14"/>
                <w:szCs w:val="14"/>
                <w:color w:val="auto"/>
              </w:rPr>
            </w:pPr>
          </w:p>
        </w:tc>
        <w:tc>
          <w:tcPr>
            <w:tcW w:w="380" w:type="dxa"/>
            <w:vAlign w:val="bottom"/>
            <w:tcBorders>
              <w:top w:val="single" w:sz="8" w:color="0000EE"/>
              <w:bottom w:val="single" w:sz="8" w:color="auto"/>
            </w:tcBorders>
          </w:tcPr>
          <w:p>
            <w:pPr>
              <w:spacing w:after="0"/>
              <w:rPr>
                <w:sz w:val="14"/>
                <w:szCs w:val="14"/>
                <w:color w:val="auto"/>
              </w:rPr>
            </w:pPr>
          </w:p>
        </w:tc>
        <w:tc>
          <w:tcPr>
            <w:tcW w:w="6200" w:type="dxa"/>
            <w:vAlign w:val="bottom"/>
            <w:tcBorders>
              <w:bottom w:val="single" w:sz="8" w:color="auto"/>
            </w:tcBorders>
          </w:tcPr>
          <w:p>
            <w:pPr>
              <w:ind w:left="2580"/>
              <w:spacing w:after="0"/>
              <w:rPr>
                <w:sz w:val="20"/>
                <w:szCs w:val="20"/>
                <w:color w:val="auto"/>
              </w:rPr>
            </w:pPr>
            <w:r>
              <w:rPr>
                <w:rFonts w:ascii="Arial" w:cs="Arial" w:eastAsia="Arial" w:hAnsi="Arial"/>
                <w:sz w:val="13"/>
                <w:szCs w:val="13"/>
                <w:b w:val="1"/>
                <w:bCs w:val="1"/>
                <w:color w:val="auto"/>
              </w:rPr>
              <w:t>Description</w:t>
            </w:r>
          </w:p>
        </w:tc>
      </w:tr>
      <w:tr>
        <w:trPr>
          <w:trHeight w:val="181"/>
        </w:trPr>
        <w:tc>
          <w:tcPr>
            <w:tcW w:w="900" w:type="dxa"/>
            <w:vAlign w:val="bottom"/>
          </w:tcPr>
          <w:p>
            <w:pPr>
              <w:ind w:left="160"/>
              <w:spacing w:after="0" w:line="180" w:lineRule="exact"/>
              <w:rPr>
                <w:sz w:val="20"/>
                <w:szCs w:val="20"/>
                <w:color w:val="auto"/>
              </w:rPr>
            </w:pPr>
            <w:r>
              <w:rPr>
                <w:rFonts w:ascii="Arial" w:cs="Arial" w:eastAsia="Arial" w:hAnsi="Arial"/>
                <w:sz w:val="17"/>
                <w:szCs w:val="17"/>
                <w:color w:val="auto"/>
              </w:rPr>
              <w:t>10.4</w:t>
            </w:r>
          </w:p>
        </w:tc>
        <w:tc>
          <w:tcPr>
            <w:tcW w:w="140" w:type="dxa"/>
            <w:vAlign w:val="bottom"/>
          </w:tcPr>
          <w:p>
            <w:pPr>
              <w:spacing w:after="0"/>
              <w:rPr>
                <w:sz w:val="15"/>
                <w:szCs w:val="15"/>
                <w:color w:val="auto"/>
              </w:rPr>
            </w:pPr>
          </w:p>
        </w:tc>
        <w:tc>
          <w:tcPr>
            <w:tcW w:w="6580" w:type="dxa"/>
            <w:vAlign w:val="bottom"/>
            <w:gridSpan w:val="2"/>
          </w:tcPr>
          <w:p>
            <w:pPr>
              <w:spacing w:after="0" w:line="180" w:lineRule="exact"/>
              <w:rPr>
                <w:sz w:val="20"/>
                <w:szCs w:val="20"/>
                <w:color w:val="auto"/>
              </w:rPr>
            </w:pPr>
            <w:r>
              <w:rPr>
                <w:rFonts w:ascii="Arial" w:cs="Arial" w:eastAsia="Arial" w:hAnsi="Arial"/>
                <w:sz w:val="17"/>
                <w:szCs w:val="17"/>
                <w:color w:val="auto"/>
                <w:w w:val="91"/>
              </w:rPr>
              <w:t>Marketing Agreement, dated December 29, 2009, by and between Vringo and Hungama Digital</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2"/>
              </w:rPr>
              <w:t>Media Entertainment Pvt. Ltd. (incorporated by reference from Vringo’s Registration Statement</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on Form S-1 filing on January 29, 2010)</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10.5</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2"/>
              </w:rPr>
              <w:t>Summary of Rental Agreement, dated March 27, 2006, by and between Vringo and BIG Power</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2"/>
              </w:rPr>
              <w:t>Centers (incorporated by reference from Vringo’s Registration Statement on Form S-1 filing on</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January 29, 2010)</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10.6†</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3"/>
              </w:rPr>
              <w:t>Employment Agreement, dated March 18, 2010, by and between Vringo and Andrew Perlman</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0"/>
              </w:rPr>
              <w:t>(incorporated by reference from Vringo’s Registration Statement on Form S-1 filing on March 29,</w:t>
            </w:r>
          </w:p>
        </w:tc>
      </w:tr>
      <w:tr>
        <w:trPr>
          <w:trHeight w:val="200"/>
        </w:trPr>
        <w:tc>
          <w:tcPr>
            <w:tcW w:w="900" w:type="dxa"/>
            <w:vAlign w:val="bottom"/>
          </w:tcPr>
          <w:p>
            <w:pPr>
              <w:spacing w:after="0"/>
              <w:rPr>
                <w:sz w:val="17"/>
                <w:szCs w:val="17"/>
                <w:color w:val="auto"/>
              </w:rPr>
            </w:pPr>
          </w:p>
        </w:tc>
        <w:tc>
          <w:tcPr>
            <w:tcW w:w="6720" w:type="dxa"/>
            <w:vAlign w:val="bottom"/>
            <w:gridSpan w:val="3"/>
          </w:tcPr>
          <w:p>
            <w:pPr>
              <w:ind w:left="140"/>
              <w:spacing w:after="0"/>
              <w:rPr>
                <w:sz w:val="20"/>
                <w:szCs w:val="20"/>
                <w:color w:val="auto"/>
              </w:rPr>
            </w:pPr>
            <w:r>
              <w:rPr>
                <w:rFonts w:ascii="Arial" w:cs="Arial" w:eastAsia="Arial" w:hAnsi="Arial"/>
                <w:sz w:val="17"/>
                <w:szCs w:val="17"/>
                <w:color w:val="auto"/>
              </w:rPr>
              <w:t>2010)</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3"/>
              </w:rPr>
              <w:t>Marketing Agreement, dated February 2, 2010, by and between Vringo and RTL Belgium S.A.</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0"/>
              </w:rPr>
              <w:t>(incorporated by reference from Vringo’s Registration Statement on Form S-1 filing on March 29,</w:t>
            </w:r>
          </w:p>
        </w:tc>
      </w:tr>
      <w:tr>
        <w:trPr>
          <w:trHeight w:val="200"/>
        </w:trPr>
        <w:tc>
          <w:tcPr>
            <w:tcW w:w="900" w:type="dxa"/>
            <w:vAlign w:val="bottom"/>
          </w:tcPr>
          <w:p>
            <w:pPr>
              <w:spacing w:after="0"/>
              <w:rPr>
                <w:sz w:val="17"/>
                <w:szCs w:val="17"/>
                <w:color w:val="auto"/>
              </w:rPr>
            </w:pPr>
          </w:p>
        </w:tc>
        <w:tc>
          <w:tcPr>
            <w:tcW w:w="6720" w:type="dxa"/>
            <w:vAlign w:val="bottom"/>
            <w:gridSpan w:val="3"/>
          </w:tcPr>
          <w:p>
            <w:pPr>
              <w:ind w:left="140"/>
              <w:spacing w:after="0"/>
              <w:rPr>
                <w:sz w:val="20"/>
                <w:szCs w:val="20"/>
                <w:color w:val="auto"/>
              </w:rPr>
            </w:pPr>
            <w:r>
              <w:rPr>
                <w:rFonts w:ascii="Arial" w:cs="Arial" w:eastAsia="Arial" w:hAnsi="Arial"/>
                <w:sz w:val="17"/>
                <w:szCs w:val="17"/>
                <w:color w:val="auto"/>
              </w:rPr>
              <w:t>2010)</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10.8</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0"/>
              </w:rPr>
              <w:t>Agreement on Cooperation, dated July 15, 2010, between Vringo and Retromedya (incorporated</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by reference from Vringo’s Current Report on Form 8-K filed on July 19, 2010)</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6"/>
              </w:rPr>
              <w:t>Marketing Agreement, dated August 19, 2010, between Vringo and Everything Everywhere</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6"/>
              </w:rPr>
              <w:t>Limited. (incorporated by reference from Vringo’s Form 10-Q filing on November 15, 2010)</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10.10</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1"/>
              </w:rPr>
              <w:t>Collaboration Agreement, dated September 15, 2010, between Vringo and Starhub Mobile PTE</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Ltd. (incorporated by reference from Vringo’s Form 10-Q filing on November 15, 2010)</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10.11†</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5"/>
              </w:rPr>
              <w:t>Employment Agreement, dated December 15, 2010, by and between Vringo and Ellen Cohl</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4"/>
              </w:rPr>
              <w:t>(incorporated by reference from Vringo’s Current Report on Form 8-K filed on December 20,</w:t>
            </w:r>
          </w:p>
        </w:tc>
      </w:tr>
      <w:tr>
        <w:trPr>
          <w:trHeight w:val="200"/>
        </w:trPr>
        <w:tc>
          <w:tcPr>
            <w:tcW w:w="900" w:type="dxa"/>
            <w:vAlign w:val="bottom"/>
          </w:tcPr>
          <w:p>
            <w:pPr>
              <w:spacing w:after="0"/>
              <w:rPr>
                <w:sz w:val="17"/>
                <w:szCs w:val="17"/>
                <w:color w:val="auto"/>
              </w:rPr>
            </w:pPr>
          </w:p>
        </w:tc>
        <w:tc>
          <w:tcPr>
            <w:tcW w:w="6720" w:type="dxa"/>
            <w:vAlign w:val="bottom"/>
            <w:gridSpan w:val="3"/>
          </w:tcPr>
          <w:p>
            <w:pPr>
              <w:ind w:left="140"/>
              <w:spacing w:after="0"/>
              <w:rPr>
                <w:sz w:val="20"/>
                <w:szCs w:val="20"/>
                <w:color w:val="auto"/>
              </w:rPr>
            </w:pPr>
            <w:r>
              <w:rPr>
                <w:rFonts w:ascii="Arial" w:cs="Arial" w:eastAsia="Arial" w:hAnsi="Arial"/>
                <w:sz w:val="17"/>
                <w:szCs w:val="17"/>
                <w:color w:val="auto"/>
              </w:rPr>
              <w:t>2010)</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10.12</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3"/>
              </w:rPr>
              <w:t>Intercompany Cost Plus Agreement (incorporated by reference from Vringo’s Form 10-K filing</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on March 31, 2011)</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10.13††</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2"/>
              </w:rPr>
              <w:t>License agreement with ZTE Corporation, dated November 2, 2011 (incorporated by reference</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from Vringo’s 10-K filed on March 30, 2012)</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10.14†</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0"/>
              </w:rPr>
              <w:t>Separation Agreement between Jonathan Medved and Vringo (Israel) Ltd., dated as of March 8,</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2012 (incorporated by reference from Vringo’s 8-K filed on March 14, 2012)</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10.15</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Agreement dated February 9, 2012, by and between the Company and Facebook, Inc.</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3"/>
              </w:rPr>
              <w:t>(incorporated by reference from Vringo’s Quarterly Report on Form 10-Q for the period ended</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March 31, 2012 filed on May 15, 2012)</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Subsidiaries of Vringo.</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23.1</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4"/>
              </w:rPr>
              <w:t>Consent of Somekh Chaikin, a member firm of KPMG International, Independent Registered</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Public Accounting Firm</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23.2</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Consent of Grant Thornton LLP</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23.3*</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9"/>
              </w:rPr>
              <w:t>Consent of Mintz, Levin, Cohn, Ferris, Glovsky and Popeo, P.C. (included in Exhibit 5.1)</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24.1</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Power of Attorney (Previously filed)</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99.1</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Form of Proxy Card for Vringo Annual Meeting</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99.2</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Consent of Etico Capital, a division of Olympus Securities LLC</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99.3</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5"/>
              </w:rPr>
              <w:t>Consent of Andrew Kennedy Lang (Previously filed with Vringo’s Registration Statement on</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Form S-4 (File No. 333-180609) filed on April 6, 2012)</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99.4</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2"/>
              </w:rPr>
              <w:t>Consent of Alexander R. Berger (Previously filed with Vringo’s Registration Statement on Form</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S-4 (File No. 333-180609) filed on April 6, 2012)</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99.5</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2"/>
              </w:rPr>
              <w:t>Consent of Donald E. Stout (Previously filed with Vringo’s Registration Statement on Form S-4</w:t>
            </w:r>
          </w:p>
        </w:tc>
      </w:tr>
      <w:tr>
        <w:trPr>
          <w:trHeight w:val="200"/>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(File No. 333-180609) filed on April 6, 2012)</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99.6</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w w:val="93"/>
              </w:rPr>
              <w:t>Consent of H. Van Sinclair (Previously filed with Vringo’s Registration Statement on Form S-4</w:t>
            </w:r>
          </w:p>
        </w:tc>
      </w:tr>
      <w:tr>
        <w:trPr>
          <w:trHeight w:val="213"/>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(File No. 333-180609) filed on April 6, 2012)</w:t>
            </w:r>
          </w:p>
        </w:tc>
      </w:tr>
    </w:tbl>
    <w:p>
      <w:pPr>
        <w:spacing w:after="0" w:line="200" w:lineRule="exact"/>
        <w:rPr>
          <w:sz w:val="20"/>
          <w:szCs w:val="20"/>
          <w:color w:val="auto"/>
        </w:rPr>
      </w:pPr>
    </w:p>
    <w:p>
      <w:pPr>
        <w:spacing w:after="0" w:line="30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477" w:name="page478"/>
    <w:bookmarkEnd w:id="477"/>
    <w:p>
      <w:pPr>
        <w:spacing w:after="0"/>
        <w:rPr>
          <w:sz w:val="20"/>
          <w:szCs w:val="20"/>
          <w:color w:val="auto"/>
        </w:rPr>
      </w:pPr>
      <w:r>
        <w:rPr>
          <w:rFonts w:ascii="Arial" w:cs="Arial" w:eastAsia="Arial" w:hAnsi="Arial"/>
          <w:sz w:val="13"/>
          <w:szCs w:val="13"/>
          <w:b w:val="1"/>
          <w:bCs w:val="1"/>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480568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900" w:type="dxa"/>
            <w:vAlign w:val="bottom"/>
            <w:tcBorders>
              <w:top w:val="single" w:sz="8" w:color="0000EE"/>
              <w:bottom w:val="single" w:sz="8" w:color="auto"/>
            </w:tcBorders>
          </w:tcPr>
          <w:p>
            <w:pPr>
              <w:ind w:left="120"/>
              <w:spacing w:after="0"/>
              <w:rPr>
                <w:sz w:val="20"/>
                <w:szCs w:val="20"/>
                <w:color w:val="auto"/>
              </w:rPr>
            </w:pPr>
            <w:r>
              <w:rPr>
                <w:rFonts w:ascii="Arial" w:cs="Arial" w:eastAsia="Arial" w:hAnsi="Arial"/>
                <w:sz w:val="13"/>
                <w:szCs w:val="13"/>
                <w:b w:val="1"/>
                <w:bCs w:val="1"/>
                <w:color w:val="auto"/>
              </w:rPr>
              <w:t>Exhibit No.</w:t>
            </w:r>
          </w:p>
        </w:tc>
        <w:tc>
          <w:tcPr>
            <w:tcW w:w="140" w:type="dxa"/>
            <w:vAlign w:val="bottom"/>
            <w:tcBorders>
              <w:top w:val="single" w:sz="8" w:color="0000EE"/>
            </w:tcBorders>
          </w:tcPr>
          <w:p>
            <w:pPr>
              <w:spacing w:after="0"/>
              <w:rPr>
                <w:sz w:val="14"/>
                <w:szCs w:val="14"/>
                <w:color w:val="auto"/>
              </w:rPr>
            </w:pPr>
          </w:p>
        </w:tc>
        <w:tc>
          <w:tcPr>
            <w:tcW w:w="380" w:type="dxa"/>
            <w:vAlign w:val="bottom"/>
            <w:tcBorders>
              <w:top w:val="single" w:sz="8" w:color="0000EE"/>
              <w:bottom w:val="single" w:sz="8" w:color="auto"/>
            </w:tcBorders>
          </w:tcPr>
          <w:p>
            <w:pPr>
              <w:spacing w:after="0"/>
              <w:rPr>
                <w:sz w:val="14"/>
                <w:szCs w:val="14"/>
                <w:color w:val="auto"/>
              </w:rPr>
            </w:pPr>
          </w:p>
        </w:tc>
        <w:tc>
          <w:tcPr>
            <w:tcW w:w="6200" w:type="dxa"/>
            <w:vAlign w:val="bottom"/>
            <w:tcBorders>
              <w:bottom w:val="single" w:sz="8" w:color="auto"/>
            </w:tcBorders>
          </w:tcPr>
          <w:p>
            <w:pPr>
              <w:ind w:left="2580"/>
              <w:spacing w:after="0"/>
              <w:rPr>
                <w:sz w:val="20"/>
                <w:szCs w:val="20"/>
                <w:color w:val="auto"/>
              </w:rPr>
            </w:pPr>
            <w:r>
              <w:rPr>
                <w:rFonts w:ascii="Arial" w:cs="Arial" w:eastAsia="Arial" w:hAnsi="Arial"/>
                <w:sz w:val="13"/>
                <w:szCs w:val="13"/>
                <w:b w:val="1"/>
                <w:bCs w:val="1"/>
                <w:color w:val="auto"/>
              </w:rPr>
              <w:t>Description</w:t>
            </w:r>
          </w:p>
        </w:tc>
      </w:tr>
      <w:tr>
        <w:trPr>
          <w:trHeight w:val="181"/>
        </w:trPr>
        <w:tc>
          <w:tcPr>
            <w:tcW w:w="900" w:type="dxa"/>
            <w:vAlign w:val="bottom"/>
          </w:tcPr>
          <w:p>
            <w:pPr>
              <w:ind w:left="160"/>
              <w:spacing w:after="0" w:line="180" w:lineRule="exact"/>
              <w:rPr>
                <w:sz w:val="20"/>
                <w:szCs w:val="20"/>
                <w:color w:val="auto"/>
              </w:rPr>
            </w:pPr>
            <w:r>
              <w:rPr>
                <w:rFonts w:ascii="Arial" w:cs="Arial" w:eastAsia="Arial" w:hAnsi="Arial"/>
                <w:sz w:val="17"/>
                <w:szCs w:val="17"/>
                <w:color w:val="auto"/>
              </w:rPr>
              <w:t>101.INS</w:t>
            </w:r>
          </w:p>
        </w:tc>
        <w:tc>
          <w:tcPr>
            <w:tcW w:w="140" w:type="dxa"/>
            <w:vAlign w:val="bottom"/>
          </w:tcPr>
          <w:p>
            <w:pPr>
              <w:spacing w:after="0"/>
              <w:rPr>
                <w:sz w:val="15"/>
                <w:szCs w:val="15"/>
                <w:color w:val="auto"/>
              </w:rPr>
            </w:pPr>
          </w:p>
        </w:tc>
        <w:tc>
          <w:tcPr>
            <w:tcW w:w="6580" w:type="dxa"/>
            <w:vAlign w:val="bottom"/>
            <w:gridSpan w:val="2"/>
          </w:tcPr>
          <w:p>
            <w:pPr>
              <w:spacing w:after="0" w:line="180" w:lineRule="exact"/>
              <w:rPr>
                <w:sz w:val="20"/>
                <w:szCs w:val="20"/>
                <w:color w:val="auto"/>
              </w:rPr>
            </w:pPr>
            <w:r>
              <w:rPr>
                <w:rFonts w:ascii="Arial" w:cs="Arial" w:eastAsia="Arial" w:hAnsi="Arial"/>
                <w:sz w:val="17"/>
                <w:szCs w:val="17"/>
                <w:color w:val="auto"/>
              </w:rPr>
              <w:t>XBLR Instance Document</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101.SCH</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XBLR Taxonomy Extension Schema Document</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101.CAL</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XBLR Taxonomy Extension Calculation Linkbase Document</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101.DEF</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XBLR Taxonomy Extension Definition Linkbase Document</w:t>
            </w:r>
          </w:p>
        </w:tc>
      </w:tr>
      <w:tr>
        <w:trPr>
          <w:trHeight w:val="200"/>
        </w:trPr>
        <w:tc>
          <w:tcPr>
            <w:tcW w:w="900" w:type="dxa"/>
            <w:vAlign w:val="bottom"/>
          </w:tcPr>
          <w:p>
            <w:pPr>
              <w:ind w:left="160"/>
              <w:spacing w:after="0"/>
              <w:rPr>
                <w:sz w:val="20"/>
                <w:szCs w:val="20"/>
                <w:color w:val="auto"/>
              </w:rPr>
            </w:pPr>
            <w:r>
              <w:rPr>
                <w:rFonts w:ascii="Arial" w:cs="Arial" w:eastAsia="Arial" w:hAnsi="Arial"/>
                <w:sz w:val="17"/>
                <w:szCs w:val="17"/>
                <w:color w:val="auto"/>
              </w:rPr>
              <w:t>101.LAB</w:t>
            </w:r>
          </w:p>
        </w:tc>
        <w:tc>
          <w:tcPr>
            <w:tcW w:w="14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XBLR Taxonomy Extension Label Linkbase Document</w:t>
            </w:r>
          </w:p>
        </w:tc>
      </w:tr>
      <w:tr>
        <w:trPr>
          <w:trHeight w:val="213"/>
        </w:trPr>
        <w:tc>
          <w:tcPr>
            <w:tcW w:w="900" w:type="dxa"/>
            <w:vAlign w:val="bottom"/>
          </w:tcPr>
          <w:p>
            <w:pPr>
              <w:ind w:left="160"/>
              <w:spacing w:after="0"/>
              <w:rPr>
                <w:sz w:val="20"/>
                <w:szCs w:val="20"/>
                <w:color w:val="auto"/>
              </w:rPr>
            </w:pPr>
            <w:r>
              <w:rPr>
                <w:rFonts w:ascii="Arial" w:cs="Arial" w:eastAsia="Arial" w:hAnsi="Arial"/>
                <w:sz w:val="17"/>
                <w:szCs w:val="17"/>
                <w:color w:val="auto"/>
              </w:rPr>
              <w:t>101.PRE</w:t>
            </w:r>
          </w:p>
        </w:tc>
        <w:tc>
          <w:tcPr>
            <w:tcW w:w="14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auto"/>
              </w:rPr>
              <w:t>XBLR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57277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Filed herewith</w:t>
      </w:r>
    </w:p>
    <w:p>
      <w:pPr>
        <w:spacing w:after="0" w:line="105"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Management contract or compensatory plan or arrangement.</w:t>
      </w:r>
    </w:p>
    <w:p>
      <w:pPr>
        <w:spacing w:after="0" w:line="105" w:lineRule="exact"/>
        <w:rPr>
          <w:sz w:val="20"/>
          <w:szCs w:val="20"/>
          <w:color w:val="auto"/>
        </w:rPr>
      </w:pPr>
    </w:p>
    <w:p>
      <w:pPr>
        <w:ind w:left="260" w:right="1239" w:hanging="250"/>
        <w:spacing w:after="0" w:line="267" w:lineRule="auto"/>
        <w:tabs>
          <w:tab w:leader="none" w:pos="26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478" w:name="page479"/>
    <w:bookmarkEnd w:id="47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22. Undertakings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(a) The undersigned registrant hereby undertakes:</w:t>
      </w:r>
    </w:p>
    <w:p>
      <w:pPr>
        <w:spacing w:after="0" w:line="105" w:lineRule="exact"/>
        <w:rPr>
          <w:sz w:val="20"/>
          <w:szCs w:val="20"/>
          <w:color w:val="auto"/>
        </w:rPr>
      </w:pPr>
    </w:p>
    <w:p>
      <w:pPr>
        <w:ind w:left="580" w:hanging="282"/>
        <w:spacing w:after="0"/>
        <w:tabs>
          <w:tab w:leader="none" w:pos="580" w:val="left"/>
        </w:tabs>
        <w:numPr>
          <w:ilvl w:val="0"/>
          <w:numId w:val="445"/>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128"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(i) to include any prospectus required by Section 10(a)(3) of the Securities Act of 1933, as amended;</w:t>
      </w:r>
    </w:p>
    <w:p>
      <w:pPr>
        <w:spacing w:after="0" w:line="105" w:lineRule="exact"/>
        <w:rPr>
          <w:sz w:val="20"/>
          <w:szCs w:val="20"/>
          <w:color w:val="auto"/>
        </w:rPr>
      </w:pPr>
    </w:p>
    <w:p>
      <w:pPr>
        <w:jc w:val="both"/>
        <w:ind w:left="40" w:right="1239" w:firstLine="258"/>
        <w:spacing w:after="0" w:line="249" w:lineRule="auto"/>
        <w:tabs>
          <w:tab w:leader="none" w:pos="617"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1" w:lineRule="exact"/>
        <w:rPr>
          <w:rFonts w:ascii="Arial" w:cs="Arial" w:eastAsia="Arial" w:hAnsi="Arial"/>
          <w:sz w:val="17"/>
          <w:szCs w:val="17"/>
          <w:color w:val="auto"/>
        </w:rPr>
      </w:pPr>
    </w:p>
    <w:p>
      <w:pPr>
        <w:ind w:left="40" w:right="1239" w:firstLine="258"/>
        <w:spacing w:after="0" w:line="267" w:lineRule="auto"/>
        <w:tabs>
          <w:tab w:leader="none" w:pos="665"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jc w:val="both"/>
        <w:ind w:left="40" w:right="1239" w:firstLine="258"/>
        <w:spacing w:after="0" w:line="256" w:lineRule="auto"/>
        <w:tabs>
          <w:tab w:leader="none" w:pos="591"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76" w:lineRule="exact"/>
        <w:rPr>
          <w:rFonts w:ascii="Arial" w:cs="Arial" w:eastAsia="Arial" w:hAnsi="Arial"/>
          <w:sz w:val="17"/>
          <w:szCs w:val="17"/>
          <w:color w:val="auto"/>
        </w:rPr>
      </w:pPr>
    </w:p>
    <w:p>
      <w:pPr>
        <w:ind w:left="40" w:right="1239" w:firstLine="258"/>
        <w:spacing w:after="0" w:line="267" w:lineRule="auto"/>
        <w:tabs>
          <w:tab w:leader="none" w:pos="587"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66" w:lineRule="exact"/>
        <w:rPr>
          <w:sz w:val="20"/>
          <w:szCs w:val="20"/>
          <w:color w:val="auto"/>
        </w:rPr>
      </w:pPr>
    </w:p>
    <w:p>
      <w:pPr>
        <w:jc w:val="both"/>
        <w:ind w:left="40" w:right="1239" w:firstLine="258"/>
        <w:spacing w:after="0" w:line="270" w:lineRule="auto"/>
        <w:tabs>
          <w:tab w:leader="none" w:pos="535" w:val="left"/>
        </w:tabs>
        <w:numPr>
          <w:ilvl w:val="0"/>
          <w:numId w:val="448"/>
        </w:numPr>
        <w:rPr>
          <w:rFonts w:ascii="Arial" w:cs="Arial" w:eastAsia="Arial" w:hAnsi="Arial"/>
          <w:sz w:val="16"/>
          <w:szCs w:val="16"/>
          <w:color w:val="auto"/>
        </w:rPr>
      </w:pPr>
      <w:r>
        <w:rPr>
          <w:rFonts w:ascii="Arial" w:cs="Arial" w:eastAsia="Arial" w:hAnsi="Arial"/>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8" w:lineRule="exact"/>
        <w:rPr>
          <w:sz w:val="20"/>
          <w:szCs w:val="20"/>
          <w:color w:val="auto"/>
        </w:rPr>
      </w:pPr>
    </w:p>
    <w:p>
      <w:pPr>
        <w:jc w:val="both"/>
        <w:ind w:left="40" w:right="1239" w:firstLine="258"/>
        <w:spacing w:after="0" w:line="290" w:lineRule="auto"/>
        <w:tabs>
          <w:tab w:leader="none" w:pos="568" w:val="left"/>
        </w:tabs>
        <w:numPr>
          <w:ilvl w:val="0"/>
          <w:numId w:val="449"/>
        </w:numPr>
        <w:rPr>
          <w:rFonts w:ascii="Arial" w:cs="Arial" w:eastAsia="Arial" w:hAnsi="Arial"/>
          <w:sz w:val="15"/>
          <w:szCs w:val="15"/>
          <w:color w:val="auto"/>
        </w:rPr>
      </w:pPr>
      <w:r>
        <w:rPr>
          <w:rFonts w:ascii="Arial" w:cs="Arial" w:eastAsia="Arial" w:hAnsi="Arial"/>
          <w:sz w:val="15"/>
          <w:szCs w:val="15"/>
          <w:color w:val="auto"/>
        </w:rPr>
        <w:t xml:space="preserve">The registrant undertakes that every prospectus: (i) that is filed pursuant to paragraph (1) immediately preceding, or (ii) that purports to meet the requirements of Section 10(a)(3) of the Securities Act of 1933, as amended,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53" w:lineRule="exact"/>
        <w:rPr>
          <w:sz w:val="20"/>
          <w:szCs w:val="20"/>
          <w:color w:val="auto"/>
        </w:rPr>
      </w:pPr>
    </w:p>
    <w:p>
      <w:pPr>
        <w:jc w:val="both"/>
        <w:ind w:left="40" w:right="1239" w:firstLine="258"/>
        <w:spacing w:after="0" w:line="285" w:lineRule="auto"/>
        <w:tabs>
          <w:tab w:leader="none" w:pos="636" w:val="left"/>
        </w:tabs>
        <w:numPr>
          <w:ilvl w:val="0"/>
          <w:numId w:val="450"/>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as amended, may be permitted to directors, officers and controlling persons of the registrant pursuant to the provisions described in Item 20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8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79" w:name="page480"/>
    <w:bookmarkEnd w:id="47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8"/>
        <w:spacing w:after="0" w:line="274" w:lineRule="auto"/>
        <w:tabs>
          <w:tab w:leader="none" w:pos="547"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undersigned registrant hereby undertakes to respond to requests for information that is incorporated by reference into the prospectus pursuant to Item 4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1" w:lineRule="exact"/>
        <w:rPr>
          <w:rFonts w:ascii="Arial" w:cs="Arial" w:eastAsia="Arial" w:hAnsi="Arial"/>
          <w:sz w:val="16"/>
          <w:szCs w:val="16"/>
          <w:color w:val="auto"/>
        </w:rPr>
      </w:pPr>
    </w:p>
    <w:p>
      <w:pPr>
        <w:jc w:val="both"/>
        <w:ind w:left="40" w:right="1239" w:firstLine="258"/>
        <w:spacing w:after="0" w:line="256" w:lineRule="auto"/>
        <w:tabs>
          <w:tab w:leader="none" w:pos="53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80" w:name="page481"/>
    <w:bookmarkEnd w:id="48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SIGNATURES</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Amendment No. 3 to Registration Statement on Form S-4 to be signed on its behalf by the undersigned, thereunto duly authorized, in the City of New</w:t>
      </w:r>
    </w:p>
    <w:p>
      <w:pPr>
        <w:ind w:left="40"/>
        <w:spacing w:after="0" w:line="194" w:lineRule="auto"/>
        <w:rPr>
          <w:sz w:val="20"/>
          <w:szCs w:val="20"/>
          <w:color w:val="auto"/>
        </w:rPr>
      </w:pPr>
      <w:r>
        <w:rPr>
          <w:rFonts w:ascii="Arial" w:cs="Arial" w:eastAsia="Arial" w:hAnsi="Arial"/>
          <w:sz w:val="17"/>
          <w:szCs w:val="17"/>
          <w:color w:val="auto"/>
        </w:rPr>
        <w:t>York, State New York, on the 12</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day of June,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481393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VRINGO, INC.</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 /s/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 Andrew D. Perlman</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 Chief Executive Officer and President</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(Principal Executive Officer)</w:t>
      </w:r>
    </w:p>
    <w:p>
      <w:pPr>
        <w:spacing w:after="0" w:line="9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Pursuant to the requirements of the Securities Act of 1933, as amended, this Amendment No. 3 to Registration Statement on Form S-4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483743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520" w:type="dxa"/>
            <w:vAlign w:val="bottom"/>
            <w:tcBorders>
              <w:bottom w:val="single" w:sz="8" w:color="auto"/>
            </w:tcBorders>
            <w:gridSpan w:val="2"/>
          </w:tcPr>
          <w:p>
            <w:pPr>
              <w:ind w:left="980"/>
              <w:spacing w:after="0"/>
              <w:rPr>
                <w:sz w:val="20"/>
                <w:szCs w:val="20"/>
                <w:color w:val="auto"/>
              </w:rPr>
            </w:pPr>
            <w:r>
              <w:rPr>
                <w:rFonts w:ascii="Arial" w:cs="Arial" w:eastAsia="Arial" w:hAnsi="Arial"/>
                <w:sz w:val="13"/>
                <w:szCs w:val="13"/>
                <w:b w:val="1"/>
                <w:bCs w:val="1"/>
                <w:color w:val="auto"/>
              </w:rPr>
              <w:t>Signature</w:t>
            </w:r>
          </w:p>
        </w:tc>
        <w:tc>
          <w:tcPr>
            <w:tcW w:w="120" w:type="dxa"/>
            <w:vAlign w:val="bottom"/>
          </w:tcPr>
          <w:p>
            <w:pPr>
              <w:spacing w:after="0"/>
              <w:rPr>
                <w:sz w:val="14"/>
                <w:szCs w:val="14"/>
                <w:color w:val="auto"/>
              </w:rPr>
            </w:pPr>
          </w:p>
        </w:tc>
        <w:tc>
          <w:tcPr>
            <w:tcW w:w="3760" w:type="dxa"/>
            <w:vAlign w:val="bottom"/>
            <w:tcBorders>
              <w:bottom w:val="single" w:sz="8" w:color="auto"/>
            </w:tcBorders>
          </w:tcPr>
          <w:p>
            <w:pPr>
              <w:ind w:left="176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r>
      <w:tr>
        <w:trPr>
          <w:trHeight w:val="193"/>
        </w:trPr>
        <w:tc>
          <w:tcPr>
            <w:tcW w:w="2520" w:type="dxa"/>
            <w:vAlign w:val="bottom"/>
            <w:gridSpan w:val="2"/>
          </w:tcPr>
          <w:p>
            <w:pPr>
              <w:spacing w:after="0" w:line="193" w:lineRule="exact"/>
              <w:rPr>
                <w:sz w:val="20"/>
                <w:szCs w:val="20"/>
                <w:color w:val="auto"/>
              </w:rPr>
            </w:pPr>
            <w:r>
              <w:rPr>
                <w:rFonts w:ascii="Arial" w:cs="Arial" w:eastAsia="Arial" w:hAnsi="Arial"/>
                <w:sz w:val="17"/>
                <w:szCs w:val="17"/>
                <w:color w:val="auto"/>
              </w:rPr>
              <w:t>/s/ Andrew D. Perlman</w:t>
            </w:r>
          </w:p>
        </w:tc>
        <w:tc>
          <w:tcPr>
            <w:tcW w:w="120" w:type="dxa"/>
            <w:vAlign w:val="bottom"/>
          </w:tcPr>
          <w:p>
            <w:pPr>
              <w:spacing w:after="0"/>
              <w:rPr>
                <w:sz w:val="16"/>
                <w:szCs w:val="16"/>
                <w:color w:val="auto"/>
              </w:rPr>
            </w:pPr>
          </w:p>
        </w:tc>
        <w:tc>
          <w:tcPr>
            <w:tcW w:w="3760" w:type="dxa"/>
            <w:vAlign w:val="bottom"/>
          </w:tcPr>
          <w:p>
            <w:pPr>
              <w:ind w:left="20"/>
              <w:spacing w:after="0" w:line="193" w:lineRule="exact"/>
              <w:rPr>
                <w:sz w:val="20"/>
                <w:szCs w:val="20"/>
                <w:color w:val="auto"/>
              </w:rPr>
            </w:pPr>
            <w:r>
              <w:rPr>
                <w:rFonts w:ascii="Arial" w:cs="Arial" w:eastAsia="Arial" w:hAnsi="Arial"/>
                <w:sz w:val="17"/>
                <w:szCs w:val="17"/>
                <w:color w:val="auto"/>
                <w:w w:val="97"/>
              </w:rPr>
              <w:t>President and Chief Executive Officer and Director</w:t>
            </w:r>
          </w:p>
        </w:tc>
        <w:tc>
          <w:tcPr>
            <w:tcW w:w="160" w:type="dxa"/>
            <w:vAlign w:val="bottom"/>
          </w:tcPr>
          <w:p>
            <w:pPr>
              <w:spacing w:after="0"/>
              <w:rPr>
                <w:sz w:val="16"/>
                <w:szCs w:val="16"/>
                <w:color w:val="auto"/>
              </w:rPr>
            </w:pPr>
          </w:p>
        </w:tc>
        <w:tc>
          <w:tcPr>
            <w:tcW w:w="1060" w:type="dxa"/>
            <w:vAlign w:val="bottom"/>
          </w:tcPr>
          <w:p>
            <w:pPr>
              <w:jc w:val="center"/>
              <w:spacing w:after="0" w:line="193" w:lineRule="exact"/>
              <w:rPr>
                <w:sz w:val="20"/>
                <w:szCs w:val="20"/>
                <w:color w:val="auto"/>
              </w:rPr>
            </w:pPr>
            <w:r>
              <w:rPr>
                <w:rFonts w:ascii="Arial" w:cs="Arial" w:eastAsia="Arial" w:hAnsi="Arial"/>
                <w:sz w:val="17"/>
                <w:szCs w:val="17"/>
                <w:color w:val="auto"/>
                <w:w w:val="87"/>
              </w:rPr>
              <w:t>June 12, 2012</w:t>
            </w:r>
          </w:p>
        </w:tc>
      </w:tr>
      <w:tr>
        <w:trPr>
          <w:trHeight w:val="181"/>
        </w:trPr>
        <w:tc>
          <w:tcPr>
            <w:tcW w:w="250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Andrew D. Perlman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60" w:type="dxa"/>
            <w:vAlign w:val="bottom"/>
          </w:tcPr>
          <w:p>
            <w:pPr>
              <w:ind w:left="20"/>
              <w:spacing w:after="0" w:line="180" w:lineRule="exact"/>
              <w:rPr>
                <w:sz w:val="20"/>
                <w:szCs w:val="20"/>
                <w:color w:val="auto"/>
              </w:rPr>
            </w:pPr>
            <w:r>
              <w:rPr>
                <w:rFonts w:ascii="Arial" w:cs="Arial" w:eastAsia="Arial" w:hAnsi="Arial"/>
                <w:sz w:val="17"/>
                <w:szCs w:val="17"/>
                <w:color w:val="auto"/>
              </w:rPr>
              <w:t>(principal executive officer)</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3"/>
        </w:trPr>
        <w:tc>
          <w:tcPr>
            <w:tcW w:w="2520" w:type="dxa"/>
            <w:vAlign w:val="bottom"/>
            <w:gridSpan w:val="2"/>
          </w:tcPr>
          <w:p>
            <w:pPr>
              <w:spacing w:after="0"/>
              <w:rPr>
                <w:sz w:val="20"/>
                <w:szCs w:val="20"/>
                <w:color w:val="auto"/>
              </w:rPr>
            </w:pPr>
            <w:r>
              <w:rPr>
                <w:rFonts w:ascii="Arial" w:cs="Arial" w:eastAsia="Arial" w:hAnsi="Arial"/>
                <w:sz w:val="17"/>
                <w:szCs w:val="17"/>
                <w:color w:val="auto"/>
              </w:rPr>
              <w:t>/s/ Ellen Cohl</w:t>
            </w:r>
          </w:p>
        </w:tc>
        <w:tc>
          <w:tcPr>
            <w:tcW w:w="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7"/>
              </w:rPr>
              <w:t>June 12, 2012</w:t>
            </w:r>
          </w:p>
        </w:tc>
      </w:tr>
      <w:tr>
        <w:trPr>
          <w:trHeight w:val="181"/>
        </w:trPr>
        <w:tc>
          <w:tcPr>
            <w:tcW w:w="250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Ellen Cohl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60" w:type="dxa"/>
            <w:vAlign w:val="bottom"/>
          </w:tcPr>
          <w:p>
            <w:pPr>
              <w:ind w:left="20"/>
              <w:spacing w:after="0" w:line="180" w:lineRule="exact"/>
              <w:rPr>
                <w:sz w:val="20"/>
                <w:szCs w:val="20"/>
                <w:color w:val="auto"/>
              </w:rPr>
            </w:pPr>
            <w:r>
              <w:rPr>
                <w:rFonts w:ascii="Arial" w:cs="Arial" w:eastAsia="Arial" w:hAnsi="Arial"/>
                <w:sz w:val="17"/>
                <w:szCs w:val="17"/>
                <w:color w:val="auto"/>
              </w:rPr>
              <w:t>(principal financial and accounting officer)</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3"/>
        </w:trPr>
        <w:tc>
          <w:tcPr>
            <w:tcW w:w="2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7"/>
                <w:szCs w:val="17"/>
                <w:color w:val="auto"/>
              </w:rPr>
              <w:t>Chairman of the Board of Directors</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7"/>
              </w:rPr>
              <w:t>June 12, 2012</w:t>
            </w:r>
          </w:p>
        </w:tc>
      </w:tr>
      <w:tr>
        <w:trPr>
          <w:trHeight w:val="181"/>
        </w:trPr>
        <w:tc>
          <w:tcPr>
            <w:tcW w:w="2500" w:type="dxa"/>
            <w:vAlign w:val="bottom"/>
          </w:tcPr>
          <w:p>
            <w:pPr>
              <w:spacing w:after="0" w:line="180" w:lineRule="exact"/>
              <w:rPr>
                <w:sz w:val="20"/>
                <w:szCs w:val="20"/>
                <w:color w:val="auto"/>
              </w:rPr>
            </w:pPr>
            <w:r>
              <w:rPr>
                <w:rFonts w:ascii="Arial" w:cs="Arial" w:eastAsia="Arial" w:hAnsi="Arial"/>
                <w:sz w:val="17"/>
                <w:szCs w:val="17"/>
                <w:color w:val="auto"/>
              </w:rPr>
              <w:t>Seth M. Siegel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3"/>
        </w:trPr>
        <w:tc>
          <w:tcPr>
            <w:tcW w:w="2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7"/>
                <w:szCs w:val="17"/>
                <w:color w:val="auto"/>
              </w:rPr>
              <w:t>Director</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7"/>
              </w:rPr>
              <w:t>June 12, 2012</w:t>
            </w:r>
          </w:p>
        </w:tc>
      </w:tr>
      <w:tr>
        <w:trPr>
          <w:trHeight w:val="181"/>
        </w:trPr>
        <w:tc>
          <w:tcPr>
            <w:tcW w:w="2500" w:type="dxa"/>
            <w:vAlign w:val="bottom"/>
          </w:tcPr>
          <w:p>
            <w:pPr>
              <w:spacing w:after="0" w:line="180" w:lineRule="exact"/>
              <w:rPr>
                <w:sz w:val="20"/>
                <w:szCs w:val="20"/>
                <w:color w:val="auto"/>
              </w:rPr>
            </w:pPr>
            <w:r>
              <w:rPr>
                <w:rFonts w:ascii="Arial" w:cs="Arial" w:eastAsia="Arial" w:hAnsi="Arial"/>
                <w:sz w:val="17"/>
                <w:szCs w:val="17"/>
                <w:color w:val="auto"/>
              </w:rPr>
              <w:t>Edo Segal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3"/>
        </w:trPr>
        <w:tc>
          <w:tcPr>
            <w:tcW w:w="2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7"/>
                <w:szCs w:val="17"/>
                <w:color w:val="auto"/>
              </w:rPr>
              <w:t>Director</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7"/>
              </w:rPr>
              <w:t>June 12, 2012</w:t>
            </w:r>
          </w:p>
        </w:tc>
      </w:tr>
      <w:tr>
        <w:trPr>
          <w:trHeight w:val="181"/>
        </w:trPr>
        <w:tc>
          <w:tcPr>
            <w:tcW w:w="2500" w:type="dxa"/>
            <w:vAlign w:val="bottom"/>
          </w:tcPr>
          <w:p>
            <w:pPr>
              <w:spacing w:after="0" w:line="180" w:lineRule="exact"/>
              <w:rPr>
                <w:sz w:val="20"/>
                <w:szCs w:val="20"/>
                <w:color w:val="auto"/>
              </w:rPr>
            </w:pPr>
            <w:r>
              <w:rPr>
                <w:rFonts w:ascii="Arial" w:cs="Arial" w:eastAsia="Arial" w:hAnsi="Arial"/>
                <w:sz w:val="17"/>
                <w:szCs w:val="17"/>
                <w:color w:val="auto"/>
              </w:rPr>
              <w:t>Philip Serlin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3"/>
        </w:trPr>
        <w:tc>
          <w:tcPr>
            <w:tcW w:w="2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7"/>
                <w:szCs w:val="17"/>
                <w:color w:val="auto"/>
              </w:rPr>
              <w:t>Director</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7"/>
              </w:rPr>
              <w:t>June 12, 2012</w:t>
            </w:r>
          </w:p>
        </w:tc>
      </w:tr>
      <w:tr>
        <w:trPr>
          <w:trHeight w:val="181"/>
        </w:trPr>
        <w:tc>
          <w:tcPr>
            <w:tcW w:w="2500" w:type="dxa"/>
            <w:vAlign w:val="bottom"/>
          </w:tcPr>
          <w:p>
            <w:pPr>
              <w:spacing w:after="0" w:line="180" w:lineRule="exact"/>
              <w:rPr>
                <w:sz w:val="20"/>
                <w:szCs w:val="20"/>
                <w:color w:val="auto"/>
              </w:rPr>
            </w:pPr>
            <w:r>
              <w:rPr>
                <w:rFonts w:ascii="Arial" w:cs="Arial" w:eastAsia="Arial" w:hAnsi="Arial"/>
                <w:sz w:val="17"/>
                <w:szCs w:val="17"/>
                <w:color w:val="auto"/>
              </w:rPr>
              <w:t>John Engelman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3"/>
        </w:trPr>
        <w:tc>
          <w:tcPr>
            <w:tcW w:w="2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7"/>
                <w:szCs w:val="17"/>
                <w:color w:val="auto"/>
              </w:rPr>
              <w:t>Director</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7"/>
              </w:rPr>
              <w:t>June 12, 2012</w:t>
            </w:r>
          </w:p>
        </w:tc>
      </w:tr>
      <w:tr>
        <w:trPr>
          <w:trHeight w:val="181"/>
        </w:trPr>
        <w:tc>
          <w:tcPr>
            <w:tcW w:w="2500" w:type="dxa"/>
            <w:vAlign w:val="bottom"/>
          </w:tcPr>
          <w:p>
            <w:pPr>
              <w:spacing w:after="0" w:line="180" w:lineRule="exact"/>
              <w:rPr>
                <w:sz w:val="20"/>
                <w:szCs w:val="20"/>
                <w:color w:val="auto"/>
              </w:rPr>
            </w:pPr>
            <w:r>
              <w:rPr>
                <w:rFonts w:ascii="Arial" w:cs="Arial" w:eastAsia="Arial" w:hAnsi="Arial"/>
                <w:sz w:val="17"/>
                <w:szCs w:val="17"/>
                <w:color w:val="auto"/>
              </w:rPr>
              <w:t>Geoffrey M. Skolnik</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3"/>
        </w:trPr>
        <w:tc>
          <w:tcPr>
            <w:tcW w:w="2520" w:type="dxa"/>
            <w:vAlign w:val="bottom"/>
            <w:gridSpan w:val="2"/>
          </w:tcPr>
          <w:p>
            <w:pPr>
              <w:spacing w:after="0"/>
              <w:rPr>
                <w:sz w:val="20"/>
                <w:szCs w:val="20"/>
                <w:color w:val="auto"/>
              </w:rPr>
            </w:pPr>
            <w:r>
              <w:rPr>
                <w:rFonts w:ascii="Arial" w:cs="Arial" w:eastAsia="Arial" w:hAnsi="Arial"/>
                <w:sz w:val="17"/>
                <w:szCs w:val="17"/>
                <w:color w:val="auto"/>
              </w:rPr>
              <w:t>*By:  /s/ Andrew D. Perlman</w:t>
            </w: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48215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48215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0</wp:posOffset>
            </wp:positionV>
            <wp:extent cx="21799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Andrew D. Perlman,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420370</wp:posOffset>
            </wp:positionV>
            <wp:extent cx="5674360" cy="5715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81" w:name="page482"/>
    <w:bookmarkEnd w:id="481"/>
    <w:p>
      <w:pPr>
        <w:jc w:val="right"/>
        <w:spacing w:after="0"/>
        <w:rPr>
          <w:sz w:val="20"/>
          <w:szCs w:val="20"/>
          <w:color w:val="auto"/>
        </w:rPr>
      </w:pPr>
      <w:r>
        <w:rPr>
          <w:rFonts w:ascii="Arial" w:cs="Arial" w:eastAsia="Arial" w:hAnsi="Arial"/>
          <w:sz w:val="17"/>
          <w:szCs w:val="17"/>
          <w:i w:val="1"/>
          <w:iCs w:val="1"/>
          <w:color w:val="auto"/>
        </w:rPr>
        <w:t>666 Third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663065" cy="2546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663065" cy="2546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i w:val="1"/>
          <w:iCs w:val="1"/>
          <w:color w:val="auto"/>
        </w:rPr>
        <w:t>New York, New York 10017</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212-935-3000</w:t>
      </w:r>
    </w:p>
    <w:p>
      <w:pPr>
        <w:spacing w:after="0" w:line="5" w:lineRule="exact"/>
        <w:rPr>
          <w:sz w:val="20"/>
          <w:szCs w:val="20"/>
          <w:color w:val="auto"/>
        </w:rPr>
      </w:pPr>
    </w:p>
    <w:p>
      <w:pPr>
        <w:jc w:val="both"/>
        <w:ind w:left="10240" w:hanging="10381"/>
        <w:spacing w:after="0" w:line="317" w:lineRule="auto"/>
        <w:tabs>
          <w:tab w:leader="none" w:pos="10220" w:val="left"/>
        </w:tabs>
        <w:rPr>
          <w:sz w:val="20"/>
          <w:szCs w:val="20"/>
          <w:color w:val="auto"/>
        </w:rPr>
      </w:pPr>
      <w:r>
        <w:rPr>
          <w:rFonts w:ascii="Arial" w:cs="Arial" w:eastAsia="Arial" w:hAnsi="Arial"/>
          <w:sz w:val="17"/>
          <w:szCs w:val="17"/>
          <w:b w:val="1"/>
          <w:bCs w:val="1"/>
          <w:i w:val="1"/>
          <w:iCs w:val="1"/>
          <w:color w:val="auto"/>
        </w:rPr>
        <w:t>Mintz, Levin, Cohn, Ferris, Glovsky and Popeo, P.C.</w:t>
      </w:r>
      <w:r>
        <w:rPr>
          <w:sz w:val="20"/>
          <w:szCs w:val="20"/>
          <w:color w:val="auto"/>
        </w:rPr>
        <w:tab/>
      </w:r>
      <w:r>
        <w:rPr>
          <w:rFonts w:ascii="Arial" w:cs="Arial" w:eastAsia="Arial" w:hAnsi="Arial"/>
          <w:sz w:val="15"/>
          <w:szCs w:val="15"/>
          <w:i w:val="1"/>
          <w:iCs w:val="1"/>
          <w:color w:val="auto"/>
        </w:rPr>
        <w:t>212-983-3115 fax www.mintz.com</w:t>
      </w:r>
    </w:p>
    <w:p>
      <w:pPr>
        <w:spacing w:after="0" w:line="13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June 12, 2012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Vringo,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44 W. 28th Street, Suite 1414</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10001</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Registration Statement on Form S-4</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We have acted as counsel to Vringo, Inc., a Delaware corporation (the “Company”), in connection with the Registration Statement on Form S-4 (as amended, the “Registration Statement”) filed by the Company with the Securities and Exchange Commission (the “Commission”) pursuant to that certain Agreement and Plan of Merger (the “Merger Agreement”), dated as of March 12, 2012, by and among the Company, VIP Merger Sub, Inc., a Delaware corporation and wholly-owned subsidiary of the Company, and Innovate/Protect, Inc., a Delaware corporation (“Innovate/Protect”), relating to the registration under the Securities Act of 1933, as amended (the “Securities Act”) of (i) up to 55,100,630 shares (the “Shares”) of the Company’s common stock, par value $0.01 per share (the “Common Stock”), (ii) 16,809,838 warrants to purchase up to 16,809,838 shares of Common Stock (the “Warrants”) and shares of Common Stock underlying the Warrants and (iii) 6,673 shares of Series A Convertible Preferred Stock, par value $0.01 per stock, initially convertible into an aggregate of 20,136,445 shares of Common Stock (the “Preferred Stock,” and together with the Shares and Warrants, the “Securities”) and shares of Common Stock underlying the Preferred Stock, to be issued in connection with the Merger.</w:t>
      </w:r>
    </w:p>
    <w:p>
      <w:pPr>
        <w:spacing w:after="0" w:line="16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connection with the rendering of the opinion set forth below, we have examined, are familiar with and, to the extent we deemed appropriate, we have relied on originals or copies, certified or otherwise, identified to our satisfaction, of (i) the Registration Statement, (ii) the Merger Agreement, (iii) the resolutions adopted by the Board of Directors of the Company relating to the Merger Agreement and certain related matters, and (iv) such other documents, agreements, records, instruments, certificates of public officials and certificates of officers or other representatives of the Company or others as we have deemed necessary or appropriate for purposes of and as a basis for rendering the opinion set forth below.</w:t>
      </w:r>
    </w:p>
    <w:p>
      <w:pPr>
        <w:spacing w:after="0" w:line="181"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In our examination, we have (i) assumed the genuineness of all signatures, the legal capacity of all natural persons, and the authenticity of all documents submitted to us as originals, (ii) assumed the conformity to original documents of all documents submitted to us as certified, electronic or photocopy copies and the authenticity of the originals of such copies and (iii) assumed and relied upon the truth, accuracy and completeness (without independent investigation or verification) of the information, representations, warranties and statements contained in the records, documents, instruments and certificates we have reviewed. As to any facts material to the opinion expressed herein which we have not independently established or verified, we have relied upon statements and representations of officers and other representatives of the Company and others.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Mintz, Levin, Cohn, Ferris, Glovsky and Popeo, P.C.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w:t>
      </w:r>
      <w:r>
        <w:rPr>
          <w:rFonts w:ascii="Arial" w:cs="Arial" w:eastAsia="Arial" w:hAnsi="Arial"/>
          <w:sz w:val="11"/>
          <w:szCs w:val="11"/>
          <w:color w:val="auto"/>
        </w:rPr>
        <w:t>OSTON</w:t>
      </w:r>
      <w:r>
        <w:rPr>
          <w:rFonts w:ascii="Arial" w:cs="Arial" w:eastAsia="Arial" w:hAnsi="Arial"/>
          <w:sz w:val="17"/>
          <w:szCs w:val="17"/>
          <w:color w:val="auto"/>
        </w:rPr>
        <w:t xml:space="preserve"> | W</w:t>
      </w:r>
      <w:r>
        <w:rPr>
          <w:rFonts w:ascii="Arial" w:cs="Arial" w:eastAsia="Arial" w:hAnsi="Arial"/>
          <w:sz w:val="11"/>
          <w:szCs w:val="11"/>
          <w:color w:val="auto"/>
        </w:rPr>
        <w:t>ASHINGTON</w:t>
      </w:r>
      <w:r>
        <w:rPr>
          <w:rFonts w:ascii="Arial" w:cs="Arial" w:eastAsia="Arial" w:hAnsi="Arial"/>
          <w:sz w:val="17"/>
          <w:szCs w:val="17"/>
          <w:color w:val="auto"/>
        </w:rPr>
        <w:t xml:space="preserve"> | N</w:t>
      </w:r>
      <w:r>
        <w:rPr>
          <w:rFonts w:ascii="Arial" w:cs="Arial" w:eastAsia="Arial" w:hAnsi="Arial"/>
          <w:sz w:val="11"/>
          <w:szCs w:val="11"/>
          <w:color w:val="auto"/>
        </w:rPr>
        <w:t>EW</w:t>
      </w:r>
      <w:r>
        <w:rPr>
          <w:rFonts w:ascii="Arial" w:cs="Arial" w:eastAsia="Arial" w:hAnsi="Arial"/>
          <w:sz w:val="17"/>
          <w:szCs w:val="17"/>
          <w:color w:val="auto"/>
        </w:rPr>
        <w:t xml:space="preserve"> Y</w:t>
      </w:r>
      <w:r>
        <w:rPr>
          <w:rFonts w:ascii="Arial" w:cs="Arial" w:eastAsia="Arial" w:hAnsi="Arial"/>
          <w:sz w:val="11"/>
          <w:szCs w:val="11"/>
          <w:color w:val="auto"/>
        </w:rPr>
        <w:t>ORK</w:t>
      </w:r>
      <w:r>
        <w:rPr>
          <w:rFonts w:ascii="Arial" w:cs="Arial" w:eastAsia="Arial" w:hAnsi="Arial"/>
          <w:sz w:val="17"/>
          <w:szCs w:val="17"/>
          <w:color w:val="auto"/>
        </w:rPr>
        <w:t xml:space="preserve"> | S</w:t>
      </w:r>
      <w:r>
        <w:rPr>
          <w:rFonts w:ascii="Arial" w:cs="Arial" w:eastAsia="Arial" w:hAnsi="Arial"/>
          <w:sz w:val="11"/>
          <w:szCs w:val="11"/>
          <w:color w:val="auto"/>
        </w:rPr>
        <w:t>TAMFORD</w:t>
      </w:r>
      <w:r>
        <w:rPr>
          <w:rFonts w:ascii="Arial" w:cs="Arial" w:eastAsia="Arial" w:hAnsi="Arial"/>
          <w:sz w:val="17"/>
          <w:szCs w:val="17"/>
          <w:color w:val="auto"/>
        </w:rPr>
        <w:t xml:space="preserve"> | L</w:t>
      </w:r>
      <w:r>
        <w:rPr>
          <w:rFonts w:ascii="Arial" w:cs="Arial" w:eastAsia="Arial" w:hAnsi="Arial"/>
          <w:sz w:val="11"/>
          <w:szCs w:val="11"/>
          <w:color w:val="auto"/>
        </w:rPr>
        <w:t>OS</w:t>
      </w:r>
      <w:r>
        <w:rPr>
          <w:rFonts w:ascii="Arial" w:cs="Arial" w:eastAsia="Arial" w:hAnsi="Arial"/>
          <w:sz w:val="17"/>
          <w:szCs w:val="17"/>
          <w:color w:val="auto"/>
        </w:rPr>
        <w:t xml:space="preserve"> A</w:t>
      </w:r>
      <w:r>
        <w:rPr>
          <w:rFonts w:ascii="Arial" w:cs="Arial" w:eastAsia="Arial" w:hAnsi="Arial"/>
          <w:sz w:val="11"/>
          <w:szCs w:val="11"/>
          <w:color w:val="auto"/>
        </w:rPr>
        <w:t>NGELES</w:t>
      </w:r>
      <w:r>
        <w:rPr>
          <w:rFonts w:ascii="Arial" w:cs="Arial" w:eastAsia="Arial" w:hAnsi="Arial"/>
          <w:sz w:val="17"/>
          <w:szCs w:val="17"/>
          <w:color w:val="auto"/>
        </w:rPr>
        <w:t xml:space="preserve"> | S</w:t>
      </w:r>
      <w:r>
        <w:rPr>
          <w:rFonts w:ascii="Arial" w:cs="Arial" w:eastAsia="Arial" w:hAnsi="Arial"/>
          <w:sz w:val="11"/>
          <w:szCs w:val="11"/>
          <w:color w:val="auto"/>
        </w:rPr>
        <w:t>AN</w:t>
      </w:r>
      <w:r>
        <w:rPr>
          <w:rFonts w:ascii="Arial" w:cs="Arial" w:eastAsia="Arial" w:hAnsi="Arial"/>
          <w:sz w:val="17"/>
          <w:szCs w:val="17"/>
          <w:color w:val="auto"/>
        </w:rPr>
        <w:t xml:space="preserve"> D</w:t>
      </w:r>
      <w:r>
        <w:rPr>
          <w:rFonts w:ascii="Arial" w:cs="Arial" w:eastAsia="Arial" w:hAnsi="Arial"/>
          <w:sz w:val="11"/>
          <w:szCs w:val="11"/>
          <w:color w:val="auto"/>
        </w:rPr>
        <w:t>IEGO</w:t>
      </w:r>
      <w:r>
        <w:rPr>
          <w:rFonts w:ascii="Arial" w:cs="Arial" w:eastAsia="Arial" w:hAnsi="Arial"/>
          <w:sz w:val="17"/>
          <w:szCs w:val="17"/>
          <w:color w:val="auto"/>
        </w:rPr>
        <w:t xml:space="preserve"> | L</w:t>
      </w:r>
      <w:r>
        <w:rPr>
          <w:rFonts w:ascii="Arial" w:cs="Arial" w:eastAsia="Arial" w:hAnsi="Arial"/>
          <w:sz w:val="11"/>
          <w:szCs w:val="11"/>
          <w:color w:val="auto"/>
        </w:rPr>
        <w:t>ONDON</w:t>
      </w:r>
      <w:r>
        <w:rPr>
          <w:rFonts w:ascii="Arial" w:cs="Arial" w:eastAsia="Arial" w:hAnsi="Arial"/>
          <w:sz w:val="17"/>
          <w:szCs w:val="17"/>
          <w:color w:val="auto"/>
        </w:rPr>
        <w:t xml:space="preserve"> | S</w:t>
      </w:r>
      <w:r>
        <w:rPr>
          <w:rFonts w:ascii="Arial" w:cs="Arial" w:eastAsia="Arial" w:hAnsi="Arial"/>
          <w:sz w:val="11"/>
          <w:szCs w:val="11"/>
          <w:color w:val="auto"/>
        </w:rPr>
        <w:t>AN</w:t>
      </w:r>
      <w:r>
        <w:rPr>
          <w:rFonts w:ascii="Arial" w:cs="Arial" w:eastAsia="Arial" w:hAnsi="Arial"/>
          <w:sz w:val="17"/>
          <w:szCs w:val="17"/>
          <w:color w:val="auto"/>
        </w:rPr>
        <w:t xml:space="preserve"> F</w:t>
      </w:r>
      <w:r>
        <w:rPr>
          <w:rFonts w:ascii="Arial" w:cs="Arial" w:eastAsia="Arial" w:hAnsi="Arial"/>
          <w:sz w:val="11"/>
          <w:szCs w:val="11"/>
          <w:color w:val="auto"/>
        </w:rPr>
        <w:t>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385445</wp:posOffset>
            </wp:positionV>
            <wp:extent cx="725678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82" w:name="page483"/>
    <w:bookmarkEnd w:id="482"/>
    <w:p>
      <w:pPr>
        <w:spacing w:after="0"/>
        <w:rPr>
          <w:sz w:val="20"/>
          <w:szCs w:val="20"/>
          <w:color w:val="auto"/>
        </w:rPr>
      </w:pPr>
      <w:r>
        <w:rPr>
          <w:rFonts w:ascii="Arial" w:cs="Arial" w:eastAsia="Arial" w:hAnsi="Arial"/>
          <w:sz w:val="17"/>
          <w:szCs w:val="17"/>
          <w:b w:val="1"/>
          <w:bCs w:val="1"/>
          <w:color w:val="auto"/>
        </w:rPr>
        <w:t>Mintz, Levin, Cohn, Ferris, Glovsky and Popeo, P.C.</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June 12, 2012</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93"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Our opinion is limited to the General Corporation Law of the State of Delaware (including the applicable provisions of the Delaware Constitution and the reported judicial decisions interpreting such laws) and the federal laws of the United States of America. We express no opinion with respect to the laws of any other jurisdiction and no opinion is expressed herein with respect to the qualification of the Securities under the securities or blue sky laws of any state or any foreign jurisdiction.</w:t>
      </w:r>
    </w:p>
    <w:p>
      <w:pPr>
        <w:spacing w:after="0" w:line="140"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after the Registration Statement has been declared effective by the Commission.</w:t>
      </w:r>
    </w:p>
    <w:p>
      <w:pPr>
        <w:spacing w:after="0" w:line="17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Based upon and subject to the foregoing, and subject to the qualifications stated herein, we are of the opinion that the Securities are or will be, upon issuance, duly authorized and, when the Registration Statement has been declared effective by order of the Commission and if and when the Securities have been issued and paid for upon the terms and conditions set forth in the Registration Statement and the Merger Agreement (including, with respect to the shares of Common Stock underlying the Warrants and Preferred Stock, the payment of the exercise price and conversion price therefor by the holders thereof, as applicable), the Securities will be validly issued, fully paid and non-assessable.</w:t>
      </w:r>
    </w:p>
    <w:p>
      <w:pPr>
        <w:spacing w:after="0" w:line="181" w:lineRule="exact"/>
        <w:rPr>
          <w:sz w:val="20"/>
          <w:szCs w:val="20"/>
          <w:color w:val="auto"/>
        </w:rPr>
      </w:pPr>
    </w:p>
    <w:p>
      <w:pPr>
        <w:jc w:val="both"/>
        <w:ind w:right="280"/>
        <w:spacing w:after="0" w:line="280"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this opinion under the caption “Legal Matters” in the proxy statement/prospectus included therein. In giving this consent, we do not thereby admit that we are included in the category of persons whose consent is required under Section 7 of the Securities Act or the rules and regulations of the Commission promulgated thereunder.</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Very truly yours,</w:t>
      </w:r>
    </w:p>
    <w:p>
      <w:pPr>
        <w:spacing w:after="0" w:line="205"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19050</wp:posOffset>
            </wp:positionV>
            <wp:extent cx="43522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4352290" cy="8255"/>
                    </a:xfrm>
                    <a:prstGeom prst="rect">
                      <a:avLst/>
                    </a:prstGeom>
                    <a:noFill/>
                  </pic:spPr>
                </pic:pic>
              </a:graphicData>
            </a:graphic>
          </wp:anchor>
        </w:drawing>
      </w:r>
    </w:p>
    <w:p>
      <w:pPr>
        <w:spacing w:after="0" w:line="10"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725678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sectPr>
      <w:pgSz w:w="11900" w:h="16838" w:orient="portrait"/>
      <w:cols w:equalWidth="0" w:num="1">
        <w:col w:w="11400"/>
      </w:cols>
      <w:pgMar w:left="240" w:top="8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DBC66"/>
    <w:multiLevelType w:val="hybridMultilevel"/>
    <w:lvl w:ilvl="0">
      <w:lvlJc w:val="left"/>
      <w:lvlText w:val="%1."/>
      <w:numFmt w:val="decimal"/>
      <w:start w:val="1"/>
    </w:lvl>
  </w:abstractNum>
  <w:abstractNum w:abstractNumId="1">
    <w:nsid w:val="30AADFDA"/>
    <w:multiLevelType w:val="hybridMultilevel"/>
    <w:lvl w:ilvl="0">
      <w:lvlJc w:val="left"/>
      <w:lvlText w:val="%1."/>
      <w:numFmt w:val="decimal"/>
      <w:start w:val="3"/>
    </w:lvl>
  </w:abstractNum>
  <w:abstractNum w:abstractNumId="2">
    <w:nsid w:val="30EADA61"/>
    <w:multiLevelType w:val="hybridMultilevel"/>
    <w:lvl w:ilvl="0">
      <w:lvlJc w:val="left"/>
      <w:lvlText w:val="%1:"/>
      <w:numFmt w:val="upperLetter"/>
      <w:start w:val="1"/>
    </w:lvl>
  </w:abstractNum>
  <w:abstractNum w:abstractNumId="3">
    <w:nsid w:val="27179C0B"/>
    <w:multiLevelType w:val="hybridMultilevel"/>
    <w:lvl w:ilvl="0">
      <w:lvlJc w:val="left"/>
      <w:lvlText w:val="%1:"/>
      <w:numFmt w:val="upperLetter"/>
      <w:start w:val="1"/>
    </w:lvl>
  </w:abstractNum>
  <w:abstractNum w:abstractNumId="4">
    <w:nsid w:val="5E636063"/>
    <w:multiLevelType w:val="hybridMultilevel"/>
    <w:lvl w:ilvl="0">
      <w:lvlJc w:val="left"/>
      <w:lvlText w:val="%1:"/>
      <w:numFmt w:val="upperLetter"/>
      <w:start w:val="1"/>
    </w:lvl>
  </w:abstractNum>
  <w:abstractNum w:abstractNumId="5">
    <w:nsid w:val="215641AF"/>
    <w:multiLevelType w:val="hybridMultilevel"/>
    <w:lvl w:ilvl="0">
      <w:lvlJc w:val="left"/>
      <w:lvlText w:val="%1:"/>
      <w:numFmt w:val="upperLetter"/>
      <w:start w:val="1"/>
    </w:lvl>
  </w:abstractNum>
  <w:abstractNum w:abstractNumId="6">
    <w:nsid w:val="53280662"/>
    <w:multiLevelType w:val="hybridMultilevel"/>
    <w:lvl w:ilvl="0">
      <w:lvlJc w:val="left"/>
      <w:lvlText w:val="%1:"/>
      <w:numFmt w:val="upperLetter"/>
      <w:start w:val="1"/>
    </w:lvl>
  </w:abstractNum>
  <w:abstractNum w:abstractNumId="7">
    <w:nsid w:val="46B24DBC"/>
    <w:multiLevelType w:val="hybridMultilevel"/>
    <w:lvl w:ilvl="0">
      <w:lvlJc w:val="left"/>
      <w:lvlText w:val="%1:"/>
      <w:numFmt w:val="upperLetter"/>
      <w:start w:val="17"/>
    </w:lvl>
  </w:abstractNum>
  <w:abstractNum w:abstractNumId="8">
    <w:nsid w:val="75B52783"/>
    <w:multiLevelType w:val="hybridMultilevel"/>
    <w:lvl w:ilvl="0">
      <w:lvlJc w:val="left"/>
      <w:lvlText w:val="%1:"/>
      <w:numFmt w:val="upperLetter"/>
      <w:start w:val="1"/>
    </w:lvl>
  </w:abstractNum>
  <w:abstractNum w:abstractNumId="9">
    <w:nsid w:val="57CE66B4"/>
    <w:multiLevelType w:val="hybridMultilevel"/>
    <w:lvl w:ilvl="0">
      <w:lvlJc w:val="left"/>
      <w:lvlText w:val="%1:"/>
      <w:numFmt w:val="upperLetter"/>
      <w:start w:val="1"/>
    </w:lvl>
  </w:abstractNum>
  <w:abstractNum w:abstractNumId="10">
    <w:nsid w:val="67A70B69"/>
    <w:multiLevelType w:val="hybridMultilevel"/>
    <w:lvl w:ilvl="0">
      <w:lvlJc w:val="left"/>
      <w:lvlText w:val="%1:"/>
      <w:numFmt w:val="upperLetter"/>
      <w:start w:val="1"/>
    </w:lvl>
  </w:abstractNum>
  <w:abstractNum w:abstractNumId="11">
    <w:nsid w:val="5953172F"/>
    <w:multiLevelType w:val="hybridMultilevel"/>
    <w:lvl w:ilvl="0">
      <w:lvlJc w:val="left"/>
      <w:lvlText w:val="•"/>
      <w:numFmt w:val="bullet"/>
      <w:start w:val="1"/>
    </w:lvl>
  </w:abstractNum>
  <w:abstractNum w:abstractNumId="12">
    <w:nsid w:val="27EDFE3A"/>
    <w:multiLevelType w:val="hybridMultilevel"/>
    <w:lvl w:ilvl="0">
      <w:lvlJc w:val="left"/>
      <w:lvlText w:val="•"/>
      <w:numFmt w:val="bullet"/>
      <w:start w:val="1"/>
    </w:lvl>
  </w:abstractNum>
  <w:abstractNum w:abstractNumId="13">
    <w:nsid w:val="52AC7DFF"/>
    <w:multiLevelType w:val="hybridMultilevel"/>
    <w:lvl w:ilvl="0">
      <w:lvlJc w:val="left"/>
      <w:lvlText w:val="•"/>
      <w:numFmt w:val="bullet"/>
      <w:start w:val="1"/>
    </w:lvl>
  </w:abstractNum>
  <w:abstractNum w:abstractNumId="14">
    <w:nsid w:val="C4C3AF"/>
    <w:multiLevelType w:val="hybridMultilevel"/>
    <w:lvl w:ilvl="0">
      <w:lvlJc w:val="left"/>
      <w:lvlText w:val="%1:"/>
      <w:numFmt w:val="upperLetter"/>
      <w:start w:val="1"/>
    </w:lvl>
  </w:abstractNum>
  <w:abstractNum w:abstractNumId="15">
    <w:nsid w:val="44380727"/>
    <w:multiLevelType w:val="hybridMultilevel"/>
    <w:lvl w:ilvl="0">
      <w:lvlJc w:val="left"/>
      <w:lvlText w:val="%1:"/>
      <w:numFmt w:val="upperLetter"/>
      <w:start w:val="17"/>
    </w:lvl>
  </w:abstractNum>
  <w:abstractNum w:abstractNumId="16">
    <w:nsid w:val="6C053B16"/>
    <w:multiLevelType w:val="hybridMultilevel"/>
    <w:lvl w:ilvl="0">
      <w:lvlJc w:val="left"/>
      <w:lvlText w:val="%1:"/>
      <w:numFmt w:val="upperLetter"/>
      <w:start w:val="1"/>
    </w:lvl>
  </w:abstractNum>
  <w:abstractNum w:abstractNumId="17">
    <w:nsid w:val="4F294393"/>
    <w:multiLevelType w:val="hybridMultilevel"/>
    <w:lvl w:ilvl="0">
      <w:lvlJc w:val="left"/>
      <w:lvlText w:val="%1:"/>
      <w:numFmt w:val="upperLetter"/>
      <w:start w:val="1"/>
    </w:lvl>
  </w:abstractNum>
  <w:abstractNum w:abstractNumId="18">
    <w:nsid w:val="5243BFAC"/>
    <w:multiLevelType w:val="hybridMultilevel"/>
    <w:lvl w:ilvl="0">
      <w:lvlJc w:val="left"/>
      <w:lvlText w:val="%1:"/>
      <w:numFmt w:val="upperLetter"/>
      <w:start w:val="1"/>
    </w:lvl>
  </w:abstractNum>
  <w:abstractNum w:abstractNumId="19">
    <w:nsid w:val="425EB207"/>
    <w:multiLevelType w:val="hybridMultilevel"/>
    <w:lvl w:ilvl="0">
      <w:lvlJc w:val="left"/>
      <w:lvlText w:val="%1:"/>
      <w:numFmt w:val="upperLetter"/>
      <w:start w:val="17"/>
    </w:lvl>
  </w:abstractNum>
  <w:abstractNum w:abstractNumId="20">
    <w:nsid w:val="334A6F1F"/>
    <w:multiLevelType w:val="hybridMultilevel"/>
    <w:lvl w:ilvl="0">
      <w:lvlJc w:val="left"/>
      <w:lvlText w:val="%1:"/>
      <w:numFmt w:val="upperLetter"/>
      <w:start w:val="1"/>
    </w:lvl>
  </w:abstractNum>
  <w:abstractNum w:abstractNumId="21">
    <w:nsid w:val="2E5B12B8"/>
    <w:multiLevelType w:val="hybridMultilevel"/>
    <w:lvl w:ilvl="0">
      <w:lvlJc w:val="left"/>
      <w:lvlText w:val="%1:"/>
      <w:numFmt w:val="upperLetter"/>
      <w:start w:val="1"/>
    </w:lvl>
  </w:abstractNum>
  <w:abstractNum w:abstractNumId="22">
    <w:nsid w:val="5C03D76D"/>
    <w:multiLevelType w:val="hybridMultilevel"/>
    <w:lvl w:ilvl="0">
      <w:lvlJc w:val="left"/>
      <w:lvlText w:val="(%1)"/>
      <w:numFmt w:val="lowerRoman"/>
      <w:start w:val="4"/>
    </w:lvl>
  </w:abstractNum>
  <w:abstractNum w:abstractNumId="23">
    <w:nsid w:val="66A48D11"/>
    <w:multiLevelType w:val="hybridMultilevel"/>
    <w:lvl w:ilvl="0">
      <w:lvlJc w:val="left"/>
      <w:lvlText w:val="%1:"/>
      <w:numFmt w:val="upperLetter"/>
      <w:start w:val="1"/>
    </w:lvl>
  </w:abstractNum>
  <w:abstractNum w:abstractNumId="24">
    <w:nsid w:val="56C28E34"/>
    <w:multiLevelType w:val="hybridMultilevel"/>
    <w:lvl w:ilvl="0">
      <w:lvlJc w:val="left"/>
      <w:lvlText w:val="%1:"/>
      <w:numFmt w:val="upperLetter"/>
      <w:start w:val="1"/>
    </w:lvl>
  </w:abstractNum>
  <w:abstractNum w:abstractNumId="25">
    <w:nsid w:val="13916F2D"/>
    <w:multiLevelType w:val="hybridMultilevel"/>
    <w:lvl w:ilvl="0">
      <w:lvlJc w:val="left"/>
      <w:lvlText w:val="%1:"/>
      <w:numFmt w:val="upperLetter"/>
      <w:start w:val="1"/>
    </w:lvl>
  </w:abstractNum>
  <w:abstractNum w:abstractNumId="26">
    <w:nsid w:val="435D38D"/>
    <w:multiLevelType w:val="hybridMultilevel"/>
    <w:lvl w:ilvl="0">
      <w:lvlJc w:val="left"/>
      <w:lvlText w:val="%1:"/>
      <w:numFmt w:val="upperLetter"/>
      <w:start w:val="1"/>
    </w:lvl>
  </w:abstractNum>
  <w:abstractNum w:abstractNumId="27">
    <w:nsid w:val="822C0EF"/>
    <w:multiLevelType w:val="hybridMultilevel"/>
    <w:lvl w:ilvl="0">
      <w:lvlJc w:val="left"/>
      <w:lvlText w:val="%1:"/>
      <w:numFmt w:val="upperLetter"/>
      <w:start w:val="17"/>
    </w:lvl>
  </w:abstractNum>
  <w:abstractNum w:abstractNumId="28">
    <w:nsid w:val="57C5BB4F"/>
    <w:multiLevelType w:val="hybridMultilevel"/>
    <w:lvl w:ilvl="0">
      <w:lvlJc w:val="left"/>
      <w:lvlText w:val="%1:"/>
      <w:numFmt w:val="upperLetter"/>
      <w:start w:val="1"/>
    </w:lvl>
    <w:lvl w:ilvl="1">
      <w:lvlJc w:val="left"/>
      <w:lvlText w:val="(%2)"/>
      <w:numFmt w:val="decimal"/>
      <w:start w:val="7"/>
    </w:lvl>
  </w:abstractNum>
  <w:abstractNum w:abstractNumId="29">
    <w:nsid w:val="1803D089"/>
    <w:multiLevelType w:val="hybridMultilevel"/>
    <w:lvl w:ilvl="0">
      <w:lvlJc w:val="left"/>
      <w:lvlText w:val="%1:"/>
      <w:numFmt w:val="upperLetter"/>
      <w:start w:val="1"/>
    </w:lvl>
  </w:abstractNum>
  <w:abstractNum w:abstractNumId="30">
    <w:nsid w:val="4F3A06D4"/>
    <w:multiLevelType w:val="hybridMultilevel"/>
    <w:lvl w:ilvl="0">
      <w:lvlJc w:val="left"/>
      <w:lvlText w:val="%1:"/>
      <w:numFmt w:val="upperLetter"/>
      <w:start w:val="1"/>
    </w:lvl>
  </w:abstractNum>
  <w:abstractNum w:abstractNumId="31">
    <w:nsid w:val="59A377B6"/>
    <w:multiLevelType w:val="hybridMultilevel"/>
    <w:lvl w:ilvl="0">
      <w:lvlJc w:val="left"/>
      <w:lvlText w:val="%1:"/>
      <w:numFmt w:val="upperLetter"/>
      <w:start w:val="1"/>
    </w:lvl>
  </w:abstractNum>
  <w:abstractNum w:abstractNumId="32">
    <w:nsid w:val="48AEB063"/>
    <w:multiLevelType w:val="hybridMultilevel"/>
    <w:lvl w:ilvl="0">
      <w:lvlJc w:val="left"/>
      <w:lvlText w:val="%1:"/>
      <w:numFmt w:val="upperLetter"/>
      <w:start w:val="1"/>
    </w:lvl>
  </w:abstractNum>
  <w:abstractNum w:abstractNumId="33">
    <w:nsid w:val="24E135"/>
    <w:multiLevelType w:val="hybridMultilevel"/>
    <w:lvl w:ilvl="0">
      <w:lvlJc w:val="left"/>
      <w:lvlText w:val="%1:"/>
      <w:numFmt w:val="upperLetter"/>
      <w:start w:val="1"/>
    </w:lvl>
  </w:abstractNum>
  <w:abstractNum w:abstractNumId="34">
    <w:nsid w:val="BB13C1"/>
    <w:multiLevelType w:val="hybridMultilevel"/>
    <w:lvl w:ilvl="0">
      <w:lvlJc w:val="left"/>
      <w:lvlText w:val="%1:"/>
      <w:numFmt w:val="upperLetter"/>
      <w:start w:val="1"/>
    </w:lvl>
  </w:abstractNum>
  <w:abstractNum w:abstractNumId="35">
    <w:nsid w:val="271210C7"/>
    <w:multiLevelType w:val="hybridMultilevel"/>
    <w:lvl w:ilvl="0">
      <w:lvlJc w:val="left"/>
      <w:lvlText w:val="%1:"/>
      <w:numFmt w:val="upperLetter"/>
      <w:start w:val="1"/>
    </w:lvl>
  </w:abstractNum>
  <w:abstractNum w:abstractNumId="36">
    <w:nsid w:val="217B22E4"/>
    <w:multiLevelType w:val="hybridMultilevel"/>
    <w:lvl w:ilvl="0">
      <w:lvlJc w:val="left"/>
      <w:lvlText w:val="%1:"/>
      <w:numFmt w:val="upperLetter"/>
      <w:start w:val="17"/>
    </w:lvl>
  </w:abstractNum>
  <w:abstractNum w:abstractNumId="37">
    <w:nsid w:val="53E31A24"/>
    <w:multiLevelType w:val="hybridMultilevel"/>
    <w:lvl w:ilvl="0">
      <w:lvlJc w:val="left"/>
      <w:lvlText w:val="%1:"/>
      <w:numFmt w:val="upperLetter"/>
      <w:start w:val="1"/>
    </w:lvl>
  </w:abstractNum>
  <w:abstractNum w:abstractNumId="38">
    <w:nsid w:val="6DC45E83"/>
    <w:multiLevelType w:val="hybridMultilevel"/>
    <w:lvl w:ilvl="0">
      <w:lvlJc w:val="left"/>
      <w:lvlText w:val="%1:"/>
      <w:numFmt w:val="upperLetter"/>
      <w:start w:val="1"/>
    </w:lvl>
  </w:abstractNum>
  <w:abstractNum w:abstractNumId="39">
    <w:nsid w:val="17304A67"/>
    <w:multiLevelType w:val="hybridMultilevel"/>
    <w:lvl w:ilvl="0">
      <w:lvlJc w:val="left"/>
      <w:lvlText w:val="%1:"/>
      <w:numFmt w:val="upperLetter"/>
      <w:start w:val="1"/>
    </w:lvl>
  </w:abstractNum>
  <w:abstractNum w:abstractNumId="40">
    <w:nsid w:val="2BB180D8"/>
    <w:multiLevelType w:val="hybridMultilevel"/>
    <w:lvl w:ilvl="0">
      <w:lvlJc w:val="left"/>
      <w:lvlText w:val="%1:"/>
      <w:numFmt w:val="upperLetter"/>
      <w:start w:val="1"/>
    </w:lvl>
  </w:abstractNum>
  <w:abstractNum w:abstractNumId="41">
    <w:nsid w:val="556B69ED"/>
    <w:multiLevelType w:val="hybridMultilevel"/>
    <w:lvl w:ilvl="0">
      <w:lvlJc w:val="left"/>
      <w:lvlText w:val="%1:"/>
      <w:numFmt w:val="upperLetter"/>
      <w:start w:val="1"/>
    </w:lvl>
  </w:abstractNum>
  <w:abstractNum w:abstractNumId="42">
    <w:nsid w:val="70836196"/>
    <w:multiLevelType w:val="hybridMultilevel"/>
    <w:lvl w:ilvl="0">
      <w:lvlJc w:val="left"/>
      <w:lvlText w:val="%1:"/>
      <w:numFmt w:val="upperLetter"/>
      <w:start w:val="1"/>
    </w:lvl>
  </w:abstractNum>
  <w:abstractNum w:abstractNumId="43">
    <w:nsid w:val="539F7F12"/>
    <w:multiLevelType w:val="hybridMultilevel"/>
    <w:lvl w:ilvl="0">
      <w:lvlJc w:val="left"/>
      <w:lvlText w:val="%1:"/>
      <w:numFmt w:val="upperLetter"/>
      <w:start w:val="1"/>
    </w:lvl>
  </w:abstractNum>
  <w:abstractNum w:abstractNumId="44">
    <w:nsid w:val="2817E7EC"/>
    <w:multiLevelType w:val="hybridMultilevel"/>
    <w:lvl w:ilvl="0">
      <w:lvlJc w:val="left"/>
      <w:lvlText w:val="%1:"/>
      <w:numFmt w:val="upperLetter"/>
      <w:start w:val="1"/>
    </w:lvl>
  </w:abstractNum>
  <w:abstractNum w:abstractNumId="45">
    <w:nsid w:val="71482545"/>
    <w:multiLevelType w:val="hybridMultilevel"/>
    <w:lvl w:ilvl="0">
      <w:lvlJc w:val="left"/>
      <w:lvlText w:val="%1:"/>
      <w:numFmt w:val="upperLetter"/>
      <w:start w:val="1"/>
    </w:lvl>
  </w:abstractNum>
  <w:abstractNum w:abstractNumId="46">
    <w:nsid w:val="17D78639"/>
    <w:multiLevelType w:val="hybridMultilevel"/>
    <w:lvl w:ilvl="0">
      <w:lvlJc w:val="left"/>
      <w:lvlText w:val="•"/>
      <w:numFmt w:val="bullet"/>
      <w:start w:val="1"/>
    </w:lvl>
  </w:abstractNum>
  <w:abstractNum w:abstractNumId="47">
    <w:nsid w:val="141D2302"/>
    <w:multiLevelType w:val="hybridMultilevel"/>
    <w:lvl w:ilvl="0">
      <w:lvlJc w:val="left"/>
      <w:lvlText w:val="(%1)"/>
      <w:numFmt w:val="decimal"/>
      <w:start w:val="1"/>
    </w:lvl>
  </w:abstractNum>
  <w:abstractNum w:abstractNumId="48">
    <w:nsid w:val="407168D8"/>
    <w:multiLevelType w:val="hybridMultilevel"/>
    <w:lvl w:ilvl="0">
      <w:lvlJc w:val="left"/>
      <w:lvlText w:val="•"/>
      <w:numFmt w:val="bullet"/>
      <w:start w:val="1"/>
    </w:lvl>
  </w:abstractNum>
  <w:abstractNum w:abstractNumId="49">
    <w:nsid w:val="6A1B45E5"/>
    <w:multiLevelType w:val="hybridMultilevel"/>
    <w:lvl w:ilvl="0">
      <w:lvlJc w:val="left"/>
      <w:lvlText w:val="•"/>
      <w:numFmt w:val="bullet"/>
      <w:start w:val="1"/>
    </w:lvl>
  </w:abstractNum>
  <w:abstractNum w:abstractNumId="50">
    <w:nsid w:val="567BD50A"/>
    <w:multiLevelType w:val="hybridMultilevel"/>
    <w:lvl w:ilvl="0">
      <w:lvlJc w:val="left"/>
      <w:lvlText w:val="•"/>
      <w:numFmt w:val="bullet"/>
      <w:start w:val="1"/>
    </w:lvl>
    <w:lvl w:ilvl="1">
      <w:lvlJc w:val="left"/>
      <w:lvlText w:val="•"/>
      <w:numFmt w:val="bullet"/>
      <w:start w:val="1"/>
    </w:lvl>
  </w:abstractNum>
  <w:abstractNum w:abstractNumId="51">
    <w:nsid w:val="73BBD7F8"/>
    <w:multiLevelType w:val="hybridMultilevel"/>
    <w:lvl w:ilvl="0">
      <w:lvlJc w:val="left"/>
      <w:lvlText w:val="•"/>
      <w:numFmt w:val="bullet"/>
      <w:start w:val="1"/>
    </w:lvl>
  </w:abstractNum>
  <w:abstractNum w:abstractNumId="52">
    <w:nsid w:val="1876589D"/>
    <w:multiLevelType w:val="hybridMultilevel"/>
    <w:lvl w:ilvl="0">
      <w:lvlJc w:val="left"/>
      <w:lvlText w:val="•"/>
      <w:numFmt w:val="bullet"/>
      <w:start w:val="1"/>
    </w:lvl>
  </w:abstractNum>
  <w:abstractNum w:abstractNumId="53">
    <w:nsid w:val="327FAC77"/>
    <w:multiLevelType w:val="hybridMultilevel"/>
    <w:lvl w:ilvl="0">
      <w:lvlJc w:val="left"/>
      <w:lvlText w:val="(%1)"/>
      <w:numFmt w:val="lowerRoman"/>
      <w:start w:val="2"/>
    </w:lvl>
  </w:abstractNum>
  <w:abstractNum w:abstractNumId="54">
    <w:nsid w:val="5A606509"/>
    <w:multiLevelType w:val="hybridMultilevel"/>
    <w:lvl w:ilvl="0">
      <w:lvlJc w:val="left"/>
      <w:lvlText w:val="%1."/>
      <w:numFmt w:val="decimal"/>
      <w:start w:val="3"/>
    </w:lvl>
  </w:abstractNum>
  <w:abstractNum w:abstractNumId="55">
    <w:nsid w:val="6F38E6D1"/>
    <w:multiLevelType w:val="hybridMultilevel"/>
    <w:lvl w:ilvl="0">
      <w:lvlJc w:val="left"/>
      <w:lvlText w:val="*"/>
      <w:numFmt w:val="bullet"/>
      <w:start w:val="1"/>
    </w:lvl>
  </w:abstractNum>
  <w:abstractNum w:abstractNumId="56">
    <w:nsid w:val="46111BA5"/>
    <w:multiLevelType w:val="hybridMultilevel"/>
    <w:lvl w:ilvl="0">
      <w:lvlJc w:val="left"/>
      <w:lvlText w:val="**"/>
      <w:numFmt w:val="bullet"/>
      <w:start w:val="1"/>
    </w:lvl>
  </w:abstractNum>
  <w:abstractNum w:abstractNumId="57">
    <w:nsid w:val="5E963896"/>
    <w:multiLevelType w:val="hybridMultilevel"/>
    <w:lvl w:ilvl="0">
      <w:lvlJc w:val="left"/>
      <w:lvlText w:val="%1."/>
      <w:numFmt w:val="decimal"/>
      <w:start w:val="1"/>
    </w:lvl>
  </w:abstractNum>
  <w:abstractNum w:abstractNumId="58">
    <w:nsid w:val="775BA7C1"/>
    <w:multiLevelType w:val="hybridMultilevel"/>
    <w:lvl w:ilvl="0">
      <w:lvlJc w:val="left"/>
      <w:lvlText w:val="%1."/>
      <w:numFmt w:val="decimal"/>
      <w:start w:val="3"/>
    </w:lvl>
  </w:abstractNum>
  <w:abstractNum w:abstractNumId="59">
    <w:nsid w:val="1DD6D6F4"/>
    <w:multiLevelType w:val="hybridMultilevel"/>
    <w:lvl w:ilvl="0">
      <w:lvlJc w:val="left"/>
      <w:lvlText w:val="%1."/>
      <w:numFmt w:val="decimal"/>
      <w:start w:val="4"/>
    </w:lvl>
  </w:abstractNum>
  <w:abstractNum w:abstractNumId="60">
    <w:nsid w:val="769A091F"/>
    <w:multiLevelType w:val="hybridMultilevel"/>
    <w:lvl w:ilvl="0">
      <w:lvlJc w:val="left"/>
      <w:lvlText w:val="%1."/>
      <w:numFmt w:val="decimal"/>
      <w:start w:val="7"/>
    </w:lvl>
  </w:abstractNum>
  <w:abstractNum w:abstractNumId="61">
    <w:nsid w:val="4695AE95"/>
    <w:multiLevelType w:val="hybridMultilevel"/>
    <w:lvl w:ilvl="0">
      <w:lvlJc w:val="left"/>
      <w:lvlText w:val="%1."/>
      <w:numFmt w:val="decimal"/>
      <w:start w:val="8"/>
    </w:lvl>
  </w:abstractNum>
  <w:abstractNum w:abstractNumId="62">
    <w:nsid w:val="777A4EAA"/>
    <w:multiLevelType w:val="hybridMultilevel"/>
    <w:lvl w:ilvl="0">
      <w:lvlJc w:val="left"/>
      <w:lvlText w:val="(%1)"/>
      <w:numFmt w:val="decimal"/>
      <w:start w:val="1"/>
    </w:lvl>
  </w:abstractNum>
  <w:abstractNum w:abstractNumId="63">
    <w:nsid w:val="3F48B982"/>
    <w:multiLevelType w:val="hybridMultilevel"/>
    <w:lvl w:ilvl="0">
      <w:lvlJc w:val="left"/>
      <w:lvlText w:val="(%1)"/>
      <w:numFmt w:val="decimal"/>
      <w:start w:val="1"/>
    </w:lvl>
  </w:abstractNum>
  <w:abstractNum w:abstractNumId="64">
    <w:nsid w:val="46BA8FCA"/>
    <w:multiLevelType w:val="hybridMultilevel"/>
    <w:lvl w:ilvl="0">
      <w:lvlJc w:val="left"/>
      <w:lvlText w:val="•"/>
      <w:numFmt w:val="bullet"/>
      <w:start w:val="1"/>
    </w:lvl>
  </w:abstractNum>
  <w:abstractNum w:abstractNumId="65">
    <w:nsid w:val="7835626C"/>
    <w:multiLevelType w:val="hybridMultilevel"/>
    <w:lvl w:ilvl="0">
      <w:lvlJc w:val="left"/>
      <w:lvlText w:val="•"/>
      <w:numFmt w:val="bullet"/>
      <w:start w:val="1"/>
    </w:lvl>
  </w:abstractNum>
  <w:abstractNum w:abstractNumId="66">
    <w:nsid w:val="665ACA49"/>
    <w:multiLevelType w:val="hybridMultilevel"/>
    <w:lvl w:ilvl="0">
      <w:lvlJc w:val="left"/>
      <w:lvlText w:val="•"/>
      <w:numFmt w:val="bullet"/>
      <w:start w:val="1"/>
    </w:lvl>
  </w:abstractNum>
  <w:abstractNum w:abstractNumId="67">
    <w:nsid w:val="6835B2AE"/>
    <w:multiLevelType w:val="hybridMultilevel"/>
    <w:lvl w:ilvl="0">
      <w:lvlJc w:val="left"/>
      <w:lvlText w:val="•"/>
      <w:numFmt w:val="bullet"/>
      <w:start w:val="1"/>
    </w:lvl>
  </w:abstractNum>
  <w:abstractNum w:abstractNumId="68">
    <w:nsid w:val="4C187C90"/>
    <w:multiLevelType w:val="hybridMultilevel"/>
    <w:lvl w:ilvl="0">
      <w:lvlJc w:val="left"/>
      <w:lvlText w:val="•"/>
      <w:numFmt w:val="bullet"/>
      <w:start w:val="1"/>
    </w:lvl>
  </w:abstractNum>
  <w:abstractNum w:abstractNumId="69">
    <w:nsid w:val="541F28CD"/>
    <w:multiLevelType w:val="hybridMultilevel"/>
    <w:lvl w:ilvl="0">
      <w:lvlJc w:val="left"/>
      <w:lvlText w:val="•"/>
      <w:numFmt w:val="bullet"/>
      <w:start w:val="1"/>
    </w:lvl>
  </w:abstractNum>
  <w:abstractNum w:abstractNumId="70">
    <w:nsid w:val="7F65FD16"/>
    <w:multiLevelType w:val="hybridMultilevel"/>
    <w:lvl w:ilvl="0">
      <w:lvlJc w:val="left"/>
      <w:lvlText w:val="•"/>
      <w:numFmt w:val="bullet"/>
      <w:start w:val="1"/>
    </w:lvl>
  </w:abstractNum>
  <w:abstractNum w:abstractNumId="71">
    <w:nsid w:val="77C9FD68"/>
    <w:multiLevelType w:val="hybridMultilevel"/>
    <w:lvl w:ilvl="0">
      <w:lvlJc w:val="left"/>
      <w:lvlText w:val="(%1)"/>
      <w:numFmt w:val="lowerLetter"/>
      <w:start w:val="3"/>
    </w:lvl>
  </w:abstractNum>
  <w:abstractNum w:abstractNumId="72">
    <w:nsid w:val="298A92BA"/>
    <w:multiLevelType w:val="hybridMultilevel"/>
    <w:lvl w:ilvl="0">
      <w:lvlJc w:val="left"/>
      <w:lvlText w:val="•"/>
      <w:numFmt w:val="bullet"/>
      <w:start w:val="1"/>
    </w:lvl>
  </w:abstractNum>
  <w:abstractNum w:abstractNumId="73">
    <w:nsid w:val="6FE95EAC"/>
    <w:multiLevelType w:val="hybridMultilevel"/>
    <w:lvl w:ilvl="0">
      <w:lvlJc w:val="left"/>
      <w:lvlText w:val="•"/>
      <w:numFmt w:val="bullet"/>
      <w:start w:val="1"/>
    </w:lvl>
  </w:abstractNum>
  <w:abstractNum w:abstractNumId="74">
    <w:nsid w:val="4B697C7A"/>
    <w:multiLevelType w:val="hybridMultilevel"/>
    <w:lvl w:ilvl="0">
      <w:lvlJc w:val="left"/>
      <w:lvlText w:val="•"/>
      <w:numFmt w:val="bullet"/>
      <w:start w:val="1"/>
    </w:lvl>
  </w:abstractNum>
  <w:abstractNum w:abstractNumId="75">
    <w:nsid w:val="51A27AA6"/>
    <w:multiLevelType w:val="hybridMultilevel"/>
    <w:lvl w:ilvl="0">
      <w:lvlJc w:val="left"/>
      <w:lvlText w:val="•"/>
      <w:numFmt w:val="bullet"/>
      <w:start w:val="1"/>
    </w:lvl>
  </w:abstractNum>
  <w:abstractNum w:abstractNumId="76">
    <w:nsid w:val="613183F2"/>
    <w:multiLevelType w:val="hybridMultilevel"/>
    <w:lvl w:ilvl="0">
      <w:lvlJc w:val="left"/>
      <w:lvlText w:val="•"/>
      <w:numFmt w:val="bullet"/>
      <w:start w:val="1"/>
    </w:lvl>
  </w:abstractNum>
  <w:abstractNum w:abstractNumId="77">
    <w:nsid w:val="634102B4"/>
    <w:multiLevelType w:val="hybridMultilevel"/>
    <w:lvl w:ilvl="0">
      <w:lvlJc w:val="left"/>
      <w:lvlText w:val="•"/>
      <w:numFmt w:val="bullet"/>
      <w:start w:val="1"/>
    </w:lvl>
  </w:abstractNum>
  <w:abstractNum w:abstractNumId="78">
    <w:nsid w:val="65BF9DA8"/>
    <w:multiLevelType w:val="hybridMultilevel"/>
    <w:lvl w:ilvl="0">
      <w:lvlJc w:val="left"/>
      <w:lvlText w:val="•"/>
      <w:numFmt w:val="bullet"/>
      <w:start w:val="1"/>
    </w:lvl>
  </w:abstractNum>
  <w:abstractNum w:abstractNumId="79">
    <w:nsid w:val="21A2ECCA"/>
    <w:multiLevelType w:val="hybridMultilevel"/>
    <w:lvl w:ilvl="0">
      <w:lvlJc w:val="left"/>
      <w:lvlText w:val="•"/>
      <w:numFmt w:val="bullet"/>
      <w:start w:val="1"/>
    </w:lvl>
  </w:abstractNum>
  <w:abstractNum w:abstractNumId="80">
    <w:nsid w:val="4D5C4899"/>
    <w:multiLevelType w:val="hybridMultilevel"/>
    <w:lvl w:ilvl="0">
      <w:lvlJc w:val="left"/>
      <w:lvlText w:val="•"/>
      <w:numFmt w:val="bullet"/>
      <w:start w:val="1"/>
    </w:lvl>
  </w:abstractNum>
  <w:abstractNum w:abstractNumId="81">
    <w:nsid w:val="3C3B72B2"/>
    <w:multiLevelType w:val="hybridMultilevel"/>
    <w:lvl w:ilvl="0">
      <w:lvlJc w:val="left"/>
      <w:lvlText w:val="•"/>
      <w:numFmt w:val="bullet"/>
      <w:start w:val="1"/>
    </w:lvl>
  </w:abstractNum>
  <w:abstractNum w:abstractNumId="82">
    <w:nsid w:val="155EC4C2"/>
    <w:multiLevelType w:val="hybridMultilevel"/>
    <w:lvl w:ilvl="0">
      <w:lvlJc w:val="left"/>
      <w:lvlText w:val="•"/>
      <w:numFmt w:val="bullet"/>
      <w:start w:val="1"/>
    </w:lvl>
  </w:abstractNum>
  <w:abstractNum w:abstractNumId="83">
    <w:nsid w:val="65D2A137"/>
    <w:multiLevelType w:val="hybridMultilevel"/>
    <w:lvl w:ilvl="0">
      <w:lvlJc w:val="left"/>
      <w:lvlText w:val="•"/>
      <w:numFmt w:val="bullet"/>
      <w:start w:val="1"/>
    </w:lvl>
  </w:abstractNum>
  <w:abstractNum w:abstractNumId="84">
    <w:nsid w:val="6EBB1F2A"/>
    <w:multiLevelType w:val="hybridMultilevel"/>
    <w:lvl w:ilvl="0">
      <w:lvlJc w:val="left"/>
      <w:lvlText w:val="•"/>
      <w:numFmt w:val="bullet"/>
      <w:start w:val="1"/>
    </w:lvl>
  </w:abstractNum>
  <w:abstractNum w:abstractNumId="85">
    <w:nsid w:val="6FBF29CB"/>
    <w:multiLevelType w:val="hybridMultilevel"/>
    <w:lvl w:ilvl="0">
      <w:lvlJc w:val="left"/>
      <w:lvlText w:val="•"/>
      <w:numFmt w:val="bullet"/>
      <w:start w:val="1"/>
    </w:lvl>
  </w:abstractNum>
  <w:abstractNum w:abstractNumId="86">
    <w:nsid w:val="550B8808"/>
    <w:multiLevelType w:val="hybridMultilevel"/>
    <w:lvl w:ilvl="0">
      <w:lvlJc w:val="left"/>
      <w:lvlText w:val="•"/>
      <w:numFmt w:val="bullet"/>
      <w:start w:val="1"/>
    </w:lvl>
  </w:abstractNum>
  <w:abstractNum w:abstractNumId="87">
    <w:nsid w:val="34CC3ACF"/>
    <w:multiLevelType w:val="hybridMultilevel"/>
    <w:lvl w:ilvl="0">
      <w:lvlJc w:val="left"/>
      <w:lvlText w:val="•"/>
      <w:numFmt w:val="bullet"/>
      <w:start w:val="1"/>
    </w:lvl>
  </w:abstractNum>
  <w:abstractNum w:abstractNumId="88">
    <w:nsid w:val="4E556261"/>
    <w:multiLevelType w:val="hybridMultilevel"/>
    <w:lvl w:ilvl="0">
      <w:lvlJc w:val="left"/>
      <w:lvlText w:val="•"/>
      <w:numFmt w:val="bullet"/>
      <w:start w:val="1"/>
    </w:lvl>
  </w:abstractNum>
  <w:abstractNum w:abstractNumId="89">
    <w:nsid w:val="4C672FC9"/>
    <w:multiLevelType w:val="hybridMultilevel"/>
    <w:lvl w:ilvl="0">
      <w:lvlJc w:val="left"/>
      <w:lvlText w:val="•"/>
      <w:numFmt w:val="bullet"/>
      <w:start w:val="1"/>
    </w:lvl>
  </w:abstractNum>
  <w:abstractNum w:abstractNumId="90">
    <w:nsid w:val="52A311C3"/>
    <w:multiLevelType w:val="hybridMultilevel"/>
    <w:lvl w:ilvl="0">
      <w:lvlJc w:val="left"/>
      <w:lvlText w:val="•"/>
      <w:numFmt w:val="bullet"/>
      <w:start w:val="1"/>
    </w:lvl>
  </w:abstractNum>
  <w:abstractNum w:abstractNumId="91">
    <w:nsid w:val="44EF6B80"/>
    <w:multiLevelType w:val="hybridMultilevel"/>
    <w:lvl w:ilvl="0">
      <w:lvlJc w:val="left"/>
      <w:lvlText w:val="•"/>
      <w:numFmt w:val="bullet"/>
      <w:start w:val="1"/>
    </w:lvl>
  </w:abstractNum>
  <w:abstractNum w:abstractNumId="92">
    <w:nsid w:val="12FCDE5E"/>
    <w:multiLevelType w:val="hybridMultilevel"/>
    <w:lvl w:ilvl="0">
      <w:lvlJc w:val="left"/>
      <w:lvlText w:val="•"/>
      <w:numFmt w:val="bullet"/>
      <w:start w:val="1"/>
    </w:lvl>
  </w:abstractNum>
  <w:abstractNum w:abstractNumId="93">
    <w:nsid w:val="4A1D606E"/>
    <w:multiLevelType w:val="hybridMultilevel"/>
    <w:lvl w:ilvl="0">
      <w:lvlJc w:val="left"/>
      <w:lvlText w:val="(%1)"/>
      <w:numFmt w:val="lowerLetter"/>
      <w:start w:val="25"/>
    </w:lvl>
  </w:abstractNum>
  <w:abstractNum w:abstractNumId="94">
    <w:nsid w:val="4382503"/>
    <w:multiLevelType w:val="hybridMultilevel"/>
    <w:lvl w:ilvl="0">
      <w:lvlJc w:val="left"/>
      <w:lvlText w:val="•"/>
      <w:numFmt w:val="bullet"/>
      <w:start w:val="1"/>
    </w:lvl>
  </w:abstractNum>
  <w:abstractNum w:abstractNumId="95">
    <w:nsid w:val="59B76E28"/>
    <w:multiLevelType w:val="hybridMultilevel"/>
    <w:lvl w:ilvl="0">
      <w:lvlJc w:val="left"/>
      <w:lvlText w:val="•"/>
      <w:numFmt w:val="bullet"/>
      <w:start w:val="1"/>
    </w:lvl>
  </w:abstractNum>
  <w:abstractNum w:abstractNumId="96">
    <w:nsid w:val="4252C2DA"/>
    <w:multiLevelType w:val="hybridMultilevel"/>
    <w:lvl w:ilvl="0">
      <w:lvlJc w:val="left"/>
      <w:lvlText w:val="•"/>
      <w:numFmt w:val="bullet"/>
      <w:start w:val="1"/>
    </w:lvl>
  </w:abstractNum>
  <w:abstractNum w:abstractNumId="97">
    <w:nsid w:val="6A92EF4C"/>
    <w:multiLevelType w:val="hybridMultilevel"/>
    <w:lvl w:ilvl="0">
      <w:lvlJc w:val="left"/>
      <w:lvlText w:val="•"/>
      <w:numFmt w:val="bullet"/>
      <w:start w:val="1"/>
    </w:lvl>
  </w:abstractNum>
  <w:abstractNum w:abstractNumId="98">
    <w:nsid w:val="41ED20D7"/>
    <w:multiLevelType w:val="hybridMultilevel"/>
    <w:lvl w:ilvl="0">
      <w:lvlJc w:val="left"/>
      <w:lvlText w:val="%1."/>
      <w:numFmt w:val="decimal"/>
      <w:start w:val="1"/>
    </w:lvl>
  </w:abstractNum>
  <w:abstractNum w:abstractNumId="99">
    <w:nsid w:val="E6B3F6A"/>
    <w:multiLevelType w:val="hybridMultilevel"/>
    <w:lvl w:ilvl="0">
      <w:lvlJc w:val="left"/>
      <w:lvlText w:val="•"/>
      <w:numFmt w:val="bullet"/>
      <w:start w:val="1"/>
    </w:lvl>
  </w:abstractNum>
  <w:abstractNum w:abstractNumId="100">
    <w:nsid w:val="3EB21819"/>
    <w:multiLevelType w:val="hybridMultilevel"/>
    <w:lvl w:ilvl="0">
      <w:lvlJc w:val="left"/>
      <w:lvlText w:val="•"/>
      <w:numFmt w:val="bullet"/>
      <w:start w:val="1"/>
    </w:lvl>
  </w:abstractNum>
  <w:abstractNum w:abstractNumId="101">
    <w:nsid w:val="41531DED"/>
    <w:multiLevelType w:val="hybridMultilevel"/>
    <w:lvl w:ilvl="0">
      <w:lvlJc w:val="left"/>
      <w:lvlText w:val="•"/>
      <w:numFmt w:val="bullet"/>
      <w:start w:val="1"/>
    </w:lvl>
  </w:abstractNum>
  <w:abstractNum w:abstractNumId="102">
    <w:nsid w:val="6353CD2"/>
    <w:multiLevelType w:val="hybridMultilevel"/>
    <w:lvl w:ilvl="0">
      <w:lvlJc w:val="left"/>
      <w:lvlText w:val="•"/>
      <w:numFmt w:val="bullet"/>
      <w:start w:val="1"/>
    </w:lvl>
  </w:abstractNum>
  <w:abstractNum w:abstractNumId="103">
    <w:nsid w:val="683CAAD3"/>
    <w:multiLevelType w:val="hybridMultilevel"/>
    <w:lvl w:ilvl="0">
      <w:lvlJc w:val="left"/>
      <w:lvlText w:val="%1."/>
      <w:numFmt w:val="decimal"/>
      <w:start w:val="4"/>
    </w:lvl>
  </w:abstractNum>
  <w:abstractNum w:abstractNumId="104">
    <w:nsid w:val="313C7C99"/>
    <w:multiLevelType w:val="hybridMultilevel"/>
    <w:lvl w:ilvl="0">
      <w:lvlJc w:val="left"/>
      <w:lvlText w:val="•"/>
      <w:numFmt w:val="bullet"/>
      <w:start w:val="1"/>
    </w:lvl>
  </w:abstractNum>
  <w:abstractNum w:abstractNumId="105">
    <w:nsid w:val="519EB94C"/>
    <w:multiLevelType w:val="hybridMultilevel"/>
    <w:lvl w:ilvl="0">
      <w:lvlJc w:val="left"/>
      <w:lvlText w:val="(%1)"/>
      <w:numFmt w:val="decimal"/>
      <w:start w:val="1"/>
    </w:lvl>
  </w:abstractNum>
  <w:abstractNum w:abstractNumId="106">
    <w:nsid w:val="39DF2579"/>
    <w:multiLevelType w:val="hybridMultilevel"/>
    <w:lvl w:ilvl="0">
      <w:lvlJc w:val="left"/>
      <w:lvlText w:val="•"/>
      <w:numFmt w:val="bullet"/>
      <w:start w:val="1"/>
    </w:lvl>
  </w:abstractNum>
  <w:abstractNum w:abstractNumId="107">
    <w:nsid w:val="126E008B"/>
    <w:multiLevelType w:val="hybridMultilevel"/>
    <w:lvl w:ilvl="0">
      <w:lvlJc w:val="left"/>
      <w:lvlText w:val="•"/>
      <w:numFmt w:val="bullet"/>
      <w:start w:val="1"/>
    </w:lvl>
  </w:abstractNum>
  <w:abstractNum w:abstractNumId="108">
    <w:nsid w:val="34DFBC00"/>
    <w:multiLevelType w:val="hybridMultilevel"/>
    <w:lvl w:ilvl="0">
      <w:lvlJc w:val="left"/>
      <w:lvlText w:val="•"/>
      <w:numFmt w:val="bullet"/>
      <w:start w:val="1"/>
    </w:lvl>
  </w:abstractNum>
  <w:abstractNum w:abstractNumId="109">
    <w:nsid w:val="1F9EC322"/>
    <w:multiLevelType w:val="hybridMultilevel"/>
    <w:lvl w:ilvl="0">
      <w:lvlJc w:val="left"/>
      <w:lvlText w:val="(%1)"/>
      <w:numFmt w:val="lowerRoman"/>
      <w:start w:val="2"/>
    </w:lvl>
  </w:abstractNum>
  <w:abstractNum w:abstractNumId="110">
    <w:nsid w:val="3410ED56"/>
    <w:multiLevelType w:val="hybridMultilevel"/>
    <w:lvl w:ilvl="0">
      <w:lvlJc w:val="left"/>
      <w:lvlText w:val="•"/>
      <w:numFmt w:val="bullet"/>
      <w:start w:val="1"/>
    </w:lvl>
  </w:abstractNum>
  <w:abstractNum w:abstractNumId="111">
    <w:nsid w:val="23C049A"/>
    <w:multiLevelType w:val="hybridMultilevel"/>
    <w:lvl w:ilvl="0">
      <w:lvlJc w:val="left"/>
      <w:lvlText w:val="(%1)"/>
      <w:numFmt w:val="lowerRoman"/>
      <w:start w:val="1"/>
    </w:lvl>
  </w:abstractNum>
  <w:abstractNum w:abstractNumId="112">
    <w:nsid w:val="5BDA35D4"/>
    <w:multiLevelType w:val="hybridMultilevel"/>
    <w:lvl w:ilvl="0">
      <w:lvlJc w:val="left"/>
      <w:lvlText w:val="•"/>
      <w:numFmt w:val="bullet"/>
      <w:start w:val="1"/>
    </w:lvl>
  </w:abstractNum>
  <w:abstractNum w:abstractNumId="113">
    <w:nsid w:val="496FB218"/>
    <w:multiLevelType w:val="hybridMultilevel"/>
    <w:lvl w:ilvl="0">
      <w:lvlJc w:val="left"/>
      <w:lvlText w:val="(%1)"/>
      <w:numFmt w:val="decimal"/>
      <w:start w:val="1"/>
    </w:lvl>
  </w:abstractNum>
  <w:abstractNum w:abstractNumId="114">
    <w:nsid w:val="680EA5D1"/>
    <w:multiLevelType w:val="hybridMultilevel"/>
    <w:lvl w:ilvl="0">
      <w:lvlJc w:val="left"/>
      <w:lvlText w:val="•"/>
      <w:numFmt w:val="bullet"/>
      <w:start w:val="1"/>
    </w:lvl>
  </w:abstractNum>
  <w:abstractNum w:abstractNumId="115">
    <w:nsid w:val="4A9554FE"/>
    <w:multiLevelType w:val="hybridMultilevel"/>
    <w:lvl w:ilvl="0">
      <w:lvlJc w:val="left"/>
      <w:lvlText w:val="•"/>
      <w:numFmt w:val="bullet"/>
      <w:start w:val="1"/>
    </w:lvl>
  </w:abstractNum>
  <w:abstractNum w:abstractNumId="116">
    <w:nsid w:val="392EDBE4"/>
    <w:multiLevelType w:val="hybridMultilevel"/>
    <w:lvl w:ilvl="0">
      <w:lvlJc w:val="left"/>
      <w:lvlText w:val="•"/>
      <w:numFmt w:val="bullet"/>
      <w:start w:val="1"/>
    </w:lvl>
  </w:abstractNum>
  <w:abstractNum w:abstractNumId="117">
    <w:nsid w:val="3D1A2DD9"/>
    <w:multiLevelType w:val="hybridMultilevel"/>
    <w:lvl w:ilvl="0">
      <w:lvlJc w:val="left"/>
      <w:lvlText w:val="(%1)"/>
      <w:numFmt w:val="lowerRoman"/>
      <w:start w:val="3"/>
    </w:lvl>
  </w:abstractNum>
  <w:abstractNum w:abstractNumId="118">
    <w:nsid w:val="7F618FCD"/>
    <w:multiLevelType w:val="hybridMultilevel"/>
    <w:lvl w:ilvl="0">
      <w:lvlJc w:val="left"/>
      <w:lvlText w:val="•"/>
      <w:numFmt w:val="bullet"/>
      <w:start w:val="1"/>
    </w:lvl>
  </w:abstractNum>
  <w:abstractNum w:abstractNumId="119">
    <w:nsid w:val="7843E45"/>
    <w:multiLevelType w:val="hybridMultilevel"/>
    <w:lvl w:ilvl="0">
      <w:lvlJc w:val="left"/>
      <w:lvlText w:val="•"/>
      <w:numFmt w:val="bullet"/>
      <w:start w:val="1"/>
    </w:lvl>
  </w:abstractNum>
  <w:abstractNum w:abstractNumId="120">
    <w:nsid w:val="9815DA3"/>
    <w:multiLevelType w:val="hybridMultilevel"/>
    <w:lvl w:ilvl="0">
      <w:lvlJc w:val="left"/>
      <w:lvlText w:val="•"/>
      <w:numFmt w:val="bullet"/>
      <w:start w:val="1"/>
    </w:lvl>
  </w:abstractNum>
  <w:abstractNum w:abstractNumId="121">
    <w:nsid w:val="5204A191"/>
    <w:multiLevelType w:val="hybridMultilevel"/>
    <w:lvl w:ilvl="0">
      <w:lvlJc w:val="left"/>
      <w:lvlText w:val="•"/>
      <w:numFmt w:val="bullet"/>
      <w:start w:val="1"/>
    </w:lvl>
  </w:abstractNum>
  <w:abstractNum w:abstractNumId="122">
    <w:nsid w:val="4C73A9C6"/>
    <w:multiLevelType w:val="hybridMultilevel"/>
    <w:lvl w:ilvl="0">
      <w:lvlJc w:val="left"/>
      <w:lvlText w:val="•"/>
      <w:numFmt w:val="bullet"/>
      <w:start w:val="1"/>
    </w:lvl>
  </w:abstractNum>
  <w:abstractNum w:abstractNumId="123">
    <w:nsid w:val="1C7E3C01"/>
    <w:multiLevelType w:val="hybridMultilevel"/>
    <w:lvl w:ilvl="0">
      <w:lvlJc w:val="left"/>
      <w:lvlText w:val="•"/>
      <w:numFmt w:val="bullet"/>
      <w:start w:val="1"/>
    </w:lvl>
  </w:abstractNum>
  <w:abstractNum w:abstractNumId="124">
    <w:nsid w:val="1C2201FF"/>
    <w:multiLevelType w:val="hybridMultilevel"/>
    <w:lvl w:ilvl="0">
      <w:lvlJc w:val="left"/>
      <w:lvlText w:val="•"/>
      <w:numFmt w:val="bullet"/>
      <w:start w:val="1"/>
    </w:lvl>
  </w:abstractNum>
  <w:abstractNum w:abstractNumId="125">
    <w:nsid w:val="50ABCEC9"/>
    <w:multiLevelType w:val="hybridMultilevel"/>
    <w:lvl w:ilvl="0">
      <w:lvlJc w:val="left"/>
      <w:lvlText w:val="•"/>
      <w:numFmt w:val="bullet"/>
      <w:start w:val="1"/>
    </w:lvl>
  </w:abstractNum>
  <w:abstractNum w:abstractNumId="126">
    <w:nsid w:val="7635AA2A"/>
    <w:multiLevelType w:val="hybridMultilevel"/>
    <w:lvl w:ilvl="0">
      <w:lvlJc w:val="left"/>
      <w:lvlText w:val="•"/>
      <w:numFmt w:val="bullet"/>
      <w:start w:val="1"/>
    </w:lvl>
  </w:abstractNum>
  <w:abstractNum w:abstractNumId="127">
    <w:nsid w:val="5E74C4D9"/>
    <w:multiLevelType w:val="hybridMultilevel"/>
    <w:lvl w:ilvl="0">
      <w:lvlJc w:val="left"/>
      <w:lvlText w:val="•"/>
      <w:numFmt w:val="bullet"/>
      <w:start w:val="1"/>
    </w:lvl>
  </w:abstractNum>
  <w:abstractNum w:abstractNumId="128">
    <w:nsid w:val="3B3EBE15"/>
    <w:multiLevelType w:val="hybridMultilevel"/>
    <w:lvl w:ilvl="0">
      <w:lvlJc w:val="left"/>
      <w:lvlText w:val="•"/>
      <w:numFmt w:val="bullet"/>
      <w:start w:val="1"/>
    </w:lvl>
  </w:abstractNum>
  <w:abstractNum w:abstractNumId="129">
    <w:nsid w:val="3822CB01"/>
    <w:multiLevelType w:val="hybridMultilevel"/>
    <w:lvl w:ilvl="0">
      <w:lvlJc w:val="left"/>
      <w:lvlText w:val="(%1)"/>
      <w:numFmt w:val="decimal"/>
      <w:start w:val="1"/>
    </w:lvl>
  </w:abstractNum>
  <w:abstractNum w:abstractNumId="130">
    <w:nsid w:val="6CE00443"/>
    <w:multiLevelType w:val="hybridMultilevel"/>
    <w:lvl w:ilvl="0">
      <w:lvlJc w:val="left"/>
      <w:lvlText w:val="(%1)"/>
      <w:numFmt w:val="decimal"/>
      <w:start w:val="1"/>
    </w:lvl>
  </w:abstractNum>
  <w:abstractNum w:abstractNumId="131">
    <w:nsid w:val="79F0D62F"/>
    <w:multiLevelType w:val="hybridMultilevel"/>
    <w:lvl w:ilvl="0">
      <w:lvlJc w:val="left"/>
      <w:lvlText w:val="(%1)"/>
      <w:numFmt w:val="decimal"/>
      <w:start w:val="1"/>
    </w:lvl>
  </w:abstractNum>
  <w:abstractNum w:abstractNumId="132">
    <w:nsid w:val="7975E8EE"/>
    <w:multiLevelType w:val="hybridMultilevel"/>
    <w:lvl w:ilvl="0">
      <w:lvlJc w:val="left"/>
      <w:lvlText w:val="(%1)"/>
      <w:numFmt w:val="decimal"/>
      <w:start w:val="1"/>
    </w:lvl>
  </w:abstractNum>
  <w:abstractNum w:abstractNumId="133">
    <w:nsid w:val="73154115"/>
    <w:multiLevelType w:val="hybridMultilevel"/>
    <w:lvl w:ilvl="0">
      <w:lvlJc w:val="left"/>
      <w:lvlText w:val="(%1)"/>
      <w:numFmt w:val="decimal"/>
      <w:start w:val="1"/>
    </w:lvl>
  </w:abstractNum>
  <w:abstractNum w:abstractNumId="134">
    <w:nsid w:val="622D8102"/>
    <w:multiLevelType w:val="hybridMultilevel"/>
    <w:lvl w:ilvl="0">
      <w:lvlJc w:val="left"/>
      <w:lvlText w:val="(%1)"/>
      <w:numFmt w:val="decimal"/>
      <w:start w:val="4"/>
    </w:lvl>
  </w:abstractNum>
  <w:abstractNum w:abstractNumId="135">
    <w:nsid w:val="2AB26587"/>
    <w:multiLevelType w:val="hybridMultilevel"/>
    <w:lvl w:ilvl="0">
      <w:lvlJc w:val="left"/>
      <w:lvlText w:val="(%1)"/>
      <w:numFmt w:val="decimal"/>
      <w:start w:val="1"/>
    </w:lvl>
  </w:abstractNum>
  <w:abstractNum w:abstractNumId="136">
    <w:nsid w:val="44B3FA61"/>
    <w:multiLevelType w:val="hybridMultilevel"/>
    <w:lvl w:ilvl="0">
      <w:lvlJc w:val="left"/>
      <w:lvlText w:val="(%1)"/>
      <w:numFmt w:val="lowerRoman"/>
      <w:start w:val="1"/>
    </w:lvl>
  </w:abstractNum>
  <w:abstractNum w:abstractNumId="137">
    <w:nsid w:val="1C0CA67C"/>
    <w:multiLevelType w:val="hybridMultilevel"/>
    <w:lvl w:ilvl="0">
      <w:lvlJc w:val="left"/>
      <w:lvlText w:val="(%1)"/>
      <w:numFmt w:val="decimal"/>
      <w:start w:val="1"/>
    </w:lvl>
  </w:abstractNum>
  <w:abstractNum w:abstractNumId="138">
    <w:nsid w:val="3D206613"/>
    <w:multiLevelType w:val="hybridMultilevel"/>
    <w:lvl w:ilvl="0">
      <w:lvlJc w:val="left"/>
      <w:lvlText w:val="(%1)"/>
      <w:numFmt w:val="decimal"/>
      <w:start w:val="6"/>
    </w:lvl>
  </w:abstractNum>
  <w:abstractNum w:abstractNumId="139">
    <w:nsid w:val="7993B662"/>
    <w:multiLevelType w:val="hybridMultilevel"/>
    <w:lvl w:ilvl="0">
      <w:lvlJc w:val="left"/>
      <w:lvlText w:val="(%1)"/>
      <w:numFmt w:val="decimal"/>
      <w:start w:val="1"/>
    </w:lvl>
  </w:abstractNum>
  <w:abstractNum w:abstractNumId="140">
    <w:nsid w:val="3BAB699E"/>
    <w:multiLevelType w:val="hybridMultilevel"/>
    <w:lvl w:ilvl="0">
      <w:lvlJc w:val="left"/>
      <w:lvlText w:val="(%1)"/>
      <w:numFmt w:val="decimal"/>
      <w:start w:val="1"/>
    </w:lvl>
  </w:abstractNum>
  <w:abstractNum w:abstractNumId="141">
    <w:nsid w:val="71315369"/>
    <w:multiLevelType w:val="hybridMultilevel"/>
    <w:lvl w:ilvl="0">
      <w:lvlJc w:val="left"/>
      <w:lvlText w:val="(%1)"/>
      <w:numFmt w:val="decimal"/>
      <w:start w:val="4"/>
    </w:lvl>
  </w:abstractNum>
  <w:abstractNum w:abstractNumId="142">
    <w:nsid w:val="7BCFBAFC"/>
    <w:multiLevelType w:val="hybridMultilevel"/>
    <w:lvl w:ilvl="0">
      <w:lvlJc w:val="left"/>
      <w:lvlText w:val="*"/>
      <w:numFmt w:val="bullet"/>
      <w:start w:val="1"/>
    </w:lvl>
  </w:abstractNum>
  <w:abstractNum w:abstractNumId="143">
    <w:nsid w:val="17859F72"/>
    <w:multiLevelType w:val="hybridMultilevel"/>
    <w:lvl w:ilvl="0">
      <w:lvlJc w:val="left"/>
      <w:lvlText w:val="**"/>
      <w:numFmt w:val="bullet"/>
      <w:start w:val="1"/>
    </w:lvl>
  </w:abstractNum>
  <w:abstractNum w:abstractNumId="144">
    <w:nsid w:val="3AA10581"/>
    <w:multiLevelType w:val="hybridMultilevel"/>
    <w:lvl w:ilvl="0">
      <w:lvlJc w:val="left"/>
      <w:lvlText w:val="%1."/>
      <w:numFmt w:val="decimal"/>
      <w:start w:val="1"/>
    </w:lvl>
  </w:abstractNum>
  <w:abstractNum w:abstractNumId="145">
    <w:nsid w:val="63DE60CD"/>
    <w:multiLevelType w:val="hybridMultilevel"/>
    <w:lvl w:ilvl="0">
      <w:lvlJc w:val="left"/>
      <w:lvlText w:val="%1."/>
      <w:numFmt w:val="decimal"/>
      <w:start w:val="3"/>
    </w:lvl>
  </w:abstractNum>
  <w:abstractNum w:abstractNumId="146">
    <w:nsid w:val="621AF471"/>
    <w:multiLevelType w:val="hybridMultilevel"/>
    <w:lvl w:ilvl="0">
      <w:lvlJc w:val="left"/>
      <w:lvlText w:val="%1."/>
      <w:numFmt w:val="decimal"/>
      <w:start w:val="4"/>
    </w:lvl>
  </w:abstractNum>
  <w:abstractNum w:abstractNumId="147">
    <w:nsid w:val="73CFE165"/>
    <w:multiLevelType w:val="hybridMultilevel"/>
    <w:lvl w:ilvl="0">
      <w:lvlJc w:val="left"/>
      <w:lvlText w:val="%1."/>
      <w:numFmt w:val="decimal"/>
      <w:start w:val="7"/>
    </w:lvl>
  </w:abstractNum>
  <w:abstractNum w:abstractNumId="148">
    <w:nsid w:val="20F88EA6"/>
    <w:multiLevelType w:val="hybridMultilevel"/>
    <w:lvl w:ilvl="0">
      <w:lvlJc w:val="left"/>
      <w:lvlText w:val="%1."/>
      <w:numFmt w:val="decimal"/>
      <w:start w:val="8"/>
    </w:lvl>
  </w:abstractNum>
  <w:abstractNum w:abstractNumId="149">
    <w:nsid w:val="617C843E"/>
    <w:multiLevelType w:val="hybridMultilevel"/>
    <w:lvl w:ilvl="0">
      <w:lvlJc w:val="left"/>
      <w:lvlText w:val="%1."/>
      <w:numFmt w:val="decimal"/>
      <w:start w:val="3"/>
    </w:lvl>
  </w:abstractNum>
  <w:abstractNum w:abstractNumId="150">
    <w:nsid w:val="7B541FAB"/>
    <w:multiLevelType w:val="hybridMultilevel"/>
    <w:lvl w:ilvl="0">
      <w:lvlJc w:val="left"/>
      <w:lvlText w:val="•"/>
      <w:numFmt w:val="bullet"/>
      <w:start w:val="1"/>
    </w:lvl>
  </w:abstractNum>
  <w:abstractNum w:abstractNumId="151">
    <w:nsid w:val="2A79EC49"/>
    <w:multiLevelType w:val="hybridMultilevel"/>
    <w:lvl w:ilvl="0">
      <w:lvlJc w:val="left"/>
      <w:lvlText w:val="•"/>
      <w:numFmt w:val="bullet"/>
      <w:start w:val="1"/>
    </w:lvl>
  </w:abstractNum>
  <w:abstractNum w:abstractNumId="152">
    <w:nsid w:val="338125CF"/>
    <w:multiLevelType w:val="hybridMultilevel"/>
    <w:lvl w:ilvl="0">
      <w:lvlJc w:val="left"/>
      <w:lvlText w:val="•"/>
      <w:numFmt w:val="bullet"/>
      <w:start w:val="1"/>
    </w:lvl>
  </w:abstractNum>
  <w:abstractNum w:abstractNumId="153">
    <w:nsid w:val="47C7C971"/>
    <w:multiLevelType w:val="hybridMultilevel"/>
    <w:lvl w:ilvl="0">
      <w:lvlJc w:val="left"/>
      <w:lvlText w:val="*"/>
      <w:numFmt w:val="bullet"/>
      <w:start w:val="1"/>
    </w:lvl>
  </w:abstractNum>
  <w:abstractNum w:abstractNumId="154">
    <w:nsid w:val="46F8284B"/>
    <w:multiLevelType w:val="hybridMultilevel"/>
    <w:lvl w:ilvl="0">
      <w:lvlJc w:val="left"/>
      <w:lvlText w:val="*"/>
      <w:numFmt w:val="bullet"/>
      <w:start w:val="1"/>
    </w:lvl>
  </w:abstractNum>
  <w:abstractNum w:abstractNumId="155">
    <w:nsid w:val="4FA327CE"/>
    <w:multiLevelType w:val="hybridMultilevel"/>
    <w:lvl w:ilvl="0">
      <w:lvlJc w:val="left"/>
      <w:lvlText w:val="*"/>
      <w:numFmt w:val="bullet"/>
      <w:start w:val="1"/>
    </w:lvl>
  </w:abstractNum>
  <w:abstractNum w:abstractNumId="156">
    <w:nsid w:val="1873983A"/>
    <w:multiLevelType w:val="hybridMultilevel"/>
    <w:lvl w:ilvl="0">
      <w:lvlJc w:val="left"/>
      <w:lvlText w:val="(%1)"/>
      <w:numFmt w:val="lowerLetter"/>
      <w:start w:val="1"/>
    </w:lvl>
  </w:abstractNum>
  <w:abstractNum w:abstractNumId="157">
    <w:nsid w:val="3D2DD275"/>
    <w:multiLevelType w:val="hybridMultilevel"/>
    <w:lvl w:ilvl="0">
      <w:lvlJc w:val="left"/>
      <w:lvlText w:val="(%1)"/>
      <w:numFmt w:val="lowerLetter"/>
      <w:start w:val="5"/>
    </w:lvl>
  </w:abstractNum>
  <w:abstractNum w:abstractNumId="158">
    <w:nsid w:val="2E17ECA7"/>
    <w:multiLevelType w:val="hybridMultilevel"/>
    <w:lvl w:ilvl="0">
      <w:lvlJc w:val="left"/>
      <w:lvlText w:val="(%1)"/>
      <w:numFmt w:val="lowerLetter"/>
      <w:start w:val="1"/>
    </w:lvl>
    <w:lvl w:ilvl="1">
      <w:lvlJc w:val="left"/>
      <w:lvlText w:val="(%2)"/>
      <w:numFmt w:val="lowerRoman"/>
      <w:start w:val="4"/>
    </w:lvl>
  </w:abstractNum>
  <w:abstractNum w:abstractNumId="159">
    <w:nsid w:val="53B2564F"/>
    <w:multiLevelType w:val="hybridMultilevel"/>
    <w:lvl w:ilvl="0">
      <w:lvlJc w:val="left"/>
      <w:lvlText w:val="*"/>
      <w:numFmt w:val="bullet"/>
      <w:start w:val="1"/>
    </w:lvl>
  </w:abstractNum>
  <w:abstractNum w:abstractNumId="160">
    <w:nsid w:val="75509D76"/>
    <w:multiLevelType w:val="hybridMultilevel"/>
    <w:lvl w:ilvl="0">
      <w:lvlJc w:val="left"/>
      <w:lvlText w:val="*"/>
      <w:numFmt w:val="bullet"/>
      <w:start w:val="1"/>
    </w:lvl>
  </w:abstractNum>
  <w:abstractNum w:abstractNumId="161">
    <w:nsid w:val="1AF7F0EA"/>
    <w:multiLevelType w:val="hybridMultilevel"/>
    <w:lvl w:ilvl="0">
      <w:lvlJc w:val="left"/>
      <w:lvlText w:val="(%1)"/>
      <w:numFmt w:val="lowerLetter"/>
      <w:start w:val="21"/>
    </w:lvl>
  </w:abstractNum>
  <w:abstractNum w:abstractNumId="162">
    <w:nsid w:val="4DA32C7E"/>
    <w:multiLevelType w:val="hybridMultilevel"/>
    <w:lvl w:ilvl="0">
      <w:lvlJc w:val="left"/>
      <w:lvlText w:val="(%1)"/>
      <w:numFmt w:val="lowerLetter"/>
      <w:start w:val="1"/>
    </w:lvl>
  </w:abstractNum>
  <w:abstractNum w:abstractNumId="163">
    <w:nsid w:val="6EC68664"/>
    <w:multiLevelType w:val="hybridMultilevel"/>
    <w:lvl w:ilvl="0">
      <w:lvlJc w:val="left"/>
      <w:lvlText w:val="(%1)"/>
      <w:numFmt w:val="lowerLetter"/>
      <w:start w:val="1"/>
    </w:lvl>
  </w:abstractNum>
  <w:abstractNum w:abstractNumId="164">
    <w:nsid w:val="E0D31FF"/>
    <w:multiLevelType w:val="hybridMultilevel"/>
    <w:lvl w:ilvl="0">
      <w:lvlJc w:val="left"/>
      <w:lvlText w:val="(%1)"/>
      <w:numFmt w:val="lowerLetter"/>
      <w:start w:val="4"/>
    </w:lvl>
  </w:abstractNum>
  <w:abstractNum w:abstractNumId="165">
    <w:nsid w:val="2FD0AD81"/>
    <w:multiLevelType w:val="hybridMultilevel"/>
    <w:lvl w:ilvl="0">
      <w:lvlJc w:val="left"/>
      <w:lvlText w:val="(%1)"/>
      <w:numFmt w:val="lowerLetter"/>
      <w:start w:val="1"/>
    </w:lvl>
  </w:abstractNum>
  <w:abstractNum w:abstractNumId="166">
    <w:nsid w:val="1978EBEB"/>
    <w:multiLevelType w:val="hybridMultilevel"/>
    <w:lvl w:ilvl="0">
      <w:lvlJc w:val="left"/>
      <w:lvlText w:val="(%1)"/>
      <w:numFmt w:val="lowerLetter"/>
      <w:start w:val="5"/>
    </w:lvl>
  </w:abstractNum>
  <w:abstractNum w:abstractNumId="167">
    <w:nsid w:val="52C12C61"/>
    <w:multiLevelType w:val="hybridMultilevel"/>
    <w:lvl w:ilvl="0">
      <w:lvlJc w:val="left"/>
      <w:lvlText w:val="•"/>
      <w:numFmt w:val="bullet"/>
      <w:start w:val="1"/>
    </w:lvl>
  </w:abstractNum>
  <w:abstractNum w:abstractNumId="168">
    <w:nsid w:val="4BDD53FD"/>
    <w:multiLevelType w:val="hybridMultilevel"/>
    <w:lvl w:ilvl="0">
      <w:lvlJc w:val="left"/>
      <w:lvlText w:val="(%1)"/>
      <w:numFmt w:val="decimal"/>
      <w:start w:val="1"/>
    </w:lvl>
  </w:abstractNum>
  <w:abstractNum w:abstractNumId="169">
    <w:nsid w:val="569951FE"/>
    <w:multiLevelType w:val="hybridMultilevel"/>
    <w:lvl w:ilvl="0">
      <w:lvlJc w:val="left"/>
      <w:lvlText w:val="•"/>
      <w:numFmt w:val="bullet"/>
      <w:start w:val="1"/>
    </w:lvl>
  </w:abstractNum>
  <w:abstractNum w:abstractNumId="170">
    <w:nsid w:val="4C54E2C3"/>
    <w:multiLevelType w:val="hybridMultilevel"/>
    <w:lvl w:ilvl="0">
      <w:lvlJc w:val="left"/>
      <w:lvlText w:val="(%1)"/>
      <w:numFmt w:val="decimal"/>
      <w:start w:val="1"/>
    </w:lvl>
  </w:abstractNum>
  <w:abstractNum w:abstractNumId="171">
    <w:nsid w:val="788BD9B"/>
    <w:multiLevelType w:val="hybridMultilevel"/>
    <w:lvl w:ilvl="0">
      <w:lvlJc w:val="left"/>
      <w:lvlText w:val="(%1)"/>
      <w:numFmt w:val="lowerLetter"/>
      <w:start w:val="1"/>
    </w:lvl>
  </w:abstractNum>
  <w:abstractNum w:abstractNumId="172">
    <w:nsid w:val="47CAA567"/>
    <w:multiLevelType w:val="hybridMultilevel"/>
    <w:lvl w:ilvl="0">
      <w:lvlJc w:val="left"/>
      <w:lvlText w:val="(%1)"/>
      <w:numFmt w:val="lowerLetter"/>
      <w:start w:val="1"/>
    </w:lvl>
  </w:abstractNum>
  <w:abstractNum w:abstractNumId="173">
    <w:nsid w:val="48249DBF"/>
    <w:multiLevelType w:val="hybridMultilevel"/>
    <w:lvl w:ilvl="0">
      <w:lvlJc w:val="left"/>
      <w:lvlText w:val="(%1)"/>
      <w:numFmt w:val="lowerLetter"/>
      <w:start w:val="1"/>
    </w:lvl>
  </w:abstractNum>
  <w:abstractNum w:abstractNumId="174">
    <w:nsid w:val="1F0E5D0D"/>
    <w:multiLevelType w:val="hybridMultilevel"/>
    <w:lvl w:ilvl="0">
      <w:lvlJc w:val="left"/>
      <w:lvlText w:val="(%1)"/>
      <w:numFmt w:val="lowerLetter"/>
      <w:start w:val="1"/>
    </w:lvl>
  </w:abstractNum>
  <w:abstractNum w:abstractNumId="175">
    <w:nsid w:val="26BAAE9"/>
    <w:multiLevelType w:val="hybridMultilevel"/>
    <w:lvl w:ilvl="0">
      <w:lvlJc w:val="left"/>
      <w:lvlText w:val="(%1)"/>
      <w:numFmt w:val="lowerLetter"/>
      <w:start w:val="1"/>
    </w:lvl>
  </w:abstractNum>
  <w:abstractNum w:abstractNumId="176">
    <w:nsid w:val="2C02FE8C"/>
    <w:multiLevelType w:val="hybridMultilevel"/>
    <w:lvl w:ilvl="0">
      <w:lvlJc w:val="left"/>
      <w:lvlText w:val="(%1)"/>
      <w:numFmt w:val="lowerLetter"/>
      <w:start w:val="5"/>
    </w:lvl>
  </w:abstractNum>
  <w:abstractNum w:abstractNumId="177">
    <w:nsid w:val="129517E"/>
    <w:multiLevelType w:val="hybridMultilevel"/>
    <w:lvl w:ilvl="0">
      <w:lvlJc w:val="left"/>
      <w:lvlText w:val="(%1)"/>
      <w:numFmt w:val="lowerLetter"/>
      <w:start w:val="1"/>
    </w:lvl>
  </w:abstractNum>
  <w:abstractNum w:abstractNumId="178">
    <w:nsid w:val="763B8C4E"/>
    <w:multiLevelType w:val="hybridMultilevel"/>
    <w:lvl w:ilvl="0">
      <w:lvlJc w:val="left"/>
      <w:lvlText w:val="(%1)"/>
      <w:numFmt w:val="lowerLetter"/>
      <w:start w:val="6"/>
    </w:lvl>
  </w:abstractNum>
  <w:abstractNum w:abstractNumId="179">
    <w:nsid w:val="4CFB8D32"/>
    <w:multiLevelType w:val="hybridMultilevel"/>
    <w:lvl w:ilvl="0">
      <w:lvlJc w:val="left"/>
      <w:lvlText w:val="%1"/>
      <w:numFmt w:val="lowerLetter"/>
      <w:start w:val="1"/>
    </w:lvl>
    <w:lvl w:ilvl="1">
      <w:lvlJc w:val="left"/>
      <w:lvlText w:val="(%2)"/>
      <w:numFmt w:val="lowerLetter"/>
      <w:start w:val="2"/>
    </w:lvl>
  </w:abstractNum>
  <w:abstractNum w:abstractNumId="180">
    <w:nsid w:val="62A5D5BD"/>
    <w:multiLevelType w:val="hybridMultilevel"/>
    <w:lvl w:ilvl="0">
      <w:lvlJc w:val="left"/>
      <w:lvlText w:val="(%1)"/>
      <w:numFmt w:val="lowerLetter"/>
      <w:start w:val="9"/>
    </w:lvl>
    <w:lvl w:ilvl="1">
      <w:lvlJc w:val="left"/>
      <w:lvlText w:val="%2"/>
      <w:numFmt w:val="lowerLetter"/>
      <w:start w:val="1"/>
    </w:lvl>
  </w:abstractNum>
  <w:abstractNum w:abstractNumId="181">
    <w:nsid w:val="718FABF9"/>
    <w:multiLevelType w:val="hybridMultilevel"/>
    <w:lvl w:ilvl="0">
      <w:lvlJc w:val="left"/>
      <w:lvlText w:val="(%1)"/>
      <w:numFmt w:val="lowerLetter"/>
      <w:start w:val="4"/>
    </w:lvl>
  </w:abstractNum>
  <w:abstractNum w:abstractNumId="182">
    <w:nsid w:val="7775797C"/>
    <w:multiLevelType w:val="hybridMultilevel"/>
    <w:lvl w:ilvl="0">
      <w:lvlJc w:val="left"/>
      <w:lvlText w:val="(%1)"/>
      <w:numFmt w:val="lowerLetter"/>
      <w:start w:val="1"/>
    </w:lvl>
  </w:abstractNum>
  <w:abstractNum w:abstractNumId="183">
    <w:nsid w:val="1626FB8C"/>
    <w:multiLevelType w:val="hybridMultilevel"/>
    <w:lvl w:ilvl="0">
      <w:lvlJc w:val="left"/>
      <w:lvlText w:val="(%1)"/>
      <w:numFmt w:val="lowerRoman"/>
      <w:start w:val="1"/>
    </w:lvl>
  </w:abstractNum>
  <w:abstractNum w:abstractNumId="184">
    <w:nsid w:val="3957756A"/>
    <w:multiLevelType w:val="hybridMultilevel"/>
    <w:lvl w:ilvl="0">
      <w:lvlJc w:val="left"/>
      <w:lvlText w:val="(%1)"/>
      <w:numFmt w:val="lowerLetter"/>
      <w:start w:val="1"/>
    </w:lvl>
  </w:abstractNum>
  <w:abstractNum w:abstractNumId="185">
    <w:nsid w:val="3E6DA1C7"/>
    <w:multiLevelType w:val="hybridMultilevel"/>
    <w:lvl w:ilvl="0">
      <w:lvlJc w:val="left"/>
      <w:lvlText w:val="(%1)"/>
      <w:numFmt w:val="lowerLetter"/>
      <w:start w:val="1"/>
    </w:lvl>
  </w:abstractNum>
  <w:abstractNum w:abstractNumId="186">
    <w:nsid w:val="65CA235B"/>
    <w:multiLevelType w:val="hybridMultilevel"/>
    <w:lvl w:ilvl="0">
      <w:lvlJc w:val="left"/>
      <w:lvlText w:val="(%1)"/>
      <w:numFmt w:val="lowerLetter"/>
      <w:start w:val="3"/>
    </w:lvl>
  </w:abstractNum>
  <w:abstractNum w:abstractNumId="187">
    <w:nsid w:val="51CB0DA4"/>
    <w:multiLevelType w:val="hybridMultilevel"/>
    <w:lvl w:ilvl="0">
      <w:lvlJc w:val="left"/>
      <w:lvlText w:val="%1"/>
      <w:numFmt w:val="lowerLetter"/>
      <w:start w:val="1"/>
    </w:lvl>
    <w:lvl w:ilvl="1">
      <w:lvlJc w:val="left"/>
      <w:lvlText w:val="(%2)"/>
      <w:numFmt w:val="lowerLetter"/>
      <w:start w:val="1"/>
    </w:lvl>
  </w:abstractNum>
  <w:abstractNum w:abstractNumId="188">
    <w:nsid w:val="7B9B743C"/>
    <w:multiLevelType w:val="hybridMultilevel"/>
    <w:lvl w:ilvl="0">
      <w:lvlJc w:val="left"/>
      <w:lvlText w:val="(%1)"/>
      <w:numFmt w:val="lowerLetter"/>
      <w:start w:val="35"/>
    </w:lvl>
    <w:lvl w:ilvl="1">
      <w:lvlJc w:val="left"/>
      <w:lvlText w:val="%2"/>
      <w:numFmt w:val="lowerLetter"/>
      <w:start w:val="1"/>
    </w:lvl>
  </w:abstractNum>
  <w:abstractNum w:abstractNumId="189">
    <w:nsid w:val="13E21002"/>
    <w:multiLevelType w:val="hybridMultilevel"/>
    <w:lvl w:ilvl="0">
      <w:lvlJc w:val="left"/>
      <w:lvlText w:val="(%1)"/>
      <w:numFmt w:val="lowerLetter"/>
      <w:start w:val="1"/>
    </w:lvl>
  </w:abstractNum>
  <w:abstractNum w:abstractNumId="190">
    <w:nsid w:val="257D63F4"/>
    <w:multiLevelType w:val="hybridMultilevel"/>
    <w:lvl w:ilvl="0">
      <w:lvlJc w:val="left"/>
      <w:lvlText w:val="(%1)"/>
      <w:numFmt w:val="lowerLetter"/>
      <w:start w:val="3"/>
    </w:lvl>
  </w:abstractNum>
  <w:abstractNum w:abstractNumId="191">
    <w:nsid w:val="70EC11B2"/>
    <w:multiLevelType w:val="hybridMultilevel"/>
    <w:lvl w:ilvl="0">
      <w:lvlJc w:val="left"/>
      <w:lvlText w:val="(%1)"/>
      <w:numFmt w:val="lowerLetter"/>
      <w:start w:val="1"/>
    </w:lvl>
  </w:abstractNum>
  <w:abstractNum w:abstractNumId="192">
    <w:nsid w:val="2EDA00ED"/>
    <w:multiLevelType w:val="hybridMultilevel"/>
    <w:lvl w:ilvl="0">
      <w:lvlJc w:val="left"/>
      <w:lvlText w:val="(%1)"/>
      <w:numFmt w:val="lowerLetter"/>
      <w:start w:val="1"/>
    </w:lvl>
  </w:abstractNum>
  <w:abstractNum w:abstractNumId="193">
    <w:nsid w:val="73209072"/>
    <w:multiLevelType w:val="hybridMultilevel"/>
    <w:lvl w:ilvl="0">
      <w:lvlJc w:val="left"/>
      <w:lvlText w:val="(%1)"/>
      <w:numFmt w:val="lowerLetter"/>
      <w:start w:val="4"/>
    </w:lvl>
  </w:abstractNum>
  <w:abstractNum w:abstractNumId="194">
    <w:nsid w:val="5FB29816"/>
    <w:multiLevelType w:val="hybridMultilevel"/>
    <w:lvl w:ilvl="0">
      <w:lvlJc w:val="left"/>
      <w:lvlText w:val="(%1)"/>
      <w:numFmt w:val="lowerRoman"/>
      <w:start w:val="1"/>
    </w:lvl>
  </w:abstractNum>
  <w:abstractNum w:abstractNumId="195">
    <w:nsid w:val="3CE732EC"/>
    <w:multiLevelType w:val="hybridMultilevel"/>
    <w:lvl w:ilvl="0">
      <w:lvlJc w:val="left"/>
      <w:lvlText w:val="(%1)"/>
      <w:numFmt w:val="lowerLetter"/>
      <w:start w:val="1"/>
    </w:lvl>
  </w:abstractNum>
  <w:abstractNum w:abstractNumId="196">
    <w:nsid w:val="22F13DF3"/>
    <w:multiLevelType w:val="hybridMultilevel"/>
    <w:lvl w:ilvl="0">
      <w:lvlJc w:val="left"/>
      <w:lvlText w:val="(%1)"/>
      <w:numFmt w:val="lowerLetter"/>
      <w:start w:val="1"/>
    </w:lvl>
  </w:abstractNum>
  <w:abstractNum w:abstractNumId="197">
    <w:nsid w:val="792B8401"/>
    <w:multiLevelType w:val="hybridMultilevel"/>
    <w:lvl w:ilvl="0">
      <w:lvlJc w:val="left"/>
      <w:lvlText w:val="(%1)"/>
      <w:numFmt w:val="lowerLetter"/>
      <w:start w:val="1"/>
    </w:lvl>
  </w:abstractNum>
  <w:abstractNum w:abstractNumId="198">
    <w:nsid w:val="FA85F4D"/>
    <w:multiLevelType w:val="hybridMultilevel"/>
    <w:lvl w:ilvl="0">
      <w:lvlJc w:val="left"/>
      <w:lvlText w:val="(%1)"/>
      <w:numFmt w:val="lowerLetter"/>
      <w:start w:val="1"/>
    </w:lvl>
  </w:abstractNum>
  <w:abstractNum w:abstractNumId="199">
    <w:nsid w:val="6ECE91F0"/>
    <w:multiLevelType w:val="hybridMultilevel"/>
    <w:lvl w:ilvl="0">
      <w:lvlJc w:val="left"/>
      <w:lvlText w:val="(%1)"/>
      <w:numFmt w:val="lowerLetter"/>
      <w:start w:val="1"/>
    </w:lvl>
  </w:abstractNum>
  <w:abstractNum w:abstractNumId="200">
    <w:nsid w:val="4FC4D600"/>
    <w:multiLevelType w:val="hybridMultilevel"/>
    <w:lvl w:ilvl="0">
      <w:lvlJc w:val="left"/>
      <w:lvlText w:val="%1"/>
      <w:numFmt w:val="lowerLetter"/>
      <w:start w:val="1"/>
    </w:lvl>
    <w:lvl w:ilvl="1">
      <w:lvlJc w:val="left"/>
      <w:lvlText w:val="(%2)"/>
      <w:numFmt w:val="lowerLetter"/>
      <w:start w:val="2"/>
    </w:lvl>
  </w:abstractNum>
  <w:abstractNum w:abstractNumId="201">
    <w:nsid w:val="5BFD4210"/>
    <w:multiLevelType w:val="hybridMultilevel"/>
    <w:lvl w:ilvl="0">
      <w:lvlJc w:val="left"/>
      <w:lvlText w:val="(%1)"/>
      <w:numFmt w:val="lowerLetter"/>
      <w:start w:val="61"/>
    </w:lvl>
    <w:lvl w:ilvl="1">
      <w:lvlJc w:val="left"/>
      <w:lvlText w:val="(%2)"/>
      <w:numFmt w:val="lowerLetter"/>
      <w:start w:val="3"/>
    </w:lvl>
  </w:abstractNum>
  <w:abstractNum w:abstractNumId="202">
    <w:nsid w:val="76574F8B"/>
    <w:multiLevelType w:val="hybridMultilevel"/>
    <w:lvl w:ilvl="0">
      <w:lvlJc w:val="left"/>
      <w:lvlText w:val="(%1)"/>
      <w:numFmt w:val="lowerLetter"/>
      <w:start w:val="35"/>
    </w:lvl>
    <w:lvl w:ilvl="1">
      <w:lvlJc w:val="left"/>
      <w:lvlText w:val="(%2)"/>
      <w:numFmt w:val="lowerLetter"/>
      <w:start w:val="4"/>
    </w:lvl>
  </w:abstractNum>
  <w:abstractNum w:abstractNumId="203">
    <w:nsid w:val="178F7B67"/>
    <w:multiLevelType w:val="hybridMultilevel"/>
    <w:lvl w:ilvl="0">
      <w:lvlJc w:val="left"/>
      <w:lvlText w:val="(%1)"/>
      <w:numFmt w:val="lowerLetter"/>
      <w:start w:val="1"/>
    </w:lvl>
  </w:abstractNum>
  <w:abstractNum w:abstractNumId="204">
    <w:nsid w:val="2421DFCF"/>
    <w:multiLevelType w:val="hybridMultilevel"/>
    <w:lvl w:ilvl="0">
      <w:lvlJc w:val="left"/>
      <w:lvlText w:val="(%1)"/>
      <w:numFmt w:val="lowerLetter"/>
      <w:start w:val="1"/>
    </w:lvl>
  </w:abstractNum>
  <w:abstractNum w:abstractNumId="205">
    <w:nsid w:val="1565AC99"/>
    <w:multiLevelType w:val="hybridMultilevel"/>
    <w:lvl w:ilvl="0">
      <w:lvlJc w:val="left"/>
      <w:lvlText w:val="(%1)"/>
      <w:numFmt w:val="lowerLetter"/>
      <w:start w:val="1"/>
    </w:lvl>
  </w:abstractNum>
  <w:abstractNum w:abstractNumId="206">
    <w:nsid w:val="19FB2650"/>
    <w:multiLevelType w:val="hybridMultilevel"/>
    <w:lvl w:ilvl="0">
      <w:lvlJc w:val="left"/>
      <w:lvlText w:val="(%1)"/>
      <w:numFmt w:val="lowerLetter"/>
      <w:start w:val="1"/>
    </w:lvl>
  </w:abstractNum>
  <w:abstractNum w:abstractNumId="207">
    <w:nsid w:val="5024DE5B"/>
    <w:multiLevelType w:val="hybridMultilevel"/>
    <w:lvl w:ilvl="0">
      <w:lvlJc w:val="left"/>
      <w:lvlText w:val="(%1)"/>
      <w:numFmt w:val="lowerLetter"/>
      <w:start w:val="2"/>
    </w:lvl>
  </w:abstractNum>
  <w:abstractNum w:abstractNumId="208">
    <w:nsid w:val="168EFE17"/>
    <w:multiLevelType w:val="hybridMultilevel"/>
    <w:lvl w:ilvl="0">
      <w:lvlJc w:val="left"/>
      <w:lvlText w:val="(%1)"/>
      <w:numFmt w:val="lowerLetter"/>
      <w:start w:val="1"/>
    </w:lvl>
  </w:abstractNum>
  <w:abstractNum w:abstractNumId="209">
    <w:nsid w:val="1036B29F"/>
    <w:multiLevelType w:val="hybridMultilevel"/>
    <w:lvl w:ilvl="0">
      <w:lvlJc w:val="left"/>
      <w:lvlText w:val="(%1)"/>
      <w:numFmt w:val="lowerLetter"/>
      <w:start w:val="1"/>
    </w:lvl>
  </w:abstractNum>
  <w:abstractNum w:abstractNumId="210">
    <w:nsid w:val="1D206B8E"/>
    <w:multiLevelType w:val="hybridMultilevel"/>
    <w:lvl w:ilvl="0">
      <w:lvlJc w:val="left"/>
      <w:lvlText w:val="(%1)"/>
      <w:numFmt w:val="lowerLetter"/>
      <w:start w:val="1"/>
    </w:lvl>
  </w:abstractNum>
  <w:abstractNum w:abstractNumId="211">
    <w:nsid w:val="7934D3D4"/>
    <w:multiLevelType w:val="hybridMultilevel"/>
    <w:lvl w:ilvl="0">
      <w:lvlJc w:val="left"/>
      <w:lvlText w:val="(%1)"/>
      <w:numFmt w:val="lowerLetter"/>
      <w:start w:val="1"/>
    </w:lvl>
  </w:abstractNum>
  <w:abstractNum w:abstractNumId="212">
    <w:nsid w:val="1C65E98"/>
    <w:multiLevelType w:val="hybridMultilevel"/>
    <w:lvl w:ilvl="0">
      <w:lvlJc w:val="left"/>
      <w:lvlText w:val="(%1)"/>
      <w:numFmt w:val="lowerLetter"/>
      <w:start w:val="1"/>
    </w:lvl>
  </w:abstractNum>
  <w:abstractNum w:abstractNumId="213">
    <w:nsid w:val="1495E50A"/>
    <w:multiLevelType w:val="hybridMultilevel"/>
    <w:lvl w:ilvl="0">
      <w:lvlJc w:val="left"/>
      <w:lvlText w:val="(%1)"/>
      <w:numFmt w:val="lowerLetter"/>
      <w:start w:val="2"/>
    </w:lvl>
  </w:abstractNum>
  <w:abstractNum w:abstractNumId="214">
    <w:nsid w:val="F5BCF61"/>
    <w:multiLevelType w:val="hybridMultilevel"/>
    <w:lvl w:ilvl="0">
      <w:lvlJc w:val="left"/>
      <w:lvlText w:val="(%1)"/>
      <w:numFmt w:val="lowerLetter"/>
      <w:start w:val="1"/>
    </w:lvl>
    <w:lvl w:ilvl="1">
      <w:lvlJc w:val="left"/>
      <w:lvlText w:val="(%2)"/>
      <w:numFmt w:val="lowerRoman"/>
      <w:start w:val="1"/>
    </w:lvl>
  </w:abstractNum>
  <w:abstractNum w:abstractNumId="215">
    <w:nsid w:val="3B1DD403"/>
    <w:multiLevelType w:val="hybridMultilevel"/>
    <w:lvl w:ilvl="0">
      <w:lvlJc w:val="left"/>
      <w:lvlText w:val="%1"/>
      <w:numFmt w:val="lowerLetter"/>
      <w:start w:val="1"/>
    </w:lvl>
    <w:lvl w:ilvl="1">
      <w:lvlJc w:val="left"/>
      <w:lvlText w:val="(%2)"/>
      <w:numFmt w:val="lowerRoman"/>
      <w:start w:val="9"/>
    </w:lvl>
  </w:abstractNum>
  <w:abstractNum w:abstractNumId="216">
    <w:nsid w:val="530386D1"/>
    <w:multiLevelType w:val="hybridMultilevel"/>
    <w:lvl w:ilvl="0">
      <w:lvlJc w:val="left"/>
      <w:lvlText w:val="(%1)"/>
      <w:numFmt w:val="lowerLetter"/>
      <w:start w:val="2"/>
    </w:lvl>
    <w:lvl w:ilvl="1">
      <w:lvlJc w:val="left"/>
      <w:lvlText w:val="%2"/>
      <w:numFmt w:val="lowerRoman"/>
      <w:start w:val="1"/>
    </w:lvl>
  </w:abstractNum>
  <w:abstractNum w:abstractNumId="217">
    <w:nsid w:val="7525F2BC"/>
    <w:multiLevelType w:val="hybridMultilevel"/>
    <w:lvl w:ilvl="0">
      <w:lvlJc w:val="left"/>
      <w:lvlText w:val="(%1)"/>
      <w:numFmt w:val="lowerLetter"/>
      <w:start w:val="1"/>
    </w:lvl>
  </w:abstractNum>
  <w:abstractNum w:abstractNumId="218">
    <w:nsid w:val="CE8E1A7"/>
    <w:multiLevelType w:val="hybridMultilevel"/>
    <w:lvl w:ilvl="0">
      <w:lvlJc w:val="left"/>
      <w:lvlText w:val="%1"/>
      <w:numFmt w:val="lowerLetter"/>
      <w:start w:val="1"/>
    </w:lvl>
    <w:lvl w:ilvl="1">
      <w:lvlJc w:val="left"/>
      <w:lvlText w:val="(%2)"/>
      <w:numFmt w:val="lowerLetter"/>
      <w:start w:val="2"/>
    </w:lvl>
  </w:abstractNum>
  <w:abstractNum w:abstractNumId="219">
    <w:nsid w:val="4E9EFB0D"/>
    <w:multiLevelType w:val="hybridMultilevel"/>
    <w:lvl w:ilvl="0">
      <w:lvlJc w:val="left"/>
      <w:lvlText w:val="(%1)"/>
      <w:numFmt w:val="lowerLetter"/>
      <w:start w:val="9"/>
    </w:lvl>
    <w:lvl w:ilvl="1">
      <w:lvlJc w:val="left"/>
      <w:lvlText w:val="(%2)"/>
      <w:numFmt w:val="lowerLetter"/>
      <w:start w:val="4"/>
    </w:lvl>
  </w:abstractNum>
  <w:abstractNum w:abstractNumId="220">
    <w:nsid w:val="90802BE"/>
    <w:multiLevelType w:val="hybridMultilevel"/>
    <w:lvl w:ilvl="0">
      <w:lvlJc w:val="left"/>
      <w:lvlText w:val="(%1)"/>
      <w:numFmt w:val="lowerLetter"/>
      <w:start w:val="5"/>
    </w:lvl>
    <w:lvl w:ilvl="1">
      <w:lvlJc w:val="left"/>
      <w:lvlText w:val="(%2)"/>
      <w:numFmt w:val="lowerRoman"/>
      <w:start w:val="1"/>
    </w:lvl>
  </w:abstractNum>
  <w:abstractNum w:abstractNumId="221">
    <w:nsid w:val="3266459B"/>
    <w:multiLevelType w:val="hybridMultilevel"/>
    <w:lvl w:ilvl="0">
      <w:lvlJc w:val="left"/>
      <w:lvlText w:val="(%1)"/>
      <w:numFmt w:val="lowerLetter"/>
      <w:start w:val="1"/>
    </w:lvl>
  </w:abstractNum>
  <w:abstractNum w:abstractNumId="222">
    <w:nsid w:val="3F8B0CBF"/>
    <w:multiLevelType w:val="hybridMultilevel"/>
    <w:lvl w:ilvl="0">
      <w:lvlJc w:val="left"/>
      <w:lvlText w:val="%1"/>
      <w:numFmt w:val="upperLetter"/>
      <w:start w:val="1"/>
    </w:lvl>
    <w:lvl w:ilvl="1">
      <w:lvlJc w:val="left"/>
      <w:lvlText w:val="(%2)"/>
      <w:numFmt w:val="lowerLetter"/>
      <w:start w:val="2"/>
    </w:lvl>
  </w:abstractNum>
  <w:abstractNum w:abstractNumId="223">
    <w:nsid w:val="37E203AB"/>
    <w:multiLevelType w:val="hybridMultilevel"/>
    <w:lvl w:ilvl="0">
      <w:lvlJc w:val="left"/>
      <w:lvlText w:val="(%1)"/>
      <w:numFmt w:val="upperLetter"/>
      <w:start w:val="1"/>
    </w:lvl>
    <w:lvl w:ilvl="1">
      <w:lvlJc w:val="left"/>
      <w:lvlText w:val="(%2)"/>
      <w:numFmt w:val="lowerLetter"/>
      <w:start w:val="4"/>
    </w:lvl>
  </w:abstractNum>
  <w:abstractNum w:abstractNumId="224">
    <w:nsid w:val="2586D60E"/>
    <w:multiLevelType w:val="hybridMultilevel"/>
    <w:lvl w:ilvl="0">
      <w:lvlJc w:val="left"/>
      <w:lvlText w:val="(%1)"/>
      <w:numFmt w:val="lowerLetter"/>
      <w:start w:val="5"/>
    </w:lvl>
    <w:lvl w:ilvl="1">
      <w:lvlJc w:val="left"/>
      <w:lvlText w:val="(%2)"/>
      <w:numFmt w:val="lowerRoman"/>
      <w:start w:val="1"/>
    </w:lvl>
  </w:abstractNum>
  <w:abstractNum w:abstractNumId="225">
    <w:nsid w:val="1F3DA4D5"/>
    <w:multiLevelType w:val="hybridMultilevel"/>
    <w:lvl w:ilvl="0">
      <w:lvlJc w:val="left"/>
      <w:lvlText w:val="(%1)"/>
      <w:numFmt w:val="lowerLetter"/>
      <w:start w:val="1"/>
    </w:lvl>
  </w:abstractNum>
  <w:abstractNum w:abstractNumId="226">
    <w:nsid w:val="74C93698"/>
    <w:multiLevelType w:val="hybridMultilevel"/>
    <w:lvl w:ilvl="0">
      <w:lvlJc w:val="left"/>
      <w:lvlText w:val="(%1)"/>
      <w:numFmt w:val="lowerLetter"/>
      <w:start w:val="2"/>
    </w:lvl>
  </w:abstractNum>
  <w:abstractNum w:abstractNumId="227">
    <w:nsid w:val="48781401"/>
    <w:multiLevelType w:val="hybridMultilevel"/>
    <w:lvl w:ilvl="0">
      <w:lvlJc w:val="left"/>
      <w:lvlText w:val="(%1)"/>
      <w:numFmt w:val="lowerLetter"/>
      <w:start w:val="5"/>
    </w:lvl>
  </w:abstractNum>
  <w:abstractNum w:abstractNumId="228">
    <w:nsid w:val="186928D6"/>
    <w:multiLevelType w:val="hybridMultilevel"/>
    <w:lvl w:ilvl="0">
      <w:lvlJc w:val="left"/>
      <w:lvlText w:val="%1"/>
      <w:numFmt w:val="lowerLetter"/>
      <w:start w:val="1"/>
    </w:lvl>
    <w:lvl w:ilvl="1">
      <w:lvlJc w:val="left"/>
      <w:lvlText w:val="(%2)"/>
      <w:numFmt w:val="lowerLetter"/>
      <w:start w:val="1"/>
    </w:lvl>
  </w:abstractNum>
  <w:abstractNum w:abstractNumId="229">
    <w:nsid w:val="47195E5"/>
    <w:multiLevelType w:val="hybridMultilevel"/>
    <w:lvl w:ilvl="0">
      <w:lvlJc w:val="left"/>
      <w:lvlText w:val="(%1)"/>
      <w:numFmt w:val="lowerLetter"/>
      <w:start w:val="61"/>
    </w:lvl>
    <w:lvl w:ilvl="1">
      <w:lvlJc w:val="left"/>
      <w:lvlText w:val="%2"/>
      <w:numFmt w:val="lowerLetter"/>
      <w:start w:val="1"/>
    </w:lvl>
  </w:abstractNum>
  <w:abstractNum w:abstractNumId="230">
    <w:nsid w:val="3746A5F2"/>
    <w:multiLevelType w:val="hybridMultilevel"/>
    <w:lvl w:ilvl="0">
      <w:lvlJc w:val="left"/>
      <w:lvlText w:val="(%1)"/>
      <w:numFmt w:val="lowerRoman"/>
      <w:start w:val="10"/>
    </w:lvl>
  </w:abstractNum>
  <w:abstractNum w:abstractNumId="231">
    <w:nsid w:val="682DFED6"/>
    <w:multiLevelType w:val="hybridMultilevel"/>
    <w:lvl w:ilvl="0">
      <w:lvlJc w:val="left"/>
      <w:lvlText w:val="(%1)"/>
      <w:numFmt w:val="lowerLetter"/>
      <w:start w:val="1"/>
    </w:lvl>
  </w:abstractNum>
  <w:abstractNum w:abstractNumId="232">
    <w:nsid w:val="606ED7F6"/>
    <w:multiLevelType w:val="hybridMultilevel"/>
    <w:lvl w:ilvl="0">
      <w:lvlJc w:val="left"/>
      <w:lvlText w:val="(%1)"/>
      <w:numFmt w:val="lowerLetter"/>
      <w:start w:val="1"/>
    </w:lvl>
  </w:abstractNum>
  <w:abstractNum w:abstractNumId="233">
    <w:nsid w:val="2D9DF57D"/>
    <w:multiLevelType w:val="hybridMultilevel"/>
    <w:lvl w:ilvl="0">
      <w:lvlJc w:val="left"/>
      <w:lvlText w:val="(%1)"/>
      <w:numFmt w:val="lowerLetter"/>
      <w:start w:val="1"/>
    </w:lvl>
  </w:abstractNum>
  <w:abstractNum w:abstractNumId="234">
    <w:nsid w:val="7FBD7A3E"/>
    <w:multiLevelType w:val="hybridMultilevel"/>
    <w:lvl w:ilvl="0">
      <w:lvlJc w:val="left"/>
      <w:lvlText w:val="(%1)"/>
      <w:numFmt w:val="lowerLetter"/>
      <w:start w:val="1"/>
    </w:lvl>
  </w:abstractNum>
  <w:abstractNum w:abstractNumId="235">
    <w:nsid w:val="490B7C5"/>
    <w:multiLevelType w:val="hybridMultilevel"/>
    <w:lvl w:ilvl="0">
      <w:lvlJc w:val="left"/>
      <w:lvlText w:val="(%1)"/>
      <w:numFmt w:val="lowerLetter"/>
      <w:start w:val="1"/>
    </w:lvl>
  </w:abstractNum>
  <w:abstractNum w:abstractNumId="236">
    <w:nsid w:val="4303A216"/>
    <w:multiLevelType w:val="hybridMultilevel"/>
    <w:lvl w:ilvl="0">
      <w:lvlJc w:val="left"/>
      <w:lvlText w:val="(%1)"/>
      <w:numFmt w:val="lowerLetter"/>
      <w:start w:val="1"/>
    </w:lvl>
  </w:abstractNum>
  <w:abstractNum w:abstractNumId="237">
    <w:nsid w:val="19B8A08E"/>
    <w:multiLevelType w:val="hybridMultilevel"/>
    <w:lvl w:ilvl="0">
      <w:lvlJc w:val="left"/>
      <w:lvlText w:val="(%1)"/>
      <w:numFmt w:val="lowerLetter"/>
      <w:start w:val="4"/>
    </w:lvl>
  </w:abstractNum>
  <w:abstractNum w:abstractNumId="238">
    <w:nsid w:val="54B59621"/>
    <w:multiLevelType w:val="hybridMultilevel"/>
    <w:lvl w:ilvl="0">
      <w:lvlJc w:val="left"/>
      <w:lvlText w:val="(%1)"/>
      <w:numFmt w:val="lowerLetter"/>
      <w:start w:val="1"/>
    </w:lvl>
  </w:abstractNum>
  <w:abstractNum w:abstractNumId="239">
    <w:nsid w:val="5992A02E"/>
    <w:multiLevelType w:val="hybridMultilevel"/>
    <w:lvl w:ilvl="0">
      <w:lvlJc w:val="left"/>
      <w:lvlText w:val="(%1)"/>
      <w:numFmt w:val="lowerLetter"/>
      <w:start w:val="4"/>
    </w:lvl>
  </w:abstractNum>
  <w:abstractNum w:abstractNumId="240">
    <w:nsid w:val="29EF532D"/>
    <w:multiLevelType w:val="hybridMultilevel"/>
    <w:lvl w:ilvl="0">
      <w:lvlJc w:val="left"/>
      <w:lvlText w:val="(%1)"/>
      <w:numFmt w:val="lowerLetter"/>
      <w:start w:val="1"/>
    </w:lvl>
  </w:abstractNum>
  <w:abstractNum w:abstractNumId="241">
    <w:nsid w:val="71D601AF"/>
    <w:multiLevelType w:val="hybridMultilevel"/>
    <w:lvl w:ilvl="0">
      <w:lvlJc w:val="left"/>
      <w:lvlText w:val="%1"/>
      <w:numFmt w:val="lowerLetter"/>
      <w:start w:val="1"/>
    </w:lvl>
    <w:lvl w:ilvl="1">
      <w:lvlJc w:val="left"/>
      <w:lvlText w:val="(%2)"/>
      <w:numFmt w:val="lowerLetter"/>
      <w:start w:val="7"/>
    </w:lvl>
  </w:abstractNum>
  <w:abstractNum w:abstractNumId="242">
    <w:nsid w:val="52C77402"/>
    <w:multiLevelType w:val="hybridMultilevel"/>
    <w:lvl w:ilvl="0">
      <w:lvlJc w:val="left"/>
      <w:lvlText w:val="(%1)"/>
      <w:numFmt w:val="lowerLetter"/>
      <w:start w:val="1"/>
    </w:lvl>
    <w:lvl w:ilvl="1">
      <w:lvlJc w:val="left"/>
      <w:lvlText w:val="(%2)"/>
      <w:numFmt w:val="lowerLetter"/>
      <w:start w:val="10"/>
    </w:lvl>
  </w:abstractNum>
  <w:abstractNum w:abstractNumId="243">
    <w:nsid w:val="2BB5B1C6"/>
    <w:multiLevelType w:val="hybridMultilevel"/>
    <w:lvl w:ilvl="0">
      <w:lvlJc w:val="left"/>
      <w:lvlText w:val="(%1)"/>
      <w:numFmt w:val="lowerLetter"/>
      <w:start w:val="1"/>
    </w:lvl>
  </w:abstractNum>
  <w:abstractNum w:abstractNumId="244">
    <w:nsid w:val="66BE6B9"/>
    <w:multiLevelType w:val="hybridMultilevel"/>
    <w:lvl w:ilvl="0">
      <w:lvlJc w:val="left"/>
      <w:lvlText w:val="(%1)"/>
      <w:numFmt w:val="lowerLetter"/>
      <w:start w:val="3"/>
    </w:lvl>
  </w:abstractNum>
  <w:abstractNum w:abstractNumId="245">
    <w:nsid w:val="62234363"/>
    <w:multiLevelType w:val="hybridMultilevel"/>
    <w:lvl w:ilvl="0">
      <w:lvlJc w:val="left"/>
      <w:lvlText w:val="(%1)"/>
      <w:numFmt w:val="lowerLetter"/>
      <w:start w:val="1"/>
    </w:lvl>
  </w:abstractNum>
  <w:abstractNum w:abstractNumId="246">
    <w:nsid w:val="66D385C9"/>
    <w:multiLevelType w:val="hybridMultilevel"/>
    <w:lvl w:ilvl="0">
      <w:lvlJc w:val="left"/>
      <w:lvlText w:val="%1"/>
      <w:numFmt w:val="lowerLetter"/>
      <w:start w:val="1"/>
    </w:lvl>
    <w:lvl w:ilvl="1">
      <w:lvlJc w:val="left"/>
      <w:lvlText w:val="(%2)"/>
      <w:numFmt w:val="lowerLetter"/>
      <w:start w:val="5"/>
    </w:lvl>
  </w:abstractNum>
  <w:abstractNum w:abstractNumId="247">
    <w:nsid w:val="596F6D8A"/>
    <w:multiLevelType w:val="hybridMultilevel"/>
    <w:lvl w:ilvl="0">
      <w:lvlJc w:val="left"/>
      <w:lvlText w:val="(%1)"/>
      <w:numFmt w:val="lowerLetter"/>
      <w:start w:val="61"/>
    </w:lvl>
    <w:lvl w:ilvl="1">
      <w:lvlJc w:val="left"/>
      <w:lvlText w:val="(%2)"/>
      <w:numFmt w:val="lowerLetter"/>
      <w:start w:val="8"/>
    </w:lvl>
  </w:abstractNum>
  <w:abstractNum w:abstractNumId="248">
    <w:nsid w:val="5749361F"/>
    <w:multiLevelType w:val="hybridMultilevel"/>
    <w:lvl w:ilvl="0">
      <w:lvlJc w:val="left"/>
      <w:lvlText w:val="(%1)"/>
      <w:numFmt w:val="lowerLetter"/>
      <w:start w:val="1"/>
    </w:lvl>
  </w:abstractNum>
  <w:abstractNum w:abstractNumId="249">
    <w:nsid w:val="73BC6770"/>
    <w:multiLevelType w:val="hybridMultilevel"/>
    <w:lvl w:ilvl="0">
      <w:lvlJc w:val="left"/>
      <w:lvlText w:val="(%1)"/>
      <w:numFmt w:val="lowerLetter"/>
      <w:start w:val="5"/>
    </w:lvl>
  </w:abstractNum>
  <w:abstractNum w:abstractNumId="250">
    <w:nsid w:val="280E6897"/>
    <w:multiLevelType w:val="hybridMultilevel"/>
    <w:lvl w:ilvl="0">
      <w:lvlJc w:val="left"/>
      <w:lvlText w:val="(%1)"/>
      <w:numFmt w:val="lowerLetter"/>
      <w:start w:val="1"/>
    </w:lvl>
  </w:abstractNum>
  <w:abstractNum w:abstractNumId="251">
    <w:nsid w:val="605138DE"/>
    <w:multiLevelType w:val="hybridMultilevel"/>
    <w:lvl w:ilvl="0">
      <w:lvlJc w:val="left"/>
      <w:lvlText w:val="(%1)"/>
      <w:numFmt w:val="lowerLetter"/>
      <w:start w:val="1"/>
    </w:lvl>
  </w:abstractNum>
  <w:abstractNum w:abstractNumId="252">
    <w:nsid w:val="2622AD0C"/>
    <w:multiLevelType w:val="hybridMultilevel"/>
    <w:lvl w:ilvl="0">
      <w:lvlJc w:val="left"/>
      <w:lvlText w:val="%1."/>
      <w:numFmt w:val="decimal"/>
      <w:start w:val="1"/>
    </w:lvl>
  </w:abstractNum>
  <w:abstractNum w:abstractNumId="253">
    <w:nsid w:val="67997556"/>
    <w:multiLevelType w:val="hybridMultilevel"/>
    <w:lvl w:ilvl="0">
      <w:lvlJc w:val="left"/>
      <w:lvlText w:val="%1."/>
      <w:numFmt w:val="decimal"/>
      <w:start w:val="6"/>
    </w:lvl>
  </w:abstractNum>
  <w:abstractNum w:abstractNumId="254">
    <w:nsid w:val="18333C89"/>
    <w:multiLevelType w:val="hybridMultilevel"/>
    <w:lvl w:ilvl="0">
      <w:lvlJc w:val="left"/>
      <w:lvlText w:val="(%1)"/>
      <w:numFmt w:val="decimal"/>
      <w:start w:val="1"/>
    </w:lvl>
  </w:abstractNum>
  <w:abstractNum w:abstractNumId="255">
    <w:nsid w:val="4BA983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6">
    <w:nsid w:val="6D71A2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57">
    <w:nsid w:val="CFC73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8">
    <w:nsid w:val="1421971B"/>
    <w:multiLevelType w:val="hybridMultilevel"/>
    <w:lvl w:ilvl="0">
      <w:lvlJc w:val="left"/>
      <w:lvlText w:val="(%1)"/>
      <w:numFmt w:val="upperLetter"/>
      <w:start w:val="2"/>
    </w:lvl>
    <w:lvl w:ilvl="1">
      <w:lvlJc w:val="left"/>
      <w:lvlText w:val="(%2)"/>
      <w:numFmt w:val="lowerRoman"/>
      <w:start w:val="5"/>
    </w:lvl>
  </w:abstractNum>
  <w:abstractNum w:abstractNumId="259">
    <w:nsid w:val="1F404301"/>
    <w:multiLevelType w:val="hybridMultilevel"/>
    <w:lvl w:ilvl="0">
      <w:lvlJc w:val="left"/>
      <w:lvlText w:val="(%1)"/>
      <w:numFmt w:val="lowerLetter"/>
      <w:start w:val="2"/>
    </w:lvl>
  </w:abstractNum>
  <w:abstractNum w:abstractNumId="260">
    <w:nsid w:val="116E0907"/>
    <w:multiLevelType w:val="hybridMultilevel"/>
    <w:lvl w:ilvl="0">
      <w:lvlJc w:val="left"/>
      <w:lvlText w:val="(%1)"/>
      <w:numFmt w:val="decimal"/>
      <w:start w:val="5"/>
    </w:lvl>
    <w:lvl w:ilvl="1">
      <w:lvlJc w:val="left"/>
      <w:lvlText w:val="(%2)"/>
      <w:numFmt w:val="lowerLetter"/>
      <w:start w:val="1"/>
    </w:lvl>
  </w:abstractNum>
  <w:abstractNum w:abstractNumId="261">
    <w:nsid w:val="4B683D0D"/>
    <w:multiLevelType w:val="hybridMultilevel"/>
    <w:lvl w:ilvl="0">
      <w:lvlJc w:val="left"/>
      <w:lvlText w:val="%1"/>
      <w:numFmt w:val="decimal"/>
      <w:start w:val="1"/>
    </w:lvl>
    <w:lvl w:ilvl="1">
      <w:lvlJc w:val="left"/>
      <w:lvlText w:val="(%2)"/>
      <w:numFmt w:val="decimal"/>
      <w:start w:val="7"/>
    </w:lvl>
  </w:abstractNum>
  <w:abstractNum w:abstractNumId="262">
    <w:nsid w:val="76E41D8"/>
    <w:multiLevelType w:val="hybridMultilevel"/>
    <w:lvl w:ilvl="0">
      <w:lvlJc w:val="left"/>
      <w:lvlText w:val="(%1)"/>
      <w:numFmt w:val="decimal"/>
      <w:start w:val="5"/>
    </w:lvl>
    <w:lvl w:ilvl="1">
      <w:lvlJc w:val="left"/>
      <w:lvlText w:val="%2"/>
      <w:numFmt w:val="decimal"/>
      <w:start w:val="1"/>
    </w:lvl>
  </w:abstractNum>
  <w:abstractNum w:abstractNumId="263">
    <w:nsid w:val="71DCE0FD"/>
    <w:multiLevelType w:val="hybridMultilevel"/>
    <w:lvl w:ilvl="0">
      <w:lvlJc w:val="left"/>
      <w:lvlText w:val="(%1)"/>
      <w:numFmt w:val="decimal"/>
      <w:start w:val="9"/>
    </w:lvl>
    <w:lvl w:ilvl="1">
      <w:lvlJc w:val="left"/>
      <w:lvlText w:val="(%2)"/>
      <w:numFmt w:val="lowerLetter"/>
      <w:start w:val="1"/>
    </w:lvl>
  </w:abstractNum>
  <w:abstractNum w:abstractNumId="264">
    <w:nsid w:val="7906328B"/>
    <w:multiLevelType w:val="hybridMultilevel"/>
    <w:lvl w:ilvl="0">
      <w:lvlJc w:val="left"/>
      <w:lvlText w:val="%1"/>
      <w:numFmt w:val="decimal"/>
      <w:start w:val="1"/>
    </w:lvl>
    <w:lvl w:ilvl="1">
      <w:lvlJc w:val="left"/>
      <w:lvlText w:val="(%2)"/>
      <w:numFmt w:val="lowerLetter"/>
      <w:start w:val="9"/>
    </w:lvl>
  </w:abstractNum>
  <w:abstractNum w:abstractNumId="265">
    <w:nsid w:val="72BBC16"/>
    <w:multiLevelType w:val="hybridMultilevel"/>
    <w:lvl w:ilvl="0">
      <w:lvlJc w:val="left"/>
      <w:lvlText w:val="(%1)"/>
      <w:numFmt w:val="decimal"/>
      <w:start w:val="11"/>
    </w:lvl>
    <w:lvl w:ilvl="1">
      <w:lvlJc w:val="left"/>
      <w:lvlText w:val="(%2)"/>
      <w:numFmt w:val="lowerLetter"/>
      <w:start w:val="1"/>
    </w:lvl>
  </w:abstractNum>
  <w:abstractNum w:abstractNumId="266">
    <w:nsid w:val="766D98C2"/>
    <w:multiLevelType w:val="hybridMultilevel"/>
    <w:lvl w:ilvl="0">
      <w:lvlJc w:val="left"/>
      <w:lvlText w:val="(%1)"/>
      <w:numFmt w:val="decimal"/>
      <w:start w:val="14"/>
    </w:lvl>
    <w:lvl w:ilvl="1">
      <w:lvlJc w:val="left"/>
      <w:lvlText w:val="(%2)"/>
      <w:numFmt w:val="lowerRoman"/>
      <w:start w:val="1"/>
    </w:lvl>
  </w:abstractNum>
  <w:abstractNum w:abstractNumId="267">
    <w:nsid w:val="3C09D4A1"/>
    <w:multiLevelType w:val="hybridMultilevel"/>
    <w:lvl w:ilvl="0">
      <w:lvlJc w:val="left"/>
      <w:lvlText w:val="(%1)"/>
      <w:numFmt w:val="decimal"/>
      <w:start w:val="19"/>
    </w:lvl>
    <w:lvl w:ilvl="1">
      <w:lvlJc w:val="left"/>
      <w:lvlText w:val="(%2)"/>
      <w:numFmt w:val="lowerLetter"/>
      <w:start w:val="1"/>
    </w:lvl>
  </w:abstractNum>
  <w:abstractNum w:abstractNumId="268">
    <w:nsid w:val="20E45CA4"/>
    <w:multiLevelType w:val="hybridMultilevel"/>
    <w:lvl w:ilvl="0">
      <w:lvlJc w:val="left"/>
      <w:lvlText w:val="%1"/>
      <w:numFmt w:val="decimal"/>
      <w:start w:val="1"/>
    </w:lvl>
    <w:lvl w:ilvl="1">
      <w:lvlJc w:val="left"/>
      <w:lvlText w:val="(%2)"/>
      <w:numFmt w:val="lowerLetter"/>
      <w:start w:val="2"/>
    </w:lvl>
  </w:abstractNum>
  <w:abstractNum w:abstractNumId="269">
    <w:nsid w:val="4B232EE3"/>
    <w:multiLevelType w:val="hybridMultilevel"/>
    <w:lvl w:ilvl="0">
      <w:lvlJc w:val="left"/>
      <w:lvlText w:val="(%1)"/>
      <w:numFmt w:val="decimal"/>
      <w:start w:val="21"/>
    </w:lvl>
    <w:lvl w:ilvl="1">
      <w:lvlJc w:val="left"/>
      <w:lvlText w:val="%2"/>
      <w:numFmt w:val="lowerLetter"/>
      <w:start w:val="1"/>
    </w:lvl>
  </w:abstractNum>
  <w:abstractNum w:abstractNumId="270">
    <w:nsid w:val="159C74CF"/>
    <w:multiLevelType w:val="hybridMultilevel"/>
    <w:lvl w:ilvl="0">
      <w:lvlJc w:val="left"/>
      <w:lvlText w:val="(%1)"/>
      <w:numFmt w:val="decimal"/>
      <w:start w:val="24"/>
    </w:lvl>
    <w:lvl w:ilvl="1">
      <w:lvlJc w:val="left"/>
      <w:lvlText w:val="(%2)"/>
      <w:numFmt w:val="lowerLetter"/>
      <w:start w:val="1"/>
    </w:lvl>
  </w:abstractNum>
  <w:abstractNum w:abstractNumId="271">
    <w:nsid w:val="4AD3AFD2"/>
    <w:multiLevelType w:val="hybridMultilevel"/>
    <w:lvl w:ilvl="0">
      <w:lvlJc w:val="left"/>
      <w:lvlText w:val="&amp;"/>
      <w:numFmt w:val="bullet"/>
      <w:start w:val="1"/>
    </w:lvl>
    <w:lvl w:ilvl="1">
      <w:lvlJc w:val="left"/>
      <w:lvlText w:val="(%2)"/>
      <w:numFmt w:val="lowerLetter"/>
      <w:start w:val="6"/>
    </w:lvl>
  </w:abstractNum>
  <w:abstractNum w:abstractNumId="272">
    <w:nsid w:val="3CF93092"/>
    <w:multiLevelType w:val="hybridMultilevel"/>
    <w:lvl w:ilvl="0">
      <w:lvlJc w:val="left"/>
      <w:lvlText w:val="%1"/>
      <w:numFmt w:val="lowerRoman"/>
      <w:start w:val="1"/>
    </w:lvl>
    <w:lvl w:ilvl="1">
      <w:lvlJc w:val="left"/>
      <w:lvlText w:val="(%2)"/>
      <w:numFmt w:val="lowerLetter"/>
      <w:start w:val="13"/>
    </w:lvl>
  </w:abstractNum>
  <w:abstractNum w:abstractNumId="273">
    <w:nsid w:val="6863E8D2"/>
    <w:multiLevelType w:val="hybridMultilevel"/>
    <w:lvl w:ilvl="0">
      <w:lvlJc w:val="left"/>
      <w:lvlText w:val="(%1)"/>
      <w:numFmt w:val="lowerRoman"/>
      <w:start w:val="9"/>
    </w:lvl>
    <w:lvl w:ilvl="1">
      <w:lvlJc w:val="left"/>
      <w:lvlText w:val="(%2)"/>
      <w:numFmt w:val="lowerLetter"/>
      <w:start w:val="20"/>
    </w:lvl>
  </w:abstractNum>
  <w:abstractNum w:abstractNumId="274">
    <w:nsid w:val="76896198"/>
    <w:multiLevelType w:val="hybridMultilevel"/>
    <w:lvl w:ilvl="0">
      <w:lvlJc w:val="left"/>
      <w:lvlText w:val="(%1)"/>
      <w:numFmt w:val="lowerLetter"/>
      <w:start w:val="21"/>
    </w:lvl>
  </w:abstractNum>
  <w:abstractNum w:abstractNumId="275">
    <w:nsid w:val="4365174B"/>
    <w:multiLevelType w:val="hybridMultilevel"/>
    <w:lvl w:ilvl="0">
      <w:lvlJc w:val="left"/>
      <w:lvlText w:val="(%1)"/>
      <w:numFmt w:val="lowerLetter"/>
      <w:start w:val="27"/>
    </w:lvl>
  </w:abstractNum>
  <w:abstractNum w:abstractNumId="276">
    <w:nsid w:val="4A872C35"/>
    <w:multiLevelType w:val="hybridMultilevel"/>
    <w:lvl w:ilvl="0">
      <w:lvlJc w:val="left"/>
      <w:lvlText w:val="%1"/>
      <w:numFmt w:val="decimal"/>
      <w:start w:val="1"/>
    </w:lvl>
    <w:lvl w:ilvl="1">
      <w:lvlJc w:val="left"/>
      <w:lvlText w:val="(%2)"/>
      <w:numFmt w:val="lowerLetter"/>
      <w:start w:val="31"/>
    </w:lvl>
  </w:abstractNum>
  <w:abstractNum w:abstractNumId="277">
    <w:nsid w:val="5D5CE761"/>
    <w:multiLevelType w:val="hybridMultilevel"/>
    <w:lvl w:ilvl="0">
      <w:lvlJc w:val="left"/>
      <w:lvlText w:val="(%1)"/>
      <w:numFmt w:val="decimal"/>
      <w:start w:val="26"/>
    </w:lvl>
    <w:lvl w:ilvl="1">
      <w:lvlJc w:val="left"/>
      <w:lvlText w:val="%2"/>
      <w:numFmt w:val="lowerLetter"/>
      <w:start w:val="1"/>
    </w:lvl>
  </w:abstractNum>
  <w:abstractNum w:abstractNumId="278">
    <w:nsid w:val="1CD484D5"/>
    <w:multiLevelType w:val="hybridMultilevel"/>
    <w:lvl w:ilvl="0">
      <w:lvlJc w:val="left"/>
      <w:lvlText w:val="(%1)"/>
      <w:numFmt w:val="lowerLetter"/>
      <w:start w:val="1"/>
    </w:lvl>
  </w:abstractNum>
  <w:abstractNum w:abstractNumId="279">
    <w:nsid w:val="21D06255"/>
    <w:multiLevelType w:val="hybridMultilevel"/>
    <w:lvl w:ilvl="0">
      <w:lvlJc w:val="left"/>
      <w:lvlText w:val="(%1)"/>
      <w:numFmt w:val="lowerLetter"/>
      <w:start w:val="1"/>
    </w:lvl>
  </w:abstractNum>
  <w:abstractNum w:abstractNumId="280">
    <w:nsid w:val="51194ED1"/>
    <w:multiLevelType w:val="hybridMultilevel"/>
    <w:lvl w:ilvl="0">
      <w:lvlJc w:val="left"/>
      <w:lvlText w:val="(%1)"/>
      <w:numFmt w:val="lowerLetter"/>
      <w:start w:val="16"/>
    </w:lvl>
  </w:abstractNum>
  <w:abstractNum w:abstractNumId="281">
    <w:nsid w:val="44E2ED6C"/>
    <w:multiLevelType w:val="hybridMultilevel"/>
    <w:lvl w:ilvl="0">
      <w:lvlJc w:val="left"/>
      <w:lvlText w:val="%1"/>
      <w:numFmt w:val="upperLetter"/>
      <w:start w:val="1"/>
    </w:lvl>
    <w:lvl w:ilvl="1">
      <w:lvlJc w:val="left"/>
      <w:lvlText w:val="(%2)"/>
      <w:numFmt w:val="lowerLetter"/>
      <w:start w:val="1"/>
    </w:lvl>
  </w:abstractNum>
  <w:abstractNum w:abstractNumId="282">
    <w:nsid w:val="2219B33"/>
    <w:multiLevelType w:val="hybridMultilevel"/>
    <w:lvl w:ilvl="0">
      <w:lvlJc w:val="left"/>
      <w:lvlText w:val="(%1)"/>
      <w:numFmt w:val="upperLetter"/>
      <w:start w:val="2"/>
    </w:lvl>
    <w:lvl w:ilvl="1">
      <w:lvlJc w:val="left"/>
      <w:lvlText w:val="(%2)"/>
      <w:numFmt w:val="lowerLetter"/>
      <w:start w:val="2"/>
    </w:lvl>
  </w:abstractNum>
  <w:abstractNum w:abstractNumId="283">
    <w:nsid w:val="773BFBDD"/>
    <w:multiLevelType w:val="hybridMultilevel"/>
    <w:lvl w:ilvl="0">
      <w:lvlJc w:val="left"/>
      <w:lvlText w:val="(%1)"/>
      <w:numFmt w:val="lowerLetter"/>
      <w:start w:val="1"/>
    </w:lvl>
  </w:abstractNum>
  <w:abstractNum w:abstractNumId="284">
    <w:nsid w:val="2C7C62C2"/>
    <w:multiLevelType w:val="hybridMultilevel"/>
    <w:lvl w:ilvl="0">
      <w:lvlJc w:val="left"/>
      <w:lvlText w:val="%1"/>
      <w:numFmt w:val="lowerLetter"/>
      <w:start w:val="1"/>
    </w:lvl>
    <w:lvl w:ilvl="1">
      <w:lvlJc w:val="left"/>
      <w:lvlText w:val="(%2)"/>
      <w:numFmt w:val="lowerLetter"/>
      <w:start w:val="4"/>
    </w:lvl>
  </w:abstractNum>
  <w:abstractNum w:abstractNumId="285">
    <w:nsid w:val="1A54D7BC"/>
    <w:multiLevelType w:val="hybridMultilevel"/>
    <w:lvl w:ilvl="0">
      <w:lvlJc w:val="left"/>
      <w:lvlText w:val="(%1)"/>
      <w:numFmt w:val="lowerLetter"/>
      <w:start w:val="9"/>
    </w:lvl>
    <w:lvl w:ilvl="1">
      <w:lvlJc w:val="left"/>
      <w:lvlText w:val="(%2)"/>
      <w:numFmt w:val="lowerLetter"/>
      <w:start w:val="5"/>
    </w:lvl>
  </w:abstractNum>
  <w:abstractNum w:abstractNumId="286">
    <w:nsid w:val="42E57EF7"/>
    <w:multiLevelType w:val="hybridMultilevel"/>
    <w:lvl w:ilvl="0">
      <w:lvlJc w:val="left"/>
      <w:lvlText w:val="(%1)"/>
      <w:numFmt w:val="lowerLetter"/>
      <w:start w:val="7"/>
    </w:lvl>
  </w:abstractNum>
  <w:abstractNum w:abstractNumId="287">
    <w:nsid w:val="33537CED"/>
    <w:multiLevelType w:val="hybridMultilevel"/>
    <w:lvl w:ilvl="0">
      <w:lvlJc w:val="left"/>
      <w:lvlText w:val="(%1)"/>
      <w:numFmt w:val="lowerLetter"/>
      <w:start w:val="1"/>
    </w:lvl>
  </w:abstractNum>
  <w:abstractNum w:abstractNumId="288">
    <w:nsid w:val="27514ADE"/>
    <w:multiLevelType w:val="hybridMultilevel"/>
    <w:lvl w:ilvl="0">
      <w:lvlJc w:val="left"/>
      <w:lvlText w:val="(%1)"/>
      <w:numFmt w:val="lowerLetter"/>
      <w:start w:val="2"/>
    </w:lvl>
    <w:lvl w:ilvl="1">
      <w:lvlJc w:val="left"/>
      <w:lvlText w:val="(%2)"/>
      <w:numFmt w:val="lowerRoman"/>
      <w:start w:val="1"/>
    </w:lvl>
  </w:abstractNum>
  <w:abstractNum w:abstractNumId="289">
    <w:nsid w:val="57071613"/>
    <w:multiLevelType w:val="hybridMultilevel"/>
    <w:lvl w:ilvl="0">
      <w:lvlJc w:val="left"/>
      <w:lvlText w:val="%1"/>
      <w:numFmt w:val="lowerLetter"/>
      <w:start w:val="1"/>
    </w:lvl>
    <w:lvl w:ilvl="1">
      <w:lvlJc w:val="left"/>
      <w:lvlText w:val="(%2)"/>
      <w:numFmt w:val="lowerLetter"/>
      <w:start w:val="61"/>
    </w:lvl>
  </w:abstractNum>
  <w:abstractNum w:abstractNumId="290">
    <w:nsid w:val="5293BFEF"/>
    <w:multiLevelType w:val="hybridMultilevel"/>
    <w:lvl w:ilvl="0">
      <w:lvlJc w:val="left"/>
      <w:lvlText w:val="(%1)"/>
      <w:numFmt w:val="lowerLetter"/>
      <w:start w:val="6"/>
    </w:lvl>
    <w:lvl w:ilvl="1">
      <w:lvlJc w:val="left"/>
      <w:lvlText w:val="(%2)"/>
      <w:numFmt w:val="lowerLetter"/>
      <w:start w:val="9"/>
    </w:lvl>
  </w:abstractNum>
  <w:abstractNum w:abstractNumId="291">
    <w:nsid w:val="38BF53E5"/>
    <w:multiLevelType w:val="hybridMultilevel"/>
    <w:lvl w:ilvl="0">
      <w:lvlJc w:val="left"/>
      <w:lvlText w:val="(%1)"/>
      <w:numFmt w:val="lowerRoman"/>
      <w:start w:val="2"/>
    </w:lvl>
  </w:abstractNum>
  <w:abstractNum w:abstractNumId="292">
    <w:nsid w:val="226F5320"/>
    <w:multiLevelType w:val="hybridMultilevel"/>
    <w:lvl w:ilvl="0">
      <w:lvlJc w:val="left"/>
      <w:lvlText w:val="%1"/>
      <w:numFmt w:val="lowerLetter"/>
      <w:start w:val="1"/>
    </w:lvl>
    <w:lvl w:ilvl="1">
      <w:lvlJc w:val="left"/>
      <w:lvlText w:val="(%2)"/>
      <w:numFmt w:val="lowerLetter"/>
      <w:start w:val="22"/>
    </w:lvl>
  </w:abstractNum>
  <w:abstractNum w:abstractNumId="293">
    <w:nsid w:val="5A0201C7"/>
    <w:multiLevelType w:val="hybridMultilevel"/>
    <w:lvl w:ilvl="0">
      <w:lvlJc w:val="left"/>
      <w:lvlText w:val="(%1)"/>
      <w:numFmt w:val="lowerLetter"/>
      <w:start w:val="7"/>
    </w:lvl>
    <w:lvl w:ilvl="1">
      <w:lvlJc w:val="left"/>
      <w:lvlText w:val="(%2)"/>
      <w:numFmt w:val="lowerLetter"/>
      <w:start w:val="9"/>
    </w:lvl>
  </w:abstractNum>
  <w:abstractNum w:abstractNumId="294">
    <w:nsid w:val="2A9C34E2"/>
    <w:multiLevelType w:val="hybridMultilevel"/>
    <w:lvl w:ilvl="0">
      <w:lvlJc w:val="left"/>
      <w:lvlText w:val="%1"/>
      <w:numFmt w:val="lowerLetter"/>
      <w:start w:val="1"/>
    </w:lvl>
    <w:lvl w:ilvl="1">
      <w:lvlJc w:val="left"/>
      <w:lvlText w:val="(%2)"/>
      <w:numFmt w:val="lowerLetter"/>
      <w:start w:val="35"/>
    </w:lvl>
  </w:abstractNum>
  <w:abstractNum w:abstractNumId="295">
    <w:nsid w:val="1B7585AB"/>
    <w:multiLevelType w:val="hybridMultilevel"/>
    <w:lvl w:ilvl="0">
      <w:lvlJc w:val="left"/>
      <w:lvlText w:val="(%1)"/>
      <w:numFmt w:val="lowerLetter"/>
      <w:start w:val="8"/>
    </w:lvl>
    <w:lvl w:ilvl="1">
      <w:lvlJc w:val="left"/>
      <w:lvlText w:val="(%2)"/>
      <w:numFmt w:val="lowerLetter"/>
      <w:start w:val="9"/>
    </w:lvl>
  </w:abstractNum>
  <w:abstractNum w:abstractNumId="296">
    <w:nsid w:val="612DBDDD"/>
    <w:multiLevelType w:val="hybridMultilevel"/>
    <w:lvl w:ilvl="0">
      <w:lvlJc w:val="left"/>
      <w:lvlText w:val="%1"/>
      <w:numFmt w:val="lowerRoman"/>
      <w:start w:val="1"/>
    </w:lvl>
    <w:lvl w:ilvl="1">
      <w:lvlJc w:val="left"/>
      <w:lvlText w:val="(%2)"/>
      <w:numFmt w:val="lowerRoman"/>
      <w:start w:val="2"/>
    </w:lvl>
  </w:abstractNum>
  <w:abstractNum w:abstractNumId="297">
    <w:nsid w:val="2109CDA4"/>
    <w:multiLevelType w:val="hybridMultilevel"/>
    <w:lvl w:ilvl="0">
      <w:lvlJc w:val="left"/>
      <w:lvlText w:val="(%1)"/>
      <w:numFmt w:val="lowerRoman"/>
      <w:start w:val="1"/>
    </w:lvl>
    <w:lvl w:ilvl="1">
      <w:lvlJc w:val="left"/>
      <w:lvlText w:val="%2"/>
      <w:numFmt w:val="lowerRoman"/>
      <w:start w:val="1"/>
    </w:lvl>
  </w:abstractNum>
  <w:abstractNum w:abstractNumId="298">
    <w:nsid w:val="577F5A4D"/>
    <w:multiLevelType w:val="hybridMultilevel"/>
    <w:lvl w:ilvl="0">
      <w:lvlJc w:val="left"/>
      <w:lvlText w:val="(%1)"/>
      <w:numFmt w:val="lowerLetter"/>
      <w:start w:val="35"/>
    </w:lvl>
    <w:lvl w:ilvl="1">
      <w:lvlJc w:val="left"/>
      <w:lvlText w:val="(%2)"/>
      <w:numFmt w:val="lowerLetter"/>
      <w:start w:val="10"/>
    </w:lvl>
    <w:lvl w:ilvl="2">
      <w:lvlJc w:val="left"/>
      <w:lvlText w:val="(%3)"/>
      <w:numFmt w:val="lowerRoman"/>
      <w:start w:val="1"/>
    </w:lvl>
  </w:abstractNum>
  <w:abstractNum w:abstractNumId="299">
    <w:nsid w:val="2121A81"/>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300">
    <w:nsid w:val="6C2CFC88"/>
    <w:multiLevelType w:val="hybridMultilevel"/>
    <w:lvl w:ilvl="0">
      <w:lvlJc w:val="left"/>
      <w:lvlText w:val="(%1)"/>
      <w:numFmt w:val="lowerLetter"/>
      <w:start w:val="13"/>
    </w:lvl>
  </w:abstractNum>
  <w:abstractNum w:abstractNumId="301">
    <w:nsid w:val="6D1BCF1C"/>
    <w:multiLevelType w:val="hybridMultilevel"/>
    <w:lvl w:ilvl="0">
      <w:lvlJc w:val="left"/>
      <w:lvlText w:val="(%1)"/>
      <w:numFmt w:val="lowerLetter"/>
      <w:start w:val="1"/>
    </w:lvl>
  </w:abstractNum>
  <w:abstractNum w:abstractNumId="302">
    <w:nsid w:val="4CE5CA53"/>
    <w:multiLevelType w:val="hybridMultilevel"/>
    <w:lvl w:ilvl="0">
      <w:lvlJc w:val="left"/>
      <w:lvlText w:val="(%1)"/>
      <w:numFmt w:val="lowerLetter"/>
      <w:start w:val="4"/>
    </w:lvl>
  </w:abstractNum>
  <w:abstractNum w:abstractNumId="303">
    <w:nsid w:val="29262D1A"/>
    <w:multiLevelType w:val="hybridMultilevel"/>
    <w:lvl w:ilvl="0">
      <w:lvlJc w:val="left"/>
      <w:lvlText w:val="(%1)"/>
      <w:numFmt w:val="lowerLetter"/>
      <w:start w:val="1"/>
    </w:lvl>
  </w:abstractNum>
  <w:abstractNum w:abstractNumId="304">
    <w:nsid w:val="557FB7EE"/>
    <w:multiLevelType w:val="hybridMultilevel"/>
    <w:lvl w:ilvl="0">
      <w:lvlJc w:val="left"/>
      <w:lvlText w:val="(%1)"/>
      <w:numFmt w:val="lowerLetter"/>
      <w:start w:val="2"/>
    </w:lvl>
  </w:abstractNum>
  <w:abstractNum w:abstractNumId="305">
    <w:nsid w:val="436F2BEB"/>
    <w:multiLevelType w:val="hybridMultilevel"/>
    <w:lvl w:ilvl="0">
      <w:lvlJc w:val="left"/>
      <w:lvlText w:val="(%1)"/>
      <w:numFmt w:val="lowerLetter"/>
      <w:start w:val="5"/>
    </w:lvl>
  </w:abstractNum>
  <w:abstractNum w:abstractNumId="306">
    <w:nsid w:val="6C8B4466"/>
    <w:multiLevelType w:val="hybridMultilevel"/>
    <w:lvl w:ilvl="0">
      <w:lvlJc w:val="left"/>
      <w:lvlText w:val="(%1)"/>
      <w:numFmt w:val="lowerLetter"/>
      <w:start w:val="1"/>
    </w:lvl>
  </w:abstractNum>
  <w:abstractNum w:abstractNumId="307">
    <w:nsid w:val="2006E424"/>
    <w:multiLevelType w:val="hybridMultilevel"/>
    <w:lvl w:ilvl="0">
      <w:lvlJc w:val="left"/>
      <w:lvlText w:val="(%1)"/>
      <w:numFmt w:val="lowerLetter"/>
      <w:start w:val="1"/>
    </w:lvl>
  </w:abstractNum>
  <w:abstractNum w:abstractNumId="308">
    <w:nsid w:val="20CC134C"/>
    <w:multiLevelType w:val="hybridMultilevel"/>
    <w:lvl w:ilvl="0">
      <w:lvlJc w:val="left"/>
      <w:lvlText w:val="(%1)"/>
      <w:numFmt w:val="lowerLetter"/>
      <w:start w:val="3"/>
    </w:lvl>
  </w:abstractNum>
  <w:abstractNum w:abstractNumId="309">
    <w:nsid w:val="95FC93B"/>
    <w:multiLevelType w:val="hybridMultilevel"/>
    <w:lvl w:ilvl="0">
      <w:lvlJc w:val="left"/>
      <w:lvlText w:val="(%1)"/>
      <w:numFmt w:val="lowerLetter"/>
      <w:start w:val="8"/>
    </w:lvl>
  </w:abstractNum>
  <w:abstractNum w:abstractNumId="310">
    <w:nsid w:val="41D74679"/>
    <w:multiLevelType w:val="hybridMultilevel"/>
    <w:lvl w:ilvl="0">
      <w:lvlJc w:val="left"/>
      <w:lvlText w:val="(%1)"/>
      <w:numFmt w:val="lowerLetter"/>
      <w:start w:val="1"/>
    </w:lvl>
    <w:lvl w:ilvl="1">
      <w:lvlJc w:val="left"/>
      <w:lvlText w:val="(%2)"/>
      <w:numFmt w:val="lowerRoman"/>
      <w:start w:val="1"/>
    </w:lvl>
  </w:abstractNum>
  <w:abstractNum w:abstractNumId="311">
    <w:nsid w:val="71E5621E"/>
    <w:multiLevelType w:val="hybridMultilevel"/>
    <w:lvl w:ilvl="0">
      <w:lvlJc w:val="left"/>
      <w:lvlText w:val="(%1)"/>
      <w:numFmt w:val="lowerLetter"/>
      <w:start w:val="2"/>
    </w:lvl>
  </w:abstractNum>
  <w:abstractNum w:abstractNumId="312">
    <w:nsid w:val="4E42B6A8"/>
    <w:multiLevelType w:val="hybridMultilevel"/>
    <w:lvl w:ilvl="0">
      <w:lvlJc w:val="left"/>
      <w:lvlText w:val="(%1)"/>
      <w:numFmt w:val="lowerLetter"/>
      <w:start w:val="1"/>
    </w:lvl>
    <w:lvl w:ilvl="1">
      <w:lvlJc w:val="left"/>
      <w:lvlText w:val="(%2)"/>
      <w:numFmt w:val="lowerLetter"/>
      <w:start w:val="9"/>
    </w:lvl>
  </w:abstractNum>
  <w:abstractNum w:abstractNumId="313">
    <w:nsid w:val="43F8E1AC"/>
    <w:multiLevelType w:val="hybridMultilevel"/>
    <w:lvl w:ilvl="0">
      <w:lvlJc w:val="left"/>
      <w:lvlText w:val="(%1)"/>
      <w:numFmt w:val="lowerRoman"/>
      <w:start w:val="2"/>
    </w:lvl>
  </w:abstractNum>
  <w:abstractNum w:abstractNumId="314">
    <w:nsid w:val="69215DFB"/>
    <w:multiLevelType w:val="hybridMultilevel"/>
    <w:lvl w:ilvl="0">
      <w:lvlJc w:val="left"/>
      <w:lvlText w:val="(%1)"/>
      <w:numFmt w:val="lowerRoman"/>
      <w:start w:val="1"/>
    </w:lvl>
  </w:abstractNum>
  <w:abstractNum w:abstractNumId="315">
    <w:nsid w:val="7ABF196A"/>
    <w:multiLevelType w:val="hybridMultilevel"/>
    <w:lvl w:ilvl="0">
      <w:lvlJc w:val="left"/>
      <w:lvlText w:val="(%1)"/>
      <w:numFmt w:val="lowerLetter"/>
      <w:start w:val="1"/>
    </w:lvl>
  </w:abstractNum>
  <w:abstractNum w:abstractNumId="316">
    <w:nsid w:val="5E4DB968"/>
    <w:multiLevelType w:val="hybridMultilevel"/>
    <w:lvl w:ilvl="0">
      <w:lvlJc w:val="left"/>
      <w:lvlText w:val="%1"/>
      <w:numFmt w:val="lowerLetter"/>
      <w:start w:val="1"/>
    </w:lvl>
    <w:lvl w:ilvl="1">
      <w:lvlJc w:val="left"/>
      <w:lvlText w:val="(%2)"/>
      <w:numFmt w:val="lowerRoman"/>
      <w:start w:val="1"/>
    </w:lvl>
  </w:abstractNum>
  <w:abstractNum w:abstractNumId="317">
    <w:nsid w:val="2C06DCF3"/>
    <w:multiLevelType w:val="hybridMultilevel"/>
    <w:lvl w:ilvl="0">
      <w:lvlJc w:val="left"/>
      <w:lvlText w:val="(%1)"/>
      <w:numFmt w:val="lowerLetter"/>
      <w:start w:val="2"/>
    </w:lvl>
    <w:lvl w:ilvl="1">
      <w:lvlJc w:val="left"/>
      <w:lvlText w:val="%2"/>
      <w:numFmt w:val="lowerRoman"/>
      <w:start w:val="1"/>
    </w:lvl>
  </w:abstractNum>
  <w:abstractNum w:abstractNumId="318">
    <w:nsid w:val="2E129658"/>
    <w:multiLevelType w:val="hybridMultilevel"/>
    <w:lvl w:ilvl="0">
      <w:lvlJc w:val="left"/>
      <w:lvlText w:val="(%1)"/>
      <w:numFmt w:val="lowerLetter"/>
      <w:start w:val="1"/>
    </w:lvl>
  </w:abstractNum>
  <w:abstractNum w:abstractNumId="319">
    <w:nsid w:val="59F0446"/>
    <w:multiLevelType w:val="hybridMultilevel"/>
    <w:lvl w:ilvl="0">
      <w:lvlJc w:val="left"/>
      <w:lvlText w:val="(%1)"/>
      <w:numFmt w:val="lowerLetter"/>
      <w:start w:val="4"/>
    </w:lvl>
  </w:abstractNum>
  <w:abstractNum w:abstractNumId="320">
    <w:nsid w:val="30DF306"/>
    <w:multiLevelType w:val="hybridMultilevel"/>
    <w:lvl w:ilvl="0">
      <w:lvlJc w:val="left"/>
      <w:lvlText w:val="%1."/>
      <w:numFmt w:val="upperLetter"/>
      <w:start w:val="1"/>
    </w:lvl>
  </w:abstractNum>
  <w:abstractNum w:abstractNumId="321">
    <w:nsid w:val="A65647"/>
    <w:multiLevelType w:val="hybridMultilevel"/>
    <w:lvl w:ilvl="0">
      <w:lvlJc w:val="left"/>
      <w:lvlText w:val="(%1)"/>
      <w:numFmt w:val="decimal"/>
      <w:start w:val="1"/>
    </w:lvl>
  </w:abstractNum>
  <w:abstractNum w:abstractNumId="322">
    <w:nsid w:val="3E5E582B"/>
    <w:multiLevelType w:val="hybridMultilevel"/>
    <w:lvl w:ilvl="0">
      <w:lvlJc w:val="left"/>
      <w:lvlText w:val="(%1)"/>
      <w:numFmt w:val="lowerLetter"/>
      <w:start w:val="1"/>
    </w:lvl>
  </w:abstractNum>
  <w:abstractNum w:abstractNumId="323">
    <w:nsid w:val="257D4626"/>
    <w:multiLevelType w:val="hybridMultilevel"/>
    <w:lvl w:ilvl="0">
      <w:lvlJc w:val="left"/>
      <w:lvlText w:val="%1."/>
      <w:numFmt w:val="upperLetter"/>
      <w:start w:val="9"/>
    </w:lvl>
  </w:abstractNum>
  <w:abstractNum w:abstractNumId="324">
    <w:nsid w:val="5AA8580E"/>
    <w:multiLevelType w:val="hybridMultilevel"/>
    <w:lvl w:ilvl="0">
      <w:lvlJc w:val="left"/>
      <w:lvlText w:val="(%1)"/>
      <w:numFmt w:val="decimal"/>
      <w:start w:val="1"/>
    </w:lvl>
  </w:abstractNum>
  <w:abstractNum w:abstractNumId="325">
    <w:nsid w:val="68FA8D0D"/>
    <w:multiLevelType w:val="hybridMultilevel"/>
    <w:lvl w:ilvl="0">
      <w:lvlJc w:val="left"/>
      <w:lvlText w:val="(%1)"/>
      <w:numFmt w:val="decimal"/>
      <w:start w:val="4"/>
    </w:lvl>
  </w:abstractNum>
  <w:abstractNum w:abstractNumId="326">
    <w:nsid w:val="40F2CBD2"/>
    <w:multiLevelType w:val="hybridMultilevel"/>
    <w:lvl w:ilvl="0">
      <w:lvlJc w:val="left"/>
      <w:lvlText w:val="(%1)"/>
      <w:numFmt w:val="decimal"/>
      <w:start w:val="9"/>
    </w:lvl>
  </w:abstractNum>
  <w:abstractNum w:abstractNumId="327">
    <w:nsid w:val="3BD615EB"/>
    <w:multiLevelType w:val="hybridMultilevel"/>
    <w:lvl w:ilvl="0">
      <w:lvlJc w:val="left"/>
      <w:lvlText w:val="%1."/>
      <w:numFmt w:val="decimal"/>
      <w:start w:val="1"/>
    </w:lvl>
  </w:abstractNum>
  <w:abstractNum w:abstractNumId="328">
    <w:nsid w:val="A045AB2"/>
    <w:multiLevelType w:val="hybridMultilevel"/>
    <w:lvl w:ilvl="0">
      <w:lvlJc w:val="left"/>
      <w:lvlText w:val="(%1)"/>
      <w:numFmt w:val="decimal"/>
      <w:start w:val="4"/>
    </w:lvl>
  </w:abstractNum>
  <w:abstractNum w:abstractNumId="329">
    <w:nsid w:val="1872261F"/>
    <w:multiLevelType w:val="hybridMultilevel"/>
    <w:lvl w:ilvl="0">
      <w:lvlJc w:val="left"/>
      <w:lvlText w:val="%1."/>
      <w:numFmt w:val="decimal"/>
      <w:start w:val="1"/>
    </w:lvl>
  </w:abstractNum>
  <w:abstractNum w:abstractNumId="330">
    <w:nsid w:val="3DE8306C"/>
    <w:multiLevelType w:val="hybridMultilevel"/>
    <w:lvl w:ilvl="0">
      <w:lvlJc w:val="left"/>
      <w:lvlText w:val="%1."/>
      <w:numFmt w:val="decimal"/>
      <w:start w:val="1"/>
    </w:lvl>
  </w:abstractNum>
  <w:abstractNum w:abstractNumId="331">
    <w:nsid w:val="7631573A"/>
    <w:multiLevelType w:val="hybridMultilevel"/>
    <w:lvl w:ilvl="0">
      <w:lvlJc w:val="left"/>
      <w:lvlText w:val="(%1)"/>
      <w:numFmt w:val="lowerRoman"/>
      <w:start w:val="1"/>
    </w:lvl>
  </w:abstractNum>
  <w:abstractNum w:abstractNumId="332">
    <w:nsid w:val="58DF53B"/>
    <w:multiLevelType w:val="hybridMultilevel"/>
    <w:lvl w:ilvl="0">
      <w:lvlJc w:val="left"/>
      <w:lvlText w:val="(%1)"/>
      <w:numFmt w:val="upperLetter"/>
      <w:start w:val="2"/>
    </w:lvl>
  </w:abstractNum>
  <w:abstractNum w:abstractNumId="333">
    <w:nsid w:val="ACDFAC0"/>
    <w:multiLevelType w:val="hybridMultilevel"/>
    <w:lvl w:ilvl="0">
      <w:lvlJc w:val="left"/>
      <w:lvlText w:val="(%1)"/>
      <w:numFmt w:val="lowerRoman"/>
      <w:start w:val="4"/>
    </w:lvl>
  </w:abstractNum>
  <w:abstractNum w:abstractNumId="334">
    <w:nsid w:val="1F578454"/>
    <w:multiLevelType w:val="hybridMultilevel"/>
    <w:lvl w:ilvl="0">
      <w:lvlJc w:val="left"/>
      <w:lvlText w:val="(%1)"/>
      <w:numFmt w:val="decimal"/>
      <w:start w:val="1"/>
    </w:lvl>
  </w:abstractNum>
  <w:abstractNum w:abstractNumId="335">
    <w:nsid w:val="5B0DAD2A"/>
    <w:multiLevelType w:val="hybridMultilevel"/>
    <w:lvl w:ilvl="0">
      <w:lvlJc w:val="left"/>
      <w:lvlText w:val="(%1)"/>
      <w:numFmt w:val="decimal"/>
      <w:start w:val="1"/>
    </w:lvl>
  </w:abstractNum>
  <w:abstractNum w:abstractNumId="336">
    <w:nsid w:val="4E3D26AB"/>
    <w:multiLevelType w:val="hybridMultilevel"/>
    <w:lvl w:ilvl="0">
      <w:lvlJc w:val="left"/>
      <w:lvlText w:val="%1."/>
      <w:numFmt w:val="decimal"/>
      <w:start w:val="2"/>
    </w:lvl>
  </w:abstractNum>
  <w:abstractNum w:abstractNumId="337">
    <w:nsid w:val="BE2C8BA"/>
    <w:multiLevelType w:val="hybridMultilevel"/>
    <w:lvl w:ilvl="0">
      <w:lvlJc w:val="left"/>
      <w:lvlText w:val="%1."/>
      <w:numFmt w:val="decimal"/>
      <w:start w:val="3"/>
    </w:lvl>
    <w:lvl w:ilvl="1">
      <w:lvlJc w:val="left"/>
      <w:lvlText w:val="(%2)"/>
      <w:numFmt w:val="lowerLetter"/>
      <w:start w:val="1"/>
    </w:lvl>
  </w:abstractNum>
  <w:abstractNum w:abstractNumId="338">
    <w:nsid w:val="7B14914E"/>
    <w:multiLevelType w:val="hybridMultilevel"/>
    <w:lvl w:ilvl="0">
      <w:lvlJc w:val="left"/>
      <w:lvlText w:val="(%1)"/>
      <w:numFmt w:val="lowerLetter"/>
      <w:start w:val="1"/>
    </w:lvl>
  </w:abstractNum>
  <w:abstractNum w:abstractNumId="339">
    <w:nsid w:val="6F0939F8"/>
    <w:multiLevelType w:val="hybridMultilevel"/>
    <w:lvl w:ilvl="0">
      <w:lvlJc w:val="left"/>
      <w:lvlText w:val="(%1)"/>
      <w:numFmt w:val="lowerLetter"/>
      <w:start w:val="3"/>
    </w:lvl>
  </w:abstractNum>
  <w:abstractNum w:abstractNumId="340">
    <w:nsid w:val="154291F6"/>
    <w:multiLevelType w:val="hybridMultilevel"/>
    <w:lvl w:ilvl="0">
      <w:lvlJc w:val="left"/>
      <w:lvlText w:val="%1."/>
      <w:numFmt w:val="decimal"/>
      <w:start w:val="5"/>
    </w:lvl>
  </w:abstractNum>
  <w:abstractNum w:abstractNumId="341">
    <w:nsid w:val="3CEBD7C7"/>
    <w:multiLevelType w:val="hybridMultilevel"/>
    <w:lvl w:ilvl="0">
      <w:lvlJc w:val="left"/>
      <w:lvlText w:val="%1."/>
      <w:numFmt w:val="decimal"/>
      <w:start w:val="6"/>
    </w:lvl>
  </w:abstractNum>
  <w:abstractNum w:abstractNumId="342">
    <w:nsid w:val="60EE9C16"/>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343">
    <w:nsid w:val="6385489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344">
    <w:nsid w:val="E4B973"/>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345">
    <w:nsid w:val="4A0FFA1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346">
    <w:nsid w:val="5E44620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347">
    <w:nsid w:val="5F3272DB"/>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348">
    <w:nsid w:val="7616D704"/>
    <w:multiLevelType w:val="hybridMultilevel"/>
    <w:lvl w:ilvl="0">
      <w:lvlJc w:val="left"/>
      <w:lvlText w:val="%1"/>
      <w:numFmt w:val="decimal"/>
      <w:start w:val="1"/>
    </w:lvl>
    <w:lvl w:ilvl="1">
      <w:lvlJc w:val="left"/>
      <w:lvlText w:val="(%2)"/>
      <w:numFmt w:val="lowerLetter"/>
      <w:start w:val="1"/>
    </w:lvl>
  </w:abstractNum>
  <w:abstractNum w:abstractNumId="349">
    <w:nsid w:val="C56F860"/>
    <w:multiLevelType w:val="hybridMultilevel"/>
    <w:lvl w:ilvl="0">
      <w:lvlJc w:val="left"/>
      <w:lvlText w:val="%1."/>
      <w:numFmt w:val="decimal"/>
      <w:start w:val="8"/>
    </w:lvl>
    <w:lvl w:ilvl="1">
      <w:lvlJc w:val="left"/>
      <w:lvlText w:val="%2"/>
      <w:numFmt w:val="lowerLetter"/>
      <w:start w:val="1"/>
    </w:lvl>
  </w:abstractNum>
  <w:abstractNum w:abstractNumId="350">
    <w:nsid w:val="64D17722"/>
    <w:multiLevelType w:val="hybridMultilevel"/>
    <w:lvl w:ilvl="0">
      <w:lvlJc w:val="left"/>
      <w:lvlText w:val="%1."/>
      <w:numFmt w:val="decimal"/>
      <w:start w:val="9"/>
    </w:lvl>
  </w:abstractNum>
  <w:abstractNum w:abstractNumId="351">
    <w:nsid w:val="7924CA0A"/>
    <w:multiLevelType w:val="hybridMultilevel"/>
    <w:lvl w:ilvl="0">
      <w:lvlJc w:val="left"/>
      <w:lvlText w:val="%1."/>
      <w:numFmt w:val="decimal"/>
      <w:start w:val="10"/>
    </w:lvl>
  </w:abstractNum>
  <w:abstractNum w:abstractNumId="352">
    <w:nsid w:val="CFD4EA7"/>
    <w:multiLevelType w:val="hybridMultilevel"/>
    <w:lvl w:ilvl="0">
      <w:lvlJc w:val="left"/>
      <w:lvlText w:val="%1."/>
      <w:numFmt w:val="decimal"/>
      <w:start w:val="11"/>
    </w:lvl>
  </w:abstractNum>
  <w:abstractNum w:abstractNumId="353">
    <w:nsid w:val="232FCF4D"/>
    <w:multiLevelType w:val="hybridMultilevel"/>
    <w:lvl w:ilvl="0">
      <w:lvlJc w:val="left"/>
      <w:lvlText w:val="%1."/>
      <w:numFmt w:val="decimal"/>
      <w:start w:val="12"/>
    </w:lvl>
  </w:abstractNum>
  <w:abstractNum w:abstractNumId="354">
    <w:nsid w:val="1EA21031"/>
    <w:multiLevelType w:val="hybridMultilevel"/>
    <w:lvl w:ilvl="0">
      <w:lvlJc w:val="left"/>
      <w:lvlText w:val="(%1)"/>
      <w:numFmt w:val="decimal"/>
      <w:start w:val="2"/>
    </w:lvl>
  </w:abstractNum>
  <w:abstractNum w:abstractNumId="355">
    <w:nsid w:val="67A5A6B5"/>
    <w:multiLevelType w:val="hybridMultilevel"/>
    <w:lvl w:ilvl="0">
      <w:lvlJc w:val="left"/>
      <w:lvlText w:val="%1."/>
      <w:numFmt w:val="decimal"/>
      <w:start w:val="13"/>
    </w:lvl>
  </w:abstractNum>
  <w:abstractNum w:abstractNumId="356">
    <w:nsid w:val="C2A5C5B"/>
    <w:multiLevelType w:val="hybridMultilevel"/>
    <w:lvl w:ilvl="0">
      <w:lvlJc w:val="left"/>
      <w:lvlText w:val="(%1)"/>
      <w:numFmt w:val="lowerLetter"/>
      <w:start w:val="1"/>
    </w:lvl>
  </w:abstractNum>
  <w:abstractNum w:abstractNumId="357">
    <w:nsid w:val="5F94DC03"/>
    <w:multiLevelType w:val="hybridMultilevel"/>
    <w:lvl w:ilvl="0">
      <w:lvlJc w:val="left"/>
      <w:lvlText w:val="(%1)"/>
      <w:numFmt w:val="lowerLetter"/>
      <w:start w:val="6"/>
    </w:lvl>
  </w:abstractNum>
  <w:abstractNum w:abstractNumId="358">
    <w:nsid w:val="237BBCA0"/>
    <w:multiLevelType w:val="hybridMultilevel"/>
    <w:lvl w:ilvl="0">
      <w:lvlJc w:val="left"/>
      <w:lvlText w:val="%1."/>
      <w:numFmt w:val="decimal"/>
      <w:start w:val="14"/>
    </w:lvl>
  </w:abstractNum>
  <w:abstractNum w:abstractNumId="359">
    <w:nsid w:val="162EB70D"/>
    <w:multiLevelType w:val="hybridMultilevel"/>
    <w:lvl w:ilvl="0">
      <w:lvlJc w:val="left"/>
      <w:lvlText w:val="%1"/>
      <w:numFmt w:val="decimal"/>
      <w:start w:val="1"/>
    </w:lvl>
    <w:lvl w:ilvl="1">
      <w:lvlJc w:val="left"/>
      <w:lvlText w:val="(%2)"/>
      <w:numFmt w:val="lowerLetter"/>
      <w:start w:val="1"/>
    </w:lvl>
  </w:abstractNum>
  <w:abstractNum w:abstractNumId="360">
    <w:nsid w:val="78070222"/>
    <w:multiLevelType w:val="hybridMultilevel"/>
    <w:lvl w:ilvl="0">
      <w:lvlJc w:val="left"/>
      <w:lvlText w:val="%1."/>
      <w:numFmt w:val="decimal"/>
      <w:start w:val="15"/>
    </w:lvl>
    <w:lvl w:ilvl="1">
      <w:lvlJc w:val="left"/>
      <w:lvlText w:val="%2"/>
      <w:numFmt w:val="lowerLetter"/>
      <w:start w:val="1"/>
    </w:lvl>
  </w:abstractNum>
  <w:abstractNum w:abstractNumId="361">
    <w:nsid w:val="6163E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2">
    <w:nsid w:val="C600E47"/>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363">
    <w:nsid w:val="7D94F75D"/>
    <w:multiLevelType w:val="hybridMultilevel"/>
    <w:lvl w:ilvl="0">
      <w:lvlJc w:val="left"/>
      <w:lvlText w:val="(%1)"/>
      <w:numFmt w:val="lowerLetter"/>
      <w:start w:val="1"/>
    </w:lvl>
    <w:lvl w:ilvl="1">
      <w:lvlJc w:val="left"/>
      <w:lvlText w:val="(%2)"/>
      <w:numFmt w:val="lowerRoman"/>
      <w:start w:val="1"/>
    </w:lvl>
  </w:abstractNum>
  <w:abstractNum w:abstractNumId="364">
    <w:nsid w:val="6C31E7CD"/>
    <w:multiLevelType w:val="hybridMultilevel"/>
    <w:lvl w:ilvl="0">
      <w:lvlJc w:val="left"/>
      <w:lvlText w:val="%1."/>
      <w:numFmt w:val="decimal"/>
      <w:start w:val="17"/>
    </w:lvl>
  </w:abstractNum>
  <w:abstractNum w:abstractNumId="365">
    <w:nsid w:val="2BB7929B"/>
    <w:multiLevelType w:val="hybridMultilevel"/>
    <w:lvl w:ilvl="0">
      <w:lvlJc w:val="left"/>
      <w:lvlText w:val="%1."/>
      <w:numFmt w:val="decimal"/>
      <w:start w:val="18"/>
    </w:lvl>
  </w:abstractNum>
  <w:abstractNum w:abstractNumId="366">
    <w:nsid w:val="58A2A487"/>
    <w:multiLevelType w:val="hybridMultilevel"/>
    <w:lvl w:ilvl="0">
      <w:lvlJc w:val="left"/>
      <w:lvlText w:val="%1."/>
      <w:numFmt w:val="decimal"/>
      <w:start w:val="19"/>
    </w:lvl>
  </w:abstractNum>
  <w:abstractNum w:abstractNumId="367">
    <w:nsid w:val="3A6F0E78"/>
    <w:multiLevelType w:val="hybridMultilevel"/>
    <w:lvl w:ilvl="0">
      <w:lvlJc w:val="left"/>
      <w:lvlText w:val="%1"/>
      <w:numFmt w:val="decimal"/>
      <w:start w:val="1"/>
    </w:lvl>
    <w:lvl w:ilvl="1">
      <w:lvlJc w:val="left"/>
      <w:lvlText w:val="(%2)"/>
      <w:numFmt w:val="lowerLetter"/>
      <w:start w:val="1"/>
    </w:lvl>
  </w:abstractNum>
  <w:abstractNum w:abstractNumId="368">
    <w:nsid w:val="379A5B56"/>
    <w:multiLevelType w:val="hybridMultilevel"/>
    <w:lvl w:ilvl="0">
      <w:lvlJc w:val="left"/>
      <w:lvlText w:val="%1."/>
      <w:numFmt w:val="decimal"/>
      <w:start w:val="20"/>
    </w:lvl>
    <w:lvl w:ilvl="1">
      <w:lvlJc w:val="left"/>
      <w:lvlText w:val="%2"/>
      <w:numFmt w:val="lowerLetter"/>
      <w:start w:val="1"/>
    </w:lvl>
  </w:abstractNum>
  <w:abstractNum w:abstractNumId="369">
    <w:nsid w:val="53B735D5"/>
    <w:multiLevelType w:val="hybridMultilevel"/>
    <w:lvl w:ilvl="0">
      <w:lvlJc w:val="left"/>
      <w:lvlText w:val="%1."/>
      <w:numFmt w:val="decimal"/>
      <w:start w:val="21"/>
    </w:lvl>
  </w:abstractNum>
  <w:abstractNum w:abstractNumId="370">
    <w:nsid w:val="29784870"/>
    <w:multiLevelType w:val="hybridMultilevel"/>
    <w:lvl w:ilvl="0">
      <w:lvlJc w:val="left"/>
      <w:lvlText w:val="%1."/>
      <w:numFmt w:val="decimal"/>
      <w:start w:val="22"/>
    </w:lvl>
  </w:abstractNum>
  <w:abstractNum w:abstractNumId="371">
    <w:nsid w:val="4CDCED4C"/>
    <w:multiLevelType w:val="hybridMultilevel"/>
    <w:lvl w:ilvl="0">
      <w:lvlJc w:val="left"/>
      <w:lvlText w:val="(%1)"/>
      <w:numFmt w:val="lowerLetter"/>
      <w:start w:val="1"/>
    </w:lvl>
  </w:abstractNum>
  <w:abstractNum w:abstractNumId="372">
    <w:nsid w:val="10A30D9C"/>
    <w:multiLevelType w:val="hybridMultilevel"/>
    <w:lvl w:ilvl="0">
      <w:lvlJc w:val="left"/>
      <w:lvlText w:val="%1"/>
      <w:numFmt w:val="decimal"/>
      <w:start w:val="1"/>
    </w:lvl>
    <w:lvl w:ilvl="1">
      <w:lvlJc w:val="left"/>
      <w:lvlText w:val="(%2)"/>
      <w:numFmt w:val="lowerLetter"/>
      <w:start w:val="2"/>
    </w:lvl>
  </w:abstractNum>
  <w:abstractNum w:abstractNumId="373">
    <w:nsid w:val="A66E486"/>
    <w:multiLevelType w:val="hybridMultilevel"/>
    <w:lvl w:ilvl="0">
      <w:lvlJc w:val="left"/>
      <w:lvlText w:val="%1."/>
      <w:numFmt w:val="decimal"/>
      <w:start w:val="23"/>
    </w:lvl>
    <w:lvl w:ilvl="1">
      <w:lvlJc w:val="left"/>
      <w:lvlText w:val="%2"/>
      <w:numFmt w:val="lowerLetter"/>
      <w:start w:val="1"/>
    </w:lvl>
  </w:abstractNum>
  <w:abstractNum w:abstractNumId="374">
    <w:nsid w:val="306235EA"/>
    <w:multiLevelType w:val="hybridMultilevel"/>
    <w:lvl w:ilvl="0">
      <w:lvlJc w:val="left"/>
      <w:lvlText w:val="%1."/>
      <w:numFmt w:val="decimal"/>
      <w:start w:val="24"/>
    </w:lvl>
  </w:abstractNum>
  <w:abstractNum w:abstractNumId="375">
    <w:nsid w:val="1187C70F"/>
    <w:multiLevelType w:val="hybridMultilevel"/>
    <w:lvl w:ilvl="0">
      <w:lvlJc w:val="left"/>
      <w:lvlText w:val="(%1)"/>
      <w:numFmt w:val="lowerLetter"/>
      <w:start w:val="1"/>
    </w:lvl>
  </w:abstractNum>
  <w:abstractNum w:abstractNumId="376">
    <w:nsid w:val="5476DE98"/>
    <w:multiLevelType w:val="hybridMultilevel"/>
    <w:lvl w:ilvl="0">
      <w:lvlJc w:val="left"/>
      <w:lvlText w:val="%1"/>
      <w:numFmt w:val="lowerLetter"/>
      <w:start w:val="1"/>
    </w:lvl>
    <w:lvl w:ilvl="1">
      <w:lvlJc w:val="left"/>
      <w:lvlText w:val="(%2)"/>
      <w:numFmt w:val="lowerLetter"/>
      <w:start w:val="3"/>
    </w:lvl>
  </w:abstractNum>
  <w:abstractNum w:abstractNumId="377">
    <w:nsid w:val="EA697F2"/>
    <w:multiLevelType w:val="hybridMultilevel"/>
    <w:lvl w:ilvl="0">
      <w:lvlJc w:val="left"/>
      <w:lvlText w:val="(%1)"/>
      <w:numFmt w:val="lowerLetter"/>
      <w:start w:val="3"/>
    </w:lvl>
    <w:lvl w:ilvl="1">
      <w:lvlJc w:val="left"/>
      <w:lvlText w:val="(%2)"/>
      <w:numFmt w:val="lowerLetter"/>
      <w:start w:val="5"/>
    </w:lvl>
  </w:abstractNum>
  <w:abstractNum w:abstractNumId="378">
    <w:nsid w:val="70BA39EB"/>
    <w:multiLevelType w:val="hybridMultilevel"/>
    <w:lvl w:ilvl="0">
      <w:lvlJc w:val="left"/>
      <w:lvlText w:val="%1."/>
      <w:numFmt w:val="decimal"/>
      <w:start w:val="25"/>
    </w:lvl>
  </w:abstractNum>
  <w:abstractNum w:abstractNumId="379">
    <w:nsid w:val="4A8DB59C"/>
    <w:multiLevelType w:val="hybridMultilevel"/>
    <w:lvl w:ilvl="0">
      <w:lvlJc w:val="left"/>
      <w:lvlText w:val="%1."/>
      <w:numFmt w:val="decimal"/>
      <w:start w:val="26"/>
    </w:lvl>
  </w:abstractNum>
  <w:abstractNum w:abstractNumId="380">
    <w:nsid w:val="1AFD9053"/>
    <w:multiLevelType w:val="hybridMultilevel"/>
    <w:lvl w:ilvl="0">
      <w:lvlJc w:val="left"/>
      <w:lvlText w:val="%1."/>
      <w:numFmt w:val="decimal"/>
      <w:start w:val="27"/>
    </w:lvl>
  </w:abstractNum>
  <w:abstractNum w:abstractNumId="381">
    <w:nsid w:val="558BB10D"/>
    <w:multiLevelType w:val="hybridMultilevel"/>
    <w:lvl w:ilvl="0">
      <w:lvlJc w:val="left"/>
      <w:lvlText w:val="%1."/>
      <w:numFmt w:val="decimal"/>
      <w:start w:val="28"/>
    </w:lvl>
  </w:abstractNum>
  <w:abstractNum w:abstractNumId="382">
    <w:nsid w:val="43B27FA7"/>
    <w:multiLevelType w:val="hybridMultilevel"/>
    <w:lvl w:ilvl="0">
      <w:lvlJc w:val="left"/>
      <w:lvlText w:val="%1."/>
      <w:numFmt w:val="decimal"/>
      <w:start w:val="29"/>
    </w:lvl>
  </w:abstractNum>
  <w:abstractNum w:abstractNumId="383">
    <w:nsid w:val="27FADEFA"/>
    <w:multiLevelType w:val="hybridMultilevel"/>
    <w:lvl w:ilvl="0">
      <w:lvlJc w:val="left"/>
      <w:lvlText w:val="%1."/>
      <w:numFmt w:val="decimal"/>
      <w:start w:val="30"/>
    </w:lvl>
  </w:abstractNum>
  <w:abstractNum w:abstractNumId="384">
    <w:nsid w:val="78BB805A"/>
    <w:multiLevelType w:val="hybridMultilevel"/>
    <w:lvl w:ilvl="0">
      <w:lvlJc w:val="left"/>
      <w:lvlText w:val="%1."/>
      <w:numFmt w:val="decimal"/>
      <w:start w:val="31"/>
    </w:lvl>
  </w:abstractNum>
  <w:abstractNum w:abstractNumId="385">
    <w:nsid w:val="62548FD8"/>
    <w:multiLevelType w:val="hybridMultilevel"/>
    <w:lvl w:ilvl="0">
      <w:lvlJc w:val="left"/>
      <w:lvlText w:val="%1."/>
      <w:numFmt w:val="decimal"/>
      <w:start w:val="32"/>
    </w:lvl>
  </w:abstractNum>
  <w:abstractNum w:abstractNumId="386">
    <w:nsid w:val="FA085B0"/>
    <w:multiLevelType w:val="hybridMultilevel"/>
    <w:lvl w:ilvl="0">
      <w:lvlJc w:val="left"/>
      <w:lvlText w:val="%1."/>
      <w:numFmt w:val="decimal"/>
      <w:start w:val="33"/>
    </w:lvl>
  </w:abstractNum>
  <w:abstractNum w:abstractNumId="387">
    <w:nsid w:val="4E5DCB5"/>
    <w:multiLevelType w:val="hybridMultilevel"/>
    <w:lvl w:ilvl="0">
      <w:lvlJc w:val="left"/>
      <w:lvlText w:val="%1."/>
      <w:numFmt w:val="decimal"/>
      <w:start w:val="1"/>
    </w:lvl>
  </w:abstractNum>
  <w:abstractNum w:abstractNumId="388">
    <w:nsid w:val="41E96BDB"/>
    <w:multiLevelType w:val="hybridMultilevel"/>
    <w:lvl w:ilvl="0">
      <w:lvlJc w:val="left"/>
      <w:lvlText w:val="(%1)"/>
      <w:numFmt w:val="lowerRoman"/>
      <w:start w:val="1"/>
    </w:lvl>
  </w:abstractNum>
  <w:abstractNum w:abstractNumId="389">
    <w:nsid w:val="331C4250"/>
    <w:multiLevelType w:val="hybridMultilevel"/>
    <w:lvl w:ilvl="0">
      <w:lvlJc w:val="left"/>
      <w:lvlText w:val="%1."/>
      <w:numFmt w:val="decimal"/>
      <w:start w:val="5"/>
    </w:lvl>
  </w:abstractNum>
  <w:abstractNum w:abstractNumId="390">
    <w:nsid w:val="1B1493C2"/>
    <w:multiLevelType w:val="hybridMultilevel"/>
    <w:lvl w:ilvl="0">
      <w:lvlJc w:val="left"/>
      <w:lvlText w:val="%1."/>
      <w:numFmt w:val="decimal"/>
      <w:start w:val="6"/>
    </w:lvl>
  </w:abstractNum>
  <w:abstractNum w:abstractNumId="391">
    <w:nsid w:val="39F06DFD"/>
    <w:multiLevelType w:val="hybridMultilevel"/>
    <w:lvl w:ilvl="0">
      <w:lvlJc w:val="left"/>
      <w:lvlText w:val="%1."/>
      <w:numFmt w:val="decimal"/>
      <w:start w:val="7"/>
    </w:lvl>
  </w:abstractNum>
  <w:abstractNum w:abstractNumId="392">
    <w:nsid w:val="14802F5D"/>
    <w:multiLevelType w:val="hybridMultilevel"/>
    <w:lvl w:ilvl="0">
      <w:lvlJc w:val="left"/>
      <w:lvlText w:val="%1."/>
      <w:numFmt w:val="decimal"/>
      <w:start w:val="11"/>
    </w:lvl>
    <w:lvl w:ilvl="1">
      <w:lvlJc w:val="left"/>
      <w:lvlText w:val="*"/>
      <w:numFmt w:val="bullet"/>
      <w:start w:val="1"/>
    </w:lvl>
  </w:abstractNum>
  <w:abstractNum w:abstractNumId="393">
    <w:nsid w:val="2774A209"/>
    <w:multiLevelType w:val="hybridMultilevel"/>
    <w:lvl w:ilvl="0">
      <w:lvlJc w:val="left"/>
      <w:lvlText w:val="%1."/>
      <w:numFmt w:val="decimal"/>
      <w:start w:val="1"/>
    </w:lvl>
  </w:abstractNum>
  <w:abstractNum w:abstractNumId="394">
    <w:nsid w:val="3785655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95">
    <w:nsid w:val="B2172A"/>
    <w:multiLevelType w:val="hybridMultilevel"/>
    <w:lvl w:ilvl="0">
      <w:lvlJc w:val="left"/>
      <w:lvlText w:val="(%1)"/>
      <w:numFmt w:val="lowerRoman"/>
      <w:start w:val="6"/>
    </w:lvl>
  </w:abstractNum>
  <w:abstractNum w:abstractNumId="396">
    <w:nsid w:val="532C34A5"/>
    <w:multiLevelType w:val="hybridMultilevel"/>
    <w:lvl w:ilvl="0">
      <w:lvlJc w:val="left"/>
      <w:lvlText w:val="%1"/>
      <w:numFmt w:val="lowerLetter"/>
      <w:start w:val="1"/>
    </w:lvl>
    <w:lvl w:ilvl="1">
      <w:lvlJc w:val="left"/>
      <w:lvlText w:val="(%2)"/>
      <w:numFmt w:val="lowerRoman"/>
      <w:start w:val="14"/>
    </w:lvl>
  </w:abstractNum>
  <w:abstractNum w:abstractNumId="397">
    <w:nsid w:val="102809E2"/>
    <w:multiLevelType w:val="hybridMultilevel"/>
    <w:lvl w:ilvl="0">
      <w:lvlJc w:val="left"/>
      <w:lvlText w:val="(%1)"/>
      <w:numFmt w:val="lowerLetter"/>
      <w:start w:val="2"/>
    </w:lvl>
    <w:lvl w:ilvl="1">
      <w:lvlJc w:val="left"/>
      <w:lvlText w:val="%2"/>
      <w:numFmt w:val="lowerRoman"/>
      <w:start w:val="1"/>
    </w:lvl>
  </w:abstractNum>
  <w:abstractNum w:abstractNumId="398">
    <w:nsid w:val="3B2125A3"/>
    <w:multiLevelType w:val="hybridMultilevel"/>
    <w:lvl w:ilvl="0">
      <w:lvlJc w:val="left"/>
      <w:lvlText w:val="(%1)"/>
      <w:numFmt w:val="lowerLetter"/>
      <w:start w:val="3"/>
    </w:lvl>
  </w:abstractNum>
  <w:abstractNum w:abstractNumId="399">
    <w:nsid w:val="AC68FFB"/>
    <w:multiLevelType w:val="hybridMultilevel"/>
    <w:lvl w:ilvl="0">
      <w:lvlJc w:val="left"/>
      <w:lvlText w:val="%1"/>
      <w:numFmt w:val="upperLetter"/>
      <w:start w:val="1"/>
    </w:lvl>
    <w:lvl w:ilvl="1">
      <w:lvlJc w:val="left"/>
      <w:lvlText w:val="(%2)"/>
      <w:numFmt w:val="lowerLetter"/>
      <w:start w:val="4"/>
    </w:lvl>
  </w:abstractNum>
  <w:abstractNum w:abstractNumId="400">
    <w:nsid w:val="63DF3FB7"/>
    <w:multiLevelType w:val="hybridMultilevel"/>
    <w:lvl w:ilvl="0">
      <w:lvlJc w:val="left"/>
      <w:lvlText w:val="(%1)"/>
      <w:numFmt w:val="upperLetter"/>
      <w:start w:val="2"/>
    </w:lvl>
    <w:lvl w:ilvl="1">
      <w:lvlJc w:val="left"/>
      <w:lvlText w:val="(%2)"/>
      <w:numFmt w:val="lowerLetter"/>
      <w:start w:val="5"/>
    </w:lvl>
  </w:abstractNum>
  <w:abstractNum w:abstractNumId="401">
    <w:nsid w:val="64996E1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02">
    <w:nsid w:val="57A37D47"/>
    <w:multiLevelType w:val="hybridMultilevel"/>
    <w:lvl w:ilvl="0">
      <w:lvlJc w:val="left"/>
      <w:lvlText w:val="%1"/>
      <w:numFmt w:val="lowerLetter"/>
      <w:start w:val="1"/>
    </w:lvl>
    <w:lvl w:ilvl="1">
      <w:lvlJc w:val="left"/>
      <w:lvlText w:val="(%2)"/>
      <w:numFmt w:val="lowerRoman"/>
      <w:start w:val="4"/>
    </w:lvl>
  </w:abstractNum>
  <w:abstractNum w:abstractNumId="403">
    <w:nsid w:val="74824D54"/>
    <w:multiLevelType w:val="hybridMultilevel"/>
    <w:lvl w:ilvl="0">
      <w:lvlJc w:val="left"/>
      <w:lvlText w:val="(%1)"/>
      <w:numFmt w:val="lowerLetter"/>
      <w:start w:val="2"/>
    </w:lvl>
    <w:lvl w:ilvl="1">
      <w:lvlJc w:val="left"/>
      <w:lvlText w:val="(%2)"/>
      <w:numFmt w:val="lowerRoman"/>
      <w:start w:val="1"/>
    </w:lvl>
  </w:abstractNum>
  <w:abstractNum w:abstractNumId="404">
    <w:nsid w:val="6F00529A"/>
    <w:multiLevelType w:val="hybridMultilevel"/>
    <w:lvl w:ilvl="0">
      <w:lvlJc w:val="left"/>
      <w:lvlText w:val="(%1)"/>
      <w:numFmt w:val="lowerRoman"/>
      <w:start w:val="5"/>
    </w:lvl>
  </w:abstractNum>
  <w:abstractNum w:abstractNumId="405">
    <w:nsid w:val="805B33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06">
    <w:nsid w:val="60A1463"/>
    <w:multiLevelType w:val="hybridMultilevel"/>
    <w:lvl w:ilvl="0">
      <w:lvlJc w:val="left"/>
      <w:lvlText w:val="(%1)"/>
      <w:numFmt w:val="lowerLetter"/>
      <w:start w:val="3"/>
    </w:lvl>
    <w:lvl w:ilvl="1">
      <w:lvlJc w:val="left"/>
      <w:lvlText w:val="(%2)"/>
      <w:numFmt w:val="lowerRoman"/>
      <w:start w:val="1"/>
    </w:lvl>
  </w:abstractNum>
  <w:abstractNum w:abstractNumId="407">
    <w:nsid w:val="43773132"/>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408">
    <w:nsid w:val="16AC4B23"/>
    <w:multiLevelType w:val="hybridMultilevel"/>
    <w:lvl w:ilvl="0">
      <w:lvlJc w:val="left"/>
      <w:lvlText w:val="(%1)"/>
      <w:numFmt w:val="upperLetter"/>
      <w:start w:val="2"/>
    </w:lvl>
  </w:abstractNum>
  <w:abstractNum w:abstractNumId="409">
    <w:nsid w:val="76C44E4E"/>
    <w:multiLevelType w:val="hybridMultilevel"/>
    <w:lvl w:ilvl="0">
      <w:lvlJc w:val="left"/>
      <w:lvlText w:val="(%1)"/>
      <w:numFmt w:val="lowerRoman"/>
      <w:start w:val="4"/>
    </w:lvl>
  </w:abstractNum>
  <w:abstractNum w:abstractNumId="410">
    <w:nsid w:val="E04E6CE"/>
    <w:multiLevelType w:val="hybridMultilevel"/>
    <w:lvl w:ilvl="0">
      <w:lvlJc w:val="left"/>
      <w:lvlText w:val="(%1)"/>
      <w:numFmt w:val="lowerLetter"/>
      <w:start w:val="4"/>
    </w:lvl>
    <w:lvl w:ilvl="1">
      <w:lvlJc w:val="left"/>
      <w:lvlText w:val="(%2)"/>
      <w:numFmt w:val="lowerRoman"/>
      <w:start w:val="1"/>
    </w:lvl>
  </w:abstractNum>
  <w:abstractNum w:abstractNumId="411">
    <w:nsid w:val="31A9DB76"/>
    <w:multiLevelType w:val="hybridMultilevel"/>
    <w:lvl w:ilvl="0">
      <w:lvlJc w:val="left"/>
      <w:lvlText w:val="%1"/>
      <w:numFmt w:val="decimal"/>
      <w:start w:val="1"/>
    </w:lvl>
    <w:lvl w:ilvl="1">
      <w:lvlJc w:val="left"/>
      <w:lvlText w:val="(%2)"/>
      <w:numFmt w:val="lowerLetter"/>
      <w:start w:val="6"/>
    </w:lvl>
  </w:abstractNum>
  <w:abstractNum w:abstractNumId="412">
    <w:nsid w:val="4C4FFF5B"/>
    <w:multiLevelType w:val="hybridMultilevel"/>
    <w:lvl w:ilvl="0">
      <w:lvlJc w:val="left"/>
      <w:lvlText w:val="(%1)"/>
      <w:numFmt w:val="decimal"/>
      <w:start w:val="1"/>
    </w:lvl>
    <w:lvl w:ilvl="1">
      <w:lvlJc w:val="left"/>
      <w:lvlText w:val="%2"/>
      <w:numFmt w:val="lowerLetter"/>
      <w:start w:val="1"/>
    </w:lvl>
  </w:abstractNum>
  <w:abstractNum w:abstractNumId="413">
    <w:nsid w:val="51B7667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14">
    <w:nsid w:val="59A4BA71"/>
    <w:multiLevelType w:val="hybridMultilevel"/>
    <w:lvl w:ilvl="0">
      <w:lvlJc w:val="left"/>
      <w:lvlText w:val="%1"/>
      <w:numFmt w:val="lowerLetter"/>
      <w:start w:val="1"/>
    </w:lvl>
    <w:lvl w:ilvl="1">
      <w:lvlJc w:val="left"/>
      <w:lvlText w:val="(%2)"/>
      <w:numFmt w:val="lowerRoman"/>
      <w:start w:val="4"/>
    </w:lvl>
  </w:abstractNum>
  <w:abstractNum w:abstractNumId="415">
    <w:nsid w:val="450B7FB6"/>
    <w:multiLevelType w:val="hybridMultilevel"/>
    <w:lvl w:ilvl="0">
      <w:lvlJc w:val="left"/>
      <w:lvlText w:val="(%1)"/>
      <w:numFmt w:val="lowerLetter"/>
      <w:start w:val="2"/>
    </w:lvl>
    <w:lvl w:ilvl="1">
      <w:lvlJc w:val="left"/>
      <w:lvlText w:val="(%2)"/>
      <w:numFmt w:val="lowerRoman"/>
      <w:start w:val="1"/>
    </w:lvl>
  </w:abstractNum>
  <w:abstractNum w:abstractNumId="416">
    <w:nsid w:val="340BF64D"/>
    <w:multiLevelType w:val="hybridMultilevel"/>
    <w:lvl w:ilvl="0">
      <w:lvlJc w:val="left"/>
      <w:lvlText w:val="(%1)"/>
      <w:numFmt w:val="lowerRoman"/>
      <w:start w:val="2"/>
    </w:lvl>
  </w:abstractNum>
  <w:abstractNum w:abstractNumId="417">
    <w:nsid w:val="69454021"/>
    <w:multiLevelType w:val="hybridMultilevel"/>
    <w:lvl w:ilvl="0">
      <w:lvlJc w:val="left"/>
      <w:lvlText w:val="(%1)"/>
      <w:numFmt w:val="lowerLetter"/>
      <w:start w:val="3"/>
    </w:lvl>
    <w:lvl w:ilvl="1">
      <w:lvlJc w:val="left"/>
      <w:lvlText w:val="(%2)"/>
      <w:numFmt w:val="lowerLetter"/>
      <w:start w:val="9"/>
    </w:lvl>
  </w:abstractNum>
  <w:abstractNum w:abstractNumId="418">
    <w:nsid w:val="49F15C6B"/>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lowerRoman"/>
      <w:start w:val="2"/>
    </w:lvl>
  </w:abstractNum>
  <w:abstractNum w:abstractNumId="419">
    <w:nsid w:val="75F56228"/>
    <w:multiLevelType w:val="hybridMultilevel"/>
    <w:lvl w:ilvl="0">
      <w:lvlJc w:val="left"/>
      <w:lvlText w:val="%1"/>
      <w:numFmt w:val="decimal"/>
      <w:start w:val="1"/>
    </w:lvl>
    <w:lvl w:ilvl="1">
      <w:lvlJc w:val="left"/>
      <w:lvlText w:val="%2"/>
      <w:numFmt w:val="decimal"/>
      <w:start w:val="1"/>
    </w:lvl>
    <w:lvl w:ilvl="2">
      <w:lvlJc w:val="left"/>
      <w:lvlText w:val="(%3)"/>
      <w:numFmt w:val="upperLetter"/>
      <w:start w:val="61"/>
    </w:lvl>
    <w:lvl w:ilvl="3">
      <w:lvlJc w:val="left"/>
      <w:lvlText w:val="(%4)"/>
      <w:numFmt w:val="lowerRoman"/>
      <w:start w:val="3"/>
    </w:lvl>
  </w:abstractNum>
  <w:abstractNum w:abstractNumId="420">
    <w:nsid w:val="1C618271"/>
    <w:multiLevelType w:val="hybridMultilevel"/>
    <w:lvl w:ilvl="0">
      <w:lvlJc w:val="left"/>
      <w:lvlText w:val="%1"/>
      <w:numFmt w:val="decimal"/>
      <w:start w:val="1"/>
    </w:lvl>
    <w:lvl w:ilvl="1">
      <w:lvlJc w:val="left"/>
      <w:lvlText w:val="%2."/>
      <w:numFmt w:val="decimal"/>
      <w:start w:val="9"/>
    </w:lvl>
    <w:lvl w:ilvl="2">
      <w:lvlJc w:val="left"/>
      <w:lvlText w:val="%3"/>
      <w:numFmt w:val="upperLetter"/>
      <w:start w:val="1"/>
    </w:lvl>
    <w:lvl w:ilvl="3">
      <w:lvlJc w:val="left"/>
      <w:lvlText w:val="%4"/>
      <w:numFmt w:val="lowerRoman"/>
      <w:start w:val="1"/>
    </w:lvl>
  </w:abstractNum>
  <w:abstractNum w:abstractNumId="421">
    <w:nsid w:val="6505F02E"/>
    <w:multiLevelType w:val="hybridMultilevel"/>
    <w:lvl w:ilvl="0">
      <w:lvlJc w:val="left"/>
      <w:lvlText w:val="(%1)"/>
      <w:numFmt w:val="decimal"/>
      <w:start w:val="15"/>
    </w:lvl>
    <w:lvl w:ilvl="1">
      <w:lvlJc w:val="left"/>
      <w:lvlText w:val="%2."/>
      <w:numFmt w:val="decimal"/>
      <w:start w:val="10"/>
    </w:lvl>
    <w:lvl w:ilvl="2">
      <w:lvlJc w:val="left"/>
      <w:lvlText w:val="%3"/>
      <w:numFmt w:val="upperLetter"/>
      <w:start w:val="1"/>
    </w:lvl>
    <w:lvl w:ilvl="3">
      <w:lvlJc w:val="left"/>
      <w:lvlText w:val="%4"/>
      <w:numFmt w:val="lowerRoman"/>
      <w:start w:val="1"/>
    </w:lvl>
  </w:abstractNum>
  <w:abstractNum w:abstractNumId="422">
    <w:nsid w:val="2FE5D025"/>
    <w:multiLevelType w:val="hybridMultilevel"/>
    <w:lvl w:ilvl="0">
      <w:lvlJc w:val="left"/>
      <w:lvlText w:val="%1."/>
      <w:numFmt w:val="decimal"/>
      <w:start w:val="13"/>
    </w:lvl>
  </w:abstractNum>
  <w:abstractNum w:abstractNumId="423">
    <w:nsid w:val="30E1B1CF"/>
    <w:multiLevelType w:val="hybridMultilevel"/>
    <w:lvl w:ilvl="0">
      <w:lvlJc w:val="left"/>
      <w:lvlText w:val="%1."/>
      <w:numFmt w:val="decimal"/>
      <w:start w:val="1"/>
    </w:lvl>
    <w:lvl w:ilvl="1">
      <w:lvlJc w:val="left"/>
      <w:lvlText w:val="(%2)"/>
      <w:numFmt w:val="lowerLetter"/>
      <w:start w:val="1"/>
    </w:lvl>
  </w:abstractNum>
  <w:abstractNum w:abstractNumId="424">
    <w:nsid w:val="C7A9237"/>
    <w:multiLevelType w:val="hybridMultilevel"/>
    <w:lvl w:ilvl="0">
      <w:lvlJc w:val="left"/>
      <w:lvlText w:val="(%1)"/>
      <w:numFmt w:val="decimal"/>
      <w:start w:val="1"/>
    </w:lvl>
  </w:abstractNum>
  <w:abstractNum w:abstractNumId="425">
    <w:nsid w:val="676B3580"/>
    <w:multiLevelType w:val="hybridMultilevel"/>
    <w:lvl w:ilvl="0">
      <w:lvlJc w:val="left"/>
      <w:lvlText w:val="(%1)"/>
      <w:numFmt w:val="lowerLetter"/>
      <w:start w:val="4"/>
    </w:lvl>
    <w:lvl w:ilvl="1">
      <w:lvlJc w:val="left"/>
      <w:lvlText w:val="(%2)"/>
      <w:numFmt w:val="lowerRoman"/>
      <w:start w:val="1"/>
    </w:lvl>
  </w:abstractNum>
  <w:abstractNum w:abstractNumId="426">
    <w:nsid w:val="3193C8F9"/>
    <w:multiLevelType w:val="hybridMultilevel"/>
    <w:lvl w:ilvl="0">
      <w:lvlJc w:val="left"/>
      <w:lvlText w:val="(%1)"/>
      <w:numFmt w:val="lowerLetter"/>
      <w:start w:val="5"/>
    </w:lvl>
  </w:abstractNum>
  <w:abstractNum w:abstractNumId="427">
    <w:nsid w:val="5FA6C6DC"/>
    <w:multiLevelType w:val="hybridMultilevel"/>
    <w:lvl w:ilvl="0">
      <w:lvlJc w:val="left"/>
      <w:lvlText w:val="%1."/>
      <w:numFmt w:val="decimal"/>
      <w:start w:val="2"/>
    </w:lvl>
    <w:lvl w:ilvl="1">
      <w:lvlJc w:val="left"/>
      <w:lvlText w:val="(%2)"/>
      <w:numFmt w:val="lowerLetter"/>
      <w:start w:val="1"/>
    </w:lvl>
  </w:abstractNum>
  <w:abstractNum w:abstractNumId="428">
    <w:nsid w:val="77933F62"/>
    <w:multiLevelType w:val="hybridMultilevel"/>
    <w:lvl w:ilvl="0">
      <w:lvlJc w:val="left"/>
      <w:lvlText w:val="%1."/>
      <w:numFmt w:val="decimal"/>
      <w:start w:val="3"/>
    </w:lvl>
    <w:lvl w:ilvl="1">
      <w:lvlJc w:val="left"/>
      <w:lvlText w:val="(%2)"/>
      <w:numFmt w:val="lowerLetter"/>
      <w:start w:val="1"/>
    </w:lvl>
  </w:abstractNum>
  <w:abstractNum w:abstractNumId="429">
    <w:nsid w:val="6CB4EE9C"/>
    <w:multiLevelType w:val="hybridMultilevel"/>
    <w:lvl w:ilvl="0">
      <w:lvlJc w:val="left"/>
      <w:lvlText w:val="%1."/>
      <w:numFmt w:val="decimal"/>
      <w:start w:val="6"/>
    </w:lvl>
    <w:lvl w:ilvl="1">
      <w:lvlJc w:val="left"/>
      <w:lvlText w:val="(%2)"/>
      <w:numFmt w:val="lowerLetter"/>
      <w:start w:val="1"/>
    </w:lvl>
  </w:abstractNum>
  <w:abstractNum w:abstractNumId="430">
    <w:nsid w:val="6A6D56D7"/>
    <w:multiLevelType w:val="hybridMultilevel"/>
    <w:lvl w:ilvl="0">
      <w:lvlJc w:val="left"/>
      <w:lvlText w:val="%1."/>
      <w:numFmt w:val="decimal"/>
      <w:start w:val="8"/>
    </w:lvl>
  </w:abstractNum>
  <w:abstractNum w:abstractNumId="431">
    <w:nsid w:val="5B727F19"/>
    <w:multiLevelType w:val="hybridMultilevel"/>
    <w:lvl w:ilvl="0">
      <w:lvlJc w:val="left"/>
      <w:lvlText w:val="%1."/>
      <w:numFmt w:val="decimal"/>
      <w:start w:val="11"/>
    </w:lvl>
    <w:lvl w:ilvl="1">
      <w:lvlJc w:val="left"/>
      <w:lvlText w:val="(%2)"/>
      <w:numFmt w:val="lowerLetter"/>
      <w:start w:val="1"/>
    </w:lvl>
  </w:abstractNum>
  <w:abstractNum w:abstractNumId="432">
    <w:nsid w:val="514E5CB0"/>
    <w:multiLevelType w:val="hybridMultilevel"/>
    <w:lvl w:ilvl="0">
      <w:lvlJc w:val="left"/>
      <w:lvlText w:val="%1."/>
      <w:numFmt w:val="decimal"/>
      <w:start w:val="1"/>
    </w:lvl>
    <w:lvl w:ilvl="1">
      <w:lvlJc w:val="left"/>
      <w:lvlText w:val="(%2)"/>
      <w:numFmt w:val="lowerLetter"/>
      <w:start w:val="1"/>
    </w:lvl>
  </w:abstractNum>
  <w:abstractNum w:abstractNumId="433">
    <w:nsid w:val="4210D41E"/>
    <w:multiLevelType w:val="hybridMultilevel"/>
    <w:lvl w:ilvl="0">
      <w:lvlJc w:val="left"/>
      <w:lvlText w:val="(%1)"/>
      <w:numFmt w:val="decimal"/>
      <w:start w:val="1"/>
    </w:lvl>
  </w:abstractNum>
  <w:abstractNum w:abstractNumId="434">
    <w:nsid w:val="4FF4CC6D"/>
    <w:multiLevelType w:val="hybridMultilevel"/>
    <w:lvl w:ilvl="0">
      <w:lvlJc w:val="left"/>
      <w:lvlText w:val="(%1)"/>
      <w:numFmt w:val="lowerLetter"/>
      <w:start w:val="4"/>
    </w:lvl>
    <w:lvl w:ilvl="1">
      <w:lvlJc w:val="left"/>
      <w:lvlText w:val="(%2)"/>
      <w:numFmt w:val="lowerRoman"/>
      <w:start w:val="1"/>
    </w:lvl>
  </w:abstractNum>
  <w:abstractNum w:abstractNumId="435">
    <w:nsid w:val="404EAF4A"/>
    <w:multiLevelType w:val="hybridMultilevel"/>
    <w:lvl w:ilvl="0">
      <w:lvlJc w:val="left"/>
      <w:lvlText w:val="(%1)"/>
      <w:numFmt w:val="lowerLetter"/>
      <w:start w:val="5"/>
    </w:lvl>
  </w:abstractNum>
  <w:abstractNum w:abstractNumId="436">
    <w:nsid w:val="4A16874F"/>
    <w:multiLevelType w:val="hybridMultilevel"/>
    <w:lvl w:ilvl="0">
      <w:lvlJc w:val="left"/>
      <w:lvlText w:val="%1."/>
      <w:numFmt w:val="decimal"/>
      <w:start w:val="2"/>
    </w:lvl>
    <w:lvl w:ilvl="1">
      <w:lvlJc w:val="left"/>
      <w:lvlText w:val="(%2)"/>
      <w:numFmt w:val="lowerLetter"/>
      <w:start w:val="1"/>
    </w:lvl>
  </w:abstractNum>
  <w:abstractNum w:abstractNumId="437">
    <w:nsid w:val="55FEE0D1"/>
    <w:multiLevelType w:val="hybridMultilevel"/>
    <w:lvl w:ilvl="0">
      <w:lvlJc w:val="left"/>
      <w:lvlText w:val="%1."/>
      <w:numFmt w:val="decimal"/>
      <w:start w:val="3"/>
    </w:lvl>
    <w:lvl w:ilvl="1">
      <w:lvlJc w:val="left"/>
      <w:lvlText w:val="(%2)"/>
      <w:numFmt w:val="lowerLetter"/>
      <w:start w:val="1"/>
    </w:lvl>
  </w:abstractNum>
  <w:abstractNum w:abstractNumId="438">
    <w:nsid w:val="3C5E07C"/>
    <w:multiLevelType w:val="hybridMultilevel"/>
    <w:lvl w:ilvl="0">
      <w:lvlJc w:val="left"/>
      <w:lvlText w:val="(%1)"/>
      <w:numFmt w:val="lowerLetter"/>
      <w:start w:val="2"/>
    </w:lvl>
  </w:abstractNum>
  <w:abstractNum w:abstractNumId="439">
    <w:nsid w:val="60C2D273"/>
    <w:multiLevelType w:val="hybridMultilevel"/>
    <w:lvl w:ilvl="0">
      <w:lvlJc w:val="left"/>
      <w:lvlText w:val="%1."/>
      <w:numFmt w:val="decimal"/>
      <w:start w:val="7"/>
    </w:lvl>
  </w:abstractNum>
  <w:abstractNum w:abstractNumId="440">
    <w:nsid w:val="4CC32F1F"/>
    <w:multiLevelType w:val="hybridMultilevel"/>
    <w:lvl w:ilvl="0">
      <w:lvlJc w:val="left"/>
      <w:lvlText w:val="%1."/>
      <w:numFmt w:val="decimal"/>
      <w:start w:val="13"/>
    </w:lvl>
    <w:lvl w:ilvl="1">
      <w:lvlJc w:val="left"/>
      <w:lvlText w:val="(%2)"/>
      <w:numFmt w:val="lowerLetter"/>
      <w:start w:val="1"/>
    </w:lvl>
  </w:abstractNum>
  <w:abstractNum w:abstractNumId="441">
    <w:nsid w:val="11CAC74A"/>
    <w:multiLevelType w:val="hybridMultilevel"/>
    <w:lvl w:ilvl="0">
      <w:lvlJc w:val="left"/>
      <w:lvlText w:val="(%1)"/>
      <w:numFmt w:val="lowerLetter"/>
      <w:start w:val="1"/>
    </w:lvl>
  </w:abstractNum>
  <w:abstractNum w:abstractNumId="442">
    <w:nsid w:val="126CADE9"/>
    <w:multiLevelType w:val="hybridMultilevel"/>
    <w:lvl w:ilvl="0">
      <w:lvlJc w:val="left"/>
      <w:lvlText w:val="(%1)"/>
      <w:numFmt w:val="lowerLetter"/>
      <w:start w:val="7"/>
    </w:lvl>
  </w:abstractNum>
  <w:abstractNum w:abstractNumId="443">
    <w:nsid w:val="19132E7B"/>
    <w:multiLevelType w:val="hybridMultilevel"/>
    <w:lvl w:ilvl="0">
      <w:lvlJc w:val="left"/>
      <w:lvlText w:val="††"/>
      <w:numFmt w:val="bullet"/>
      <w:start w:val="1"/>
    </w:lvl>
  </w:abstractNum>
  <w:abstractNum w:abstractNumId="444">
    <w:nsid w:val="63822DC0"/>
    <w:multiLevelType w:val="hybridMultilevel"/>
    <w:lvl w:ilvl="0">
      <w:lvlJc w:val="left"/>
      <w:lvlText w:val="(%1)"/>
      <w:numFmt w:val="decimal"/>
      <w:start w:val="1"/>
    </w:lvl>
  </w:abstractNum>
  <w:abstractNum w:abstractNumId="445">
    <w:nsid w:val="6C11685A"/>
    <w:multiLevelType w:val="hybridMultilevel"/>
    <w:lvl w:ilvl="0">
      <w:lvlJc w:val="left"/>
      <w:lvlText w:val="(%1)"/>
      <w:numFmt w:val="lowerRoman"/>
      <w:start w:val="2"/>
    </w:lvl>
  </w:abstractNum>
  <w:abstractNum w:abstractNumId="446">
    <w:nsid w:val="5E1EAE31"/>
    <w:multiLevelType w:val="hybridMultilevel"/>
    <w:lvl w:ilvl="0">
      <w:lvlJc w:val="left"/>
      <w:lvlText w:val="(%1)"/>
      <w:numFmt w:val="decimal"/>
      <w:start w:val="2"/>
    </w:lvl>
  </w:abstractNum>
  <w:abstractNum w:abstractNumId="447">
    <w:nsid w:val="178E240D"/>
    <w:multiLevelType w:val="hybridMultilevel"/>
    <w:lvl w:ilvl="0">
      <w:lvlJc w:val="left"/>
      <w:lvlText w:val="(%1)"/>
      <w:numFmt w:val="lowerLetter"/>
      <w:start w:val="7"/>
    </w:lvl>
  </w:abstractNum>
  <w:abstractNum w:abstractNumId="448">
    <w:nsid w:val="5556A87B"/>
    <w:multiLevelType w:val="hybridMultilevel"/>
    <w:lvl w:ilvl="0">
      <w:lvlJc w:val="left"/>
      <w:lvlText w:val="(%1)"/>
      <w:numFmt w:val="decimal"/>
      <w:start w:val="2"/>
    </w:lvl>
  </w:abstractNum>
  <w:abstractNum w:abstractNumId="449">
    <w:nsid w:val="28100A9C"/>
    <w:multiLevelType w:val="hybridMultilevel"/>
    <w:lvl w:ilvl="0">
      <w:lvlJc w:val="left"/>
      <w:lvlText w:val="(%1)"/>
      <w:numFmt w:val="lowerLetter"/>
      <w:start w:val="8"/>
    </w:lvl>
  </w:abstractNum>
  <w:abstractNum w:abstractNumId="450">
    <w:nsid w:val="D838636"/>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jpe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jpeg"/><Relationship Id="rId852" Type="http://schemas.openxmlformats.org/officeDocument/2006/relationships/image" Target="media/image845.jpe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jpe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jpe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2019-12-09T18:40:22Z</dcterms:created>
  <dcterms:modified xsi:type="dcterms:W3CDTF">2019-12-09T18:40:22Z</dcterms:modified>
</cp:coreProperties>
</file>