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July 22, 2019</w:t>
      </w:r>
    </w:p>
    <w:p>
      <w:pPr>
        <w:spacing w:after="0" w:line="225" w:lineRule="exact"/>
        <w:rPr>
          <w:sz w:val="24"/>
          <w:szCs w:val="24"/>
          <w:color w:val="auto"/>
        </w:rPr>
      </w:pPr>
    </w:p>
    <w:p>
      <w:pPr>
        <w:ind w:left="97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S-3</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200" w:type="dxa"/>
            <w:vAlign w:val="bottom"/>
          </w:tcPr>
          <w:p>
            <w:pPr>
              <w:jc w:val="center"/>
              <w:ind w:right="1690"/>
              <w:spacing w:after="0"/>
              <w:rPr>
                <w:sz w:val="20"/>
                <w:szCs w:val="20"/>
                <w:color w:val="auto"/>
              </w:rPr>
            </w:pPr>
            <w:r>
              <w:rPr>
                <w:rFonts w:ascii="Arial" w:cs="Arial" w:eastAsia="Arial" w:hAnsi="Arial"/>
                <w:sz w:val="18"/>
                <w:szCs w:val="18"/>
                <w:b w:val="1"/>
                <w:bCs w:val="1"/>
                <w:color w:val="auto"/>
                <w:w w:val="93"/>
              </w:rPr>
              <w:t>Delaware</w:t>
            </w:r>
          </w:p>
        </w:tc>
        <w:tc>
          <w:tcPr>
            <w:tcW w:w="3640" w:type="dxa"/>
            <w:vAlign w:val="bottom"/>
          </w:tcPr>
          <w:p>
            <w:pPr>
              <w:jc w:val="center"/>
              <w:ind w:left="175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2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0"/>
              </w:rPr>
              <w:t>(State or other jurisdiction of</w:t>
            </w:r>
          </w:p>
        </w:tc>
        <w:tc>
          <w:tcPr>
            <w:tcW w:w="3640" w:type="dxa"/>
            <w:vAlign w:val="bottom"/>
          </w:tcPr>
          <w:p>
            <w:pPr>
              <w:jc w:val="center"/>
              <w:ind w:left="17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incorporation or organization)</w:t>
            </w:r>
          </w:p>
        </w:tc>
        <w:tc>
          <w:tcPr>
            <w:tcW w:w="3640" w:type="dxa"/>
            <w:vAlign w:val="bottom"/>
          </w:tcPr>
          <w:p>
            <w:pPr>
              <w:jc w:val="center"/>
              <w:ind w:left="177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780 Third Avenue, 12th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Douglas Satzman</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XpresSpa Group, Inc.</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780 Third Avenue, 12th Floor</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R. Koch,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Daniel A. Bagliebter,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Popeo,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1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42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68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5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445" w:right="279" w:bottom="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6600" w:space="720"/>
            <w:col w:w="2060" w:space="100"/>
            <w:col w:w="1900"/>
          </w:cols>
          <w:pgMar w:left="240" w:top="445" w:right="279" w:bottom="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980" w:space="80"/>
            <w:col w:w="9320"/>
          </w:cols>
          <w:pgMar w:left="240" w:top="445" w:right="279" w:bottom="0" w:gutter="0" w:footer="0" w:header="0"/>
          <w:type w:val="continuous"/>
        </w:sectPr>
      </w:pPr>
    </w:p>
    <w:bookmarkStart w:id="1" w:name="page2"/>
    <w:bookmarkEnd w:id="1"/>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120" w:type="dxa"/>
            <w:vAlign w:val="bottom"/>
            <w:tcBorders>
              <w:top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spacing w:after="0"/>
              <w:rPr>
                <w:sz w:val="18"/>
                <w:szCs w:val="18"/>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78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Amount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4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184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to be</w:t>
            </w:r>
          </w:p>
        </w:tc>
        <w:tc>
          <w:tcPr>
            <w:tcW w:w="184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Offering Price</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20" w:type="dxa"/>
            <w:vAlign w:val="bottom"/>
          </w:tcPr>
          <w:p>
            <w:pPr>
              <w:spacing w:after="0"/>
              <w:rPr>
                <w:sz w:val="20"/>
                <w:szCs w:val="20"/>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Registered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 Price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Fee(1)</w:t>
            </w:r>
          </w:p>
        </w:tc>
      </w:tr>
      <w:tr>
        <w:trPr>
          <w:trHeight w:val="210"/>
        </w:trPr>
        <w:tc>
          <w:tcPr>
            <w:tcW w:w="2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 $0.01 par value</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Debt Securities</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Rights</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Units</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(2)</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99"/>
              </w:rPr>
              <w:t>(2)</w:t>
            </w: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$50,000,000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$6,060</w:t>
            </w:r>
          </w:p>
        </w:tc>
      </w:tr>
    </w:tbl>
    <w:p>
      <w:pPr>
        <w:spacing w:after="0" w:line="20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pursuant to Rule 457(o) under the Securities Act of 1933, as amended, based on the proposed maximum aggregate offering price.</w:t>
      </w:r>
    </w:p>
    <w:p>
      <w:pPr>
        <w:spacing w:after="0" w:line="236" w:lineRule="exact"/>
        <w:rPr>
          <w:rFonts w:ascii="Arial" w:cs="Arial" w:eastAsia="Arial" w:hAnsi="Arial"/>
          <w:sz w:val="17"/>
          <w:szCs w:val="17"/>
          <w:color w:val="auto"/>
        </w:rPr>
      </w:pPr>
    </w:p>
    <w:p>
      <w:pPr>
        <w:ind w:left="340" w:right="20" w:hanging="332"/>
        <w:spacing w:after="0" w:line="26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There are being registered hereunder such indeterminate number of shares of common stock and preferred stock, such indeterminate principal amount of debt securities, such indeterminate number of warrants, rights to purchase common stock, preferred stock or debt securities, and such indeterminate number of units, as shall have an aggregate initial offering price not to exceed $50,000,000. If any debt securities are issued at an original issue discount, then the offering price of such debt securities shall be in such greater principal amount as shall result in an aggregate initial offering price not to exceed $50,000,000, less the aggregate dollar amount of all securities previously issued hereunder.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rights or pursuant to the anti-dilution provisions of any such securities. In addition, pursuant to Rule 416 under the Securities Act of 1933, as amended,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179" w:lineRule="exact"/>
        <w:rPr>
          <w:rFonts w:ascii="Arial" w:cs="Arial" w:eastAsia="Arial" w:hAnsi="Arial"/>
          <w:sz w:val="17"/>
          <w:szCs w:val="17"/>
          <w:color w:val="auto"/>
        </w:rPr>
      </w:pPr>
    </w:p>
    <w:p>
      <w:pPr>
        <w:ind w:left="340" w:right="28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of 1933, as amended.</w:t>
      </w:r>
    </w:p>
    <w:p>
      <w:pPr>
        <w:spacing w:after="0" w:line="17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ind w:right="60"/>
        <w:spacing w:after="0" w:line="261"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July 22,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5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common stock is quoted on The Nasdaq Capital Market, or Nasdaq, under the symbol “XSPA.” On July 12, 2019, the last reported sale price of our common stock was $1.50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67" w:lineRule="exact"/>
        <w:rPr>
          <w:sz w:val="20"/>
          <w:szCs w:val="20"/>
          <w:color w:val="auto"/>
        </w:rPr>
      </w:pPr>
    </w:p>
    <w:p>
      <w:pPr>
        <w:jc w:val="both"/>
        <w:ind w:right="360"/>
        <w:spacing w:after="0" w:line="343" w:lineRule="auto"/>
        <w:rPr>
          <w:sz w:val="20"/>
          <w:szCs w:val="20"/>
          <w:color w:val="auto"/>
        </w:rPr>
      </w:pPr>
      <w:r>
        <w:rPr>
          <w:rFonts w:ascii="Arial" w:cs="Arial" w:eastAsia="Arial" w:hAnsi="Arial"/>
          <w:sz w:val="15"/>
          <w:szCs w:val="15"/>
          <w:b w:val="1"/>
          <w:bCs w:val="1"/>
          <w:color w:val="auto"/>
        </w:rPr>
        <w:t>Investing in our securities involves risks. Before deciding whether to invest in our securities, you should consider carefully the risks that we have described on page 2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408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w w:val="97"/>
              </w:rPr>
              <w:t>The date of this prospectus is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pacing w:after="0" w:line="200" w:lineRule="exact"/>
        <w:rPr>
          <w:sz w:val="20"/>
          <w:szCs w:val="20"/>
          <w:color w:val="auto"/>
        </w:rPr>
      </w:pPr>
    </w:p>
    <w:p>
      <w:pPr>
        <w:spacing w:after="0" w:line="21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904"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8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20" w:type="dxa"/>
            <w:vAlign w:val="bottom"/>
            <w:gridSpan w:val="9"/>
            <w:shd w:val="clear" w:color="auto" w:fill="CCEEFF"/>
          </w:tcPr>
          <w:p>
            <w:pPr>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ABOUT THIS PROSPECTUS</w:t>
              </w:r>
            </w:hyperlink>
          </w:p>
        </w:tc>
        <w:tc>
          <w:tcPr>
            <w:tcW w:w="8900" w:type="dxa"/>
            <w:vAlign w:val="bottom"/>
            <w:tcBorders>
              <w:right w:val="single" w:sz="8" w:color="CCEEFF"/>
            </w:tcBorders>
            <w:gridSpan w:val="10"/>
            <w:shd w:val="clear" w:color="auto" w:fill="CCEEFF"/>
          </w:tcPr>
          <w:p>
            <w:pPr>
              <w:spacing w:after="0"/>
              <w:rPr>
                <w:sz w:val="15"/>
                <w:szCs w:val="15"/>
                <w:color w:val="auto"/>
              </w:rPr>
            </w:pPr>
          </w:p>
        </w:tc>
        <w:tc>
          <w:tcPr>
            <w:tcW w:w="280" w:type="dxa"/>
            <w:vAlign w:val="bottom"/>
            <w:tcBorders>
              <w:left w:val="single" w:sz="8" w:color="CCEEFF"/>
            </w:tcBorders>
            <w:gridSpan w:val="2"/>
            <w:shd w:val="clear" w:color="auto" w:fill="CCEEFF"/>
          </w:tcPr>
          <w:p>
            <w:pPr>
              <w:jc w:val="right"/>
              <w:ind w:right="140"/>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20" w:type="dxa"/>
            <w:vAlign w:val="bottom"/>
            <w:gridSpan w:val="9"/>
          </w:tcPr>
          <w:p>
            <w:pPr>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PROSPECTUS SUMMARY</w:t>
              </w:r>
            </w:hyperlink>
          </w:p>
        </w:tc>
        <w:tc>
          <w:tcPr>
            <w:tcW w:w="8900" w:type="dxa"/>
            <w:vAlign w:val="bottom"/>
            <w:gridSpan w:val="10"/>
          </w:tcPr>
          <w:p>
            <w:pPr>
              <w:spacing w:after="0"/>
              <w:rPr>
                <w:sz w:val="15"/>
                <w:szCs w:val="15"/>
                <w:color w:val="auto"/>
              </w:rPr>
            </w:pPr>
          </w:p>
        </w:tc>
        <w:tc>
          <w:tcPr>
            <w:tcW w:w="280" w:type="dxa"/>
            <w:vAlign w:val="bottom"/>
            <w:gridSpan w:val="2"/>
          </w:tcPr>
          <w:p>
            <w:pPr>
              <w:jc w:val="right"/>
              <w:ind w:right="1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40" w:type="dxa"/>
            <w:vAlign w:val="bottom"/>
            <w:gridSpan w:val="2"/>
            <w:shd w:val="clear" w:color="auto" w:fill="CCEEFF"/>
          </w:tcPr>
          <w:p>
            <w:pPr>
              <w:spacing w:after="0" w:line="17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RISK FACTORS</w:t>
              </w:r>
            </w:hyperlink>
          </w:p>
        </w:tc>
        <w:tc>
          <w:tcPr>
            <w:tcW w:w="9880" w:type="dxa"/>
            <w:vAlign w:val="bottom"/>
            <w:tcBorders>
              <w:right w:val="single" w:sz="8" w:color="CCEEFF"/>
            </w:tcBorders>
            <w:gridSpan w:val="17"/>
            <w:shd w:val="clear" w:color="auto" w:fill="CCEEFF"/>
          </w:tcPr>
          <w:p>
            <w:pPr>
              <w:spacing w:after="0"/>
              <w:rPr>
                <w:sz w:val="15"/>
                <w:szCs w:val="15"/>
                <w:color w:val="auto"/>
              </w:rPr>
            </w:pPr>
          </w:p>
        </w:tc>
        <w:tc>
          <w:tcPr>
            <w:tcW w:w="280" w:type="dxa"/>
            <w:vAlign w:val="bottom"/>
            <w:tcBorders>
              <w:left w:val="single" w:sz="8" w:color="CCEEFF"/>
            </w:tcBorders>
            <w:gridSpan w:val="2"/>
            <w:shd w:val="clear" w:color="auto" w:fill="CCEEFF"/>
          </w:tcPr>
          <w:p>
            <w:pPr>
              <w:jc w:val="right"/>
              <w:ind w:right="14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gridSpan w:val="19"/>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SPECIAL NOTE REGARDING FORWARD-LOOKING STATEMENTS</w:t>
              </w:r>
            </w:hyperlink>
          </w:p>
        </w:tc>
        <w:tc>
          <w:tcPr>
            <w:tcW w:w="280" w:type="dxa"/>
            <w:vAlign w:val="bottom"/>
            <w:gridSpan w:val="2"/>
          </w:tcPr>
          <w:p>
            <w:pPr>
              <w:jc w:val="right"/>
              <w:ind w:right="14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RATIO OF EARNINGS TO FIXED CHARGES</w:t>
              </w:r>
            </w:hyperlink>
          </w:p>
        </w:tc>
        <w:tc>
          <w:tcPr>
            <w:tcW w:w="280" w:type="dxa"/>
            <w:vAlign w:val="bottom"/>
            <w:tcBorders>
              <w:left w:val="single" w:sz="8" w:color="CCEEFF"/>
            </w:tcBorders>
            <w:gridSpan w:val="2"/>
            <w:shd w:val="clear" w:color="auto" w:fill="CCEEFF"/>
          </w:tcPr>
          <w:p>
            <w:pPr>
              <w:jc w:val="right"/>
              <w:ind w:right="14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80" w:type="dxa"/>
            <w:vAlign w:val="bottom"/>
            <w:gridSpan w:val="1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7640" w:type="dxa"/>
            <w:vAlign w:val="bottom"/>
            <w:gridSpan w:val="5"/>
          </w:tcPr>
          <w:p>
            <w:pPr>
              <w:spacing w:after="0"/>
              <w:rPr>
                <w:sz w:val="15"/>
                <w:szCs w:val="15"/>
                <w:color w:val="auto"/>
              </w:rPr>
            </w:pPr>
          </w:p>
        </w:tc>
        <w:tc>
          <w:tcPr>
            <w:tcW w:w="280" w:type="dxa"/>
            <w:vAlign w:val="bottom"/>
            <w:gridSpan w:val="2"/>
          </w:tcPr>
          <w:p>
            <w:pPr>
              <w:jc w:val="right"/>
              <w:ind w:right="14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40" w:type="dxa"/>
            <w:vAlign w:val="bottom"/>
            <w:gridSpan w:val="6"/>
            <w:shd w:val="clear" w:color="auto" w:fill="CCEEFF"/>
          </w:tcPr>
          <w:p>
            <w:pPr>
              <w:spacing w:after="0" w:line="17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PLAN OF DISTRIBUTION</w:t>
              </w:r>
            </w:hyperlink>
          </w:p>
        </w:tc>
        <w:tc>
          <w:tcPr>
            <w:tcW w:w="9080" w:type="dxa"/>
            <w:vAlign w:val="bottom"/>
            <w:tcBorders>
              <w:right w:val="single" w:sz="8" w:color="CCEEFF"/>
            </w:tcBorders>
            <w:gridSpan w:val="13"/>
            <w:shd w:val="clear" w:color="auto" w:fill="CCEEFF"/>
          </w:tcPr>
          <w:p>
            <w:pPr>
              <w:spacing w:after="0"/>
              <w:rPr>
                <w:sz w:val="15"/>
                <w:szCs w:val="15"/>
                <w:color w:val="auto"/>
              </w:rPr>
            </w:pPr>
          </w:p>
        </w:tc>
        <w:tc>
          <w:tcPr>
            <w:tcW w:w="280" w:type="dxa"/>
            <w:vAlign w:val="bottom"/>
            <w:tcBorders>
              <w:left w:val="single" w:sz="8" w:color="CCEEFF"/>
            </w:tcBorders>
            <w:gridSpan w:val="2"/>
            <w:shd w:val="clear" w:color="auto" w:fill="CCEEFF"/>
          </w:tcPr>
          <w:p>
            <w:pPr>
              <w:jc w:val="right"/>
              <w:ind w:right="14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gridSpan w:val="19"/>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COMMON STOCK</w:t>
              </w:r>
            </w:hyperlink>
          </w:p>
        </w:tc>
        <w:tc>
          <w:tcPr>
            <w:tcW w:w="280" w:type="dxa"/>
            <w:vAlign w:val="bottom"/>
            <w:gridSpan w:val="2"/>
          </w:tcPr>
          <w:p>
            <w:pPr>
              <w:jc w:val="right"/>
              <w:ind w:right="14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40" w:type="dxa"/>
            <w:vAlign w:val="bottom"/>
            <w:gridSpan w:val="13"/>
            <w:shd w:val="clear" w:color="auto" w:fill="CCEEFF"/>
          </w:tcPr>
          <w:p>
            <w:pPr>
              <w:spacing w:after="0" w:line="17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DESCRIPTION OF PREFERRED STOCK</w:t>
              </w:r>
            </w:hyperlink>
          </w:p>
        </w:tc>
        <w:tc>
          <w:tcPr>
            <w:tcW w:w="7980" w:type="dxa"/>
            <w:vAlign w:val="bottom"/>
            <w:tcBorders>
              <w:right w:val="single" w:sz="8" w:color="CCEEFF"/>
            </w:tcBorders>
            <w:gridSpan w:val="6"/>
            <w:shd w:val="clear" w:color="auto" w:fill="CCEEFF"/>
          </w:tcPr>
          <w:p>
            <w:pPr>
              <w:spacing w:after="0"/>
              <w:rPr>
                <w:sz w:val="15"/>
                <w:szCs w:val="15"/>
                <w:color w:val="auto"/>
              </w:rPr>
            </w:pPr>
          </w:p>
        </w:tc>
        <w:tc>
          <w:tcPr>
            <w:tcW w:w="280" w:type="dxa"/>
            <w:vAlign w:val="bottom"/>
            <w:tcBorders>
              <w:left w:val="single" w:sz="8" w:color="CCEEFF"/>
            </w:tcBorders>
            <w:gridSpan w:val="2"/>
            <w:shd w:val="clear" w:color="auto" w:fill="CCEEFF"/>
          </w:tcPr>
          <w:p>
            <w:pPr>
              <w:jc w:val="right"/>
              <w:ind w:right="140"/>
              <w:spacing w:after="0"/>
              <w:rPr>
                <w:rFonts w:ascii="Arial" w:cs="Arial" w:eastAsia="Arial" w:hAnsi="Arial"/>
                <w:sz w:val="15"/>
                <w:szCs w:val="15"/>
                <w:color w:val="0000EE"/>
                <w:w w:val="71"/>
              </w:rPr>
            </w:pPr>
            <w:hyperlink w:anchor="page16">
              <w:r>
                <w:rPr>
                  <w:rFonts w:ascii="Arial" w:cs="Arial" w:eastAsia="Arial" w:hAnsi="Arial"/>
                  <w:sz w:val="15"/>
                  <w:szCs w:val="15"/>
                  <w:color w:val="0000EE"/>
                  <w:w w:val="71"/>
                </w:rPr>
                <w:t>10</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40" w:type="dxa"/>
            <w:vAlign w:val="bottom"/>
            <w:gridSpan w:val="13"/>
          </w:tcPr>
          <w:p>
            <w:pPr>
              <w:spacing w:after="0" w:line="176"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DESCRIPTION OF DEBT SECURITIES</w:t>
              </w:r>
            </w:hyperlink>
          </w:p>
        </w:tc>
        <w:tc>
          <w:tcPr>
            <w:tcW w:w="7980" w:type="dxa"/>
            <w:vAlign w:val="bottom"/>
            <w:gridSpan w:val="6"/>
          </w:tcPr>
          <w:p>
            <w:pPr>
              <w:spacing w:after="0"/>
              <w:rPr>
                <w:sz w:val="15"/>
                <w:szCs w:val="15"/>
                <w:color w:val="auto"/>
              </w:rPr>
            </w:pPr>
          </w:p>
        </w:tc>
        <w:tc>
          <w:tcPr>
            <w:tcW w:w="280" w:type="dxa"/>
            <w:vAlign w:val="bottom"/>
            <w:gridSpan w:val="2"/>
          </w:tcPr>
          <w:p>
            <w:pPr>
              <w:jc w:val="right"/>
              <w:ind w:right="140"/>
              <w:spacing w:after="0"/>
              <w:rPr>
                <w:rFonts w:ascii="Arial" w:cs="Arial" w:eastAsia="Arial" w:hAnsi="Arial"/>
                <w:sz w:val="15"/>
                <w:szCs w:val="15"/>
                <w:color w:val="0000EE"/>
                <w:w w:val="71"/>
              </w:rPr>
            </w:pPr>
            <w:hyperlink w:anchor="page18">
              <w:r>
                <w:rPr>
                  <w:rFonts w:ascii="Arial" w:cs="Arial" w:eastAsia="Arial" w:hAnsi="Arial"/>
                  <w:sz w:val="15"/>
                  <w:szCs w:val="15"/>
                  <w:color w:val="0000EE"/>
                  <w:w w:val="71"/>
                </w:rPr>
                <w:t>12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WARRANTS</w:t>
              </w:r>
            </w:hyperlink>
          </w:p>
        </w:tc>
        <w:tc>
          <w:tcPr>
            <w:tcW w:w="280" w:type="dxa"/>
            <w:vAlign w:val="bottom"/>
            <w:tcBorders>
              <w:left w:val="single" w:sz="8" w:color="CCEEFF"/>
            </w:tcBorders>
            <w:gridSpan w:val="2"/>
            <w:shd w:val="clear" w:color="auto" w:fill="CCEEFF"/>
          </w:tcPr>
          <w:p>
            <w:pPr>
              <w:jc w:val="right"/>
              <w:ind w:right="140"/>
              <w:spacing w:after="0"/>
              <w:rPr>
                <w:rFonts w:ascii="Arial" w:cs="Arial" w:eastAsia="Arial" w:hAnsi="Arial"/>
                <w:sz w:val="15"/>
                <w:szCs w:val="15"/>
                <w:color w:val="0000EE"/>
                <w:w w:val="71"/>
              </w:rPr>
            </w:pPr>
            <w:hyperlink w:anchor="page24">
              <w:r>
                <w:rPr>
                  <w:rFonts w:ascii="Arial" w:cs="Arial" w:eastAsia="Arial" w:hAnsi="Arial"/>
                  <w:sz w:val="15"/>
                  <w:szCs w:val="15"/>
                  <w:color w:val="0000EE"/>
                  <w:w w:val="71"/>
                </w:rPr>
                <w:t>18</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60" w:type="dxa"/>
            <w:vAlign w:val="bottom"/>
            <w:gridSpan w:val="10"/>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RIGHTS</w:t>
              </w:r>
            </w:hyperlink>
          </w:p>
        </w:tc>
        <w:tc>
          <w:tcPr>
            <w:tcW w:w="8660" w:type="dxa"/>
            <w:vAlign w:val="bottom"/>
            <w:gridSpan w:val="9"/>
          </w:tcPr>
          <w:p>
            <w:pPr>
              <w:spacing w:after="0"/>
              <w:rPr>
                <w:sz w:val="15"/>
                <w:szCs w:val="15"/>
                <w:color w:val="auto"/>
              </w:rPr>
            </w:pPr>
          </w:p>
        </w:tc>
        <w:tc>
          <w:tcPr>
            <w:tcW w:w="280" w:type="dxa"/>
            <w:vAlign w:val="bottom"/>
            <w:gridSpan w:val="2"/>
          </w:tcPr>
          <w:p>
            <w:pPr>
              <w:jc w:val="right"/>
              <w:ind w:right="140"/>
              <w:spacing w:after="0"/>
              <w:rPr>
                <w:rFonts w:ascii="Arial" w:cs="Arial" w:eastAsia="Arial" w:hAnsi="Arial"/>
                <w:sz w:val="15"/>
                <w:szCs w:val="15"/>
                <w:color w:val="0000EE"/>
                <w:w w:val="71"/>
              </w:rPr>
            </w:pPr>
            <w:hyperlink w:anchor="page25">
              <w:r>
                <w:rPr>
                  <w:rFonts w:ascii="Arial" w:cs="Arial" w:eastAsia="Arial" w:hAnsi="Arial"/>
                  <w:sz w:val="15"/>
                  <w:szCs w:val="15"/>
                  <w:color w:val="0000EE"/>
                  <w:w w:val="71"/>
                </w:rPr>
                <w:t>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UNITS</w:t>
              </w:r>
            </w:hyperlink>
          </w:p>
        </w:tc>
        <w:tc>
          <w:tcPr>
            <w:tcW w:w="280" w:type="dxa"/>
            <w:vAlign w:val="bottom"/>
            <w:tcBorders>
              <w:left w:val="single" w:sz="8" w:color="CCEEFF"/>
            </w:tcBorders>
            <w:gridSpan w:val="2"/>
            <w:shd w:val="clear" w:color="auto" w:fill="CCEEFF"/>
          </w:tcPr>
          <w:p>
            <w:pPr>
              <w:jc w:val="right"/>
              <w:ind w:right="140"/>
              <w:spacing w:after="0"/>
              <w:rPr>
                <w:rFonts w:ascii="Arial" w:cs="Arial" w:eastAsia="Arial" w:hAnsi="Arial"/>
                <w:sz w:val="15"/>
                <w:szCs w:val="15"/>
                <w:color w:val="0000EE"/>
                <w:w w:val="71"/>
              </w:rPr>
            </w:pPr>
            <w:hyperlink w:anchor="page27">
              <w:r>
                <w:rPr>
                  <w:rFonts w:ascii="Arial" w:cs="Arial" w:eastAsia="Arial" w:hAnsi="Arial"/>
                  <w:sz w:val="15"/>
                  <w:szCs w:val="15"/>
                  <w:color w:val="0000EE"/>
                  <w:w w:val="71"/>
                </w:rPr>
                <w:t>21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gridSpan w:val="19"/>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CERTAIN PROVISIONS OF DELAWARE LAW AND OF THE COMPANY’S CERTIFICATE OF INCORPORATION AND BYLAWS</w:t>
              </w:r>
            </w:hyperlink>
          </w:p>
        </w:tc>
        <w:tc>
          <w:tcPr>
            <w:tcW w:w="280" w:type="dxa"/>
            <w:vAlign w:val="bottom"/>
            <w:gridSpan w:val="2"/>
          </w:tcPr>
          <w:p>
            <w:pPr>
              <w:jc w:val="right"/>
              <w:ind w:right="140"/>
              <w:spacing w:after="0"/>
              <w:rPr>
                <w:rFonts w:ascii="Arial" w:cs="Arial" w:eastAsia="Arial" w:hAnsi="Arial"/>
                <w:sz w:val="15"/>
                <w:szCs w:val="15"/>
                <w:color w:val="0000EE"/>
                <w:w w:val="71"/>
              </w:rPr>
            </w:pPr>
            <w:hyperlink w:anchor="page28">
              <w:r>
                <w:rPr>
                  <w:rFonts w:ascii="Arial" w:cs="Arial" w:eastAsia="Arial" w:hAnsi="Arial"/>
                  <w:sz w:val="15"/>
                  <w:szCs w:val="15"/>
                  <w:color w:val="0000EE"/>
                  <w:w w:val="71"/>
                </w:rPr>
                <w:t>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62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280" w:type="dxa"/>
            <w:vAlign w:val="bottom"/>
            <w:tcBorders>
              <w:left w:val="single" w:sz="8" w:color="CCEEFF"/>
            </w:tcBorders>
            <w:gridSpan w:val="2"/>
            <w:shd w:val="clear" w:color="auto" w:fill="CCEEFF"/>
          </w:tcPr>
          <w:p>
            <w:pPr>
              <w:jc w:val="right"/>
              <w:ind w:right="140"/>
              <w:spacing w:after="0"/>
              <w:rPr>
                <w:rFonts w:ascii="Arial" w:cs="Arial" w:eastAsia="Arial" w:hAnsi="Arial"/>
                <w:sz w:val="15"/>
                <w:szCs w:val="15"/>
                <w:color w:val="0000EE"/>
                <w:w w:val="71"/>
              </w:rPr>
            </w:pPr>
            <w:hyperlink w:anchor="page30">
              <w:r>
                <w:rPr>
                  <w:rFonts w:ascii="Arial" w:cs="Arial" w:eastAsia="Arial" w:hAnsi="Arial"/>
                  <w:sz w:val="15"/>
                  <w:szCs w:val="15"/>
                  <w:color w:val="0000EE"/>
                  <w:w w:val="71"/>
                </w:rPr>
                <w:t>24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40" w:type="dxa"/>
            <w:vAlign w:val="bottom"/>
            <w:gridSpan w:val="3"/>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9680" w:type="dxa"/>
            <w:vAlign w:val="bottom"/>
            <w:gridSpan w:val="16"/>
          </w:tcPr>
          <w:p>
            <w:pPr>
              <w:spacing w:after="0"/>
              <w:rPr>
                <w:sz w:val="15"/>
                <w:szCs w:val="15"/>
                <w:color w:val="auto"/>
              </w:rPr>
            </w:pPr>
          </w:p>
        </w:tc>
        <w:tc>
          <w:tcPr>
            <w:tcW w:w="280" w:type="dxa"/>
            <w:vAlign w:val="bottom"/>
            <w:gridSpan w:val="2"/>
          </w:tcPr>
          <w:p>
            <w:pPr>
              <w:jc w:val="right"/>
              <w:ind w:right="140"/>
              <w:spacing w:after="0"/>
              <w:rPr>
                <w:rFonts w:ascii="Arial" w:cs="Arial" w:eastAsia="Arial" w:hAnsi="Arial"/>
                <w:sz w:val="15"/>
                <w:szCs w:val="15"/>
                <w:color w:val="0000EE"/>
                <w:w w:val="71"/>
              </w:rPr>
            </w:pPr>
            <w:hyperlink w:anchor="page30">
              <w:r>
                <w:rPr>
                  <w:rFonts w:ascii="Arial" w:cs="Arial" w:eastAsia="Arial" w:hAnsi="Arial"/>
                  <w:sz w:val="15"/>
                  <w:szCs w:val="15"/>
                  <w:color w:val="0000EE"/>
                  <w:w w:val="71"/>
                </w:rPr>
                <w:t>24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tcBorders>
              <w:right w:val="single" w:sz="8" w:color="CCEEFF"/>
            </w:tcBorders>
            <w:gridSpan w:val="19"/>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WHERE YOU CAN FIND MORE INFORMATION</w:t>
              </w:r>
            </w:hyperlink>
          </w:p>
        </w:tc>
        <w:tc>
          <w:tcPr>
            <w:tcW w:w="280" w:type="dxa"/>
            <w:vAlign w:val="bottom"/>
            <w:tcBorders>
              <w:left w:val="single" w:sz="8" w:color="CCEEFF"/>
            </w:tcBorders>
            <w:gridSpan w:val="2"/>
            <w:shd w:val="clear" w:color="auto" w:fill="CCEEFF"/>
          </w:tcPr>
          <w:p>
            <w:pPr>
              <w:jc w:val="right"/>
              <w:ind w:right="140"/>
              <w:spacing w:after="0"/>
              <w:rPr>
                <w:rFonts w:ascii="Arial" w:cs="Arial" w:eastAsia="Arial" w:hAnsi="Arial"/>
                <w:sz w:val="15"/>
                <w:szCs w:val="15"/>
                <w:color w:val="0000EE"/>
                <w:w w:val="71"/>
              </w:rPr>
            </w:pPr>
            <w:hyperlink w:anchor="page30">
              <w:r>
                <w:rPr>
                  <w:rFonts w:ascii="Arial" w:cs="Arial" w:eastAsia="Arial" w:hAnsi="Arial"/>
                  <w:sz w:val="15"/>
                  <w:szCs w:val="15"/>
                  <w:color w:val="0000EE"/>
                  <w:w w:val="71"/>
                </w:rPr>
                <w:t>24</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120" w:type="dxa"/>
            <w:vAlign w:val="bottom"/>
            <w:gridSpan w:val="19"/>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INCORPORATION OF DOCUMENTS BY REFERENCE</w:t>
              </w:r>
            </w:hyperlink>
          </w:p>
        </w:tc>
        <w:tc>
          <w:tcPr>
            <w:tcW w:w="280" w:type="dxa"/>
            <w:vAlign w:val="bottom"/>
            <w:gridSpan w:val="2"/>
          </w:tcPr>
          <w:p>
            <w:pPr>
              <w:jc w:val="right"/>
              <w:ind w:right="140"/>
              <w:spacing w:after="0"/>
              <w:rPr>
                <w:rFonts w:ascii="Arial" w:cs="Arial" w:eastAsia="Arial" w:hAnsi="Arial"/>
                <w:sz w:val="15"/>
                <w:szCs w:val="15"/>
                <w:color w:val="0000EE"/>
                <w:w w:val="71"/>
              </w:rPr>
            </w:pPr>
            <w:hyperlink w:anchor="page30">
              <w:r>
                <w:rPr>
                  <w:rFonts w:ascii="Arial" w:cs="Arial" w:eastAsia="Arial" w:hAnsi="Arial"/>
                  <w:sz w:val="15"/>
                  <w:szCs w:val="15"/>
                  <w:color w:val="0000EE"/>
                  <w:w w:val="71"/>
                </w:rPr>
                <w:t>24</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18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XpresSpa Group, Inc., together with its subsidiaries.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5818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818505"/>
                    </a:xfrm>
                    <a:prstGeom prst="rect">
                      <a:avLst/>
                    </a:prstGeom>
                    <a:noFill/>
                  </pic:spPr>
                </pic:pic>
              </a:graphicData>
            </a:graphic>
          </wp:anchor>
        </w:drawing>
        <w:t>PROSPECTUS SUMMARY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56 locations, consisting of 51 domestic and 5 international locations as of December 31, 2018.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own certain patent portfolios, which we look to monetize through sales and licensing agreements. During the year ended December 31, 2018, we determined that our intellectual property operating segment will no longer be an area of focus for us and, as such, will no longer be reflected as a separate operating segment, as it is not expected to generate any material revenues or operating costs.</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420"/>
        <w:spacing w:after="0" w:line="228"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We also operate the website</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1134"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w:t>
      </w:r>
      <w:hyperlink r:id="rId24">
        <w:r>
          <w:rPr>
            <w:rFonts w:ascii="Arial" w:cs="Arial" w:eastAsia="Arial" w:hAnsi="Arial"/>
            <w:sz w:val="16"/>
            <w:szCs w:val="16"/>
            <w:u w:val="single" w:color="auto"/>
            <w:color w:val="0000EE"/>
          </w:rPr>
          <w:t>most recent annual report on Form 10-K</w:t>
        </w:r>
      </w:hyperlink>
      <w:r>
        <w:rPr>
          <w:rFonts w:ascii="Arial" w:cs="Arial" w:eastAsia="Arial" w:hAnsi="Arial"/>
          <w:sz w:val="16"/>
          <w:szCs w:val="16"/>
          <w:color w:val="auto"/>
        </w:rPr>
        <w:t xml:space="preserve">, as revised or supplemented by our subsequent </w:t>
      </w:r>
      <w:hyperlink r:id="rId25">
        <w:r>
          <w:rPr>
            <w:rFonts w:ascii="Arial" w:cs="Arial" w:eastAsia="Arial" w:hAnsi="Arial"/>
            <w:sz w:val="16"/>
            <w:szCs w:val="16"/>
            <w:u w:val="single" w:color="auto"/>
            <w:color w:val="0000EE"/>
          </w:rPr>
          <w:t>quarterly reports on Form 10-Q</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or our </w:t>
      </w:r>
      <w:hyperlink r:id="rId26">
        <w:r>
          <w:rPr>
            <w:rFonts w:ascii="Arial" w:cs="Arial" w:eastAsia="Arial" w:hAnsi="Arial"/>
            <w:sz w:val="16"/>
            <w:szCs w:val="16"/>
            <w:u w:val="single" w:color="auto"/>
            <w:color w:val="0000EE"/>
          </w:rPr>
          <w:t>current reports on Form 8-K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383"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spacing w:after="0" w:line="286" w:lineRule="auto"/>
        <w:rPr>
          <w:rFonts w:ascii="Arial" w:cs="Arial" w:eastAsia="Arial" w:hAnsi="Arial"/>
          <w:sz w:val="16"/>
          <w:szCs w:val="16"/>
          <w:color w:val="0000EE"/>
        </w:rPr>
      </w:pPr>
      <w:r>
        <w:rPr>
          <w:rFonts w:ascii="Arial" w:cs="Arial" w:eastAsia="Arial" w:hAnsi="Arial"/>
          <w:sz w:val="16"/>
          <w:szCs w:val="16"/>
          <w:color w:val="auto"/>
        </w:rPr>
        <w:t xml:space="preserve">This prospectus and the documents incorporated by reference in this prospectus include forward-looking statements within the meaning of Section 27A of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w:t>
      </w:r>
      <w:hyperlink r:id="rId24">
        <w:r>
          <w:rPr>
            <w:rFonts w:ascii="Arial" w:cs="Arial" w:eastAsia="Arial" w:hAnsi="Arial"/>
            <w:sz w:val="16"/>
            <w:szCs w:val="16"/>
            <w:color w:val="auto"/>
          </w:rPr>
          <w:t xml:space="preserve">achievements expressed or implied by these forward-looking statements, to differ. The sections in our periodic reports, including our </w:t>
        </w:r>
        <w:r>
          <w:rPr>
            <w:rFonts w:ascii="Arial" w:cs="Arial" w:eastAsia="Arial" w:hAnsi="Arial"/>
            <w:sz w:val="16"/>
            <w:szCs w:val="16"/>
            <w:u w:val="single" w:color="auto"/>
            <w:color w:val="0000EE"/>
          </w:rPr>
          <w:t>Annual Report on Form</w:t>
        </w:r>
      </w:hyperlink>
      <w:r>
        <w:rPr>
          <w:rFonts w:ascii="Arial" w:cs="Arial" w:eastAsia="Arial" w:hAnsi="Arial"/>
          <w:sz w:val="16"/>
          <w:szCs w:val="16"/>
          <w:color w:val="auto"/>
        </w:rPr>
        <w:t xml:space="preserve"> </w:t>
      </w:r>
      <w:hyperlink r:id="rId24">
        <w:r>
          <w:rPr>
            <w:rFonts w:ascii="Arial" w:cs="Arial" w:eastAsia="Arial" w:hAnsi="Arial"/>
            <w:sz w:val="16"/>
            <w:szCs w:val="16"/>
            <w:u w:val="single" w:color="auto"/>
            <w:color w:val="0000EE"/>
          </w:rPr>
          <w:t>10-K for the fiscal year ended December 31, 2018</w:t>
        </w:r>
        <w:r>
          <w:rPr>
            <w:rFonts w:ascii="Arial" w:cs="Arial" w:eastAsia="Arial" w:hAnsi="Arial"/>
            <w:sz w:val="16"/>
            <w:szCs w:val="16"/>
            <w:color w:val="000000"/>
          </w:rPr>
          <w:t>, entitled “Business,” “Risk Factors,” and “Management’s Discussion and Analysis of Financial Condition</w:t>
        </w:r>
      </w:hyperlink>
      <w:r>
        <w:rPr>
          <w:rFonts w:ascii="Arial" w:cs="Arial" w:eastAsia="Arial" w:hAnsi="Arial"/>
          <w:sz w:val="16"/>
          <w:szCs w:val="16"/>
          <w:color w:val="0000EE"/>
        </w:rPr>
        <w:t xml:space="preserve"> </w:t>
      </w:r>
      <w:r>
        <w:rPr>
          <w:rFonts w:ascii="Arial" w:cs="Arial" w:eastAsia="Arial" w:hAnsi="Arial"/>
          <w:sz w:val="16"/>
          <w:szCs w:val="16"/>
          <w:color w:val="000000"/>
        </w:rPr>
        <w:t>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9" w:name="page10"/>
    <w:bookmarkEnd w:id="9"/>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or an adverse change with regard to, one or more of our significant suppliers, distributors, vendors or other business relationships;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or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w:t>
      </w:r>
      <w:hyperlink r:id="rId24">
        <w:r>
          <w:rPr>
            <w:rFonts w:ascii="Arial" w:cs="Arial" w:eastAsia="Arial" w:hAnsi="Arial"/>
            <w:sz w:val="17"/>
            <w:szCs w:val="17"/>
            <w:u w:val="single" w:color="auto"/>
            <w:color w:val="0000EE"/>
          </w:rPr>
          <w:t>most recent annual report on Form 10-K</w:t>
        </w:r>
      </w:hyperlink>
      <w:r>
        <w:rPr>
          <w:rFonts w:ascii="Arial" w:cs="Arial" w:eastAsia="Arial" w:hAnsi="Arial"/>
          <w:sz w:val="17"/>
          <w:szCs w:val="17"/>
          <w:color w:val="auto"/>
        </w:rPr>
        <w:t xml:space="preserve">, as revised or supplemented by our subsequent </w:t>
      </w:r>
      <w:hyperlink r:id="rId25">
        <w:r>
          <w:rPr>
            <w:rFonts w:ascii="Arial" w:cs="Arial" w:eastAsia="Arial" w:hAnsi="Arial"/>
            <w:sz w:val="17"/>
            <w:szCs w:val="17"/>
            <w:u w:val="single" w:color="auto"/>
            <w:color w:val="0000EE"/>
          </w:rPr>
          <w:t>quarterly reports on Form 10-Q</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or our </w:t>
      </w:r>
      <w:hyperlink r:id="rId26">
        <w:r>
          <w:rPr>
            <w:rFonts w:ascii="Arial" w:cs="Arial" w:eastAsia="Arial" w:hAnsi="Arial"/>
            <w:sz w:val="17"/>
            <w:szCs w:val="17"/>
            <w:u w:val="single" w:color="auto"/>
            <w:color w:val="0000EE"/>
          </w:rPr>
          <w:t>current reports on Form 8-K</w:t>
        </w:r>
      </w:hyperlink>
      <w:r>
        <w:rPr>
          <w:rFonts w:ascii="Arial" w:cs="Arial" w:eastAsia="Arial" w:hAnsi="Arial"/>
          <w:sz w:val="17"/>
          <w:szCs w:val="17"/>
          <w:color w:val="auto"/>
        </w:rPr>
        <w:t>,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78" w:lineRule="exact"/>
        <w:rPr>
          <w:rFonts w:ascii="Arial" w:cs="Arial" w:eastAsia="Arial" w:hAnsi="Arial"/>
          <w:sz w:val="17"/>
          <w:szCs w:val="17"/>
          <w:color w:val="auto"/>
        </w:rPr>
      </w:pPr>
    </w:p>
    <w:p>
      <w:pPr>
        <w:ind w:right="40"/>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rFonts w:ascii="Arial" w:cs="Arial" w:eastAsia="Arial" w:hAnsi="Arial"/>
          <w:sz w:val="17"/>
          <w:szCs w:val="17"/>
          <w:color w:val="auto"/>
        </w:rPr>
      </w:pPr>
    </w:p>
    <w:p>
      <w:pPr>
        <w:spacing w:after="0" w:line="209"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3" w:name="page14"/>
    <w:bookmarkEnd w:id="13"/>
    <w:p>
      <w:pPr>
        <w:ind w:right="2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5" w:lineRule="exact"/>
        <w:rPr>
          <w:sz w:val="20"/>
          <w:szCs w:val="20"/>
          <w:color w:val="auto"/>
        </w:rPr>
      </w:pPr>
    </w:p>
    <w:p>
      <w:pPr>
        <w:ind w:left="660" w:right="5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authorized to issue 150,000,000 shares of common stock, par value $0.01 per share. As of July 12, 2019, we had 2,916,477 shares of common stock outstanding and approximately 49 stockholders of record.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any preferential rights of any then outstanding series of preferred stock. Holders of common stock have no preemptive, subscription, redemption or conversion rights. There are no redemption or sinking fund provisions applicable to the common stock. The voting, dividend and liquidation rights of holders of common stock are subject to and may be adversely affected by the rights of the holders of shares of our existing series of preferred stock or any series of preferred stock that we may designate and issue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amended and restated certificate of incorporation, as amended, authorizes us to issue 5,000,000 shares of preferred stock. As of July 12, 2019, we had:</w:t>
      </w:r>
    </w:p>
    <w:p>
      <w:pPr>
        <w:spacing w:after="0" w:line="24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designated and issued 6,968 shares of our preferred stock as “Series A Convertible Preferred Stock” with no shares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designated and issued 300,000 shares of our preferred stock as “Series C Junior Preferred Stock” with no shares outstanding;</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designated 500,000 shares of our preferred stock as “Series D Convertible Preferred Stock,” issued 23,760 shares of Series D Convertible Preferred Stock with 21,027 shares outstanding;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designated 2,397,060 shares of our preferred stock as “Series E Convertible Preferred Stock,” issued 48,387 shares of Series E Convertible Preferred Stock with 48,387 shares outstanding;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designated and issued 9,000 shares of our preferred stock as “Series F Convertible Preferred Stock” with 9,000 shares outstanding.</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an additional 1,786,972 shares of preferred stock in one or more series and to fix the rights, preferences, privileges and restrictions granted to or imposed upon the preferred stock. Any or all of these rights may be greater than the rights of our common stock.</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or all other preferences and relative, participating, optional or other special rights, privileges or qualifications, limitations or restrictions;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660" w:right="1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 w:name="page20"/>
    <w:bookmarkEnd w:id="19"/>
    <w:p>
      <w:pPr>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will periodically file statements with the applicable debenture trustee regarding our compliance with specified covenants in the applicable indenture.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580" w:right="660" w:hanging="248"/>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Each indenture provides that we can elect to be discharged from our obligations with respect to one or more series of debt securities, except for obligations to:</w:t>
      </w:r>
    </w:p>
    <w:p>
      <w:pPr>
        <w:spacing w:after="0" w:line="24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1" w:name="page22"/>
    <w:bookmarkEnd w:id="21"/>
    <w:p>
      <w:pPr>
        <w:ind w:right="4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10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right="10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jc w:val="both"/>
        <w:ind w:left="660" w:right="52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if any,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the common stock, preferred stock and/or debt securities will be separately transferable;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8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voting power of all outstanding stock. These provisions could discourage a potential acquirer from making a tender offer or otherwise attempting to obtain control of the Company and could delay changes in management.</w:t>
      </w:r>
    </w:p>
    <w:p>
      <w:pPr>
        <w:spacing w:after="0" w:line="20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 xml:space="preserve">Our amended and restated bylaws provide that a special meeting of stockholders may be called at any time by our board of directors. Because our stockholders do not have the right to call a special meeting, a stockholder cannot force stockholder consideration of a proposal over the opposition of our board of directors by calling a special meeting of stockholders prior to such time as a majority of our board of directors believes the matter should be considered and such stockholder would only be able to force consideration of such proposal at the next annual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requestor met the applicable notice requirements. The restriction on the ability of our stockholders to call a special meeting means that a proposal to replace one or more directors on our board of directors also could be delayed until the next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8" w:name="page29"/>
    <w:bookmarkEnd w:id="28"/>
    <w:p>
      <w:pPr>
        <w:spacing w:after="0" w:line="272" w:lineRule="auto"/>
        <w:rPr>
          <w:sz w:val="20"/>
          <w:szCs w:val="20"/>
          <w:color w:val="auto"/>
        </w:rPr>
      </w:pPr>
      <w:r>
        <w:rPr>
          <w:rFonts w:ascii="Arial" w:cs="Arial" w:eastAsia="Arial" w:hAnsi="Arial"/>
          <w:sz w:val="17"/>
          <w:szCs w:val="17"/>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to be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79" w:lineRule="auto"/>
        <w:rPr>
          <w:rFonts w:ascii="Arial" w:cs="Arial" w:eastAsia="Arial" w:hAnsi="Arial"/>
          <w:sz w:val="17"/>
          <w:szCs w:val="17"/>
          <w:color w:val="0000EE"/>
        </w:rPr>
      </w:pPr>
      <w:hyperlink r:id="rId24">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 the</w:t>
        </w:r>
      </w:hyperlink>
      <w:r>
        <w:rPr>
          <w:rFonts w:ascii="Arial" w:cs="Arial" w:eastAsia="Arial" w:hAnsi="Arial"/>
          <w:sz w:val="17"/>
          <w:szCs w:val="17"/>
          <w:color w:val="auto"/>
        </w:rPr>
        <w:t xml:space="preserve"> </w:t>
      </w:r>
      <w:hyperlink r:id="rId24">
        <w:r>
          <w:rPr>
            <w:rFonts w:ascii="Arial" w:cs="Arial" w:eastAsia="Arial" w:hAnsi="Arial"/>
            <w:sz w:val="17"/>
            <w:szCs w:val="17"/>
            <w:u w:val="single" w:color="auto"/>
            <w:color w:val="0000EE"/>
          </w:rPr>
          <w:t>year ended December 31, 2018</w:t>
        </w:r>
        <w:r>
          <w:rPr>
            <w:rFonts w:ascii="Arial" w:cs="Arial" w:eastAsia="Arial" w:hAnsi="Arial"/>
            <w:sz w:val="17"/>
            <w:szCs w:val="17"/>
            <w:color w:val="000000"/>
          </w:rPr>
          <w:t>, as set forth in their report (which includes an explanatory paragraph referring to the Company’s ability to continue as a going</w:t>
        </w:r>
      </w:hyperlink>
      <w:r>
        <w:rPr>
          <w:rFonts w:ascii="Arial" w:cs="Arial" w:eastAsia="Arial" w:hAnsi="Arial"/>
          <w:sz w:val="17"/>
          <w:szCs w:val="17"/>
          <w:color w:val="0000EE"/>
        </w:rPr>
        <w:t xml:space="preserve"> </w:t>
      </w:r>
      <w:r>
        <w:rPr>
          <w:rFonts w:ascii="Arial" w:cs="Arial" w:eastAsia="Arial" w:hAnsi="Arial"/>
          <w:sz w:val="17"/>
          <w:szCs w:val="17"/>
          <w:color w:val="000000"/>
        </w:rPr>
        <w:t>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800" w:hanging="33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800" w:hanging="333"/>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7"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0000EE"/>
        </w:rPr>
      </w:pPr>
      <w:hyperlink r:id="rId49">
        <w:r>
          <w:rPr>
            <w:rFonts w:ascii="Arial" w:cs="Arial" w:eastAsia="Arial" w:hAnsi="Arial"/>
            <w:sz w:val="18"/>
            <w:szCs w:val="18"/>
            <w:u w:val="single" w:color="auto"/>
            <w:color w:val="0000EE"/>
          </w:rPr>
          <w:t>Our Annual Report on Form 10-K for the year ended December 31, 2018, filed on April 1, 2019</w:t>
        </w:r>
        <w:r>
          <w:rPr>
            <w:rFonts w:ascii="Arial" w:cs="Arial" w:eastAsia="Arial" w:hAnsi="Arial"/>
            <w:sz w:val="18"/>
            <w:szCs w:val="18"/>
            <w:color w:val="000000"/>
          </w:rPr>
          <w:t>, as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amended on April 30, 2019 (File No. 001-</w:t>
        </w:r>
      </w:hyperlink>
      <w:hyperlink r:id="rId49">
        <w:r>
          <w:rPr>
            <w:rFonts w:ascii="Arial" w:cs="Arial" w:eastAsia="Arial" w:hAnsi="Arial"/>
            <w:sz w:val="18"/>
            <w:szCs w:val="18"/>
            <w:u w:val="single" w:color="auto"/>
            <w:color w:val="0000EE"/>
          </w:rPr>
          <w:t>34785)</w:t>
        </w:r>
        <w:r>
          <w:rPr>
            <w:rFonts w:ascii="Arial" w:cs="Arial" w:eastAsia="Arial" w:hAnsi="Arial"/>
            <w:sz w:val="18"/>
            <w:szCs w:val="18"/>
            <w:color w:val="000000"/>
          </w:rPr>
          <w:t>;</w:t>
        </w:r>
      </w:hyperlink>
    </w:p>
    <w:p>
      <w:pPr>
        <w:spacing w:after="0" w:line="387"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left="660" w:right="240" w:hanging="328"/>
        <w:spacing w:after="0" w:line="264" w:lineRule="auto"/>
        <w:tabs>
          <w:tab w:leader="none" w:pos="660" w:val="left"/>
        </w:tabs>
        <w:numPr>
          <w:ilvl w:val="0"/>
          <w:numId w:val="23"/>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51">
        <w:r>
          <w:rPr>
            <w:rFonts w:ascii="Arial" w:cs="Arial" w:eastAsia="Arial" w:hAnsi="Arial"/>
            <w:sz w:val="18"/>
            <w:szCs w:val="18"/>
            <w:u w:val="single" w:color="auto"/>
            <w:color w:val="0000EE"/>
          </w:rPr>
          <w:t>February 13, 2019</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EE"/>
          </w:rPr>
          <w:t>February 22, 2019</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March 22, 2019</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EE"/>
          </w:rPr>
          <w:t>April 30, 2019</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May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7">
        <w:r>
          <w:rPr>
            <w:rFonts w:ascii="Arial" w:cs="Arial" w:eastAsia="Arial" w:hAnsi="Arial"/>
            <w:sz w:val="18"/>
            <w:szCs w:val="18"/>
            <w:u w:val="single" w:color="auto"/>
            <w:color w:val="0000EE"/>
          </w:rPr>
          <w:t>June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8">
        <w:r>
          <w:rPr>
            <w:rFonts w:ascii="Arial" w:cs="Arial" w:eastAsia="Arial" w:hAnsi="Arial"/>
            <w:sz w:val="18"/>
            <w:szCs w:val="18"/>
            <w:u w:val="single" w:color="auto"/>
            <w:color w:val="0000EE"/>
          </w:rPr>
          <w:t xml:space="preserve">June 27,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59">
        <w:r>
          <w:rPr>
            <w:rFonts w:ascii="Arial" w:cs="Arial" w:eastAsia="Arial" w:hAnsi="Arial"/>
            <w:sz w:val="18"/>
            <w:szCs w:val="18"/>
            <w:u w:val="single" w:color="auto"/>
            <w:color w:val="0000EE"/>
          </w:rPr>
          <w:t xml:space="preserve">July 8, 2019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for the information furnished under Items 2.02 or 7.01 and the exhibits</w:t>
      </w:r>
      <w:r>
        <w:rPr>
          <w:rFonts w:ascii="Arial" w:cs="Arial" w:eastAsia="Arial" w:hAnsi="Arial"/>
          <w:sz w:val="18"/>
          <w:szCs w:val="18"/>
          <w:color w:val="0000EE"/>
        </w:rPr>
        <w:t xml:space="preserve"> </w:t>
      </w:r>
      <w:r>
        <w:rPr>
          <w:rFonts w:ascii="Arial" w:cs="Arial" w:eastAsia="Arial" w:hAnsi="Arial"/>
          <w:sz w:val="18"/>
          <w:szCs w:val="18"/>
          <w:color w:val="000000"/>
        </w:rPr>
        <w:t>furnished thereto);</w:t>
      </w:r>
    </w:p>
    <w:p>
      <w:pPr>
        <w:spacing w:after="0" w:line="181" w:lineRule="exact"/>
        <w:rPr>
          <w:rFonts w:ascii="Arial" w:cs="Arial" w:eastAsia="Arial" w:hAnsi="Arial"/>
          <w:sz w:val="18"/>
          <w:szCs w:val="18"/>
          <w:color w:val="0000EE"/>
        </w:rPr>
      </w:pPr>
    </w:p>
    <w:p>
      <w:pPr>
        <w:ind w:left="660" w:right="20" w:hanging="328"/>
        <w:spacing w:after="0" w:line="264" w:lineRule="auto"/>
        <w:tabs>
          <w:tab w:leader="none" w:pos="660" w:val="left"/>
        </w:tabs>
        <w:numPr>
          <w:ilvl w:val="0"/>
          <w:numId w:val="23"/>
        </w:numPr>
        <w:rPr>
          <w:rFonts w:ascii="Arial" w:cs="Arial" w:eastAsia="Arial" w:hAnsi="Arial"/>
          <w:sz w:val="18"/>
          <w:szCs w:val="18"/>
          <w:color w:val="0000EE"/>
        </w:rPr>
      </w:pPr>
      <w:hyperlink r:id="rId60">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 (File No. 001-34785)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29, 2013</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EE"/>
          </w:rPr>
          <w:t>(File No. 001-34785)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1">
        <w:r>
          <w:rPr>
            <w:rFonts w:ascii="Arial" w:cs="Arial" w:eastAsia="Arial" w:hAnsi="Arial"/>
            <w:sz w:val="18"/>
            <w:szCs w:val="18"/>
            <w:u w:val="single" w:color="auto"/>
            <w:color w:val="0000EE"/>
          </w:rPr>
          <w:t>June 16, 2010 (File No. 001-34785)</w:t>
        </w:r>
      </w:hyperlink>
      <w:hyperlink r:id="rId60">
        <w:r>
          <w:rPr>
            <w:rFonts w:ascii="Arial" w:cs="Arial" w:eastAsia="Arial" w:hAnsi="Arial"/>
            <w:sz w:val="18"/>
            <w:szCs w:val="18"/>
            <w:color w:val="000000"/>
          </w:rPr>
          <w:t>, pursuant to Section 12(b) of the Exchange Act, and any amendment or report filed</w:t>
        </w:r>
      </w:hyperlink>
      <w:r>
        <w:rPr>
          <w:rFonts w:ascii="Arial" w:cs="Arial" w:eastAsia="Arial" w:hAnsi="Arial"/>
          <w:sz w:val="18"/>
          <w:szCs w:val="18"/>
          <w:color w:val="0000EE"/>
        </w:rPr>
        <w:t xml:space="preserve"> </w:t>
      </w:r>
      <w:r>
        <w:rPr>
          <w:rFonts w:ascii="Arial" w:cs="Arial" w:eastAsia="Arial" w:hAnsi="Arial"/>
          <w:sz w:val="18"/>
          <w:szCs w:val="18"/>
          <w:color w:val="000000"/>
        </w:rPr>
        <w:t>with the SEC for purposes of updating such description; and</w:t>
      </w:r>
    </w:p>
    <w:p>
      <w:pPr>
        <w:spacing w:after="0" w:line="181" w:lineRule="exact"/>
        <w:rPr>
          <w:rFonts w:ascii="Arial" w:cs="Arial" w:eastAsia="Arial" w:hAnsi="Arial"/>
          <w:sz w:val="18"/>
          <w:szCs w:val="18"/>
          <w:color w:val="0000EE"/>
        </w:rPr>
      </w:pPr>
    </w:p>
    <w:p>
      <w:pPr>
        <w:ind w:left="660" w:right="220" w:hanging="328"/>
        <w:spacing w:after="0" w:line="28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6" w:lineRule="exact"/>
        <w:rPr>
          <w:rFonts w:ascii="Arial" w:cs="Arial" w:eastAsia="Arial" w:hAnsi="Arial"/>
          <w:sz w:val="18"/>
          <w:szCs w:val="18"/>
          <w:color w:val="0000EE"/>
        </w:rPr>
      </w:pPr>
    </w:p>
    <w:p>
      <w:pPr>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rFonts w:ascii="Arial" w:cs="Arial" w:eastAsia="Arial" w:hAnsi="Arial"/>
          <w:sz w:val="18"/>
          <w:szCs w:val="18"/>
          <w:color w:val="0000EE"/>
        </w:rPr>
      </w:pPr>
    </w:p>
    <w:p>
      <w:pPr>
        <w:ind w:right="60"/>
        <w:spacing w:after="0" w:line="342" w:lineRule="auto"/>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340" w:lineRule="exact"/>
        <w:rPr>
          <w:rFonts w:ascii="Arial" w:cs="Arial" w:eastAsia="Arial" w:hAnsi="Arial"/>
          <w:sz w:val="18"/>
          <w:szCs w:val="18"/>
          <w:color w:val="0000EE"/>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39"/>
          <w:szCs w:val="39"/>
          <w:b w:val="1"/>
          <w:bCs w:val="1"/>
          <w:color w:val="auto"/>
        </w:rPr>
        <w:t>XpresSpa, Inc.</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$50,000,000</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9"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60"/>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the Company’s estimates (other than the SEC registration fee) of the expenses in connection with the issuance and distribution of the securities being registered.</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Printing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*Fees depend on number of issuances and amount of securities sold and accordingly cannot be estimated at this time.</w:t>
      </w:r>
    </w:p>
    <w:p>
      <w:pPr>
        <w:spacing w:after="0" w:line="221" w:lineRule="exact"/>
        <w:rPr>
          <w:sz w:val="20"/>
          <w:szCs w:val="20"/>
          <w:color w:val="auto"/>
        </w:rPr>
      </w:pPr>
    </w:p>
    <w:p>
      <w:pPr>
        <w:ind w:left="180"/>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Section 102 of the General Corporation Law of the State of Delaware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Subsection (a) of Section 145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right="140"/>
        <w:spacing w:after="0" w:line="288" w:lineRule="auto"/>
        <w:rPr>
          <w:sz w:val="20"/>
          <w:szCs w:val="20"/>
          <w:color w:val="auto"/>
        </w:rPr>
      </w:pPr>
      <w:r>
        <w:rPr>
          <w:rFonts w:ascii="Arial" w:cs="Arial" w:eastAsia="Arial" w:hAnsi="Arial"/>
          <w:sz w:val="16"/>
          <w:szCs w:val="16"/>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w:t>
      </w: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under Section 174 of the DGCL (providing for liability of directors for unlawful payment of dividends or unlawful stock purchases or redemptions) or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as amended</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certificate of incorporation, as amended, provides that a director shall not be personally liable to the Company or its stockholders for monetary damages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16.</w:t>
            </w:r>
          </w:p>
        </w:tc>
        <w:tc>
          <w:tcPr>
            <w:tcW w:w="10260" w:type="dxa"/>
            <w:vAlign w:val="bottom"/>
            <w:gridSpan w:val="8"/>
          </w:tcPr>
          <w:p>
            <w:pPr>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(a) Exhibits.</w:t>
            </w:r>
          </w:p>
        </w:tc>
        <w:tc>
          <w:tcPr>
            <w:tcW w:w="2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20"/>
                <w:szCs w:val="20"/>
                <w:color w:val="auto"/>
              </w:rPr>
            </w:pPr>
          </w:p>
        </w:tc>
        <w:tc>
          <w:tcPr>
            <w:tcW w:w="10040" w:type="dxa"/>
            <w:vAlign w:val="bottom"/>
            <w:gridSpan w:val="7"/>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0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Form of Underwriting Agreement</w:t>
            </w:r>
          </w:p>
        </w:tc>
      </w:tr>
      <w:tr>
        <w:trPr>
          <w:trHeight w:val="377"/>
        </w:trPr>
        <w:tc>
          <w:tcPr>
            <w:tcW w:w="1160" w:type="dxa"/>
            <w:vAlign w:val="bottom"/>
            <w:gridSpan w:val="3"/>
          </w:tcPr>
          <w:p>
            <w:pPr>
              <w:spacing w:after="0"/>
              <w:rPr>
                <w:rFonts w:ascii="Arial" w:cs="Arial" w:eastAsia="Arial" w:hAnsi="Arial"/>
                <w:sz w:val="18"/>
                <w:szCs w:val="18"/>
                <w:color w:val="0000EE"/>
              </w:rPr>
            </w:pPr>
            <w:hyperlink r:id="rId66">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10040" w:type="dxa"/>
            <w:vAlign w:val="bottom"/>
            <w:gridSpan w:val="7"/>
          </w:tcPr>
          <w:p>
            <w:pPr>
              <w:spacing w:after="0"/>
              <w:rPr>
                <w:rFonts w:ascii="Arial" w:cs="Arial" w:eastAsia="Arial" w:hAnsi="Arial"/>
                <w:sz w:val="18"/>
                <w:szCs w:val="18"/>
                <w:color w:val="0000EE"/>
                <w:w w:val="98"/>
              </w:rPr>
            </w:pPr>
            <w:hyperlink r:id="rId66">
              <w:r>
                <w:rPr>
                  <w:rFonts w:ascii="Arial" w:cs="Arial" w:eastAsia="Arial" w:hAnsi="Arial"/>
                  <w:sz w:val="18"/>
                  <w:szCs w:val="18"/>
                  <w:color w:val="0000EE"/>
                  <w:w w:val="98"/>
                </w:rPr>
                <w:t>Agreement and Plan of Merger by and among FORM Holdings Corp., FHXMS, LLC, XpresSpa Holdings, LLC, the unitholders of</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7"/>
          </w:tcPr>
          <w:p>
            <w:pPr>
              <w:spacing w:after="0" w:line="19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XpresSpa who are parties thereto and Mistral XH Representative, LLC, as representative of the unitholders, dated as of August 8, 2016</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(incorporated by reference to Exhibit 2.1 to our Current Report on Form 8-K filed with the SEC on August 8, 2016)</w:t>
              </w:r>
            </w:hyperlink>
          </w:p>
        </w:tc>
        <w:tc>
          <w:tcPr>
            <w:tcW w:w="300" w:type="dxa"/>
            <w:vAlign w:val="bottom"/>
            <w:gridSpan w:val="2"/>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67">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220" w:type="dxa"/>
            <w:vAlign w:val="bottom"/>
          </w:tcPr>
          <w:p>
            <w:pPr>
              <w:spacing w:after="0"/>
              <w:rPr>
                <w:sz w:val="24"/>
                <w:szCs w:val="24"/>
                <w:color w:val="auto"/>
              </w:rPr>
            </w:pPr>
          </w:p>
        </w:tc>
        <w:tc>
          <w:tcPr>
            <w:tcW w:w="10040" w:type="dxa"/>
            <w:vAlign w:val="bottom"/>
            <w:gridSpan w:val="7"/>
          </w:tcPr>
          <w:p>
            <w:pPr>
              <w:spacing w:after="0"/>
              <w:rPr>
                <w:rFonts w:ascii="Arial" w:cs="Arial" w:eastAsia="Arial" w:hAnsi="Arial"/>
                <w:sz w:val="18"/>
                <w:szCs w:val="18"/>
                <w:color w:val="0000EE"/>
                <w:w w:val="93"/>
              </w:rPr>
            </w:pPr>
            <w:hyperlink r:id="rId67">
              <w:r>
                <w:rPr>
                  <w:rFonts w:ascii="Arial" w:cs="Arial" w:eastAsia="Arial" w:hAnsi="Arial"/>
                  <w:sz w:val="18"/>
                  <w:szCs w:val="18"/>
                  <w:color w:val="0000EE"/>
                  <w:w w:val="93"/>
                </w:rPr>
                <w:t>Amendment No. 1 to Agreement and Plan of Merger by and among FORM Holdings Corp., FHXMS, LLC, XpresSpa Holdings, LLC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5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Mistral XH Representative, LLC, as representative of the unitholders, dated September 8, 2016 (incorporated by reference to Exhibit 2.1 to</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7"/>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our Current Report on Form 8-K filed with the SEC on September 9, 2016)</w:t>
              </w:r>
            </w:hyperlink>
          </w:p>
        </w:tc>
      </w:tr>
      <w:tr>
        <w:trPr>
          <w:trHeight w:val="20"/>
        </w:trPr>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r:id="rId68">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220" w:type="dxa"/>
            <w:vAlign w:val="bottom"/>
          </w:tcPr>
          <w:p>
            <w:pPr>
              <w:spacing w:after="0"/>
              <w:rPr>
                <w:sz w:val="24"/>
                <w:szCs w:val="24"/>
                <w:color w:val="auto"/>
              </w:rPr>
            </w:pPr>
          </w:p>
        </w:tc>
        <w:tc>
          <w:tcPr>
            <w:tcW w:w="10040" w:type="dxa"/>
            <w:vAlign w:val="bottom"/>
            <w:gridSpan w:val="7"/>
          </w:tcPr>
          <w:p>
            <w:pPr>
              <w:spacing w:after="0"/>
              <w:rPr>
                <w:rFonts w:ascii="Arial" w:cs="Arial" w:eastAsia="Arial" w:hAnsi="Arial"/>
                <w:sz w:val="18"/>
                <w:szCs w:val="18"/>
                <w:color w:val="0000EE"/>
                <w:w w:val="93"/>
              </w:rPr>
            </w:pPr>
            <w:hyperlink r:id="rId68">
              <w:r>
                <w:rPr>
                  <w:rFonts w:ascii="Arial" w:cs="Arial" w:eastAsia="Arial" w:hAnsi="Arial"/>
                  <w:sz w:val="18"/>
                  <w:szCs w:val="18"/>
                  <w:color w:val="0000EE"/>
                  <w:w w:val="93"/>
                </w:rPr>
                <w:t>Amendment No. 2 to Agreement and Plan of Merger by and among FORM Holdings Corp., FHXMS, LLC, XpresSpa Holdings, LLC and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Mistral XH Representative, LLC, as representative of the unitholders, dated October 25, 2016 (incorporated by reference to Exhibit 2.1 to</w:t>
              </w:r>
            </w:hyperlink>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7"/>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our Current Report on Form 8-K filed with the SEC on October 25, 2016)</w:t>
              </w:r>
            </w:hyperlink>
          </w:p>
        </w:tc>
      </w:tr>
      <w:tr>
        <w:trPr>
          <w:trHeight w:val="669"/>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20" w:type="dxa"/>
            <w:vAlign w:val="bottom"/>
            <w:tcBorders>
              <w:top w:val="single" w:sz="8" w:color="0000EE"/>
              <w:bottom w:val="single" w:sz="8" w:color="auto"/>
            </w:tcBorders>
          </w:tcPr>
          <w:p>
            <w:pPr>
              <w:ind w:left="4160"/>
              <w:spacing w:after="0"/>
              <w:rPr>
                <w:sz w:val="20"/>
                <w:szCs w:val="20"/>
                <w:color w:val="auto"/>
              </w:rPr>
            </w:pPr>
            <w:r>
              <w:rPr>
                <w:rFonts w:ascii="Arial" w:cs="Arial" w:eastAsia="Arial" w:hAnsi="Arial"/>
                <w:sz w:val="18"/>
                <w:szCs w:val="18"/>
                <w:color w:val="auto"/>
              </w:rPr>
              <w:t>II - 2</w:t>
            </w:r>
          </w:p>
        </w:tc>
        <w:tc>
          <w:tcPr>
            <w:tcW w:w="4720" w:type="dxa"/>
            <w:vAlign w:val="bottom"/>
            <w:tcBorders>
              <w:bottom w:val="single" w:sz="8" w:color="auto"/>
            </w:tcBorders>
            <w:gridSpan w:val="6"/>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6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140" w:type="dxa"/>
            <w:vAlign w:val="bottom"/>
          </w:tcPr>
          <w:p>
            <w:pPr>
              <w:spacing w:after="0"/>
              <w:rPr>
                <w:sz w:val="17"/>
                <w:szCs w:val="17"/>
                <w:color w:val="auto"/>
              </w:rPr>
            </w:pPr>
          </w:p>
        </w:tc>
        <w:tc>
          <w:tcPr>
            <w:tcW w:w="9880" w:type="dxa"/>
            <w:vAlign w:val="bottom"/>
            <w:tcBorders>
              <w:bottom w:val="single" w:sz="8" w:color="0000EE"/>
            </w:tcBorders>
            <w:gridSpan w:val="22"/>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Amended and Restated Certificate of Incorporation, as amended (incorporated by reference to Exhibit 3.1 to our Annual Report on Form</w:t>
              </w:r>
            </w:hyperlink>
          </w:p>
        </w:tc>
        <w:tc>
          <w:tcPr>
            <w:tcW w:w="120" w:type="dxa"/>
            <w:vAlign w:val="bottom"/>
            <w:gridSpan w:val="6"/>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6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r:id="rId69">
              <w:r>
                <w:rPr>
                  <w:rFonts w:ascii="Arial" w:cs="Arial" w:eastAsia="Arial" w:hAnsi="Arial"/>
                  <w:sz w:val="18"/>
                  <w:szCs w:val="18"/>
                  <w:color w:val="0000EE"/>
                  <w:w w:val="94"/>
                </w:rPr>
                <w:t>10-K filed with the SEC on April 1, 2019)</w:t>
              </w:r>
            </w:hyperlink>
          </w:p>
        </w:tc>
        <w:tc>
          <w:tcPr>
            <w:tcW w:w="6940" w:type="dxa"/>
            <w:vAlign w:val="bottom"/>
            <w:gridSpan w:val="26"/>
          </w:tcPr>
          <w:p>
            <w:pPr>
              <w:spacing w:after="0"/>
              <w:rPr>
                <w:sz w:val="17"/>
                <w:szCs w:val="17"/>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1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Amended and Restated Bylaws (incorporated by reference to Exhibit 3.2 to our Annual Report on Form 10-K filed with the SEC on April</w:t>
              </w:r>
            </w:hyperlink>
          </w:p>
        </w:tc>
      </w:tr>
      <w:tr>
        <w:trPr>
          <w:trHeight w:val="196"/>
        </w:trPr>
        <w:tc>
          <w:tcPr>
            <w:tcW w:w="24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70">
              <w:r>
                <w:rPr>
                  <w:rFonts w:ascii="Arial" w:cs="Arial" w:eastAsia="Arial" w:hAnsi="Arial"/>
                  <w:sz w:val="18"/>
                  <w:szCs w:val="18"/>
                  <w:color w:val="0000EE"/>
                  <w:w w:val="87"/>
                </w:rPr>
                <w:t>1, 2019)</w:t>
              </w:r>
            </w:hyperlink>
          </w:p>
        </w:tc>
        <w:tc>
          <w:tcPr>
            <w:tcW w:w="246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11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EE"/>
                <w:w w:val="95"/>
              </w:rPr>
            </w:pPr>
            <w:hyperlink r:id="rId71">
              <w:r>
                <w:rPr>
                  <w:rFonts w:ascii="Arial" w:cs="Arial" w:eastAsia="Arial" w:hAnsi="Arial"/>
                  <w:sz w:val="18"/>
                  <w:szCs w:val="18"/>
                  <w:color w:val="0000EE"/>
                  <w:w w:val="95"/>
                </w:rPr>
                <w:t>Certificate of Designation of Series C Junior Participating Preferred Stock (incorporated by reference from Exhibit 3.1 to our Current</w:t>
              </w:r>
            </w:hyperlink>
          </w:p>
        </w:tc>
      </w:tr>
      <w:tr>
        <w:trPr>
          <w:trHeight w:val="196"/>
        </w:trPr>
        <w:tc>
          <w:tcPr>
            <w:tcW w:w="24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71">
              <w:r>
                <w:rPr>
                  <w:rFonts w:ascii="Arial" w:cs="Arial" w:eastAsia="Arial" w:hAnsi="Arial"/>
                  <w:sz w:val="18"/>
                  <w:szCs w:val="18"/>
                  <w:color w:val="0000EE"/>
                  <w:w w:val="92"/>
                </w:rPr>
                <w:t>Report on Form 8-K filed with the SEC on March 21, 2016)</w:t>
              </w:r>
            </w:hyperlink>
          </w:p>
        </w:tc>
        <w:tc>
          <w:tcPr>
            <w:tcW w:w="5260" w:type="dxa"/>
            <w:vAlign w:val="bottom"/>
            <w:tcBorders>
              <w:top w:val="single" w:sz="8" w:color="0000EE"/>
            </w:tcBorders>
            <w:gridSpan w:val="13"/>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1140" w:type="dxa"/>
            <w:vAlign w:val="bottom"/>
          </w:tcPr>
          <w:p>
            <w:pPr>
              <w:spacing w:after="0"/>
              <w:rPr>
                <w:sz w:val="24"/>
                <w:szCs w:val="24"/>
                <w:color w:val="auto"/>
              </w:rPr>
            </w:pPr>
          </w:p>
        </w:tc>
        <w:tc>
          <w:tcPr>
            <w:tcW w:w="9760" w:type="dxa"/>
            <w:vAlign w:val="bottom"/>
            <w:tcBorders>
              <w:bottom w:val="single" w:sz="8" w:color="0000EE"/>
            </w:tcBorders>
            <w:gridSpan w:val="20"/>
          </w:tcPr>
          <w:p>
            <w:pPr>
              <w:spacing w:after="0"/>
              <w:rPr>
                <w:rFonts w:ascii="Arial" w:cs="Arial" w:eastAsia="Arial" w:hAnsi="Arial"/>
                <w:sz w:val="18"/>
                <w:szCs w:val="18"/>
                <w:color w:val="0000EE"/>
                <w:w w:val="91"/>
              </w:rPr>
            </w:pPr>
            <w:hyperlink r:id="rId72">
              <w:r>
                <w:rPr>
                  <w:rFonts w:ascii="Arial" w:cs="Arial" w:eastAsia="Arial" w:hAnsi="Arial"/>
                  <w:sz w:val="18"/>
                  <w:szCs w:val="18"/>
                  <w:color w:val="0000EE"/>
                  <w:w w:val="91"/>
                </w:rPr>
                <w:t>Certificate of Designation of Preferences, Rights and Limitations of Series D Convertible Preferred Stock (incorporated by reference to</w:t>
              </w:r>
            </w:hyperlink>
          </w:p>
        </w:tc>
        <w:tc>
          <w:tcPr>
            <w:tcW w:w="240" w:type="dxa"/>
            <w:vAlign w:val="bottom"/>
            <w:gridSpan w:val="8"/>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5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Exhibit 3.1 to our Current Report on Form 8-K filed with the SEC on December 23, 2016)</w:t>
              </w:r>
            </w:hyperlink>
          </w:p>
        </w:tc>
        <w:tc>
          <w:tcPr>
            <w:tcW w:w="3480" w:type="dxa"/>
            <w:vAlign w:val="bottom"/>
            <w:gridSpan w:val="21"/>
          </w:tcPr>
          <w:p>
            <w:pPr>
              <w:spacing w:after="0"/>
              <w:rPr>
                <w:sz w:val="17"/>
                <w:szCs w:val="17"/>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1140" w:type="dxa"/>
            <w:vAlign w:val="bottom"/>
          </w:tcPr>
          <w:p>
            <w:pPr>
              <w:spacing w:after="0"/>
              <w:rPr>
                <w:sz w:val="24"/>
                <w:szCs w:val="24"/>
                <w:color w:val="auto"/>
              </w:rPr>
            </w:pPr>
          </w:p>
        </w:tc>
        <w:tc>
          <w:tcPr>
            <w:tcW w:w="9120" w:type="dxa"/>
            <w:vAlign w:val="bottom"/>
            <w:tcBorders>
              <w:bottom w:val="single" w:sz="8" w:color="0000EE"/>
            </w:tcBorders>
            <w:gridSpan w:val="11"/>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Amendment to the Certificate of Designation, Preferences, Rights and Limitations of the Series D Convertible Preferred Stock</w:t>
              </w:r>
            </w:hyperlink>
          </w:p>
        </w:tc>
        <w:tc>
          <w:tcPr>
            <w:tcW w:w="880" w:type="dxa"/>
            <w:vAlign w:val="bottom"/>
            <w:gridSpan w:val="17"/>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(incorporated by reference to Exhibit 3.2 to our Current Report on Form 8-K filed with the SEC on July 8, 2019)</w:t>
              </w:r>
            </w:hyperlink>
          </w:p>
        </w:tc>
      </w:tr>
      <w:tr>
        <w:trPr>
          <w:trHeight w:val="20"/>
        </w:trPr>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7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1140" w:type="dxa"/>
            <w:vAlign w:val="bottom"/>
          </w:tcPr>
          <w:p>
            <w:pPr>
              <w:spacing w:after="0"/>
              <w:rPr>
                <w:sz w:val="24"/>
                <w:szCs w:val="24"/>
                <w:color w:val="auto"/>
              </w:rPr>
            </w:pPr>
          </w:p>
        </w:tc>
        <w:tc>
          <w:tcPr>
            <w:tcW w:w="9740" w:type="dxa"/>
            <w:vAlign w:val="bottom"/>
            <w:tcBorders>
              <w:bottom w:val="single" w:sz="8" w:color="0000EE"/>
            </w:tcBorders>
            <w:gridSpan w:val="19"/>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Certificate of Designation of Preferences, Rights and Limitations of Series E Convertible Preferred Stock (incorporated by reference to</w:t>
              </w:r>
            </w:hyperlink>
          </w:p>
        </w:tc>
        <w:tc>
          <w:tcPr>
            <w:tcW w:w="260" w:type="dxa"/>
            <w:vAlign w:val="bottom"/>
            <w:gridSpan w:val="9"/>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Exhibit 3.1 to our Quarterly Report on Form 10-Q filed with the SEC on November 14, 2018)</w:t>
              </w:r>
            </w:hyperlink>
          </w:p>
        </w:tc>
      </w:tr>
      <w:tr>
        <w:trPr>
          <w:trHeight w:val="20"/>
        </w:trPr>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7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7</w:t>
              </w:r>
            </w:hyperlink>
          </w:p>
        </w:tc>
        <w:tc>
          <w:tcPr>
            <w:tcW w:w="1140" w:type="dxa"/>
            <w:vAlign w:val="bottom"/>
          </w:tcPr>
          <w:p>
            <w:pPr>
              <w:spacing w:after="0"/>
              <w:rPr>
                <w:sz w:val="24"/>
                <w:szCs w:val="24"/>
                <w:color w:val="auto"/>
              </w:rPr>
            </w:pPr>
          </w:p>
        </w:tc>
        <w:tc>
          <w:tcPr>
            <w:tcW w:w="9980" w:type="dxa"/>
            <w:vAlign w:val="bottom"/>
            <w:tcBorders>
              <w:bottom w:val="single" w:sz="8" w:color="0000EE"/>
            </w:tcBorders>
            <w:gridSpan w:val="27"/>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Amendment to the Certificate of Designation, Preferences, Rights and Limitations of the Series E Convertible Preferred Stock, dated as of</w:t>
              </w:r>
            </w:hyperlink>
          </w:p>
        </w:tc>
        <w:tc>
          <w:tcPr>
            <w:tcW w:w="2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July 8, 2019 (incorporated by reference to Exhibit 3.1 to our Current Report on Form 8-K filed with the SEC on July 8, 2019)</w:t>
              </w:r>
            </w:hyperlink>
          </w:p>
        </w:tc>
        <w:tc>
          <w:tcPr>
            <w:tcW w:w="940" w:type="dxa"/>
            <w:vAlign w:val="bottom"/>
            <w:gridSpan w:val="18"/>
          </w:tcPr>
          <w:p>
            <w:pPr>
              <w:spacing w:after="0"/>
              <w:rPr>
                <w:sz w:val="17"/>
                <w:szCs w:val="17"/>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7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8</w:t>
              </w:r>
            </w:hyperlink>
          </w:p>
        </w:tc>
        <w:tc>
          <w:tcPr>
            <w:tcW w:w="1140" w:type="dxa"/>
            <w:vAlign w:val="bottom"/>
          </w:tcPr>
          <w:p>
            <w:pPr>
              <w:spacing w:after="0"/>
              <w:rPr>
                <w:sz w:val="24"/>
                <w:szCs w:val="24"/>
                <w:color w:val="auto"/>
              </w:rPr>
            </w:pPr>
          </w:p>
        </w:tc>
        <w:tc>
          <w:tcPr>
            <w:tcW w:w="9500" w:type="dxa"/>
            <w:vAlign w:val="bottom"/>
            <w:tcBorders>
              <w:bottom w:val="single" w:sz="8" w:color="0000EE"/>
            </w:tcBorders>
            <w:gridSpan w:val="14"/>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Certificate of Designation, Preferences, Rights and Limitations of the Series F Convertible Preferred Stock, dated as of July 8, 2019</w:t>
              </w:r>
            </w:hyperlink>
          </w:p>
        </w:tc>
        <w:tc>
          <w:tcPr>
            <w:tcW w:w="500" w:type="dxa"/>
            <w:vAlign w:val="bottom"/>
            <w:gridSpan w:val="14"/>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(incorporated by reference to Exhibit 3.3 to our Current Report on Form 8-K filed with the SEC on July 8, 2019)</w:t>
              </w:r>
            </w:hyperlink>
          </w:p>
        </w:tc>
      </w:tr>
      <w:tr>
        <w:trPr>
          <w:trHeight w:val="20"/>
        </w:trPr>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7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9</w:t>
              </w:r>
            </w:hyperlink>
          </w:p>
        </w:tc>
        <w:tc>
          <w:tcPr>
            <w:tcW w:w="1140" w:type="dxa"/>
            <w:vAlign w:val="bottom"/>
          </w:tcPr>
          <w:p>
            <w:pPr>
              <w:spacing w:after="0"/>
              <w:rPr>
                <w:sz w:val="24"/>
                <w:szCs w:val="24"/>
                <w:color w:val="auto"/>
              </w:rPr>
            </w:pPr>
          </w:p>
        </w:tc>
        <w:tc>
          <w:tcPr>
            <w:tcW w:w="10000" w:type="dxa"/>
            <w:vAlign w:val="bottom"/>
            <w:tcBorders>
              <w:bottom w:val="single" w:sz="8" w:color="0000EE"/>
            </w:tcBorders>
            <w:gridSpan w:val="28"/>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Certificate of Elimination of Shares of Series B Convertible Preferred Stock, dated as of July 8, 2019 (incorporated by reference to Exhibit</w:t>
              </w:r>
            </w:hyperlink>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3.</w:t>
              </w:r>
              <w:r>
                <w:rPr>
                  <w:rFonts w:ascii="Arial" w:cs="Arial" w:eastAsia="Arial" w:hAnsi="Arial"/>
                  <w:sz w:val="18"/>
                  <w:szCs w:val="18"/>
                  <w:u w:val="single" w:color="auto"/>
                  <w:color w:val="0000EE"/>
                  <w:w w:val="92"/>
                </w:rPr>
                <w:t>4</w:t>
              </w:r>
              <w:r>
                <w:rPr>
                  <w:rFonts w:ascii="Arial" w:cs="Arial" w:eastAsia="Arial" w:hAnsi="Arial"/>
                  <w:sz w:val="18"/>
                  <w:szCs w:val="18"/>
                  <w:color w:val="0000EE"/>
                  <w:w w:val="92"/>
                </w:rPr>
                <w:t xml:space="preserve"> to our Current Report on Form 8-K filed with the SEC on July 8, 2019)</w:t>
              </w:r>
            </w:hyperlink>
          </w:p>
        </w:tc>
        <w:tc>
          <w:tcPr>
            <w:tcW w:w="4580" w:type="dxa"/>
            <w:vAlign w:val="bottom"/>
            <w:gridSpan w:val="23"/>
          </w:tcPr>
          <w:p>
            <w:pPr>
              <w:spacing w:after="0"/>
              <w:rPr>
                <w:sz w:val="17"/>
                <w:szCs w:val="17"/>
                <w:color w:val="auto"/>
              </w:rPr>
            </w:pPr>
          </w:p>
        </w:tc>
      </w:tr>
      <w:tr>
        <w:trPr>
          <w:trHeight w:val="412"/>
        </w:trPr>
        <w:tc>
          <w:tcPr>
            <w:tcW w:w="240" w:type="dxa"/>
            <w:vAlign w:val="bottom"/>
          </w:tcPr>
          <w:p>
            <w:pPr>
              <w:jc w:val="right"/>
              <w:spacing w:after="0"/>
              <w:rPr>
                <w:rFonts w:ascii="Arial" w:cs="Arial" w:eastAsia="Arial" w:hAnsi="Arial"/>
                <w:sz w:val="18"/>
                <w:szCs w:val="18"/>
                <w:color w:val="0000EE"/>
                <w:w w:val="87"/>
              </w:rPr>
            </w:pPr>
            <w:hyperlink r:id="rId7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140" w:type="dxa"/>
            <w:vAlign w:val="bottom"/>
          </w:tcPr>
          <w:p>
            <w:pPr>
              <w:spacing w:after="0"/>
              <w:rPr>
                <w:sz w:val="24"/>
                <w:szCs w:val="24"/>
                <w:color w:val="auto"/>
              </w:rPr>
            </w:pPr>
          </w:p>
        </w:tc>
        <w:tc>
          <w:tcPr>
            <w:tcW w:w="10000" w:type="dxa"/>
            <w:vAlign w:val="bottom"/>
            <w:gridSpan w:val="28"/>
          </w:tcPr>
          <w:p>
            <w:pPr>
              <w:spacing w:after="0"/>
              <w:rPr>
                <w:rFonts w:ascii="Arial" w:cs="Arial" w:eastAsia="Arial" w:hAnsi="Arial"/>
                <w:sz w:val="18"/>
                <w:szCs w:val="18"/>
                <w:color w:val="0000EE"/>
                <w:w w:val="95"/>
              </w:rPr>
            </w:pPr>
            <w:hyperlink r:id="rId78">
              <w:r>
                <w:rPr>
                  <w:rFonts w:ascii="Arial" w:cs="Arial" w:eastAsia="Arial" w:hAnsi="Arial"/>
                  <w:sz w:val="18"/>
                  <w:szCs w:val="18"/>
                  <w:color w:val="0000EE"/>
                  <w:w w:val="95"/>
                </w:rPr>
                <w:t>Specimen common stock certificate (incorporated by reference from our Registration Statement on Form S-1 filed on May 18, 2010)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7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140" w:type="dxa"/>
            <w:vAlign w:val="bottom"/>
          </w:tcPr>
          <w:p>
            <w:pPr>
              <w:spacing w:after="0"/>
              <w:rPr>
                <w:sz w:val="24"/>
                <w:szCs w:val="24"/>
                <w:color w:val="auto"/>
              </w:rPr>
            </w:pPr>
          </w:p>
        </w:tc>
        <w:tc>
          <w:tcPr>
            <w:tcW w:w="9960" w:type="dxa"/>
            <w:vAlign w:val="bottom"/>
            <w:tcBorders>
              <w:bottom w:val="single" w:sz="8" w:color="0000EE"/>
            </w:tcBorders>
            <w:gridSpan w:val="26"/>
          </w:tcPr>
          <w:p>
            <w:pPr>
              <w:spacing w:after="0"/>
              <w:rPr>
                <w:rFonts w:ascii="Arial" w:cs="Arial" w:eastAsia="Arial" w:hAnsi="Arial"/>
                <w:sz w:val="18"/>
                <w:szCs w:val="18"/>
                <w:color w:val="0000EE"/>
                <w:w w:val="92"/>
              </w:rPr>
            </w:pPr>
            <w:hyperlink r:id="rId79">
              <w:r>
                <w:rPr>
                  <w:rFonts w:ascii="Arial" w:cs="Arial" w:eastAsia="Arial" w:hAnsi="Arial"/>
                  <w:sz w:val="18"/>
                  <w:szCs w:val="18"/>
                  <w:color w:val="0000EE"/>
                  <w:w w:val="92"/>
                </w:rPr>
                <w:t>Form of Warrant (incorporated by reference from Exhibit 4.1 to our Current Report on Form 8-K filed with the SEC on October 16, 2015)</w:t>
              </w:r>
            </w:hyperlink>
          </w:p>
        </w:tc>
        <w:tc>
          <w:tcPr>
            <w:tcW w:w="40" w:type="dxa"/>
            <w:vAlign w:val="bottom"/>
            <w:gridSpan w:val="2"/>
          </w:tcPr>
          <w:p>
            <w:pPr>
              <w:spacing w:after="0"/>
              <w:rPr>
                <w:sz w:val="24"/>
                <w:szCs w:val="24"/>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8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140" w:type="dxa"/>
            <w:vAlign w:val="bottom"/>
          </w:tcPr>
          <w:p>
            <w:pPr>
              <w:spacing w:after="0"/>
              <w:rPr>
                <w:sz w:val="24"/>
                <w:szCs w:val="24"/>
                <w:color w:val="auto"/>
              </w:rPr>
            </w:pPr>
          </w:p>
        </w:tc>
        <w:tc>
          <w:tcPr>
            <w:tcW w:w="9720" w:type="dxa"/>
            <w:vAlign w:val="bottom"/>
            <w:tcBorders>
              <w:bottom w:val="single" w:sz="8" w:color="0000EE"/>
            </w:tcBorders>
            <w:gridSpan w:val="18"/>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Form of Warrant (incorporated by reference from Exhibit 10.3 to our Current Report on Form 8-K filed with the SEC on May 4, 2015)</w:t>
              </w:r>
            </w:hyperlink>
          </w:p>
        </w:tc>
        <w:tc>
          <w:tcPr>
            <w:tcW w:w="280" w:type="dxa"/>
            <w:vAlign w:val="bottom"/>
            <w:gridSpan w:val="10"/>
          </w:tcPr>
          <w:p>
            <w:pPr>
              <w:spacing w:after="0"/>
              <w:rPr>
                <w:sz w:val="24"/>
                <w:szCs w:val="24"/>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8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140" w:type="dxa"/>
            <w:vAlign w:val="bottom"/>
          </w:tcPr>
          <w:p>
            <w:pPr>
              <w:spacing w:after="0"/>
              <w:rPr>
                <w:sz w:val="24"/>
                <w:szCs w:val="24"/>
                <w:color w:val="auto"/>
              </w:rPr>
            </w:pPr>
          </w:p>
        </w:tc>
        <w:tc>
          <w:tcPr>
            <w:tcW w:w="9860" w:type="dxa"/>
            <w:vAlign w:val="bottom"/>
            <w:tcBorders>
              <w:bottom w:val="single" w:sz="8" w:color="0000EE"/>
            </w:tcBorders>
            <w:gridSpan w:val="21"/>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Section 382 Rights Agreement, dated as of March 18, 2016, between Vringo, Inc. and American Stock Transfer &amp; Trust Company, LLC,</w:t>
              </w:r>
            </w:hyperlink>
          </w:p>
        </w:tc>
        <w:tc>
          <w:tcPr>
            <w:tcW w:w="140" w:type="dxa"/>
            <w:vAlign w:val="bottom"/>
            <w:gridSpan w:val="7"/>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0" w:type="dxa"/>
            <w:vAlign w:val="bottom"/>
            <w:gridSpan w:val="28"/>
          </w:tcPr>
          <w:p>
            <w:pPr>
              <w:spacing w:after="0" w:line="196" w:lineRule="exact"/>
              <w:rPr>
                <w:rFonts w:ascii="Arial" w:cs="Arial" w:eastAsia="Arial" w:hAnsi="Arial"/>
                <w:sz w:val="18"/>
                <w:szCs w:val="18"/>
                <w:color w:val="0000EE"/>
                <w:w w:val="94"/>
              </w:rPr>
            </w:pPr>
            <w:hyperlink r:id="rId81">
              <w:r>
                <w:rPr>
                  <w:rFonts w:ascii="Arial" w:cs="Arial" w:eastAsia="Arial" w:hAnsi="Arial"/>
                  <w:sz w:val="18"/>
                  <w:szCs w:val="18"/>
                  <w:color w:val="0000EE"/>
                  <w:w w:val="94"/>
                </w:rPr>
                <w:t>which includes the Form of Certificate of Designation of Series C Junior Participating Preferred Stock as Exhibit A, the Form of Right</w:t>
              </w:r>
            </w:hyperlink>
          </w:p>
        </w:tc>
      </w:tr>
      <w:tr>
        <w:trPr>
          <w:trHeight w:val="20"/>
        </w:trPr>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2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Certificate as Exhibit B and the Summary of Rights to Purchase Preferred Stock as Exhibit C (incorporated by reference from Exhibit 4.1</w:t>
              </w:r>
            </w:hyperlink>
          </w:p>
        </w:tc>
        <w:tc>
          <w:tcPr>
            <w:tcW w:w="80" w:type="dxa"/>
            <w:vAlign w:val="bottom"/>
            <w:gridSpan w:val="4"/>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to our Current Report on Form 8-K filed with the SEC on March 21, 2016)</w:t>
              </w:r>
            </w:hyperlink>
          </w:p>
        </w:tc>
        <w:tc>
          <w:tcPr>
            <w:tcW w:w="4600" w:type="dxa"/>
            <w:vAlign w:val="bottom"/>
            <w:gridSpan w:val="24"/>
          </w:tcPr>
          <w:p>
            <w:pPr>
              <w:spacing w:after="0"/>
              <w:rPr>
                <w:sz w:val="17"/>
                <w:szCs w:val="17"/>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8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114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Amendment to Section 382 Rights Agreement, dated March 18, 2019, between the Company and American Stock Transfer &amp; Trust</w:t>
              </w:r>
            </w:hyperlink>
          </w:p>
        </w:tc>
        <w:tc>
          <w:tcPr>
            <w:tcW w:w="520" w:type="dxa"/>
            <w:vAlign w:val="bottom"/>
            <w:gridSpan w:val="15"/>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9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Company, LLC (incorporated by reference from Exhibit 10.1 to our Current Report on Form 8-K filed with the SEC on March 22, 2019).</w:t>
              </w:r>
            </w:hyperlink>
          </w:p>
        </w:tc>
        <w:tc>
          <w:tcPr>
            <w:tcW w:w="100" w:type="dxa"/>
            <w:vAlign w:val="bottom"/>
            <w:gridSpan w:val="5"/>
          </w:tcPr>
          <w:p>
            <w:pPr>
              <w:spacing w:after="0"/>
              <w:rPr>
                <w:sz w:val="17"/>
                <w:szCs w:val="17"/>
                <w:color w:val="auto"/>
              </w:rPr>
            </w:pPr>
          </w:p>
        </w:tc>
      </w:tr>
      <w:tr>
        <w:trPr>
          <w:trHeight w:val="412"/>
        </w:trPr>
        <w:tc>
          <w:tcPr>
            <w:tcW w:w="240" w:type="dxa"/>
            <w:vAlign w:val="bottom"/>
            <w:tcBorders>
              <w:bottom w:val="single" w:sz="8" w:color="0000EE"/>
            </w:tcBorders>
          </w:tcPr>
          <w:p>
            <w:pPr>
              <w:jc w:val="right"/>
              <w:spacing w:after="0"/>
              <w:rPr>
                <w:rFonts w:ascii="Arial" w:cs="Arial" w:eastAsia="Arial" w:hAnsi="Arial"/>
                <w:sz w:val="18"/>
                <w:szCs w:val="18"/>
                <w:color w:val="0000EE"/>
                <w:w w:val="87"/>
              </w:rPr>
            </w:pPr>
            <w:hyperlink r:id="rId8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1140" w:type="dxa"/>
            <w:vAlign w:val="bottom"/>
          </w:tcPr>
          <w:p>
            <w:pPr>
              <w:spacing w:after="0"/>
              <w:rPr>
                <w:sz w:val="24"/>
                <w:szCs w:val="24"/>
                <w:color w:val="auto"/>
              </w:rPr>
            </w:pPr>
          </w:p>
        </w:tc>
        <w:tc>
          <w:tcPr>
            <w:tcW w:w="9380" w:type="dxa"/>
            <w:vAlign w:val="bottom"/>
            <w:tcBorders>
              <w:bottom w:val="single" w:sz="8" w:color="0000EE"/>
            </w:tcBorders>
            <w:gridSpan w:val="12"/>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Form of Warrant to Purchase Shares of Common Stock of FORM Holdings Corp. (incorporated by reference from Annex F to our</w:t>
              </w:r>
            </w:hyperlink>
          </w:p>
        </w:tc>
        <w:tc>
          <w:tcPr>
            <w:tcW w:w="620" w:type="dxa"/>
            <w:vAlign w:val="bottom"/>
            <w:gridSpan w:val="16"/>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5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Registration Statement on Form S-4 filed with the SEC on October 26, 2016)</w:t>
              </w:r>
            </w:hyperlink>
          </w:p>
        </w:tc>
        <w:tc>
          <w:tcPr>
            <w:tcW w:w="4420" w:type="dxa"/>
            <w:vAlign w:val="bottom"/>
            <w:gridSpan w:val="22"/>
          </w:tcPr>
          <w:p>
            <w:pPr>
              <w:spacing w:after="0"/>
              <w:rPr>
                <w:sz w:val="17"/>
                <w:szCs w:val="17"/>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8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900" w:type="dxa"/>
            <w:vAlign w:val="bottom"/>
            <w:tcBorders>
              <w:bottom w:val="single" w:sz="8" w:color="0000EE"/>
            </w:tcBorders>
            <w:gridSpan w:val="12"/>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Form of Secured Convertible Note (incorporated by reference from Exhibit 4.1 to our Quarterly Report on Form 10-Q filed with the SEC</w:t>
              </w:r>
            </w:hyperlink>
          </w:p>
        </w:tc>
        <w:tc>
          <w:tcPr>
            <w:tcW w:w="10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on May 15, 2018)</w:t>
              </w:r>
            </w:hyperlink>
          </w:p>
        </w:tc>
        <w:tc>
          <w:tcPr>
            <w:tcW w:w="8700" w:type="dxa"/>
            <w:vAlign w:val="bottom"/>
            <w:gridSpan w:val="12"/>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8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EE"/>
                <w:w w:val="94"/>
              </w:rPr>
            </w:pPr>
            <w:hyperlink r:id="rId86">
              <w:r>
                <w:rPr>
                  <w:rFonts w:ascii="Arial" w:cs="Arial" w:eastAsia="Arial" w:hAnsi="Arial"/>
                  <w:sz w:val="18"/>
                  <w:szCs w:val="18"/>
                  <w:color w:val="0000EE"/>
                  <w:w w:val="94"/>
                </w:rPr>
                <w:t>Form of Class A Warrant (incorporated by reference from Exhibit 4.2 to our Quarterly Report on Form 10-Q filed with the SEC on May</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15, 2018)</w:t>
              </w:r>
            </w:hyperlink>
          </w:p>
        </w:tc>
        <w:tc>
          <w:tcPr>
            <w:tcW w:w="6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8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EE"/>
                <w:w w:val="96"/>
              </w:rPr>
            </w:pPr>
            <w:hyperlink r:id="rId87">
              <w:r>
                <w:rPr>
                  <w:rFonts w:ascii="Arial" w:cs="Arial" w:eastAsia="Arial" w:hAnsi="Arial"/>
                  <w:sz w:val="18"/>
                  <w:szCs w:val="18"/>
                  <w:color w:val="0000EE"/>
                  <w:w w:val="96"/>
                </w:rPr>
                <w:t>Form of Calm Note (incorporated by reference to Exhibit 4.1 to our Current Report on Form 8-K filed with the SEC on July 8, 2019)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88">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1060" w:type="dxa"/>
            <w:vAlign w:val="bottom"/>
          </w:tcPr>
          <w:p>
            <w:pPr>
              <w:spacing w:after="0"/>
              <w:rPr>
                <w:sz w:val="24"/>
                <w:szCs w:val="24"/>
                <w:color w:val="auto"/>
              </w:rPr>
            </w:pPr>
          </w:p>
        </w:tc>
        <w:tc>
          <w:tcPr>
            <w:tcW w:w="10000" w:type="dxa"/>
            <w:vAlign w:val="bottom"/>
            <w:tcBorders>
              <w:bottom w:val="single" w:sz="8" w:color="0000EE"/>
            </w:tcBorders>
            <w:gridSpan w:val="14"/>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Form of Calm Warrant to Purchase Common Stock (incorporated by reference to Exhibit 4.2 to our Current Report on Form 8-K filed with</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88">
              <w:r>
                <w:rPr>
                  <w:rFonts w:ascii="Arial" w:cs="Arial" w:eastAsia="Arial" w:hAnsi="Arial"/>
                  <w:sz w:val="18"/>
                  <w:szCs w:val="18"/>
                  <w:color w:val="0000EE"/>
                  <w:w w:val="89"/>
                </w:rPr>
                <w:t>the SEC on July 8, 2019)</w:t>
              </w:r>
            </w:hyperlink>
          </w:p>
        </w:tc>
        <w:tc>
          <w:tcPr>
            <w:tcW w:w="8180" w:type="dxa"/>
            <w:vAlign w:val="bottom"/>
            <w:gridSpan w:val="11"/>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8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1060" w:type="dxa"/>
            <w:vAlign w:val="bottom"/>
          </w:tcPr>
          <w:p>
            <w:pPr>
              <w:spacing w:after="0"/>
              <w:rPr>
                <w:sz w:val="24"/>
                <w:szCs w:val="24"/>
                <w:color w:val="auto"/>
              </w:rPr>
            </w:pPr>
          </w:p>
        </w:tc>
        <w:tc>
          <w:tcPr>
            <w:tcW w:w="9580" w:type="dxa"/>
            <w:vAlign w:val="bottom"/>
            <w:tcBorders>
              <w:bottom w:val="single" w:sz="8" w:color="0000EE"/>
            </w:tcBorders>
            <w:gridSpan w:val="10"/>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Form of B3D Note (incorporated by reference to Exhibit 4.3 to our Current Report on Form 8-K filed with the SEC on July 8, 2019)</w:t>
              </w:r>
            </w:hyperlink>
          </w:p>
        </w:tc>
        <w:tc>
          <w:tcPr>
            <w:tcW w:w="420" w:type="dxa"/>
            <w:vAlign w:val="bottom"/>
            <w:gridSpan w:val="4"/>
          </w:tcPr>
          <w:p>
            <w:pPr>
              <w:spacing w:after="0"/>
              <w:rPr>
                <w:sz w:val="24"/>
                <w:szCs w:val="24"/>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90">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12</w:t>
              </w:r>
            </w:hyperlink>
          </w:p>
        </w:tc>
        <w:tc>
          <w:tcPr>
            <w:tcW w:w="106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December 2016 Warrant Amendment, dated as of July 8, 2019 (incorporated by reference to Exhibit 4.4 to our Current Report on</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Form 8-K filed with the SEC on July 8, 2019)</w:t>
              </w:r>
            </w:hyperlink>
          </w:p>
        </w:tc>
        <w:tc>
          <w:tcPr>
            <w:tcW w:w="662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color w:val="auto"/>
              </w:rPr>
              <w:t>4.13*</w:t>
            </w:r>
          </w:p>
        </w:tc>
        <w:tc>
          <w:tcPr>
            <w:tcW w:w="10000" w:type="dxa"/>
            <w:vAlign w:val="bottom"/>
            <w:gridSpan w:val="14"/>
          </w:tcPr>
          <w:p>
            <w:pPr>
              <w:spacing w:after="0"/>
              <w:rPr>
                <w:sz w:val="20"/>
                <w:szCs w:val="20"/>
                <w:color w:val="auto"/>
              </w:rPr>
            </w:pPr>
            <w:r>
              <w:rPr>
                <w:rFonts w:ascii="Arial" w:cs="Arial" w:eastAsia="Arial" w:hAnsi="Arial"/>
                <w:sz w:val="18"/>
                <w:szCs w:val="18"/>
                <w:color w:val="auto"/>
              </w:rPr>
              <w:t>Form of Certificate of Designation with respect to Preferred Stock</w:t>
            </w:r>
          </w:p>
        </w:tc>
      </w:tr>
      <w:tr>
        <w:trPr>
          <w:trHeight w:val="39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14</w:t>
            </w:r>
          </w:p>
        </w:tc>
        <w:tc>
          <w:tcPr>
            <w:tcW w:w="1060" w:type="dxa"/>
            <w:vAlign w:val="bottom"/>
          </w:tcPr>
          <w:p>
            <w:pPr>
              <w:spacing w:after="0"/>
              <w:rPr>
                <w:sz w:val="24"/>
                <w:szCs w:val="24"/>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EE"/>
              </w:rPr>
              <w:t>Form of Senior Indenture</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15</w:t>
            </w:r>
          </w:p>
        </w:tc>
        <w:tc>
          <w:tcPr>
            <w:tcW w:w="1060" w:type="dxa"/>
            <w:vAlign w:val="bottom"/>
          </w:tcPr>
          <w:p>
            <w:pPr>
              <w:spacing w:after="0"/>
              <w:rPr>
                <w:sz w:val="24"/>
                <w:szCs w:val="24"/>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EE"/>
              </w:rPr>
              <w:t>Form of Subordinated Indenture</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color w:val="auto"/>
              </w:rPr>
              <w:t>4.16*</w:t>
            </w:r>
          </w:p>
        </w:tc>
        <w:tc>
          <w:tcPr>
            <w:tcW w:w="10000" w:type="dxa"/>
            <w:vAlign w:val="bottom"/>
            <w:gridSpan w:val="14"/>
          </w:tcPr>
          <w:p>
            <w:pPr>
              <w:spacing w:after="0"/>
              <w:rPr>
                <w:sz w:val="20"/>
                <w:szCs w:val="20"/>
                <w:color w:val="auto"/>
              </w:rPr>
            </w:pPr>
            <w:r>
              <w:rPr>
                <w:rFonts w:ascii="Arial" w:cs="Arial" w:eastAsia="Arial" w:hAnsi="Arial"/>
                <w:sz w:val="18"/>
                <w:szCs w:val="18"/>
                <w:color w:val="auto"/>
              </w:rPr>
              <w:t>Form of Senior Debt Security</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4.17*</w:t>
            </w:r>
          </w:p>
        </w:tc>
        <w:tc>
          <w:tcPr>
            <w:tcW w:w="10000" w:type="dxa"/>
            <w:vAlign w:val="bottom"/>
            <w:gridSpan w:val="14"/>
          </w:tcPr>
          <w:p>
            <w:pPr>
              <w:spacing w:after="0"/>
              <w:rPr>
                <w:sz w:val="20"/>
                <w:szCs w:val="20"/>
                <w:color w:val="auto"/>
              </w:rPr>
            </w:pPr>
            <w:r>
              <w:rPr>
                <w:rFonts w:ascii="Arial" w:cs="Arial" w:eastAsia="Arial" w:hAnsi="Arial"/>
                <w:sz w:val="18"/>
                <w:szCs w:val="18"/>
                <w:color w:val="auto"/>
              </w:rPr>
              <w:t>Form of Subordinated Debt Security</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4.18*</w:t>
            </w:r>
          </w:p>
        </w:tc>
        <w:tc>
          <w:tcPr>
            <w:tcW w:w="10000" w:type="dxa"/>
            <w:vAlign w:val="bottom"/>
            <w:gridSpan w:val="14"/>
          </w:tcPr>
          <w:p>
            <w:pPr>
              <w:spacing w:after="0"/>
              <w:rPr>
                <w:sz w:val="20"/>
                <w:szCs w:val="20"/>
                <w:color w:val="auto"/>
              </w:rPr>
            </w:pPr>
            <w:r>
              <w:rPr>
                <w:rFonts w:ascii="Arial" w:cs="Arial" w:eastAsia="Arial" w:hAnsi="Arial"/>
                <w:sz w:val="18"/>
                <w:szCs w:val="18"/>
                <w:color w:val="auto"/>
              </w:rPr>
              <w:t>Form of Warrant Agreement and Warrant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4.19*</w:t>
            </w:r>
          </w:p>
        </w:tc>
        <w:tc>
          <w:tcPr>
            <w:tcW w:w="10000" w:type="dxa"/>
            <w:vAlign w:val="bottom"/>
            <w:gridSpan w:val="14"/>
          </w:tcPr>
          <w:p>
            <w:pPr>
              <w:spacing w:after="0"/>
              <w:rPr>
                <w:sz w:val="20"/>
                <w:szCs w:val="20"/>
                <w:color w:val="auto"/>
              </w:rPr>
            </w:pPr>
            <w:r>
              <w:rPr>
                <w:rFonts w:ascii="Arial" w:cs="Arial" w:eastAsia="Arial" w:hAnsi="Arial"/>
                <w:sz w:val="18"/>
                <w:szCs w:val="18"/>
                <w:color w:val="auto"/>
              </w:rPr>
              <w:t>Form of Rights Agreement and Right Certificate</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4.20*</w:t>
            </w:r>
          </w:p>
        </w:tc>
        <w:tc>
          <w:tcPr>
            <w:tcW w:w="10000" w:type="dxa"/>
            <w:vAlign w:val="bottom"/>
            <w:gridSpan w:val="14"/>
          </w:tcPr>
          <w:p>
            <w:pPr>
              <w:spacing w:after="0"/>
              <w:rPr>
                <w:sz w:val="20"/>
                <w:szCs w:val="20"/>
                <w:color w:val="auto"/>
              </w:rPr>
            </w:pPr>
            <w:r>
              <w:rPr>
                <w:rFonts w:ascii="Arial" w:cs="Arial" w:eastAsia="Arial" w:hAnsi="Arial"/>
                <w:sz w:val="18"/>
                <w:szCs w:val="18"/>
                <w:color w:val="auto"/>
              </w:rPr>
              <w:t>Form of Unit Agreement and Unit</w:t>
            </w:r>
          </w:p>
        </w:tc>
      </w:tr>
      <w:tr>
        <w:trPr>
          <w:trHeight w:val="392"/>
        </w:trPr>
        <w:tc>
          <w:tcPr>
            <w:tcW w:w="240" w:type="dxa"/>
            <w:vAlign w:val="bottom"/>
          </w:tcPr>
          <w:p>
            <w:pPr>
              <w:spacing w:after="0"/>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EE"/>
              </w:rPr>
              <w:t>Opinion of Mintz, Levin, Cohn, Ferris, Glovsky and Popeo, P.C. regarding legality of securities being registered</w:t>
            </w:r>
          </w:p>
        </w:tc>
      </w:tr>
      <w:tr>
        <w:trPr>
          <w:trHeight w:val="20"/>
        </w:trPr>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560" w:type="dxa"/>
            <w:vAlign w:val="bottom"/>
            <w:gridSpan w:val="7"/>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color w:val="auto"/>
              </w:rPr>
              <w:t>12.1*</w:t>
            </w:r>
          </w:p>
        </w:tc>
        <w:tc>
          <w:tcPr>
            <w:tcW w:w="10000" w:type="dxa"/>
            <w:vAlign w:val="bottom"/>
            <w:gridSpan w:val="14"/>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39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1060" w:type="dxa"/>
            <w:vAlign w:val="bottom"/>
          </w:tcPr>
          <w:p>
            <w:pPr>
              <w:spacing w:after="0"/>
              <w:rPr>
                <w:sz w:val="24"/>
                <w:szCs w:val="24"/>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EE"/>
              </w:rPr>
              <w:t>Consent of CohnReznick LLP, independent registered public accounting firm</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560" w:type="dxa"/>
            <w:vAlign w:val="bottom"/>
            <w:gridSpan w:val="7"/>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1060" w:type="dxa"/>
            <w:vAlign w:val="bottom"/>
          </w:tcPr>
          <w:p>
            <w:pPr>
              <w:spacing w:after="0"/>
              <w:rPr>
                <w:sz w:val="24"/>
                <w:szCs w:val="24"/>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EE"/>
              </w:rPr>
              <w:t>Consent of Mintz, Levin, Cohn, Ferris, Glovsky and Popeo, P.C. (included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60" w:type="dxa"/>
            <w:vAlign w:val="bottom"/>
            <w:gridSpan w:val="8"/>
            <w:shd w:val="clear" w:color="auto" w:fill="0000EE"/>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color w:val="auto"/>
              </w:rPr>
              <w:t>25.1*</w:t>
            </w:r>
          </w:p>
        </w:tc>
        <w:tc>
          <w:tcPr>
            <w:tcW w:w="10000" w:type="dxa"/>
            <w:vAlign w:val="bottom"/>
            <w:gridSpan w:val="14"/>
          </w:tcPr>
          <w:p>
            <w:pPr>
              <w:spacing w:after="0"/>
              <w:rPr>
                <w:sz w:val="20"/>
                <w:szCs w:val="20"/>
                <w:color w:val="auto"/>
              </w:rPr>
            </w:pPr>
            <w:r>
              <w:rPr>
                <w:rFonts w:ascii="Arial" w:cs="Arial" w:eastAsia="Arial" w:hAnsi="Arial"/>
                <w:sz w:val="18"/>
                <w:szCs w:val="18"/>
                <w:color w:val="auto"/>
              </w:rPr>
              <w:t>Statement of Trustee Eligibility</w:t>
            </w:r>
          </w:p>
        </w:tc>
      </w:tr>
    </w:tbl>
    <w:p>
      <w:pPr>
        <w:spacing w:after="0" w:line="202" w:lineRule="exact"/>
        <w:rPr>
          <w:sz w:val="20"/>
          <w:szCs w:val="20"/>
          <w:color w:val="auto"/>
        </w:rPr>
      </w:pPr>
    </w:p>
    <w:p>
      <w:pPr>
        <w:ind w:left="820" w:hanging="812"/>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be subsequently filed, if applicable, by an amendment to this registration statement or by a Current Report on Form 8-K</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hanging="328"/>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700" w:hanging="166"/>
        <w:spacing w:after="0"/>
        <w:tabs>
          <w:tab w:leader="none" w:pos="57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36" w:name="page37"/>
    <w:bookmarkEnd w:id="36"/>
    <w:p>
      <w:pPr>
        <w:ind w:left="-8" w:right="40" w:firstLine="8"/>
        <w:spacing w:after="0" w:line="273" w:lineRule="auto"/>
        <w:tabs>
          <w:tab w:leader="none" w:pos="25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8" w:lineRule="exact"/>
        <w:rPr>
          <w:rFonts w:ascii="Arial" w:cs="Arial" w:eastAsia="Arial" w:hAnsi="Arial"/>
          <w:sz w:val="17"/>
          <w:szCs w:val="17"/>
          <w:color w:val="auto"/>
        </w:rPr>
      </w:pPr>
    </w:p>
    <w:p>
      <w:pPr>
        <w:ind w:left="-8" w:right="60" w:firstLine="8"/>
        <w:spacing w:after="0" w:line="276" w:lineRule="auto"/>
        <w:tabs>
          <w:tab w:leader="none" w:pos="304"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3" w:lineRule="exact"/>
        <w:rPr>
          <w:sz w:val="20"/>
          <w:szCs w:val="20"/>
          <w:color w:val="auto"/>
        </w:rPr>
      </w:pPr>
    </w:p>
    <w:p>
      <w:pPr>
        <w:ind w:left="-8" w:right="460" w:firstLine="8"/>
        <w:spacing w:after="0" w:line="264" w:lineRule="auto"/>
        <w:tabs>
          <w:tab w:leader="none" w:pos="2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8" w:right="140" w:firstLine="8"/>
        <w:spacing w:after="0" w:line="277" w:lineRule="auto"/>
        <w:tabs>
          <w:tab w:leader="none" w:pos="2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52" w:hanging="252"/>
        <w:spacing w:after="0"/>
        <w:tabs>
          <w:tab w:leader="none" w:pos="2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8" w:right="20" w:firstLine="8"/>
        <w:spacing w:after="0" w:line="277" w:lineRule="auto"/>
        <w:tabs>
          <w:tab w:leader="none" w:pos="2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8" w:right="80" w:firstLine="8"/>
        <w:spacing w:after="0" w:line="288" w:lineRule="auto"/>
        <w:tabs>
          <w:tab w:leader="none" w:pos="257"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sz w:val="20"/>
          <w:szCs w:val="20"/>
          <w:color w:val="auto"/>
        </w:rPr>
      </w:pPr>
    </w:p>
    <w:p>
      <w:pPr>
        <w:jc w:val="both"/>
        <w:ind w:left="-8" w:right="60" w:firstLine="8"/>
        <w:spacing w:after="0" w:line="279" w:lineRule="auto"/>
        <w:tabs>
          <w:tab w:leader="none" w:pos="24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1" w:lineRule="exact"/>
        <w:rPr>
          <w:sz w:val="20"/>
          <w:szCs w:val="20"/>
          <w:color w:val="auto"/>
        </w:rPr>
      </w:pPr>
    </w:p>
    <w:p>
      <w:pPr>
        <w:ind w:left="212" w:hanging="212"/>
        <w:spacing w:after="0"/>
        <w:tabs>
          <w:tab w:leader="none" w:pos="2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left="-8" w:firstLine="8"/>
        <w:spacing w:after="0" w:line="277" w:lineRule="auto"/>
        <w:tabs>
          <w:tab w:leader="none" w:pos="2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386" w:lineRule="exact"/>
        <w:rPr>
          <w:rFonts w:ascii="Arial" w:cs="Arial" w:eastAsia="Arial" w:hAnsi="Arial"/>
          <w:sz w:val="18"/>
          <w:szCs w:val="18"/>
          <w:color w:val="auto"/>
        </w:rPr>
      </w:pPr>
    </w:p>
    <w:p>
      <w:pPr>
        <w:ind w:left="5692" w:hanging="166"/>
        <w:spacing w:after="0"/>
        <w:tabs>
          <w:tab w:leader="none" w:pos="56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7" w:name="page38"/>
    <w:bookmarkEnd w:id="37"/>
    <w:p>
      <w:pPr>
        <w:ind w:right="140" w:firstLine="8"/>
        <w:spacing w:after="0" w:line="277" w:lineRule="auto"/>
        <w:tabs>
          <w:tab w:leader="none" w:pos="31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That, for purposes of determining any liability under the Securities Act:</w:t>
      </w:r>
    </w:p>
    <w:p>
      <w:pPr>
        <w:spacing w:after="0" w:line="225" w:lineRule="exact"/>
        <w:rPr>
          <w:sz w:val="20"/>
          <w:szCs w:val="20"/>
          <w:color w:val="auto"/>
        </w:rPr>
      </w:pPr>
    </w:p>
    <w:p>
      <w:pPr>
        <w:ind w:right="140" w:firstLine="8"/>
        <w:spacing w:after="0" w:line="264" w:lineRule="auto"/>
        <w:tabs>
          <w:tab w:leader="none" w:pos="2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81" w:lineRule="exact"/>
        <w:rPr>
          <w:rFonts w:ascii="Arial" w:cs="Arial" w:eastAsia="Arial" w:hAnsi="Arial"/>
          <w:sz w:val="18"/>
          <w:szCs w:val="18"/>
          <w:color w:val="auto"/>
        </w:rPr>
      </w:pPr>
    </w:p>
    <w:p>
      <w:pPr>
        <w:ind w:firstLine="8"/>
        <w:spacing w:after="0" w:line="277" w:lineRule="auto"/>
        <w:tabs>
          <w:tab w:leader="none" w:pos="28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70" w:lineRule="exact"/>
        <w:rPr>
          <w:sz w:val="20"/>
          <w:szCs w:val="20"/>
          <w:color w:val="auto"/>
        </w:rPr>
      </w:pPr>
    </w:p>
    <w:p>
      <w:pPr>
        <w:ind w:right="20" w:firstLine="8"/>
        <w:spacing w:after="0" w:line="257"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right="140" w:firstLine="8"/>
        <w:spacing w:after="0" w:line="272"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7" w:lineRule="exact"/>
        <w:rPr>
          <w:rFonts w:ascii="Arial" w:cs="Arial" w:eastAsia="Arial" w:hAnsi="Arial"/>
          <w:sz w:val="17"/>
          <w:szCs w:val="17"/>
          <w:color w:val="auto"/>
        </w:rPr>
      </w:pPr>
    </w:p>
    <w:p>
      <w:pPr>
        <w:jc w:val="both"/>
        <w:ind w:right="160" w:firstLine="8"/>
        <w:spacing w:after="0" w:line="264"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397" w:lineRule="exact"/>
        <w:rPr>
          <w:rFonts w:ascii="Arial" w:cs="Arial" w:eastAsia="Arial" w:hAnsi="Arial"/>
          <w:sz w:val="18"/>
          <w:szCs w:val="18"/>
          <w:color w:val="auto"/>
        </w:rPr>
      </w:pPr>
    </w:p>
    <w:p>
      <w:pPr>
        <w:ind w:left="5700" w:hanging="166"/>
        <w:spacing w:after="0"/>
        <w:tabs>
          <w:tab w:leader="none" w:pos="5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22nd day of July, 2019.</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XpresSpa Group,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Satzman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MEN BY THESE PRESENTS, that each of the undersigned directors and officers of XpresSpa Group, Inc. constitutes and appoints Douglas Satzman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with full power to act alone, full power and authority to do and perform each and every act and thing requisite and necessary to be done in and about the premises, as fully to all intents and purposes as he or she might or could do in person, and hereby ratifying and confirming all that the said attorney-in-fact and agent, or his substitute or substitute, may lawfully do or cause to be done by virtue hereof.</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76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Title</w:t>
            </w:r>
          </w:p>
        </w:tc>
        <w:tc>
          <w:tcPr>
            <w:tcW w:w="24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r>
      <w:tr>
        <w:trPr>
          <w:trHeight w:val="433"/>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July 22, 2019</w:t>
            </w:r>
          </w:p>
        </w:tc>
        <w:tc>
          <w:tcPr>
            <w:tcW w:w="100" w:type="dxa"/>
            <w:vAlign w:val="bottom"/>
          </w:tcPr>
          <w:p>
            <w:pPr>
              <w:spacing w:after="0"/>
              <w:rPr>
                <w:sz w:val="24"/>
                <w:szCs w:val="24"/>
                <w:color w:val="auto"/>
              </w:rPr>
            </w:pPr>
          </w:p>
        </w:tc>
      </w:tr>
      <w:tr>
        <w:trPr>
          <w:trHeight w:val="188"/>
        </w:trPr>
        <w:tc>
          <w:tcPr>
            <w:tcW w:w="3780" w:type="dxa"/>
            <w:vAlign w:val="bottom"/>
          </w:tcPr>
          <w:p>
            <w:pPr>
              <w:spacing w:after="0" w:line="189" w:lineRule="exact"/>
              <w:rPr>
                <w:sz w:val="20"/>
                <w:szCs w:val="20"/>
                <w:color w:val="auto"/>
              </w:rPr>
            </w:pPr>
            <w:r>
              <w:rPr>
                <w:rFonts w:ascii="Arial" w:cs="Arial" w:eastAsia="Arial" w:hAnsi="Arial"/>
                <w:sz w:val="18"/>
                <w:szCs w:val="18"/>
                <w:color w:val="auto"/>
              </w:rPr>
              <w:t>Douglas Satzman</w:t>
            </w:r>
          </w:p>
        </w:tc>
        <w:tc>
          <w:tcPr>
            <w:tcW w:w="120" w:type="dxa"/>
            <w:vAlign w:val="bottom"/>
          </w:tcPr>
          <w:p>
            <w:pPr>
              <w:spacing w:after="0"/>
              <w:rPr>
                <w:sz w:val="16"/>
                <w:szCs w:val="16"/>
                <w:color w:val="auto"/>
              </w:rPr>
            </w:pPr>
          </w:p>
        </w:tc>
        <w:tc>
          <w:tcPr>
            <w:tcW w:w="4000" w:type="dxa"/>
            <w:vAlign w:val="bottom"/>
            <w:gridSpan w:val="2"/>
          </w:tcPr>
          <w:p>
            <w:pPr>
              <w:spacing w:after="0" w:line="189" w:lineRule="exact"/>
              <w:rPr>
                <w:sz w:val="20"/>
                <w:szCs w:val="20"/>
                <w:color w:val="auto"/>
              </w:rPr>
            </w:pPr>
            <w:r>
              <w:rPr>
                <w:rFonts w:ascii="Arial" w:cs="Arial" w:eastAsia="Arial" w:hAnsi="Arial"/>
                <w:sz w:val="18"/>
                <w:szCs w:val="18"/>
                <w:color w:val="auto"/>
              </w:rPr>
              <w:t>(Principal Executive Officer, Principal Financial</w:t>
            </w: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Officer and Principal Accounting Officer)</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T. Bernstein</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July 22, 2019</w:t>
            </w:r>
          </w:p>
        </w:tc>
        <w:tc>
          <w:tcPr>
            <w:tcW w:w="10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Salvatore Giardina</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July 22, 2019</w:t>
            </w:r>
          </w:p>
        </w:tc>
        <w:tc>
          <w:tcPr>
            <w:tcW w:w="10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Salvatore Giardina</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E. Stout</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July 22, 2019</w:t>
            </w:r>
          </w:p>
        </w:tc>
        <w:tc>
          <w:tcPr>
            <w:tcW w:w="10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/s/Andrew R. Heyer</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July 22, 2019</w:t>
            </w:r>
          </w:p>
        </w:tc>
        <w:tc>
          <w:tcPr>
            <w:tcW w:w="10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Andrew R. Heyer</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4"/>
        </w:trPr>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rPr>
              <w:t>II - 7</w:t>
            </w:r>
          </w:p>
        </w:tc>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4.14</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540" w:hanging="109"/>
        <w:spacing w:after="0"/>
        <w:tabs>
          <w:tab w:leader="none" w:pos="4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240"/>
        <w:spacing w:after="0"/>
        <w:rPr>
          <w:rFonts w:ascii="Arial" w:cs="Arial" w:eastAsia="Arial" w:hAnsi="Arial"/>
          <w:sz w:val="18"/>
          <w:szCs w:val="18"/>
          <w:color w:val="auto"/>
        </w:rPr>
      </w:pPr>
      <w:r>
        <w:rPr>
          <w:rFonts w:ascii="Arial" w:cs="Arial" w:eastAsia="Arial" w:hAnsi="Arial"/>
          <w:sz w:val="18"/>
          <w:szCs w:val="18"/>
          <w:color w:val="auto"/>
        </w:rPr>
        <w:t>Trustee</w:t>
      </w:r>
    </w:p>
    <w:p>
      <w:pPr>
        <w:spacing w:after="0" w:line="2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Dated as of [ ]</w:t>
      </w:r>
    </w:p>
    <w:p>
      <w:pPr>
        <w:spacing w:after="0" w:line="200" w:lineRule="exact"/>
        <w:rPr>
          <w:sz w:val="20"/>
          <w:szCs w:val="20"/>
          <w:color w:val="auto"/>
        </w:rPr>
      </w:pPr>
    </w:p>
    <w:p>
      <w:pPr>
        <w:spacing w:after="0" w:line="23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7260" w:type="dxa"/>
            <w:vAlign w:val="bottom"/>
            <w:gridSpan w:val="4"/>
          </w:tcPr>
          <w:p>
            <w:pPr>
              <w:jc w:val="right"/>
              <w:ind w:right="4400"/>
              <w:spacing w:after="0"/>
              <w:rPr>
                <w:sz w:val="20"/>
                <w:szCs w:val="20"/>
                <w:color w:val="auto"/>
              </w:rPr>
            </w:pPr>
            <w:r>
              <w:rPr>
                <w:rFonts w:ascii="Arial" w:cs="Arial" w:eastAsia="Arial" w:hAnsi="Arial"/>
                <w:sz w:val="18"/>
                <w:szCs w:val="18"/>
                <w:b w:val="1"/>
                <w:bCs w:val="1"/>
                <w:color w:val="auto"/>
              </w:rPr>
              <w:t>CROSS-REFERENCE TABLE (1)</w:t>
            </w:r>
          </w:p>
        </w:tc>
      </w:tr>
      <w:tr>
        <w:trPr>
          <w:trHeight w:val="41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Section of</w:t>
            </w:r>
          </w:p>
        </w:tc>
      </w:t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w w:val="94"/>
              </w:rPr>
              <w:t>Section of Trust Indenture Act of 1939, as Amended</w:t>
            </w:r>
          </w:p>
        </w:tc>
        <w:tc>
          <w:tcPr>
            <w:tcW w:w="5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Indenture</w:t>
            </w:r>
          </w:p>
        </w:tc>
      </w:tr>
      <w:tr>
        <w:trPr>
          <w:trHeight w:val="195"/>
        </w:trPr>
        <w:tc>
          <w:tcPr>
            <w:tcW w:w="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310(a).</w:t>
            </w:r>
          </w:p>
        </w:tc>
        <w:tc>
          <w:tcPr>
            <w:tcW w:w="5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7.09</w:t>
            </w:r>
          </w:p>
        </w:tc>
        <w:tc>
          <w:tcPr>
            <w:tcW w:w="20" w:type="dxa"/>
            <w:vAlign w:val="bottom"/>
          </w:tcPr>
          <w:p>
            <w:pPr>
              <w:spacing w:after="0"/>
              <w:rPr>
                <w:sz w:val="16"/>
                <w:szCs w:val="16"/>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310(b).</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7.08</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7.10</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310(c).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Inapplicable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311(a).</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7.13(a)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311(b).</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7.13(b)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311(c).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Inapplicable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312(a)</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5.02(a)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312(b).</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5.02(b)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312(c).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5.02(c)</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313(a).</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5.04(a)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313(b).</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5.04(a)</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313(c).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5.04(a)</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5.04(b)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313(d).</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5.04(b)</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314(a).</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5.03</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314(b).</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Inapplicable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314(c).</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13.06</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314(d).</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Inapplicable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314(e).</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13.06</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314(f).</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Inapplicable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315(a).</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7.01(a)</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7.02</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315(b).</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6.07</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315(c).</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7.01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315(d).</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7.01(b)</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7.01(c)</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315(e).</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6.07</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316(a).</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6.06</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8.04</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316(b).</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6.04</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316(c).</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8.01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317(a).</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6.02</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317(b).</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4.03</w:t>
            </w: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318(a).</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13.08</w:t>
            </w:r>
          </w:p>
        </w:tc>
      </w:tr>
    </w:tbl>
    <w:p>
      <w:pPr>
        <w:spacing w:after="0" w:line="202"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380" w:type="dxa"/>
            <w:vAlign w:val="bottom"/>
          </w:tcPr>
          <w:p>
            <w:pPr>
              <w:ind w:left="3400"/>
              <w:spacing w:after="0"/>
              <w:rPr>
                <w:sz w:val="20"/>
                <w:szCs w:val="20"/>
                <w:color w:val="auto"/>
              </w:rPr>
            </w:pPr>
            <w:r>
              <w:rPr>
                <w:rFonts w:ascii="Arial" w:cs="Arial" w:eastAsia="Arial" w:hAnsi="Arial"/>
                <w:sz w:val="18"/>
                <w:szCs w:val="18"/>
                <w:b w:val="1"/>
                <w:bCs w:val="1"/>
                <w:color w:val="auto"/>
              </w:rPr>
              <w:t>TABLE OF CONTENTS (2)</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Definitions of Terms</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ISSUE, DESCRIPTION, TERMS, EXECUTION, REGISTRATION AND EXCHANGE OF SECURITIES</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2.01</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Designation and Terms of Securities</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2.02</w:t>
            </w:r>
          </w:p>
        </w:tc>
        <w:tc>
          <w:tcPr>
            <w:tcW w:w="8380" w:type="dxa"/>
            <w:vAlign w:val="bottom"/>
          </w:tcPr>
          <w:p>
            <w:pPr>
              <w:ind w:left="400"/>
              <w:spacing w:after="0"/>
              <w:rPr>
                <w:sz w:val="20"/>
                <w:szCs w:val="20"/>
                <w:color w:val="auto"/>
              </w:rPr>
            </w:pPr>
            <w:r>
              <w:rPr>
                <w:rFonts w:ascii="Arial" w:cs="Arial" w:eastAsia="Arial" w:hAnsi="Arial"/>
                <w:sz w:val="18"/>
                <w:szCs w:val="18"/>
                <w:color w:val="auto"/>
              </w:rPr>
              <w:t>Form of Securities and Trustee’s Certificate</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2.03</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Denominations: Provisions for Payment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2.04</w:t>
            </w:r>
          </w:p>
        </w:tc>
        <w:tc>
          <w:tcPr>
            <w:tcW w:w="8380" w:type="dxa"/>
            <w:vAlign w:val="bottom"/>
          </w:tcPr>
          <w:p>
            <w:pPr>
              <w:ind w:left="400"/>
              <w:spacing w:after="0"/>
              <w:rPr>
                <w:sz w:val="20"/>
                <w:szCs w:val="20"/>
                <w:color w:val="auto"/>
              </w:rPr>
            </w:pPr>
            <w:r>
              <w:rPr>
                <w:rFonts w:ascii="Arial" w:cs="Arial" w:eastAsia="Arial" w:hAnsi="Arial"/>
                <w:sz w:val="18"/>
                <w:szCs w:val="18"/>
                <w:color w:val="auto"/>
              </w:rPr>
              <w:t>Execution and Authentications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2.05</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Registration of Transfer and Exchange</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2.06</w:t>
            </w:r>
          </w:p>
        </w:tc>
        <w:tc>
          <w:tcPr>
            <w:tcW w:w="8380" w:type="dxa"/>
            <w:vAlign w:val="bottom"/>
          </w:tcPr>
          <w:p>
            <w:pPr>
              <w:ind w:left="400"/>
              <w:spacing w:after="0"/>
              <w:rPr>
                <w:sz w:val="20"/>
                <w:szCs w:val="20"/>
                <w:color w:val="auto"/>
              </w:rPr>
            </w:pPr>
            <w:r>
              <w:rPr>
                <w:rFonts w:ascii="Arial" w:cs="Arial" w:eastAsia="Arial" w:hAnsi="Arial"/>
                <w:sz w:val="18"/>
                <w:szCs w:val="18"/>
                <w:color w:val="auto"/>
              </w:rPr>
              <w:t>Temporary Securities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2.07</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Mutilated, Destroyed, Lost or Stolen Securities</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2.08</w:t>
            </w:r>
          </w:p>
        </w:tc>
        <w:tc>
          <w:tcPr>
            <w:tcW w:w="8380" w:type="dxa"/>
            <w:vAlign w:val="bottom"/>
          </w:tcPr>
          <w:p>
            <w:pPr>
              <w:ind w:left="400"/>
              <w:spacing w:after="0"/>
              <w:rPr>
                <w:sz w:val="20"/>
                <w:szCs w:val="20"/>
                <w:color w:val="auto"/>
              </w:rPr>
            </w:pPr>
            <w:r>
              <w:rPr>
                <w:rFonts w:ascii="Arial" w:cs="Arial" w:eastAsia="Arial" w:hAnsi="Arial"/>
                <w:sz w:val="18"/>
                <w:szCs w:val="18"/>
                <w:color w:val="auto"/>
              </w:rPr>
              <w:t>Cancellation</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2.09</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Benefits of Indenture</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2.10</w:t>
            </w:r>
          </w:p>
        </w:tc>
        <w:tc>
          <w:tcPr>
            <w:tcW w:w="8380" w:type="dxa"/>
            <w:vAlign w:val="bottom"/>
          </w:tcPr>
          <w:p>
            <w:pPr>
              <w:ind w:left="400"/>
              <w:spacing w:after="0"/>
              <w:rPr>
                <w:sz w:val="20"/>
                <w:szCs w:val="20"/>
                <w:color w:val="auto"/>
              </w:rPr>
            </w:pPr>
            <w:r>
              <w:rPr>
                <w:rFonts w:ascii="Arial" w:cs="Arial" w:eastAsia="Arial" w:hAnsi="Arial"/>
                <w:sz w:val="18"/>
                <w:szCs w:val="18"/>
                <w:color w:val="auto"/>
              </w:rPr>
              <w:t>Authenticating Agent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2.11</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Securities</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REDEMPTION OF SECURITIES AND SINKING FUND PROVISIONS</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Redemption</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3.02</w:t>
            </w:r>
          </w:p>
        </w:tc>
        <w:tc>
          <w:tcPr>
            <w:tcW w:w="8380" w:type="dxa"/>
            <w:vAlign w:val="bottom"/>
          </w:tcPr>
          <w:p>
            <w:pPr>
              <w:ind w:left="400"/>
              <w:spacing w:after="0"/>
              <w:rPr>
                <w:sz w:val="20"/>
                <w:szCs w:val="20"/>
                <w:color w:val="auto"/>
              </w:rPr>
            </w:pPr>
            <w:r>
              <w:rPr>
                <w:rFonts w:ascii="Arial" w:cs="Arial" w:eastAsia="Arial" w:hAnsi="Arial"/>
                <w:sz w:val="18"/>
                <w:szCs w:val="18"/>
                <w:color w:val="auto"/>
              </w:rPr>
              <w:t>Notice of Redemption</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Upon Redemption</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3.04</w:t>
            </w:r>
          </w:p>
        </w:tc>
        <w:tc>
          <w:tcPr>
            <w:tcW w:w="8380" w:type="dxa"/>
            <w:vAlign w:val="bottom"/>
          </w:tcPr>
          <w:p>
            <w:pPr>
              <w:ind w:left="400"/>
              <w:spacing w:after="0"/>
              <w:rPr>
                <w:sz w:val="20"/>
                <w:szCs w:val="20"/>
                <w:color w:val="auto"/>
              </w:rPr>
            </w:pPr>
            <w:r>
              <w:rPr>
                <w:rFonts w:ascii="Arial" w:cs="Arial" w:eastAsia="Arial" w:hAnsi="Arial"/>
                <w:sz w:val="18"/>
                <w:szCs w:val="18"/>
                <w:color w:val="auto"/>
              </w:rPr>
              <w:t>Sinking Fund</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3.05</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Satisfaction of Sinking Fund Payments with Securities</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3.06</w:t>
            </w:r>
          </w:p>
        </w:tc>
        <w:tc>
          <w:tcPr>
            <w:tcW w:w="8380" w:type="dxa"/>
            <w:vAlign w:val="bottom"/>
          </w:tcPr>
          <w:p>
            <w:pPr>
              <w:ind w:left="400"/>
              <w:spacing w:after="0"/>
              <w:rPr>
                <w:sz w:val="20"/>
                <w:szCs w:val="20"/>
                <w:color w:val="auto"/>
              </w:rPr>
            </w:pPr>
            <w:r>
              <w:rPr>
                <w:rFonts w:ascii="Arial" w:cs="Arial" w:eastAsia="Arial" w:hAnsi="Arial"/>
                <w:sz w:val="18"/>
                <w:szCs w:val="18"/>
                <w:color w:val="auto"/>
              </w:rPr>
              <w:t>Redemption of Securities for Sinking Fund</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gridSpan w:val="2"/>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4.01</w:t>
            </w:r>
          </w:p>
        </w:tc>
        <w:tc>
          <w:tcPr>
            <w:tcW w:w="8380" w:type="dxa"/>
            <w:vAlign w:val="bottom"/>
          </w:tcPr>
          <w:p>
            <w:pPr>
              <w:ind w:left="400"/>
              <w:spacing w:after="0"/>
              <w:rPr>
                <w:sz w:val="20"/>
                <w:szCs w:val="20"/>
                <w:color w:val="auto"/>
              </w:rPr>
            </w:pPr>
            <w:r>
              <w:rPr>
                <w:rFonts w:ascii="Arial" w:cs="Arial" w:eastAsia="Arial" w:hAnsi="Arial"/>
                <w:sz w:val="18"/>
                <w:szCs w:val="18"/>
                <w:color w:val="auto"/>
              </w:rPr>
              <w:t>Payment of Principal, Premium and Interest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4.02</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Maintenance of Office or Agency</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4.03</w:t>
            </w:r>
          </w:p>
        </w:tc>
        <w:tc>
          <w:tcPr>
            <w:tcW w:w="8380" w:type="dxa"/>
            <w:vAlign w:val="bottom"/>
          </w:tcPr>
          <w:p>
            <w:pPr>
              <w:ind w:left="400"/>
              <w:spacing w:after="0"/>
              <w:rPr>
                <w:sz w:val="20"/>
                <w:szCs w:val="20"/>
                <w:color w:val="auto"/>
              </w:rPr>
            </w:pPr>
            <w:r>
              <w:rPr>
                <w:rFonts w:ascii="Arial" w:cs="Arial" w:eastAsia="Arial" w:hAnsi="Arial"/>
                <w:sz w:val="18"/>
                <w:szCs w:val="18"/>
                <w:color w:val="auto"/>
              </w:rPr>
              <w:t>Paying Agents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4.04</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Appointment to Fill Vacancy in Office of Trustee</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4.05</w:t>
            </w:r>
          </w:p>
        </w:tc>
        <w:tc>
          <w:tcPr>
            <w:tcW w:w="8380" w:type="dxa"/>
            <w:vAlign w:val="bottom"/>
          </w:tcPr>
          <w:p>
            <w:pPr>
              <w:ind w:left="400"/>
              <w:spacing w:after="0"/>
              <w:rPr>
                <w:sz w:val="20"/>
                <w:szCs w:val="20"/>
                <w:color w:val="auto"/>
              </w:rPr>
            </w:pPr>
            <w:r>
              <w:rPr>
                <w:rFonts w:ascii="Arial" w:cs="Arial" w:eastAsia="Arial" w:hAnsi="Arial"/>
                <w:sz w:val="18"/>
                <w:szCs w:val="18"/>
                <w:color w:val="auto"/>
              </w:rPr>
              <w:t>Compliance with Consolidation Provisions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gridSpan w:val="2"/>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ARTICLE V SECURITYHOLDERS’ LISTS AND REPORTS BY THE COMPANY AND THE TRUSTEE</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5.01</w:t>
            </w:r>
          </w:p>
        </w:tc>
        <w:tc>
          <w:tcPr>
            <w:tcW w:w="8380" w:type="dxa"/>
            <w:vAlign w:val="bottom"/>
          </w:tcPr>
          <w:p>
            <w:pPr>
              <w:ind w:left="40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5.02</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Preservation of Information; Communications with Securityholders</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5.03</w:t>
            </w:r>
          </w:p>
        </w:tc>
        <w:tc>
          <w:tcPr>
            <w:tcW w:w="8380" w:type="dxa"/>
            <w:vAlign w:val="bottom"/>
          </w:tcPr>
          <w:p>
            <w:pPr>
              <w:ind w:left="400"/>
              <w:spacing w:after="0"/>
              <w:rPr>
                <w:sz w:val="20"/>
                <w:szCs w:val="20"/>
                <w:color w:val="auto"/>
              </w:rPr>
            </w:pPr>
            <w:r>
              <w:rPr>
                <w:rFonts w:ascii="Arial" w:cs="Arial" w:eastAsia="Arial" w:hAnsi="Arial"/>
                <w:sz w:val="18"/>
                <w:szCs w:val="18"/>
                <w:color w:val="auto"/>
              </w:rPr>
              <w:t>Reports by the Company</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5.04</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Reports by the Trustee</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0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REMEDIES OF THE TRUSTEE AND SECURITYHOLDERS ON EVENT OF DEFAULT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6.01</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Events of Default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6.02</w:t>
            </w:r>
          </w:p>
        </w:tc>
        <w:tc>
          <w:tcPr>
            <w:tcW w:w="8380" w:type="dxa"/>
            <w:vAlign w:val="bottom"/>
          </w:tcPr>
          <w:p>
            <w:pPr>
              <w:ind w:left="400"/>
              <w:spacing w:after="0"/>
              <w:rPr>
                <w:sz w:val="20"/>
                <w:szCs w:val="20"/>
                <w:color w:val="auto"/>
              </w:rPr>
            </w:pPr>
            <w:r>
              <w:rPr>
                <w:rFonts w:ascii="Arial" w:cs="Arial" w:eastAsia="Arial" w:hAnsi="Arial"/>
                <w:sz w:val="18"/>
                <w:szCs w:val="18"/>
                <w:color w:val="auto"/>
              </w:rPr>
              <w:t>Collection of Indebtedness and Suits for Enforcement by Trustee</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6.03</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Application of Moneys Collected</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6.04</w:t>
            </w:r>
          </w:p>
        </w:tc>
        <w:tc>
          <w:tcPr>
            <w:tcW w:w="8380" w:type="dxa"/>
            <w:vAlign w:val="bottom"/>
          </w:tcPr>
          <w:p>
            <w:pPr>
              <w:ind w:left="400"/>
              <w:spacing w:after="0"/>
              <w:rPr>
                <w:sz w:val="20"/>
                <w:szCs w:val="20"/>
                <w:color w:val="auto"/>
              </w:rPr>
            </w:pPr>
            <w:r>
              <w:rPr>
                <w:rFonts w:ascii="Arial" w:cs="Arial" w:eastAsia="Arial" w:hAnsi="Arial"/>
                <w:sz w:val="18"/>
                <w:szCs w:val="18"/>
                <w:color w:val="auto"/>
              </w:rPr>
              <w:t>Limitation on Suits.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6.05</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Rights and Remedies Cumulative; Delay or Omission Not Waiver.</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6.06</w:t>
            </w:r>
          </w:p>
        </w:tc>
        <w:tc>
          <w:tcPr>
            <w:tcW w:w="8380" w:type="dxa"/>
            <w:vAlign w:val="bottom"/>
          </w:tcPr>
          <w:p>
            <w:pPr>
              <w:ind w:left="400"/>
              <w:spacing w:after="0"/>
              <w:rPr>
                <w:sz w:val="20"/>
                <w:szCs w:val="20"/>
                <w:color w:val="auto"/>
              </w:rPr>
            </w:pPr>
            <w:r>
              <w:rPr>
                <w:rFonts w:ascii="Arial" w:cs="Arial" w:eastAsia="Arial" w:hAnsi="Arial"/>
                <w:sz w:val="18"/>
                <w:szCs w:val="18"/>
                <w:color w:val="auto"/>
              </w:rPr>
              <w:t>Control by Securityholders.</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6.07</w:t>
            </w: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Undertaking to Pay Costs.</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CONCERNING THE TRUSTEE</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7.01</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Certain Duties and Responsibilities of Trustee.</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7.02</w:t>
            </w:r>
          </w:p>
        </w:tc>
        <w:tc>
          <w:tcPr>
            <w:tcW w:w="7580" w:type="dxa"/>
            <w:vAlign w:val="bottom"/>
          </w:tcPr>
          <w:p>
            <w:pPr>
              <w:ind w:left="360"/>
              <w:spacing w:after="0"/>
              <w:rPr>
                <w:sz w:val="20"/>
                <w:szCs w:val="20"/>
                <w:color w:val="auto"/>
              </w:rPr>
            </w:pPr>
            <w:r>
              <w:rPr>
                <w:rFonts w:ascii="Arial" w:cs="Arial" w:eastAsia="Arial" w:hAnsi="Arial"/>
                <w:sz w:val="18"/>
                <w:szCs w:val="18"/>
                <w:color w:val="auto"/>
              </w:rPr>
              <w:t>Certain Rights of Trustee.</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7.03</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Trustee Not Responsible for Recitals or Issuance of Securities.</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7.04</w:t>
            </w:r>
          </w:p>
        </w:tc>
        <w:tc>
          <w:tcPr>
            <w:tcW w:w="7580" w:type="dxa"/>
            <w:vAlign w:val="bottom"/>
          </w:tcPr>
          <w:p>
            <w:pPr>
              <w:ind w:left="360"/>
              <w:spacing w:after="0"/>
              <w:rPr>
                <w:sz w:val="20"/>
                <w:szCs w:val="20"/>
                <w:color w:val="auto"/>
              </w:rPr>
            </w:pPr>
            <w:r>
              <w:rPr>
                <w:rFonts w:ascii="Arial" w:cs="Arial" w:eastAsia="Arial" w:hAnsi="Arial"/>
                <w:sz w:val="18"/>
                <w:szCs w:val="18"/>
                <w:color w:val="auto"/>
              </w:rPr>
              <w:t>May Hold Securities.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7.05</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Moneys Held in Trust.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7.06</w:t>
            </w:r>
          </w:p>
        </w:tc>
        <w:tc>
          <w:tcPr>
            <w:tcW w:w="7580" w:type="dxa"/>
            <w:vAlign w:val="bottom"/>
          </w:tcPr>
          <w:p>
            <w:pPr>
              <w:ind w:left="360"/>
              <w:spacing w:after="0"/>
              <w:rPr>
                <w:sz w:val="20"/>
                <w:szCs w:val="20"/>
                <w:color w:val="auto"/>
              </w:rPr>
            </w:pPr>
            <w:r>
              <w:rPr>
                <w:rFonts w:ascii="Arial" w:cs="Arial" w:eastAsia="Arial" w:hAnsi="Arial"/>
                <w:sz w:val="18"/>
                <w:szCs w:val="18"/>
                <w:color w:val="auto"/>
              </w:rPr>
              <w:t>Compensation and Reimbursement.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7.07</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Reliance on Officers’ Certificate.</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7.08</w:t>
            </w:r>
          </w:p>
        </w:tc>
        <w:tc>
          <w:tcPr>
            <w:tcW w:w="7580" w:type="dxa"/>
            <w:vAlign w:val="bottom"/>
          </w:tcPr>
          <w:p>
            <w:pPr>
              <w:ind w:left="360"/>
              <w:spacing w:after="0"/>
              <w:rPr>
                <w:sz w:val="20"/>
                <w:szCs w:val="20"/>
                <w:color w:val="auto"/>
              </w:rPr>
            </w:pPr>
            <w:r>
              <w:rPr>
                <w:rFonts w:ascii="Arial" w:cs="Arial" w:eastAsia="Arial" w:hAnsi="Arial"/>
                <w:sz w:val="18"/>
                <w:szCs w:val="18"/>
                <w:color w:val="auto"/>
              </w:rPr>
              <w:t>Disqualification; Conflicting Interests.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7.09</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Trustee Required; Eligibility.</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7.10</w:t>
            </w:r>
          </w:p>
        </w:tc>
        <w:tc>
          <w:tcPr>
            <w:tcW w:w="7580" w:type="dxa"/>
            <w:vAlign w:val="bottom"/>
          </w:tcPr>
          <w:p>
            <w:pPr>
              <w:ind w:left="360"/>
              <w:spacing w:after="0"/>
              <w:rPr>
                <w:sz w:val="20"/>
                <w:szCs w:val="20"/>
                <w:color w:val="auto"/>
              </w:rPr>
            </w:pPr>
            <w:r>
              <w:rPr>
                <w:rFonts w:ascii="Arial" w:cs="Arial" w:eastAsia="Arial" w:hAnsi="Arial"/>
                <w:sz w:val="18"/>
                <w:szCs w:val="18"/>
                <w:color w:val="auto"/>
              </w:rPr>
              <w:t>Resignation and Removal; Appointment of Successor.</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7.11</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Acceptance of Appointment By Successor.</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7.12</w:t>
            </w:r>
          </w:p>
        </w:tc>
        <w:tc>
          <w:tcPr>
            <w:tcW w:w="7580" w:type="dxa"/>
            <w:vAlign w:val="bottom"/>
          </w:tcPr>
          <w:p>
            <w:pPr>
              <w:ind w:left="360"/>
              <w:spacing w:after="0"/>
              <w:rPr>
                <w:sz w:val="20"/>
                <w:szCs w:val="20"/>
                <w:color w:val="auto"/>
              </w:rPr>
            </w:pPr>
            <w:r>
              <w:rPr>
                <w:rFonts w:ascii="Arial" w:cs="Arial" w:eastAsia="Arial" w:hAnsi="Arial"/>
                <w:sz w:val="18"/>
                <w:szCs w:val="18"/>
                <w:color w:val="auto"/>
              </w:rPr>
              <w:t>Merger, Conversion, Consolidation or Succession to Business.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7.13</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Preferential Collection of Claims Against the Company.</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CONCERNING THE SECURITYHOLDERS</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8.01</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Evidence of Action by Securityholders.</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8.02</w:t>
            </w:r>
          </w:p>
        </w:tc>
        <w:tc>
          <w:tcPr>
            <w:tcW w:w="7580" w:type="dxa"/>
            <w:vAlign w:val="bottom"/>
          </w:tcPr>
          <w:p>
            <w:pPr>
              <w:ind w:left="360"/>
              <w:spacing w:after="0"/>
              <w:rPr>
                <w:sz w:val="20"/>
                <w:szCs w:val="20"/>
                <w:color w:val="auto"/>
              </w:rPr>
            </w:pPr>
            <w:r>
              <w:rPr>
                <w:rFonts w:ascii="Arial" w:cs="Arial" w:eastAsia="Arial" w:hAnsi="Arial"/>
                <w:sz w:val="18"/>
                <w:szCs w:val="18"/>
                <w:color w:val="auto"/>
              </w:rPr>
              <w:t>Proof of Execution by Securityholders.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8.03</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Who May be Deemed Owners.</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8.04</w:t>
            </w:r>
          </w:p>
        </w:tc>
        <w:tc>
          <w:tcPr>
            <w:tcW w:w="7580" w:type="dxa"/>
            <w:vAlign w:val="bottom"/>
          </w:tcPr>
          <w:p>
            <w:pPr>
              <w:ind w:left="360"/>
              <w:spacing w:after="0"/>
              <w:rPr>
                <w:sz w:val="20"/>
                <w:szCs w:val="20"/>
                <w:color w:val="auto"/>
              </w:rPr>
            </w:pPr>
            <w:r>
              <w:rPr>
                <w:rFonts w:ascii="Arial" w:cs="Arial" w:eastAsia="Arial" w:hAnsi="Arial"/>
                <w:sz w:val="18"/>
                <w:szCs w:val="18"/>
                <w:color w:val="auto"/>
              </w:rPr>
              <w:t>Certain Securities Owned by Company Disregarded.</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8.05</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Actions Binding on Future Securityholders.</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8.06</w:t>
            </w:r>
          </w:p>
        </w:tc>
        <w:tc>
          <w:tcPr>
            <w:tcW w:w="7580" w:type="dxa"/>
            <w:vAlign w:val="bottom"/>
          </w:tcPr>
          <w:p>
            <w:pPr>
              <w:ind w:left="360"/>
              <w:spacing w:after="0"/>
              <w:rPr>
                <w:sz w:val="20"/>
                <w:szCs w:val="20"/>
                <w:color w:val="auto"/>
              </w:rPr>
            </w:pPr>
            <w:r>
              <w:rPr>
                <w:rFonts w:ascii="Arial" w:cs="Arial" w:eastAsia="Arial" w:hAnsi="Arial"/>
                <w:sz w:val="18"/>
                <w:szCs w:val="18"/>
                <w:color w:val="auto"/>
              </w:rPr>
              <w:t>Purposes for Which Meetings May Be Called.</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8.07</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Call Notice and Place of Meetings.</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8.08</w:t>
            </w:r>
          </w:p>
        </w:tc>
        <w:tc>
          <w:tcPr>
            <w:tcW w:w="7580" w:type="dxa"/>
            <w:vAlign w:val="bottom"/>
          </w:tcPr>
          <w:p>
            <w:pPr>
              <w:ind w:left="360"/>
              <w:spacing w:after="0"/>
              <w:rPr>
                <w:sz w:val="20"/>
                <w:szCs w:val="20"/>
                <w:color w:val="auto"/>
              </w:rPr>
            </w:pPr>
            <w:r>
              <w:rPr>
                <w:rFonts w:ascii="Arial" w:cs="Arial" w:eastAsia="Arial" w:hAnsi="Arial"/>
                <w:sz w:val="18"/>
                <w:szCs w:val="18"/>
                <w:color w:val="auto"/>
              </w:rPr>
              <w:t>Persons Entitled To Vote at Meetings.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8.09</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Quorum; Action.</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8.10</w:t>
            </w:r>
          </w:p>
        </w:tc>
        <w:tc>
          <w:tcPr>
            <w:tcW w:w="7580" w:type="dxa"/>
            <w:vAlign w:val="bottom"/>
          </w:tcPr>
          <w:p>
            <w:pPr>
              <w:ind w:left="36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8.11</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Counting Votes and Recording Action of Meetings.</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SUPPLEMENTAL INDENTURES</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9.01</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Supplemental Indentures Without the Consent of Securityholders.</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9.02</w:t>
            </w:r>
          </w:p>
        </w:tc>
        <w:tc>
          <w:tcPr>
            <w:tcW w:w="7580" w:type="dxa"/>
            <w:vAlign w:val="bottom"/>
          </w:tcPr>
          <w:p>
            <w:pPr>
              <w:ind w:left="360"/>
              <w:spacing w:after="0"/>
              <w:rPr>
                <w:sz w:val="20"/>
                <w:szCs w:val="20"/>
                <w:color w:val="auto"/>
              </w:rPr>
            </w:pPr>
            <w:r>
              <w:rPr>
                <w:rFonts w:ascii="Arial" w:cs="Arial" w:eastAsia="Arial" w:hAnsi="Arial"/>
                <w:sz w:val="18"/>
                <w:szCs w:val="18"/>
                <w:color w:val="auto"/>
              </w:rPr>
              <w:t>Supplemental Indentures With Consent of Securityholders.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9.03</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Supplemental Indentures.</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9.04</w:t>
            </w:r>
          </w:p>
        </w:tc>
        <w:tc>
          <w:tcPr>
            <w:tcW w:w="7580" w:type="dxa"/>
            <w:vAlign w:val="bottom"/>
          </w:tcPr>
          <w:p>
            <w:pPr>
              <w:ind w:left="360"/>
              <w:spacing w:after="0"/>
              <w:rPr>
                <w:sz w:val="20"/>
                <w:szCs w:val="20"/>
                <w:color w:val="auto"/>
              </w:rPr>
            </w:pPr>
            <w:r>
              <w:rPr>
                <w:rFonts w:ascii="Arial" w:cs="Arial" w:eastAsia="Arial" w:hAnsi="Arial"/>
                <w:sz w:val="18"/>
                <w:szCs w:val="18"/>
                <w:color w:val="auto"/>
              </w:rPr>
              <w:t>Securities Affected by Supplemental Indentures.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9.05</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Execution of Supplemental Indentures.</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SUCCESSOR ENTITY</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10.01</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Company May Consolidate, Etc.</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10.02</w:t>
            </w:r>
          </w:p>
        </w:tc>
        <w:tc>
          <w:tcPr>
            <w:tcW w:w="7580" w:type="dxa"/>
            <w:vAlign w:val="bottom"/>
          </w:tcPr>
          <w:p>
            <w:pPr>
              <w:ind w:left="360"/>
              <w:spacing w:after="0"/>
              <w:rPr>
                <w:sz w:val="20"/>
                <w:szCs w:val="20"/>
                <w:color w:val="auto"/>
              </w:rPr>
            </w:pPr>
            <w:r>
              <w:rPr>
                <w:rFonts w:ascii="Arial" w:cs="Arial" w:eastAsia="Arial" w:hAnsi="Arial"/>
                <w:sz w:val="18"/>
                <w:szCs w:val="18"/>
                <w:color w:val="auto"/>
              </w:rPr>
              <w:t>Successor Entity Substituted.</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10.03</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Evidence of Consolidation, Etc. to Trustee.</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40" w:type="dxa"/>
            <w:vAlign w:val="bottom"/>
            <w:gridSpan w:val="2"/>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 SATISFACTION AND DISCHARGE</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11.01</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Satisfaction and Discharge of Indenture.</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11.02</w:t>
            </w:r>
          </w:p>
        </w:tc>
        <w:tc>
          <w:tcPr>
            <w:tcW w:w="7580" w:type="dxa"/>
            <w:vAlign w:val="bottom"/>
          </w:tcPr>
          <w:p>
            <w:pPr>
              <w:ind w:left="360"/>
              <w:spacing w:after="0"/>
              <w:rPr>
                <w:sz w:val="20"/>
                <w:szCs w:val="20"/>
                <w:color w:val="auto"/>
              </w:rPr>
            </w:pPr>
            <w:r>
              <w:rPr>
                <w:rFonts w:ascii="Arial" w:cs="Arial" w:eastAsia="Arial" w:hAnsi="Arial"/>
                <w:sz w:val="18"/>
                <w:szCs w:val="18"/>
                <w:color w:val="auto"/>
              </w:rPr>
              <w:t>Discharge of Obligations.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11.03</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Deposited Moneys to be Held in Trust.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11.04</w:t>
            </w:r>
          </w:p>
        </w:tc>
        <w:tc>
          <w:tcPr>
            <w:tcW w:w="7580" w:type="dxa"/>
            <w:vAlign w:val="bottom"/>
          </w:tcPr>
          <w:p>
            <w:pPr>
              <w:ind w:left="360"/>
              <w:spacing w:after="0"/>
              <w:rPr>
                <w:sz w:val="20"/>
                <w:szCs w:val="20"/>
                <w:color w:val="auto"/>
              </w:rPr>
            </w:pPr>
            <w:r>
              <w:rPr>
                <w:rFonts w:ascii="Arial" w:cs="Arial" w:eastAsia="Arial" w:hAnsi="Arial"/>
                <w:sz w:val="18"/>
                <w:szCs w:val="18"/>
                <w:color w:val="auto"/>
              </w:rPr>
              <w:t>Payment of Moneys Held by Paying Agents.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11.05</w:t>
            </w:r>
          </w:p>
        </w:tc>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to Company.</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XII IMMUNITY OF INCORPORATORS, STOCKHOLDERS, OFFICERS AND DIRECTORS</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12.01</w:t>
            </w:r>
          </w:p>
        </w:tc>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Recourse.</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XIII MISCELLANEOUS PROVISIONS</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13.01</w:t>
            </w:r>
          </w:p>
        </w:tc>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on Successors and Assigns.</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13.02</w:t>
            </w:r>
          </w:p>
        </w:tc>
        <w:tc>
          <w:tcPr>
            <w:tcW w:w="7860" w:type="dxa"/>
            <w:vAlign w:val="bottom"/>
          </w:tcPr>
          <w:p>
            <w:pPr>
              <w:ind w:left="360"/>
              <w:spacing w:after="0"/>
              <w:rPr>
                <w:sz w:val="20"/>
                <w:szCs w:val="20"/>
                <w:color w:val="auto"/>
              </w:rPr>
            </w:pPr>
            <w:r>
              <w:rPr>
                <w:rFonts w:ascii="Arial" w:cs="Arial" w:eastAsia="Arial" w:hAnsi="Arial"/>
                <w:sz w:val="18"/>
                <w:szCs w:val="18"/>
                <w:color w:val="auto"/>
              </w:rPr>
              <w:t>Actions by Successor.</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13.03</w:t>
            </w:r>
          </w:p>
        </w:tc>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Surrender of Company Powers.</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13.04</w:t>
            </w:r>
          </w:p>
        </w:tc>
        <w:tc>
          <w:tcPr>
            <w:tcW w:w="7860" w:type="dxa"/>
            <w:vAlign w:val="bottom"/>
          </w:tcPr>
          <w:p>
            <w:pPr>
              <w:ind w:left="360"/>
              <w:spacing w:after="0"/>
              <w:rPr>
                <w:sz w:val="20"/>
                <w:szCs w:val="20"/>
                <w:color w:val="auto"/>
              </w:rPr>
            </w:pPr>
            <w:r>
              <w:rPr>
                <w:rFonts w:ascii="Arial" w:cs="Arial" w:eastAsia="Arial" w:hAnsi="Arial"/>
                <w:sz w:val="18"/>
                <w:szCs w:val="18"/>
                <w:color w:val="auto"/>
              </w:rPr>
              <w:t>Notices.</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13.05</w:t>
            </w:r>
          </w:p>
        </w:tc>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Governing Law.</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13.06</w:t>
            </w:r>
          </w:p>
        </w:tc>
        <w:tc>
          <w:tcPr>
            <w:tcW w:w="7860" w:type="dxa"/>
            <w:vAlign w:val="bottom"/>
          </w:tcPr>
          <w:p>
            <w:pPr>
              <w:ind w:left="360"/>
              <w:spacing w:after="0"/>
              <w:rPr>
                <w:sz w:val="20"/>
                <w:szCs w:val="20"/>
                <w:color w:val="auto"/>
              </w:rPr>
            </w:pPr>
            <w:r>
              <w:rPr>
                <w:rFonts w:ascii="Arial" w:cs="Arial" w:eastAsia="Arial" w:hAnsi="Arial"/>
                <w:sz w:val="18"/>
                <w:szCs w:val="18"/>
                <w:color w:val="auto"/>
              </w:rPr>
              <w:t>Treatment of Securities as Debt.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13.07</w:t>
            </w:r>
          </w:p>
        </w:tc>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Compliance Certificates and Opinions.</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13.08</w:t>
            </w:r>
          </w:p>
        </w:tc>
        <w:tc>
          <w:tcPr>
            <w:tcW w:w="7860" w:type="dxa"/>
            <w:vAlign w:val="bottom"/>
          </w:tcPr>
          <w:p>
            <w:pPr>
              <w:ind w:left="360"/>
              <w:spacing w:after="0"/>
              <w:rPr>
                <w:sz w:val="20"/>
                <w:szCs w:val="20"/>
                <w:color w:val="auto"/>
              </w:rPr>
            </w:pPr>
            <w:r>
              <w:rPr>
                <w:rFonts w:ascii="Arial" w:cs="Arial" w:eastAsia="Arial" w:hAnsi="Arial"/>
                <w:sz w:val="18"/>
                <w:szCs w:val="18"/>
                <w:color w:val="auto"/>
              </w:rPr>
              <w:t>Payments on Business Days.</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13.09</w:t>
            </w:r>
          </w:p>
        </w:tc>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Conflict with Trust Indenture Act.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13.10</w:t>
            </w:r>
          </w:p>
        </w:tc>
        <w:tc>
          <w:tcPr>
            <w:tcW w:w="786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13.11</w:t>
            </w:r>
          </w:p>
        </w:tc>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Separability.</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13.12</w:t>
            </w:r>
          </w:p>
        </w:tc>
        <w:tc>
          <w:tcPr>
            <w:tcW w:w="7860" w:type="dxa"/>
            <w:vAlign w:val="bottom"/>
          </w:tcPr>
          <w:p>
            <w:pPr>
              <w:ind w:left="360"/>
              <w:spacing w:after="0"/>
              <w:rPr>
                <w:sz w:val="20"/>
                <w:szCs w:val="20"/>
                <w:color w:val="auto"/>
              </w:rPr>
            </w:pPr>
            <w:r>
              <w:rPr>
                <w:rFonts w:ascii="Arial" w:cs="Arial" w:eastAsia="Arial" w:hAnsi="Arial"/>
                <w:sz w:val="18"/>
                <w:szCs w:val="18"/>
                <w:color w:val="auto"/>
              </w:rPr>
              <w:t>Assignment.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Table of Contents does not constitute part of the Indenture and shall not have any bearing on the interpretation of any of its terms and provisions.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INDENTURE, dated as of [ ], by and between XpresSpa Group, Inc., a Delaware corporation (the “Company”), and [ ], as trustee (the “Trustee”):</w:t>
      </w:r>
    </w:p>
    <w:p>
      <w:pPr>
        <w:spacing w:after="0" w:line="23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1.01 Definitions of Terms.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“Certificate” means a certificate signed by the principal executive officer, the principal financial officer or the principal accounting officer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need not comply with the provisions of Section 13.07.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 means the Securities and Exchange Commission.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46" w:name="page47"/>
    <w:bookmarkEnd w:id="46"/>
    <w:p>
      <w:pPr>
        <w:ind w:right="20"/>
        <w:spacing w:after="0" w:line="290"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right="1000"/>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Register” has the meaning specified in Section 2.05.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Registrar” has the meaning specified in Section 2.05.</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8" w:name="page49"/>
    <w:bookmarkEnd w:id="48"/>
    <w:p>
      <w:pPr>
        <w:ind w:right="140"/>
        <w:spacing w:after="0" w:line="286" w:lineRule="auto"/>
        <w:rPr>
          <w:sz w:val="20"/>
          <w:szCs w:val="20"/>
          <w:color w:val="auto"/>
        </w:rPr>
      </w:pPr>
      <w:r>
        <w:rPr>
          <w:rFonts w:ascii="Arial" w:cs="Arial" w:eastAsia="Arial" w:hAnsi="Arial"/>
          <w:sz w:val="17"/>
          <w:szCs w:val="17"/>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66"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ISSUE, DESCRIPTION, TERMS, EXECUTION,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REGISTRATION AND EXCHANGE OF SECURITIES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Designation and Terms of Securities.</w:t>
      </w:r>
    </w:p>
    <w:p>
      <w:pPr>
        <w:spacing w:after="0" w:line="225" w:lineRule="exact"/>
        <w:rPr>
          <w:sz w:val="20"/>
          <w:szCs w:val="20"/>
          <w:color w:val="auto"/>
        </w:rPr>
      </w:pPr>
    </w:p>
    <w:p>
      <w:pPr>
        <w:ind w:left="660" w:hanging="652"/>
        <w:spacing w:after="0" w:line="25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8" w:lineRule="exact"/>
        <w:rPr>
          <w:rFonts w:ascii="Arial" w:cs="Arial" w:eastAsia="Arial" w:hAnsi="Arial"/>
          <w:sz w:val="18"/>
          <w:szCs w:val="18"/>
          <w:color w:val="auto"/>
        </w:rPr>
      </w:pPr>
    </w:p>
    <w:p>
      <w:pPr>
        <w:ind w:left="1160" w:hanging="463"/>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title of the Security of the series (which shall distinguish the Securities of the series from all other Securities);</w:t>
      </w:r>
    </w:p>
    <w:p>
      <w:pPr>
        <w:spacing w:after="0" w:line="225" w:lineRule="exact"/>
        <w:rPr>
          <w:rFonts w:ascii="Arial" w:cs="Arial" w:eastAsia="Arial" w:hAnsi="Arial"/>
          <w:sz w:val="18"/>
          <w:szCs w:val="18"/>
          <w:color w:val="auto"/>
        </w:rPr>
      </w:pPr>
    </w:p>
    <w:p>
      <w:pPr>
        <w:jc w:val="both"/>
        <w:ind w:left="1160" w:right="140" w:hanging="463"/>
        <w:spacing w:after="0" w:line="264" w:lineRule="auto"/>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81" w:lineRule="exact"/>
        <w:rPr>
          <w:rFonts w:ascii="Arial" w:cs="Arial" w:eastAsia="Arial" w:hAnsi="Arial"/>
          <w:sz w:val="18"/>
          <w:szCs w:val="18"/>
          <w:color w:val="auto"/>
        </w:rPr>
      </w:pPr>
    </w:p>
    <w:p>
      <w:pPr>
        <w:ind w:left="1160" w:right="280" w:hanging="463"/>
        <w:spacing w:after="0" w:line="277" w:lineRule="auto"/>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1160" w:hanging="463"/>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and the place(s) of payment;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9" w:name="page50"/>
    <w:bookmarkEnd w:id="49"/>
    <w:p>
      <w:pPr>
        <w:ind w:left="463" w:hanging="463"/>
        <w:spacing w:after="0"/>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or the manner of calculation of such rate or rates, if any;</w:t>
      </w:r>
    </w:p>
    <w:p>
      <w:pPr>
        <w:spacing w:after="0" w:line="225" w:lineRule="exact"/>
        <w:rPr>
          <w:rFonts w:ascii="Arial" w:cs="Arial" w:eastAsia="Arial" w:hAnsi="Arial"/>
          <w:sz w:val="18"/>
          <w:szCs w:val="18"/>
          <w:color w:val="auto"/>
        </w:rPr>
      </w:pPr>
    </w:p>
    <w:p>
      <w:pPr>
        <w:ind w:left="463" w:right="80" w:hanging="463"/>
        <w:spacing w:after="0" w:line="286" w:lineRule="auto"/>
        <w:tabs>
          <w:tab w:leader="none" w:pos="46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65" w:lineRule="exact"/>
        <w:rPr>
          <w:rFonts w:ascii="Arial" w:cs="Arial" w:eastAsia="Arial" w:hAnsi="Arial"/>
          <w:sz w:val="17"/>
          <w:szCs w:val="17"/>
          <w:color w:val="auto"/>
        </w:rPr>
      </w:pPr>
    </w:p>
    <w:p>
      <w:pPr>
        <w:ind w:left="463" w:hanging="463"/>
        <w:spacing w:after="0"/>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or to defer the payment of interest and the duration of such extension;</w:t>
      </w:r>
    </w:p>
    <w:p>
      <w:pPr>
        <w:spacing w:after="0" w:line="225" w:lineRule="exact"/>
        <w:rPr>
          <w:rFonts w:ascii="Arial" w:cs="Arial" w:eastAsia="Arial" w:hAnsi="Arial"/>
          <w:sz w:val="18"/>
          <w:szCs w:val="18"/>
          <w:color w:val="auto"/>
        </w:rPr>
      </w:pPr>
    </w:p>
    <w:p>
      <w:pPr>
        <w:ind w:left="463" w:right="380" w:hanging="463"/>
        <w:spacing w:after="0" w:line="277" w:lineRule="auto"/>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ind w:left="463" w:right="280" w:hanging="463"/>
        <w:spacing w:after="0" w:line="259" w:lineRule="auto"/>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6" w:lineRule="exact"/>
        <w:rPr>
          <w:rFonts w:ascii="Arial" w:cs="Arial" w:eastAsia="Arial" w:hAnsi="Arial"/>
          <w:sz w:val="18"/>
          <w:szCs w:val="18"/>
          <w:color w:val="auto"/>
        </w:rPr>
      </w:pPr>
    </w:p>
    <w:p>
      <w:pPr>
        <w:ind w:left="463" w:hanging="463"/>
        <w:spacing w:after="0"/>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463" w:hanging="463"/>
        <w:spacing w:after="0"/>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left="463" w:right="60" w:hanging="463"/>
        <w:spacing w:after="0" w:line="277" w:lineRule="auto"/>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70" w:lineRule="exact"/>
        <w:rPr>
          <w:rFonts w:ascii="Arial" w:cs="Arial" w:eastAsia="Arial" w:hAnsi="Arial"/>
          <w:sz w:val="18"/>
          <w:szCs w:val="18"/>
          <w:color w:val="auto"/>
        </w:rPr>
      </w:pPr>
    </w:p>
    <w:p>
      <w:pPr>
        <w:ind w:left="463" w:right="80" w:hanging="463"/>
        <w:spacing w:after="0" w:line="264" w:lineRule="auto"/>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81" w:lineRule="exact"/>
        <w:rPr>
          <w:rFonts w:ascii="Arial" w:cs="Arial" w:eastAsia="Arial" w:hAnsi="Arial"/>
          <w:sz w:val="18"/>
          <w:szCs w:val="18"/>
          <w:color w:val="auto"/>
        </w:rPr>
      </w:pPr>
    </w:p>
    <w:p>
      <w:pPr>
        <w:ind w:left="463" w:hanging="463"/>
        <w:spacing w:after="0"/>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Securities are issuable as a Global Security and, in such case, the identity of the Depositary for such series;</w:t>
      </w:r>
    </w:p>
    <w:p>
      <w:pPr>
        <w:spacing w:after="0" w:line="225" w:lineRule="exact"/>
        <w:rPr>
          <w:rFonts w:ascii="Arial" w:cs="Arial" w:eastAsia="Arial" w:hAnsi="Arial"/>
          <w:sz w:val="18"/>
          <w:szCs w:val="18"/>
          <w:color w:val="auto"/>
        </w:rPr>
      </w:pPr>
    </w:p>
    <w:p>
      <w:pPr>
        <w:ind w:left="463" w:hanging="463"/>
        <w:spacing w:after="0" w:line="277" w:lineRule="auto"/>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70" w:lineRule="exact"/>
        <w:rPr>
          <w:rFonts w:ascii="Arial" w:cs="Arial" w:eastAsia="Arial" w:hAnsi="Arial"/>
          <w:sz w:val="18"/>
          <w:szCs w:val="18"/>
          <w:color w:val="auto"/>
        </w:rPr>
      </w:pPr>
    </w:p>
    <w:p>
      <w:pPr>
        <w:ind w:left="463" w:right="680" w:hanging="463"/>
        <w:spacing w:after="0" w:line="277" w:lineRule="auto"/>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 and</w:t>
      </w:r>
    </w:p>
    <w:p>
      <w:pPr>
        <w:spacing w:after="0" w:line="170" w:lineRule="exact"/>
        <w:rPr>
          <w:rFonts w:ascii="Arial" w:cs="Arial" w:eastAsia="Arial" w:hAnsi="Arial"/>
          <w:sz w:val="18"/>
          <w:szCs w:val="18"/>
          <w:color w:val="auto"/>
        </w:rPr>
      </w:pPr>
    </w:p>
    <w:p>
      <w:pPr>
        <w:ind w:left="463" w:hanging="463"/>
        <w:spacing w:after="0"/>
        <w:tabs>
          <w:tab w:leader="none" w:pos="4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additional or different Events of Default or restrictive covenants provided for with respect to the Securities of the series.</w:t>
      </w:r>
    </w:p>
    <w:p>
      <w:pPr>
        <w:spacing w:after="0" w:line="200" w:lineRule="exact"/>
        <w:rPr>
          <w:sz w:val="20"/>
          <w:szCs w:val="20"/>
          <w:color w:val="auto"/>
        </w:rPr>
      </w:pPr>
    </w:p>
    <w:p>
      <w:pPr>
        <w:spacing w:after="0" w:line="241" w:lineRule="exact"/>
        <w:rPr>
          <w:sz w:val="20"/>
          <w:szCs w:val="20"/>
          <w:color w:val="auto"/>
        </w:rPr>
      </w:pPr>
    </w:p>
    <w:p>
      <w:pPr>
        <w:ind w:left="496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3"/>
          </w:cols>
          <w:pgMar w:left="937" w:top="908" w:right="299" w:bottom="1440" w:gutter="0" w:footer="0" w:header="0"/>
        </w:sectPr>
      </w:pPr>
    </w:p>
    <w:bookmarkStart w:id="50" w:name="page51"/>
    <w:bookmarkEnd w:id="50"/>
    <w:p>
      <w:pPr>
        <w:ind w:right="6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Form of Securities and Trustee’s Certificate.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color w:val="auto"/>
        </w:rPr>
        <w:t>Denominations: Provisions for Payment.</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1" w:name="page52"/>
    <w:bookmarkEnd w:id="51"/>
    <w:p>
      <w:pPr>
        <w:spacing w:after="0" w:line="257" w:lineRule="auto"/>
        <w:rPr>
          <w:sz w:val="20"/>
          <w:szCs w:val="20"/>
          <w:color w:val="auto"/>
        </w:rPr>
      </w:pPr>
      <w:r>
        <w:rPr>
          <w:rFonts w:ascii="Arial" w:cs="Arial" w:eastAsia="Arial" w:hAnsi="Arial"/>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6" w:lineRule="exact"/>
        <w:rPr>
          <w:sz w:val="20"/>
          <w:szCs w:val="20"/>
          <w:color w:val="auto"/>
        </w:rPr>
      </w:pPr>
    </w:p>
    <w:p>
      <w:pPr>
        <w:ind w:left="1160" w:right="100" w:hanging="463"/>
        <w:spacing w:after="0" w:line="286" w:lineRule="auto"/>
        <w:tabs>
          <w:tab w:leader="none" w:pos="11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71" w:lineRule="exact"/>
        <w:rPr>
          <w:rFonts w:ascii="Arial" w:cs="Arial" w:eastAsia="Arial" w:hAnsi="Arial"/>
          <w:sz w:val="16"/>
          <w:szCs w:val="16"/>
          <w:color w:val="auto"/>
        </w:rPr>
      </w:pPr>
    </w:p>
    <w:p>
      <w:pPr>
        <w:ind w:left="1160" w:right="140" w:hanging="463"/>
        <w:spacing w:after="0" w:line="259"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right="220"/>
        <w:spacing w:after="0" w:line="273" w:lineRule="auto"/>
        <w:rPr>
          <w:sz w:val="20"/>
          <w:szCs w:val="20"/>
          <w:color w:val="auto"/>
        </w:rPr>
      </w:pPr>
      <w:r>
        <w:rPr>
          <w:rFonts w:ascii="Arial" w:cs="Arial" w:eastAsia="Arial" w:hAnsi="Arial"/>
          <w:sz w:val="17"/>
          <w:szCs w:val="17"/>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Execution and Authentications.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line="264"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Registration of Transfer and Exchange.</w:t>
      </w:r>
    </w:p>
    <w:p>
      <w:pPr>
        <w:spacing w:after="0" w:line="225" w:lineRule="exact"/>
        <w:rPr>
          <w:sz w:val="20"/>
          <w:szCs w:val="20"/>
          <w:color w:val="auto"/>
        </w:rPr>
      </w:pPr>
    </w:p>
    <w:p>
      <w:pPr>
        <w:ind w:left="660" w:right="60" w:hanging="652"/>
        <w:spacing w:after="0" w:line="25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93" w:lineRule="exact"/>
        <w:rPr>
          <w:rFonts w:ascii="Arial" w:cs="Arial" w:eastAsia="Arial" w:hAnsi="Arial"/>
          <w:sz w:val="18"/>
          <w:szCs w:val="18"/>
          <w:color w:val="auto"/>
        </w:rPr>
      </w:pPr>
    </w:p>
    <w:p>
      <w:pPr>
        <w:ind w:left="660" w:right="20" w:hanging="652"/>
        <w:spacing w:after="0" w:line="297"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5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4" w:name="page55"/>
    <w:bookmarkEnd w:id="54"/>
    <w:p>
      <w:pPr>
        <w:ind w:right="320"/>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1" w:lineRule="exact"/>
        <w:rPr>
          <w:sz w:val="20"/>
          <w:szCs w:val="20"/>
          <w:color w:val="auto"/>
        </w:rPr>
      </w:pPr>
    </w:p>
    <w:p>
      <w:pPr>
        <w:ind w:left="660" w:right="8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81" w:lineRule="exact"/>
        <w:rPr>
          <w:rFonts w:ascii="Arial" w:cs="Arial" w:eastAsia="Arial" w:hAnsi="Arial"/>
          <w:sz w:val="18"/>
          <w:szCs w:val="18"/>
          <w:color w:val="auto"/>
        </w:rPr>
      </w:pPr>
    </w:p>
    <w:p>
      <w:pPr>
        <w:ind w:left="660" w:right="60" w:hanging="652"/>
        <w:spacing w:after="0" w:line="30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15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Temporary Securities.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5" w:name="page56"/>
    <w:bookmarkEnd w:id="55"/>
    <w:p>
      <w:pPr>
        <w:spacing w:after="0"/>
        <w:tabs>
          <w:tab w:leader="none" w:pos="134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color w:val="auto"/>
        </w:rPr>
        <w:t>Mutilated, Destroyed, Lost or Stolen Securities.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Cancellation.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6" w:name="page57"/>
    <w:bookmarkEnd w:id="56"/>
    <w:p>
      <w:pPr>
        <w:spacing w:after="0"/>
        <w:tabs>
          <w:tab w:leader="none" w:pos="134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color w:val="auto"/>
        </w:rPr>
        <w:t>Benefits of Indenture.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Authenticating Agent.</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2"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Global Securities</w:t>
      </w:r>
    </w:p>
    <w:p>
      <w:pPr>
        <w:spacing w:after="0" w:line="225" w:lineRule="exact"/>
        <w:rPr>
          <w:sz w:val="20"/>
          <w:szCs w:val="20"/>
          <w:color w:val="auto"/>
        </w:rPr>
      </w:pPr>
    </w:p>
    <w:p>
      <w:pPr>
        <w:ind w:left="660" w:right="100" w:hanging="652"/>
        <w:spacing w:after="0" w:line="272"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ind w:left="660" w:right="2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1" w:lineRule="exact"/>
        <w:rPr>
          <w:rFonts w:ascii="Arial" w:cs="Arial" w:eastAsia="Arial" w:hAnsi="Arial"/>
          <w:sz w:val="18"/>
          <w:szCs w:val="18"/>
          <w:color w:val="auto"/>
        </w:rPr>
      </w:pPr>
    </w:p>
    <w:p>
      <w:pPr>
        <w:ind w:left="660" w:hanging="652"/>
        <w:spacing w:after="0" w:line="283"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w:t>
      </w:r>
    </w:p>
    <w:p>
      <w:pPr>
        <w:spacing w:after="0" w:line="3" w:lineRule="exact"/>
        <w:rPr>
          <w:rFonts w:ascii="Arial" w:cs="Arial" w:eastAsia="Arial" w:hAnsi="Arial"/>
          <w:sz w:val="16"/>
          <w:szCs w:val="16"/>
          <w:color w:val="auto"/>
        </w:rPr>
      </w:pPr>
    </w:p>
    <w:p>
      <w:pPr>
        <w:jc w:val="both"/>
        <w:ind w:left="660" w:right="120"/>
        <w:spacing w:after="0" w:line="255" w:lineRule="auto"/>
        <w:rPr>
          <w:rFonts w:ascii="Arial" w:cs="Arial" w:eastAsia="Arial" w:hAnsi="Arial"/>
          <w:sz w:val="16"/>
          <w:szCs w:val="16"/>
          <w:color w:val="auto"/>
        </w:rPr>
      </w:pPr>
      <w:r>
        <w:rPr>
          <w:rFonts w:ascii="Arial" w:cs="Arial" w:eastAsia="Arial" w:hAnsi="Arial"/>
          <w:sz w:val="18"/>
          <w:szCs w:val="18"/>
          <w:color w:val="auto"/>
        </w:rPr>
        <w:t>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 OF SECURITIES AND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SINKING FUND PROVISIONS</w:t>
      </w:r>
    </w:p>
    <w:p>
      <w:pPr>
        <w:spacing w:after="0" w:line="21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color w:val="auto"/>
        </w:rPr>
        <w:t>Redemption.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color w:val="auto"/>
        </w:rPr>
        <w:t>Notice of Redemption.</w:t>
      </w:r>
    </w:p>
    <w:p>
      <w:pPr>
        <w:spacing w:after="0" w:line="225" w:lineRule="exact"/>
        <w:rPr>
          <w:sz w:val="20"/>
          <w:szCs w:val="20"/>
          <w:color w:val="auto"/>
        </w:rPr>
      </w:pPr>
    </w:p>
    <w:p>
      <w:pPr>
        <w:ind w:left="660" w:right="60" w:hanging="652"/>
        <w:spacing w:after="0" w:line="270"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6" w:lineRule="exact"/>
        <w:rPr>
          <w:sz w:val="20"/>
          <w:szCs w:val="20"/>
          <w:color w:val="auto"/>
        </w:rPr>
      </w:pPr>
    </w:p>
    <w:p>
      <w:pPr>
        <w:ind w:left="660" w:hanging="652"/>
        <w:spacing w:after="0" w:line="269"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9" w:name="page60"/>
    <w:bookmarkEnd w:id="59"/>
    <w:p>
      <w:pPr>
        <w:spacing w:after="0"/>
        <w:tabs>
          <w:tab w:leader="none" w:pos="13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Payment Upon Redemption.</w:t>
      </w:r>
    </w:p>
    <w:p>
      <w:pPr>
        <w:spacing w:after="0" w:line="225" w:lineRule="exact"/>
        <w:rPr>
          <w:sz w:val="20"/>
          <w:szCs w:val="20"/>
          <w:color w:val="auto"/>
        </w:rPr>
      </w:pPr>
    </w:p>
    <w:p>
      <w:pPr>
        <w:ind w:left="660" w:right="60" w:hanging="652"/>
        <w:spacing w:after="0" w:line="29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6" w:lineRule="exact"/>
        <w:rPr>
          <w:rFonts w:ascii="Arial" w:cs="Arial" w:eastAsia="Arial" w:hAnsi="Arial"/>
          <w:sz w:val="16"/>
          <w:szCs w:val="16"/>
          <w:color w:val="auto"/>
        </w:rPr>
      </w:pPr>
    </w:p>
    <w:p>
      <w:pPr>
        <w:ind w:left="660" w:right="300" w:hanging="652"/>
        <w:spacing w:after="0" w:line="31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Sinking Fund.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tabs>
          <w:tab w:leader="none" w:pos="134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color w:val="auto"/>
        </w:rPr>
        <w:t>Satisfaction of Sinking Fund Payments with Securities.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Redemption of Securities for Sinking Fund.</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Payment of Principal, Premium and Interest.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color w:val="auto"/>
        </w:rPr>
        <w:t>Maintenance of Office or Agency.</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tabs>
          <w:tab w:leader="none" w:pos="134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color w:val="auto"/>
        </w:rPr>
        <w:t>Paying Agents.</w:t>
      </w:r>
    </w:p>
    <w:p>
      <w:pPr>
        <w:spacing w:after="0" w:line="225" w:lineRule="exact"/>
        <w:rPr>
          <w:sz w:val="20"/>
          <w:szCs w:val="20"/>
          <w:color w:val="auto"/>
        </w:rPr>
      </w:pPr>
    </w:p>
    <w:p>
      <w:pPr>
        <w:jc w:val="both"/>
        <w:ind w:left="660" w:right="18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1" w:lineRule="exact"/>
        <w:rPr>
          <w:rFonts w:ascii="Arial" w:cs="Arial" w:eastAsia="Arial" w:hAnsi="Arial"/>
          <w:sz w:val="18"/>
          <w:szCs w:val="18"/>
          <w:color w:val="auto"/>
        </w:rPr>
      </w:pPr>
    </w:p>
    <w:p>
      <w:pPr>
        <w:ind w:left="1160" w:right="100" w:hanging="463"/>
        <w:spacing w:after="0" w:line="264" w:lineRule="auto"/>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1" w:lineRule="exact"/>
        <w:rPr>
          <w:rFonts w:ascii="Arial" w:cs="Arial" w:eastAsia="Arial" w:hAnsi="Arial"/>
          <w:sz w:val="18"/>
          <w:szCs w:val="18"/>
          <w:color w:val="auto"/>
        </w:rPr>
      </w:pPr>
    </w:p>
    <w:p>
      <w:pPr>
        <w:ind w:left="1160" w:right="380" w:hanging="463"/>
        <w:spacing w:after="0" w:line="308" w:lineRule="auto"/>
        <w:tabs>
          <w:tab w:leader="none" w:pos="11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Arial" w:cs="Arial" w:eastAsia="Arial" w:hAnsi="Arial"/>
          <w:sz w:val="17"/>
          <w:szCs w:val="17"/>
          <w:color w:val="auto"/>
        </w:rPr>
      </w:pPr>
    </w:p>
    <w:p>
      <w:pPr>
        <w:ind w:left="1160" w:right="180" w:hanging="463"/>
        <w:spacing w:after="0" w:line="277" w:lineRule="auto"/>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160" w:hanging="463"/>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color w:val="auto"/>
        </w:rPr>
      </w:pPr>
    </w:p>
    <w:p>
      <w:pPr>
        <w:ind w:left="660" w:hanging="652"/>
        <w:spacing w:after="0" w:line="270"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2" w:name="page63"/>
    <w:bookmarkEnd w:id="62"/>
    <w:p>
      <w:pPr>
        <w:ind w:left="660" w:right="20" w:hanging="652"/>
        <w:spacing w:after="0" w:line="297"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5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color w:val="auto"/>
        </w:rPr>
        <w:t>Appointment to Fill Vacancy in Office of Trustee.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color w:val="auto"/>
        </w:rPr>
        <w:t>Compliance with Consolidation Provisions.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SECURITYHOLDERS’ LISTS AND REPORTS BY THE COMPANY AND THE 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color w:val="auto"/>
        </w:rPr>
        <w:t>Company to Furnish Trustee Names and Addresses of Securityholders.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tabs>
          <w:tab w:leader="none" w:pos="134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Preservation of Information; Communications with Securityholders.</w:t>
      </w:r>
    </w:p>
    <w:p>
      <w:pPr>
        <w:spacing w:after="0" w:line="225" w:lineRule="exact"/>
        <w:rPr>
          <w:sz w:val="20"/>
          <w:szCs w:val="20"/>
          <w:color w:val="auto"/>
        </w:rPr>
      </w:pPr>
    </w:p>
    <w:p>
      <w:pPr>
        <w:jc w:val="both"/>
        <w:ind w:left="660" w:hanging="652"/>
        <w:spacing w:after="0" w:line="31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color w:val="auto"/>
        </w:rPr>
        <w:t>Reports by the Company.</w:t>
      </w:r>
    </w:p>
    <w:p>
      <w:pPr>
        <w:spacing w:after="0" w:line="225" w:lineRule="exact"/>
        <w:rPr>
          <w:sz w:val="20"/>
          <w:szCs w:val="20"/>
          <w:color w:val="auto"/>
        </w:rPr>
      </w:pPr>
    </w:p>
    <w:p>
      <w:pPr>
        <w:ind w:left="660" w:right="20" w:hanging="652"/>
        <w:spacing w:after="0" w:line="253"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94" w:lineRule="exact"/>
        <w:rPr>
          <w:rFonts w:ascii="Arial" w:cs="Arial" w:eastAsia="Arial" w:hAnsi="Arial"/>
          <w:sz w:val="18"/>
          <w:szCs w:val="18"/>
          <w:color w:val="auto"/>
        </w:rPr>
      </w:pPr>
    </w:p>
    <w:p>
      <w:pPr>
        <w:ind w:left="660" w:right="260" w:hanging="652"/>
        <w:spacing w:after="0" w:line="286"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65" w:lineRule="exact"/>
        <w:rPr>
          <w:rFonts w:ascii="Arial" w:cs="Arial" w:eastAsia="Arial" w:hAnsi="Arial"/>
          <w:sz w:val="17"/>
          <w:szCs w:val="17"/>
          <w:color w:val="auto"/>
        </w:rPr>
      </w:pPr>
    </w:p>
    <w:p>
      <w:pPr>
        <w:ind w:left="660" w:right="60" w:hanging="652"/>
        <w:spacing w:after="0" w:line="279"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spacing w:after="0"/>
        <w:tabs>
          <w:tab w:leader="none" w:pos="12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color w:val="auto"/>
        </w:rPr>
        <w:t>Reports by the Trustee.</w:t>
      </w:r>
    </w:p>
    <w:p>
      <w:pPr>
        <w:spacing w:after="0" w:line="225" w:lineRule="exact"/>
        <w:rPr>
          <w:sz w:val="20"/>
          <w:szCs w:val="20"/>
          <w:color w:val="auto"/>
        </w:rPr>
      </w:pPr>
    </w:p>
    <w:p>
      <w:pPr>
        <w:ind w:left="660" w:hanging="652"/>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23" w:lineRule="exact"/>
        <w:rPr>
          <w:rFonts w:ascii="Arial" w:cs="Arial" w:eastAsia="Arial" w:hAnsi="Arial"/>
          <w:sz w:val="16"/>
          <w:szCs w:val="16"/>
          <w:color w:val="auto"/>
        </w:rPr>
      </w:pPr>
    </w:p>
    <w:p>
      <w:pPr>
        <w:ind w:left="660" w:right="220" w:hanging="652"/>
        <w:spacing w:after="0" w:line="286"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color w:val="auto"/>
        </w:rPr>
        <w:t>Events of Default.</w:t>
      </w:r>
    </w:p>
    <w:p>
      <w:pPr>
        <w:spacing w:after="0" w:line="225" w:lineRule="exact"/>
        <w:rPr>
          <w:sz w:val="20"/>
          <w:szCs w:val="20"/>
          <w:color w:val="auto"/>
        </w:rPr>
      </w:pPr>
    </w:p>
    <w:p>
      <w:pPr>
        <w:ind w:left="660" w:right="200" w:hanging="65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ind w:left="1160" w:right="280" w:hanging="463"/>
        <w:spacing w:after="0" w:line="259" w:lineRule="auto"/>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ind w:left="1160" w:right="40" w:hanging="463"/>
        <w:spacing w:after="0" w:line="302"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54" w:lineRule="exact"/>
        <w:rPr>
          <w:rFonts w:ascii="Arial" w:cs="Arial" w:eastAsia="Arial" w:hAnsi="Arial"/>
          <w:sz w:val="16"/>
          <w:szCs w:val="16"/>
          <w:color w:val="auto"/>
        </w:rPr>
      </w:pPr>
    </w:p>
    <w:p>
      <w:pPr>
        <w:ind w:left="1160" w:right="60" w:hanging="463"/>
        <w:spacing w:after="0" w:line="293" w:lineRule="auto"/>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65" w:name="page66"/>
    <w:bookmarkEnd w:id="65"/>
    <w:p>
      <w:pPr>
        <w:ind w:left="1160" w:right="80" w:hanging="463"/>
        <w:spacing w:after="0" w:line="291" w:lineRule="auto"/>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ind w:left="1460" w:hanging="304"/>
        <w:spacing w:after="0"/>
        <w:tabs>
          <w:tab w:leader="none" w:pos="14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10" w:lineRule="exact"/>
        <w:rPr>
          <w:rFonts w:ascii="Arial" w:cs="Arial" w:eastAsia="Arial" w:hAnsi="Arial"/>
          <w:sz w:val="18"/>
          <w:szCs w:val="18"/>
          <w:color w:val="auto"/>
        </w:rPr>
      </w:pPr>
    </w:p>
    <w:p>
      <w:pPr>
        <w:ind w:left="1160" w:hanging="463"/>
        <w:spacing w:after="0"/>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 court of competent jurisdiction enters an order under any Bankruptcy Law that (i) is for relief against the Company in an involuntary case,</w:t>
      </w:r>
    </w:p>
    <w:p>
      <w:pPr>
        <w:spacing w:after="0" w:line="46" w:lineRule="exact"/>
        <w:rPr>
          <w:rFonts w:ascii="Arial" w:cs="Arial" w:eastAsia="Arial" w:hAnsi="Arial"/>
          <w:sz w:val="16"/>
          <w:szCs w:val="16"/>
          <w:color w:val="auto"/>
        </w:rPr>
      </w:pPr>
    </w:p>
    <w:p>
      <w:pPr>
        <w:ind w:left="1160" w:hanging="4"/>
        <w:spacing w:after="0" w:line="261" w:lineRule="auto"/>
        <w:tabs>
          <w:tab w:leader="none" w:pos="1425" w:val="left"/>
        </w:tabs>
        <w:numPr>
          <w:ilvl w:val="2"/>
          <w:numId w:val="56"/>
        </w:numPr>
        <w:rPr>
          <w:rFonts w:ascii="Arial" w:cs="Arial" w:eastAsia="Arial" w:hAnsi="Arial"/>
          <w:sz w:val="18"/>
          <w:szCs w:val="18"/>
          <w:color w:val="auto"/>
        </w:rPr>
      </w:pPr>
      <w:r>
        <w:rPr>
          <w:rFonts w:ascii="Arial" w:cs="Arial" w:eastAsia="Arial" w:hAnsi="Arial"/>
          <w:sz w:val="18"/>
          <w:szCs w:val="18"/>
          <w:color w:val="auto"/>
        </w:rPr>
        <w:t>appoints a Custodian of the Company for all or substantially all of its property, or (iii) orders the liquidation of the Company, and the order or decree remains unstayed and in effect for 90 consecutive days.</w:t>
      </w:r>
    </w:p>
    <w:p>
      <w:pPr>
        <w:spacing w:after="0" w:line="183" w:lineRule="exact"/>
        <w:rPr>
          <w:rFonts w:ascii="Arial" w:cs="Arial" w:eastAsia="Arial" w:hAnsi="Arial"/>
          <w:sz w:val="18"/>
          <w:szCs w:val="18"/>
          <w:color w:val="auto"/>
        </w:rPr>
      </w:pPr>
    </w:p>
    <w:p>
      <w:pPr>
        <w:ind w:left="660" w:right="60" w:hanging="652"/>
        <w:spacing w:after="0" w:line="273"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w:t>
      </w:r>
    </w:p>
    <w:p>
      <w:pPr>
        <w:spacing w:after="0" w:line="178" w:lineRule="exact"/>
        <w:rPr>
          <w:rFonts w:ascii="Arial" w:cs="Arial" w:eastAsia="Arial" w:hAnsi="Arial"/>
          <w:sz w:val="17"/>
          <w:szCs w:val="17"/>
          <w:color w:val="auto"/>
        </w:rPr>
      </w:pPr>
    </w:p>
    <w:p>
      <w:pPr>
        <w:ind w:left="660" w:right="20" w:hanging="652"/>
        <w:spacing w:after="0" w:line="269"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660" w:right="40" w:hanging="652"/>
        <w:spacing w:after="0" w:line="25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color w:val="auto"/>
        </w:rPr>
        <w:t>Collection of Indebtedness and Suits for Enforcement by Trustee.</w:t>
      </w:r>
    </w:p>
    <w:p>
      <w:pPr>
        <w:spacing w:after="0" w:line="225" w:lineRule="exact"/>
        <w:rPr>
          <w:sz w:val="20"/>
          <w:szCs w:val="20"/>
          <w:color w:val="auto"/>
        </w:rPr>
      </w:pPr>
    </w:p>
    <w:p>
      <w:pPr>
        <w:ind w:left="660" w:right="80" w:hanging="652"/>
        <w:spacing w:after="0" w:line="270"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77" w:lineRule="exact"/>
        <w:rPr>
          <w:rFonts w:ascii="Arial" w:cs="Arial" w:eastAsia="Arial" w:hAnsi="Arial"/>
          <w:sz w:val="17"/>
          <w:szCs w:val="17"/>
          <w:color w:val="auto"/>
        </w:rPr>
      </w:pPr>
    </w:p>
    <w:p>
      <w:pPr>
        <w:ind w:left="660" w:right="40" w:hanging="652"/>
        <w:spacing w:after="0" w:line="276"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72" w:lineRule="exact"/>
        <w:rPr>
          <w:rFonts w:ascii="Arial" w:cs="Arial" w:eastAsia="Arial" w:hAnsi="Arial"/>
          <w:sz w:val="17"/>
          <w:szCs w:val="17"/>
          <w:color w:val="auto"/>
        </w:rPr>
      </w:pPr>
    </w:p>
    <w:p>
      <w:pPr>
        <w:ind w:left="660" w:hanging="652"/>
        <w:spacing w:after="0" w:line="270"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left="660" w:right="20" w:hanging="652"/>
        <w:spacing w:after="0" w:line="25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color w:val="auto"/>
        </w:rPr>
        <w:t>Application of Moneys Collected.</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FIRST:</w:t>
            </w:r>
          </w:p>
        </w:tc>
        <w:tc>
          <w:tcPr>
            <w:tcW w:w="10320" w:type="dxa"/>
            <w:vAlign w:val="bottom"/>
          </w:tcPr>
          <w:p>
            <w:pPr>
              <w:ind w:left="320"/>
              <w:spacing w:after="0"/>
              <w:rPr>
                <w:sz w:val="20"/>
                <w:szCs w:val="20"/>
                <w:color w:val="auto"/>
              </w:rPr>
            </w:pPr>
            <w:r>
              <w:rPr>
                <w:rFonts w:ascii="Arial" w:cs="Arial" w:eastAsia="Arial" w:hAnsi="Arial"/>
                <w:sz w:val="18"/>
                <w:szCs w:val="18"/>
                <w:color w:val="auto"/>
              </w:rPr>
              <w:t>To the payment of costs and expenses of collection and of all amounts payable to the Trustee under Section 7.06; and</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SECOND:</w:t>
            </w:r>
          </w:p>
        </w:tc>
        <w:tc>
          <w:tcPr>
            <w:tcW w:w="10320" w:type="dxa"/>
            <w:vAlign w:val="bottom"/>
          </w:tcPr>
          <w:p>
            <w:pPr>
              <w:ind w:left="320"/>
              <w:spacing w:after="0"/>
              <w:rPr>
                <w:sz w:val="20"/>
                <w:szCs w:val="20"/>
                <w:color w:val="auto"/>
              </w:rPr>
            </w:pPr>
            <w:r>
              <w:rPr>
                <w:rFonts w:ascii="Arial" w:cs="Arial" w:eastAsia="Arial" w:hAnsi="Arial"/>
                <w:sz w:val="18"/>
                <w:szCs w:val="18"/>
                <w:color w:val="auto"/>
                <w:w w:val="94"/>
              </w:rPr>
              <w:t>To the payment of the amounts then due and unpaid upon Securities of such series for principal (and premium, if any) and interest, in</w:t>
            </w:r>
          </w:p>
        </w:tc>
      </w:tr>
      <w:tr>
        <w:trPr>
          <w:trHeight w:val="216"/>
        </w:trPr>
        <w:tc>
          <w:tcPr>
            <w:tcW w:w="1100" w:type="dxa"/>
            <w:vAlign w:val="bottom"/>
          </w:tcPr>
          <w:p>
            <w:pPr>
              <w:spacing w:after="0"/>
              <w:rPr>
                <w:sz w:val="18"/>
                <w:szCs w:val="18"/>
                <w:color w:val="auto"/>
              </w:rPr>
            </w:pPr>
          </w:p>
        </w:tc>
        <w:tc>
          <w:tcPr>
            <w:tcW w:w="10320" w:type="dxa"/>
            <w:vAlign w:val="bottom"/>
          </w:tcPr>
          <w:p>
            <w:pPr>
              <w:ind w:left="320"/>
              <w:spacing w:after="0"/>
              <w:rPr>
                <w:sz w:val="20"/>
                <w:szCs w:val="20"/>
                <w:color w:val="auto"/>
              </w:rPr>
            </w:pPr>
            <w:r>
              <w:rPr>
                <w:rFonts w:ascii="Arial" w:cs="Arial" w:eastAsia="Arial" w:hAnsi="Arial"/>
                <w:sz w:val="18"/>
                <w:szCs w:val="18"/>
                <w:color w:val="auto"/>
                <w:w w:val="92"/>
              </w:rPr>
              <w:t>respect of which or for the benefit of which such money has been collected, ratably, without preference or priority of any kind, according</w:t>
            </w:r>
          </w:p>
        </w:tc>
      </w:tr>
      <w:tr>
        <w:trPr>
          <w:trHeight w:val="230"/>
        </w:trPr>
        <w:tc>
          <w:tcPr>
            <w:tcW w:w="1100" w:type="dxa"/>
            <w:vAlign w:val="bottom"/>
          </w:tcPr>
          <w:p>
            <w:pPr>
              <w:spacing w:after="0"/>
              <w:rPr>
                <w:sz w:val="20"/>
                <w:szCs w:val="20"/>
                <w:color w:val="auto"/>
              </w:rPr>
            </w:pPr>
          </w:p>
        </w:tc>
        <w:tc>
          <w:tcPr>
            <w:tcW w:w="10320" w:type="dxa"/>
            <w:vAlign w:val="bottom"/>
          </w:tcPr>
          <w:p>
            <w:pPr>
              <w:ind w:left="320"/>
              <w:spacing w:after="0"/>
              <w:rPr>
                <w:sz w:val="20"/>
                <w:szCs w:val="20"/>
                <w:color w:val="auto"/>
              </w:rPr>
            </w:pPr>
            <w:r>
              <w:rPr>
                <w:rFonts w:ascii="Arial" w:cs="Arial" w:eastAsia="Arial" w:hAnsi="Arial"/>
                <w:sz w:val="18"/>
                <w:szCs w:val="18"/>
                <w:color w:val="auto"/>
              </w:rPr>
              <w:t>to the amounts due and payable on such Securities for principal (and premium, if any) and interest, respectively.</w:t>
            </w:r>
          </w:p>
        </w:tc>
      </w:tr>
      <w:tr>
        <w:trPr>
          <w:trHeight w:val="648"/>
        </w:trPr>
        <w:tc>
          <w:tcPr>
            <w:tcW w:w="110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ind w:left="450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909" w:right="239" w:bottom="1440" w:gutter="0" w:footer="0" w:header="0"/>
        </w:sectPr>
      </w:pPr>
    </w:p>
    <w:bookmarkStart w:id="68" w:name="page69"/>
    <w:bookmarkEnd w:id="68"/>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color w:val="auto"/>
        </w:rPr>
        <w:t>Limitation on Suits.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69" w:name="page70"/>
    <w:bookmarkEnd w:id="69"/>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color w:val="auto"/>
        </w:rPr>
        <w:t>Rights and Remedies Cumulative; Delay or Omission Not Waiver.</w:t>
      </w:r>
    </w:p>
    <w:p>
      <w:pPr>
        <w:spacing w:after="0" w:line="225" w:lineRule="exact"/>
        <w:rPr>
          <w:sz w:val="20"/>
          <w:szCs w:val="20"/>
          <w:color w:val="auto"/>
        </w:rPr>
      </w:pPr>
    </w:p>
    <w:p>
      <w:pPr>
        <w:ind w:left="660" w:right="320" w:hanging="652"/>
        <w:spacing w:after="0" w:line="259"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ind w:left="660" w:right="280" w:hanging="652"/>
        <w:spacing w:after="0" w:line="30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5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color w:val="auto"/>
        </w:rPr>
        <w:t>Control by Securityholders.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 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0" w:name="page71"/>
    <w:bookmarkEnd w:id="70"/>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color w:val="auto"/>
        </w:rPr>
        <w:t>Undertaking to Pay Costs.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CONCERNING THE 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Certain Duties and Responsibilities of Trustee.</w:t>
      </w:r>
    </w:p>
    <w:p>
      <w:pPr>
        <w:spacing w:after="0" w:line="225" w:lineRule="exact"/>
        <w:rPr>
          <w:sz w:val="20"/>
          <w:szCs w:val="20"/>
          <w:color w:val="auto"/>
        </w:rPr>
      </w:pPr>
    </w:p>
    <w:p>
      <w:pPr>
        <w:ind w:left="660" w:hanging="652"/>
        <w:spacing w:after="0" w:line="293"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660" w:right="8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160" w:right="240" w:hanging="463"/>
        <w:spacing w:after="0" w:line="277" w:lineRule="auto"/>
        <w:tabs>
          <w:tab w:leader="none" w:pos="11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71" w:name="page72"/>
    <w:bookmarkEnd w:id="71"/>
    <w:p>
      <w:pPr>
        <w:ind w:left="1960" w:right="180" w:hanging="655"/>
        <w:spacing w:after="0" w:line="259"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86" w:lineRule="exact"/>
        <w:rPr>
          <w:rFonts w:ascii="Arial" w:cs="Arial" w:eastAsia="Arial" w:hAnsi="Arial"/>
          <w:sz w:val="18"/>
          <w:szCs w:val="18"/>
          <w:color w:val="auto"/>
        </w:rPr>
      </w:pPr>
    </w:p>
    <w:p>
      <w:pPr>
        <w:ind w:left="1960" w:hanging="655"/>
        <w:spacing w:after="0" w:line="276" w:lineRule="auto"/>
        <w:tabs>
          <w:tab w:leader="none" w:pos="19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72" w:lineRule="exact"/>
        <w:rPr>
          <w:rFonts w:ascii="Arial" w:cs="Arial" w:eastAsia="Arial" w:hAnsi="Arial"/>
          <w:sz w:val="17"/>
          <w:szCs w:val="17"/>
          <w:color w:val="auto"/>
        </w:rPr>
      </w:pPr>
    </w:p>
    <w:p>
      <w:pPr>
        <w:ind w:left="1160" w:right="200" w:hanging="463"/>
        <w:spacing w:after="0" w:line="277" w:lineRule="auto"/>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left="1160" w:hanging="463"/>
        <w:spacing w:after="0" w:line="259" w:lineRule="auto"/>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86" w:lineRule="exact"/>
        <w:rPr>
          <w:rFonts w:ascii="Arial" w:cs="Arial" w:eastAsia="Arial" w:hAnsi="Arial"/>
          <w:sz w:val="18"/>
          <w:szCs w:val="18"/>
          <w:color w:val="auto"/>
        </w:rPr>
      </w:pPr>
    </w:p>
    <w:p>
      <w:pPr>
        <w:ind w:left="1160" w:right="160" w:hanging="463"/>
        <w:spacing w:after="0" w:line="259" w:lineRule="auto"/>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color w:val="auto"/>
        </w:rPr>
        <w:t>Certain Rights of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ind w:left="660" w:right="24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left="660" w:right="220" w:hanging="652"/>
        <w:spacing w:after="0" w:line="286"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65"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70" w:lineRule="exact"/>
        <w:rPr>
          <w:rFonts w:ascii="Arial" w:cs="Arial" w:eastAsia="Arial" w:hAnsi="Arial"/>
          <w:sz w:val="18"/>
          <w:szCs w:val="18"/>
          <w:color w:val="auto"/>
        </w:rPr>
      </w:pPr>
    </w:p>
    <w:p>
      <w:pPr>
        <w:ind w:left="660" w:right="60" w:hanging="652"/>
        <w:spacing w:after="0" w:line="293"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660" w:right="60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660" w:hanging="652"/>
        <w:spacing w:after="0" w:line="25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9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3" w:name="page74"/>
    <w:bookmarkEnd w:id="73"/>
    <w:p>
      <w:pPr>
        <w:spacing w:after="0"/>
        <w:tabs>
          <w:tab w:leader="none" w:pos="13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Trustee Not Responsible for Recitals or Issuance of Securities.</w:t>
      </w:r>
    </w:p>
    <w:p>
      <w:pPr>
        <w:spacing w:after="0" w:line="225" w:lineRule="exact"/>
        <w:rPr>
          <w:sz w:val="20"/>
          <w:szCs w:val="20"/>
          <w:color w:val="auto"/>
        </w:rPr>
      </w:pPr>
    </w:p>
    <w:p>
      <w:pPr>
        <w:ind w:left="660" w:right="4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jc w:val="both"/>
        <w:ind w:left="660" w:right="160" w:hanging="652"/>
        <w:spacing w:after="0" w:line="286"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color w:val="auto"/>
        </w:rPr>
        <w:t>May Hold Securities.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color w:val="auto"/>
        </w:rPr>
        <w:t>Moneys Held in Trust.</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color w:val="auto"/>
        </w:rPr>
        <w:t>Compensation and Reimbursement.</w:t>
      </w:r>
    </w:p>
    <w:p>
      <w:pPr>
        <w:spacing w:after="0" w:line="225" w:lineRule="exact"/>
        <w:rPr>
          <w:sz w:val="20"/>
          <w:szCs w:val="20"/>
          <w:color w:val="auto"/>
        </w:rPr>
      </w:pPr>
    </w:p>
    <w:p>
      <w:pPr>
        <w:ind w:left="660" w:hanging="652"/>
        <w:spacing w:after="0" w:line="270"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4" w:name="page75"/>
    <w:bookmarkEnd w:id="74"/>
    <w:p>
      <w:pPr>
        <w:ind w:left="660" w:right="120" w:hanging="652"/>
        <w:spacing w:after="0" w:line="25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color w:val="auto"/>
        </w:rPr>
        <w:t>Reliance on Officers’ Certificate.</w:t>
      </w:r>
    </w:p>
    <w:p>
      <w:pPr>
        <w:spacing w:after="0" w:line="22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7"/>
          <w:szCs w:val="17"/>
          <w:color w:val="auto"/>
        </w:rPr>
        <w:t>Disqualification; Conflicting Interests.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color w:val="auto"/>
        </w:rPr>
        <w:t>Corporate Trustee Required; Eligibility.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75" w:name="page76"/>
    <w:bookmarkEnd w:id="75"/>
    <w:p>
      <w:pPr>
        <w:spacing w:after="0"/>
        <w:tabs>
          <w:tab w:leader="none" w:pos="134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color w:val="auto"/>
        </w:rPr>
        <w:t>Resignation and Removal; Appointment of Successor.</w:t>
      </w:r>
    </w:p>
    <w:p>
      <w:pPr>
        <w:spacing w:after="0" w:line="225" w:lineRule="exact"/>
        <w:rPr>
          <w:sz w:val="20"/>
          <w:szCs w:val="20"/>
          <w:color w:val="auto"/>
        </w:rPr>
      </w:pPr>
    </w:p>
    <w:p>
      <w:pPr>
        <w:ind w:left="660" w:right="20" w:hanging="652"/>
        <w:spacing w:after="0" w:line="270"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7" w:lineRule="exact"/>
        <w:rPr>
          <w:rFonts w:ascii="Arial" w:cs="Arial" w:eastAsia="Arial" w:hAnsi="Arial"/>
          <w:sz w:val="17"/>
          <w:szCs w:val="17"/>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1160" w:right="280" w:hanging="463"/>
        <w:spacing w:after="0" w:line="277" w:lineRule="auto"/>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left="1160" w:right="60" w:hanging="463"/>
        <w:spacing w:after="0" w:line="277" w:lineRule="auto"/>
        <w:tabs>
          <w:tab w:leader="none" w:pos="11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left="1160" w:hanging="463"/>
        <w:spacing w:after="0" w:line="270" w:lineRule="auto"/>
        <w:tabs>
          <w:tab w:leader="none" w:pos="11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6" w:name="page77"/>
    <w:bookmarkEnd w:id="76"/>
    <w:p>
      <w:pPr>
        <w:ind w:left="660" w:right="80" w:hanging="652"/>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1" w:lineRule="exact"/>
        <w:rPr>
          <w:rFonts w:ascii="Arial" w:cs="Arial" w:eastAsia="Arial" w:hAnsi="Arial"/>
          <w:sz w:val="18"/>
          <w:szCs w:val="18"/>
          <w:color w:val="auto"/>
        </w:rPr>
      </w:pPr>
    </w:p>
    <w:p>
      <w:pPr>
        <w:ind w:left="660" w:right="360" w:hanging="652"/>
        <w:spacing w:after="0" w:line="34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color w:val="auto"/>
        </w:rPr>
      </w:pPr>
    </w:p>
    <w:p>
      <w:pPr>
        <w:ind w:left="660" w:right="160" w:hanging="652"/>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color w:val="auto"/>
        </w:rPr>
        <w:t>Acceptance of Appointment By Successor.</w:t>
      </w:r>
    </w:p>
    <w:p>
      <w:pPr>
        <w:spacing w:after="0" w:line="225" w:lineRule="exact"/>
        <w:rPr>
          <w:sz w:val="20"/>
          <w:szCs w:val="20"/>
          <w:color w:val="auto"/>
        </w:rPr>
      </w:pPr>
    </w:p>
    <w:p>
      <w:pPr>
        <w:ind w:left="660" w:right="60" w:hanging="652"/>
        <w:spacing w:after="0" w:line="293"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4" w:lineRule="exact"/>
        <w:rPr>
          <w:rFonts w:ascii="Arial" w:cs="Arial" w:eastAsia="Arial" w:hAnsi="Arial"/>
          <w:sz w:val="16"/>
          <w:szCs w:val="16"/>
          <w:color w:val="auto"/>
        </w:rPr>
      </w:pPr>
    </w:p>
    <w:p>
      <w:pPr>
        <w:ind w:left="660" w:hanging="652"/>
        <w:spacing w:after="0" w:line="285"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7" w:name="page78"/>
    <w:bookmarkEnd w:id="77"/>
    <w:p>
      <w:pPr>
        <w:ind w:left="660" w:right="720" w:hanging="652"/>
        <w:spacing w:after="0" w:line="342"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left="660" w:right="24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ind w:left="660" w:hanging="652"/>
        <w:spacing w:after="0" w:line="259"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color w:val="auto"/>
        </w:rPr>
        <w:t>Merger, Conversion, Consolidation or Succession to Business.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8" w:name="page79"/>
    <w:bookmarkEnd w:id="78"/>
    <w:p>
      <w:pPr>
        <w:spacing w:after="0"/>
        <w:tabs>
          <w:tab w:leader="none" w:pos="128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color w:val="auto"/>
        </w:rPr>
        <w:t>Preferential Collection of Claims Against the Company.</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CONCERNING THE SECURITYHOLDERS</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color w:val="auto"/>
        </w:rPr>
        <w:t>Evidence of Action by Securityholders.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color w:val="auto"/>
        </w:rPr>
        <w:t>Proof of Execution by Securityholders.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9" w:name="page80"/>
    <w:bookmarkEnd w:id="79"/>
    <w:p>
      <w:pPr>
        <w:ind w:left="660" w:hanging="652"/>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fact and date of the execution by any such Person of any instrument may be proved in any reasonable manner acceptable to the Trustee.</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color w:val="auto"/>
        </w:rPr>
        <w:t>Who May be Deemed Owners.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color w:val="auto"/>
        </w:rPr>
        <w:t>Certain Securities Owned by Company Disregarded.</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color w:val="auto"/>
        </w:rPr>
        <w:t>Actions Binding on Future Securityholders.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0" w:name="page81"/>
    <w:bookmarkEnd w:id="80"/>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color w:val="auto"/>
        </w:rPr>
        <w:t>Purposes for Which Meetings May Be Called.</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color w:val="auto"/>
        </w:rPr>
        <w:t>Call Notice and Place of Meetings.</w:t>
      </w:r>
    </w:p>
    <w:p>
      <w:pPr>
        <w:spacing w:after="0" w:line="225" w:lineRule="exact"/>
        <w:rPr>
          <w:sz w:val="20"/>
          <w:szCs w:val="20"/>
          <w:color w:val="auto"/>
        </w:rPr>
      </w:pPr>
    </w:p>
    <w:p>
      <w:pPr>
        <w:ind w:left="660" w:hanging="652"/>
        <w:spacing w:after="0" w:line="276"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Trustee may at any time call a meeting of holders of any series of Securities for any purpose specified in Section 8.06 hereof, to be held at such time and at such place in The City of New York.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for such meeting and may call such meeting for such purposes by giving notice thereof as provided in paragraph (a) of this Section.</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1" w:name="page82"/>
    <w:bookmarkEnd w:id="81"/>
    <w:p>
      <w:pPr>
        <w:spacing w:after="0"/>
        <w:tabs>
          <w:tab w:leader="none" w:pos="128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color w:val="auto"/>
        </w:rPr>
        <w:t>Persons Entitled To Vote at Meetings.</w:t>
      </w:r>
    </w:p>
    <w:p>
      <w:pPr>
        <w:spacing w:after="0" w:line="22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SECTION 8.09 Quorum; Action.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color w:val="auto"/>
        </w:rPr>
        <w:t>Determination of Voting Rights; Conduct and Adjournment of Meetings.</w:t>
      </w:r>
    </w:p>
    <w:p>
      <w:pPr>
        <w:spacing w:after="0" w:line="225" w:lineRule="exact"/>
        <w:rPr>
          <w:sz w:val="20"/>
          <w:szCs w:val="20"/>
          <w:color w:val="auto"/>
        </w:rPr>
      </w:pPr>
    </w:p>
    <w:p>
      <w:pPr>
        <w:ind w:left="660" w:right="60" w:hanging="652"/>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left="660" w:right="100" w:hanging="652"/>
        <w:spacing w:after="0" w:line="25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8" w:lineRule="exact"/>
        <w:rPr>
          <w:rFonts w:ascii="Arial" w:cs="Arial" w:eastAsia="Arial" w:hAnsi="Arial"/>
          <w:sz w:val="18"/>
          <w:szCs w:val="18"/>
          <w:color w:val="auto"/>
        </w:rPr>
      </w:pPr>
    </w:p>
    <w:p>
      <w:pPr>
        <w:ind w:left="660" w:right="20" w:hanging="652"/>
        <w:spacing w:after="0" w:line="279"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71" w:lineRule="exact"/>
        <w:rPr>
          <w:rFonts w:ascii="Arial" w:cs="Arial" w:eastAsia="Arial" w:hAnsi="Arial"/>
          <w:sz w:val="17"/>
          <w:szCs w:val="17"/>
          <w:color w:val="auto"/>
        </w:rPr>
      </w:pPr>
    </w:p>
    <w:p>
      <w:pPr>
        <w:jc w:val="both"/>
        <w:ind w:left="660" w:right="120" w:hanging="652"/>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color w:val="auto"/>
        </w:rPr>
        <w:t>Counting Votes and Recording Action of Meetings.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124" w:right="29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Supplemental Indentures Without the Consent of Securityholders.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1" w:lineRule="exact"/>
        <w:rPr>
          <w:sz w:val="20"/>
          <w:szCs w:val="20"/>
          <w:color w:val="auto"/>
        </w:rPr>
      </w:pPr>
    </w:p>
    <w:p>
      <w:pPr>
        <w:jc w:val="both"/>
        <w:ind w:left="660" w:right="260" w:hanging="652"/>
        <w:spacing w:after="0" w:line="286"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comply with Article X;</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660" w:right="4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jc w:val="both"/>
        <w:ind w:left="660" w:right="6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comply with the requirements of the Commission in order to effect or maintain the qualification of this Indenture under the Trust Indenture Act.</w:t>
      </w:r>
    </w:p>
    <w:p>
      <w:pPr>
        <w:spacing w:after="0" w:line="2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4" w:name="page85"/>
    <w:bookmarkEnd w:id="84"/>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Supplemental Indentures With Consent of Securityholders.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Effect of Supplemental Indentures.</w:t>
      </w:r>
    </w:p>
    <w:p>
      <w:pPr>
        <w:spacing w:after="0" w:line="22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Securities Affected by Supplemental Indentures.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Execution of Supplemental Indentures.</w:t>
      </w:r>
    </w:p>
    <w:p>
      <w:pPr>
        <w:spacing w:after="0" w:line="22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SUCCESSOR ENTITY</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color w:val="auto"/>
        </w:rPr>
        <w:t>Company May Consolidate, Etc.</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86" w:name="page87"/>
    <w:bookmarkEnd w:id="86"/>
    <w:p>
      <w:pPr>
        <w:spacing w:after="0"/>
        <w:tabs>
          <w:tab w:leader="none" w:pos="142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color w:val="auto"/>
        </w:rPr>
        <w:t>Successor Entity Substituted.</w:t>
      </w:r>
    </w:p>
    <w:p>
      <w:pPr>
        <w:spacing w:after="0" w:line="225" w:lineRule="exact"/>
        <w:rPr>
          <w:sz w:val="20"/>
          <w:szCs w:val="20"/>
          <w:color w:val="auto"/>
        </w:rPr>
      </w:pPr>
    </w:p>
    <w:p>
      <w:pPr>
        <w:ind w:left="660" w:hanging="652"/>
        <w:spacing w:after="0" w:line="255"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9" w:lineRule="exact"/>
        <w:rPr>
          <w:rFonts w:ascii="Arial" w:cs="Arial" w:eastAsia="Arial" w:hAnsi="Arial"/>
          <w:sz w:val="18"/>
          <w:szCs w:val="18"/>
          <w:color w:val="auto"/>
        </w:rPr>
      </w:pPr>
    </w:p>
    <w:p>
      <w:pPr>
        <w:ind w:left="660" w:right="740" w:hanging="652"/>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color w:val="auto"/>
        </w:rPr>
        <w:t>Evidence of Consolidation, Etc. to Trustee.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color w:val="auto"/>
        </w:rPr>
        <w:t>Satisfaction and Discharge of Indenture.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38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color w:val="auto"/>
        </w:rPr>
        <w:t>Discharge of Obligations.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25" w:right="279" w:bottom="1440" w:gutter="0" w:footer="0" w:header="0"/>
        </w:sectPr>
      </w:pPr>
    </w:p>
    <w:bookmarkStart w:id="88" w:name="page89"/>
    <w:bookmarkEnd w:id="88"/>
    <w:p>
      <w:pPr>
        <w:spacing w:after="0"/>
        <w:tabs>
          <w:tab w:leader="none" w:pos="138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color w:val="auto"/>
        </w:rPr>
        <w:t>Deposited Moneys to be Held in Trust.</w:t>
      </w:r>
    </w:p>
    <w:p>
      <w:pPr>
        <w:spacing w:after="0" w:line="22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color w:val="auto"/>
        </w:rPr>
        <w:t>Payment of Moneys Held by Paying Agents.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color w:val="auto"/>
        </w:rPr>
        <w:t>Repayment to Company.</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color w:val="auto"/>
        </w:rPr>
        <w:t>No Recourse.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5"/>
          <w:szCs w:val="15"/>
          <w:color w:val="auto"/>
        </w:rPr>
        <w:t>Effect on Successors and Assigns.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contained by or on behalf of the Company shall bind its successors and assigns, whether so expressed or not.</w:t>
      </w:r>
    </w:p>
    <w:p>
      <w:pPr>
        <w:spacing w:after="0" w:line="1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color w:val="auto"/>
        </w:rPr>
        <w:t>Actions by Successor.</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color w:val="auto"/>
        </w:rPr>
        <w:t>Surrender of Company Powers.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4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color w:val="auto"/>
        </w:rPr>
        <w:t>Notices.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XpresSpa Group, Inc., Attn: [ ], 780 Third Avenue,</w:t>
      </w:r>
    </w:p>
    <w:p>
      <w:pPr>
        <w:jc w:val="both"/>
        <w:ind w:right="460"/>
        <w:spacing w:after="0" w:line="250" w:lineRule="auto"/>
        <w:rPr>
          <w:sz w:val="20"/>
          <w:szCs w:val="20"/>
          <w:color w:val="auto"/>
        </w:rPr>
      </w:pPr>
      <w:r>
        <w:rPr>
          <w:rFonts w:ascii="Arial" w:cs="Arial" w:eastAsia="Arial" w:hAnsi="Arial"/>
          <w:sz w:val="16"/>
          <w:szCs w:val="16"/>
          <w:color w:val="auto"/>
        </w:rPr>
        <w:t>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w:t>
      </w:r>
    </w:p>
    <w:p>
      <w:pPr>
        <w:spacing w:after="0" w:line="196"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0" w:name="page91"/>
    <w:bookmarkEnd w:id="90"/>
    <w:p>
      <w:pPr>
        <w:spacing w:after="0"/>
        <w:tabs>
          <w:tab w:leader="none" w:pos="138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color w:val="auto"/>
        </w:rPr>
        <w:t>Governing Law.</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internal laws of the State of New York, and for all purposes shall be construed in accordance with the laws of said State.</w:t>
      </w:r>
    </w:p>
    <w:p>
      <w:pPr>
        <w:spacing w:after="0" w:line="170"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6"/>
          <w:szCs w:val="16"/>
          <w:color w:val="auto"/>
        </w:rPr>
        <w:t>Treatment of Securities as Debt.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13.07</w:t>
      </w:r>
      <w:r>
        <w:rPr>
          <w:sz w:val="20"/>
          <w:szCs w:val="20"/>
          <w:color w:val="auto"/>
        </w:rPr>
        <w:tab/>
      </w:r>
      <w:r>
        <w:rPr>
          <w:rFonts w:ascii="Arial" w:cs="Arial" w:eastAsia="Arial" w:hAnsi="Arial"/>
          <w:sz w:val="16"/>
          <w:szCs w:val="16"/>
          <w:color w:val="auto"/>
        </w:rPr>
        <w:t>Compliance Certificates and Opinions.</w:t>
      </w:r>
    </w:p>
    <w:p>
      <w:pPr>
        <w:spacing w:after="0" w:line="225" w:lineRule="exact"/>
        <w:rPr>
          <w:sz w:val="20"/>
          <w:szCs w:val="20"/>
          <w:color w:val="auto"/>
        </w:rPr>
      </w:pPr>
    </w:p>
    <w:p>
      <w:pPr>
        <w:ind w:left="660" w:right="40" w:hanging="652"/>
        <w:spacing w:after="0" w:line="297"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58" w:lineRule="exact"/>
        <w:rPr>
          <w:rFonts w:ascii="Arial" w:cs="Arial" w:eastAsia="Arial" w:hAnsi="Arial"/>
          <w:sz w:val="16"/>
          <w:szCs w:val="16"/>
          <w:color w:val="auto"/>
        </w:rPr>
      </w:pPr>
    </w:p>
    <w:p>
      <w:pPr>
        <w:ind w:left="660" w:hanging="652"/>
        <w:spacing w:after="0" w:line="273"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7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5"/>
          <w:szCs w:val="15"/>
          <w:color w:val="auto"/>
        </w:rPr>
        <w:t>Payments on Business Days.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91" w:name="page92"/>
    <w:bookmarkEnd w:id="91"/>
    <w:p>
      <w:pPr>
        <w:spacing w:after="0"/>
        <w:tabs>
          <w:tab w:leader="none" w:pos="138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6"/>
          <w:szCs w:val="16"/>
          <w:color w:val="auto"/>
        </w:rPr>
        <w:t>Conflict with Trust Indenture Act.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color w:val="auto"/>
        </w:rPr>
        <w:t>Counterparts.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color w:val="auto"/>
        </w:rPr>
        <w:t>Separability.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color w:val="auto"/>
        </w:rPr>
        <w:t>Assignment.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day and year first above written.</w:t>
      </w:r>
    </w:p>
    <w:p>
      <w:pPr>
        <w:sectPr>
          <w:pgSz w:w="11900" w:h="16838" w:orient="portrait"/>
          <w:cols w:equalWidth="0" w:num="1">
            <w:col w:w="10219"/>
          </w:cols>
          <w:pgMar w:left="240" w:top="908" w:right="1440" w:bottom="1440" w:gutter="0" w:footer="0" w:header="0"/>
        </w:sect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XPRESSPA GROUP, INC.</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type w:val="continuous"/>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4.15</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540" w:hanging="109"/>
        <w:spacing w:after="0"/>
        <w:tabs>
          <w:tab w:leader="none" w:pos="4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240"/>
        <w:spacing w:after="0"/>
        <w:rPr>
          <w:rFonts w:ascii="Arial" w:cs="Arial" w:eastAsia="Arial" w:hAnsi="Arial"/>
          <w:sz w:val="18"/>
          <w:szCs w:val="18"/>
          <w:color w:val="auto"/>
        </w:rPr>
      </w:pPr>
      <w:r>
        <w:rPr>
          <w:rFonts w:ascii="Arial" w:cs="Arial" w:eastAsia="Arial" w:hAnsi="Arial"/>
          <w:sz w:val="18"/>
          <w:szCs w:val="18"/>
          <w:color w:val="auto"/>
        </w:rPr>
        <w:t>Trustee</w:t>
      </w:r>
    </w:p>
    <w:p>
      <w:pPr>
        <w:spacing w:after="0" w:line="2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Dated as of [ ]</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7260" w:type="dxa"/>
            <w:vAlign w:val="bottom"/>
            <w:gridSpan w:val="4"/>
          </w:tcPr>
          <w:p>
            <w:pPr>
              <w:jc w:val="right"/>
              <w:ind w:right="4400"/>
              <w:spacing w:after="0"/>
              <w:rPr>
                <w:sz w:val="20"/>
                <w:szCs w:val="20"/>
                <w:color w:val="auto"/>
              </w:rPr>
            </w:pPr>
            <w:r>
              <w:rPr>
                <w:rFonts w:ascii="Arial" w:cs="Arial" w:eastAsia="Arial" w:hAnsi="Arial"/>
                <w:sz w:val="18"/>
                <w:szCs w:val="18"/>
                <w:b w:val="1"/>
                <w:bCs w:val="1"/>
                <w:color w:val="auto"/>
              </w:rPr>
              <w:t>CROSS-REFERENCE TABLE (1)</w:t>
            </w:r>
          </w:p>
        </w:tc>
      </w:tr>
      <w:tr>
        <w:trPr>
          <w:trHeight w:val="41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Section of</w:t>
            </w:r>
          </w:p>
        </w:tc>
      </w:t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w w:val="94"/>
              </w:rPr>
              <w:t>Section of Trust Indenture Act of 1939, as Amended</w:t>
            </w:r>
          </w:p>
        </w:tc>
        <w:tc>
          <w:tcPr>
            <w:tcW w:w="5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Indenture</w:t>
            </w:r>
          </w:p>
        </w:tc>
      </w:tr>
      <w:tr>
        <w:trPr>
          <w:trHeight w:val="195"/>
        </w:trPr>
        <w:tc>
          <w:tcPr>
            <w:tcW w:w="20" w:type="dxa"/>
            <w:vAlign w:val="bottom"/>
          </w:tcPr>
          <w:p>
            <w:pPr>
              <w:spacing w:after="0"/>
              <w:rPr>
                <w:sz w:val="16"/>
                <w:szCs w:val="16"/>
                <w:color w:val="auto"/>
              </w:rPr>
            </w:pPr>
          </w:p>
        </w:tc>
        <w:tc>
          <w:tcPr>
            <w:tcW w:w="41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310(a).</w:t>
            </w:r>
          </w:p>
        </w:tc>
        <w:tc>
          <w:tcPr>
            <w:tcW w:w="5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7.09</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310(b).</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7.08</w:t>
            </w:r>
          </w:p>
        </w:tc>
      </w:tr>
      <w:tr>
        <w:trPr>
          <w:trHeight w:val="216"/>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7.10</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310(c).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Inapplicable</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311(a).</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7.13(a)</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311(b).</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7.13(b)</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311(c).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Inapplicable</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312(a).</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5.02(a)</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312(b).</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5.02(b)</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312(c).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5.02(c)</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313(a).</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5.04(a)</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313(b).</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5.04(a)</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313(c).</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5.04(a)</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5.04(b)</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313(d).</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5.04(b)</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314(a).</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314(b).</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Inapplicable</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314(c).</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13.06</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314(d).</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Inapplicable</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314(e).</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13.06</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314(f).</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Inapplicable</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315(a).</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7.01(a)</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7.02</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315(b).</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6.07</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315(c).</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7.01</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315(d).</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7.01(b)</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7.01(c)</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315(e).</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6.07</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316(a).</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6.06</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8.04</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316(b).</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6.04</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316(c).</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8.01</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317(a).</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6.02</w:t>
            </w:r>
          </w:p>
        </w:tc>
      </w:tr>
      <w:tr>
        <w:trPr>
          <w:trHeight w:val="216"/>
        </w:trPr>
        <w:tc>
          <w:tcPr>
            <w:tcW w:w="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317(b).</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4.03</w:t>
            </w:r>
          </w:p>
        </w:tc>
      </w:tr>
      <w:tr>
        <w:trPr>
          <w:trHeight w:val="230"/>
        </w:trPr>
        <w:tc>
          <w:tcPr>
            <w:tcW w:w="2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318(a).</w:t>
            </w:r>
          </w:p>
        </w:tc>
        <w:tc>
          <w:tcPr>
            <w:tcW w:w="7260" w:type="dxa"/>
            <w:vAlign w:val="bottom"/>
            <w:gridSpan w:val="4"/>
          </w:tcPr>
          <w:p>
            <w:pPr>
              <w:jc w:val="right"/>
              <w:ind w:right="20"/>
              <w:spacing w:after="0"/>
              <w:rPr>
                <w:sz w:val="20"/>
                <w:szCs w:val="20"/>
                <w:color w:val="auto"/>
              </w:rPr>
            </w:pPr>
            <w:r>
              <w:rPr>
                <w:rFonts w:ascii="Arial" w:cs="Arial" w:eastAsia="Arial" w:hAnsi="Arial"/>
                <w:sz w:val="18"/>
                <w:szCs w:val="18"/>
                <w:color w:val="auto"/>
              </w:rPr>
              <w:t>13.08</w:t>
            </w:r>
          </w:p>
        </w:tc>
      </w:tr>
    </w:tbl>
    <w:p>
      <w:pPr>
        <w:spacing w:after="0" w:line="202" w:lineRule="exact"/>
        <w:rPr>
          <w:sz w:val="20"/>
          <w:szCs w:val="20"/>
          <w:color w:val="auto"/>
        </w:rPr>
      </w:pPr>
    </w:p>
    <w:p>
      <w:pPr>
        <w:ind w:left="66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420" w:type="dxa"/>
            <w:vAlign w:val="bottom"/>
          </w:tcPr>
          <w:p>
            <w:pPr>
              <w:ind w:left="3400"/>
              <w:spacing w:after="0"/>
              <w:rPr>
                <w:sz w:val="20"/>
                <w:szCs w:val="20"/>
                <w:color w:val="auto"/>
              </w:rPr>
            </w:pPr>
            <w:r>
              <w:rPr>
                <w:rFonts w:ascii="Arial" w:cs="Arial" w:eastAsia="Arial" w:hAnsi="Arial"/>
                <w:sz w:val="18"/>
                <w:szCs w:val="18"/>
                <w:b w:val="1"/>
                <w:bCs w:val="1"/>
                <w:color w:val="auto"/>
              </w:rPr>
              <w:t>TABLE OF CONTENTS (2)</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DEFINITIONS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Definitions of Terms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 DESCRIPTION, TERMS, EXECUTION,</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2.01</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Designation and Terms of Securities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2.02</w:t>
            </w:r>
          </w:p>
        </w:tc>
        <w:tc>
          <w:tcPr>
            <w:tcW w:w="8420" w:type="dxa"/>
            <w:vAlign w:val="bottom"/>
          </w:tcPr>
          <w:p>
            <w:pPr>
              <w:ind w:left="400"/>
              <w:spacing w:after="0"/>
              <w:rPr>
                <w:sz w:val="20"/>
                <w:szCs w:val="20"/>
                <w:color w:val="auto"/>
              </w:rPr>
            </w:pPr>
            <w:r>
              <w:rPr>
                <w:rFonts w:ascii="Arial" w:cs="Arial" w:eastAsia="Arial" w:hAnsi="Arial"/>
                <w:sz w:val="18"/>
                <w:szCs w:val="18"/>
                <w:color w:val="auto"/>
              </w:rPr>
              <w:t>Form of Securities and Trustee’s Certificate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2.03</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Denominations: Provisions for Payment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2.04</w:t>
            </w:r>
          </w:p>
        </w:tc>
        <w:tc>
          <w:tcPr>
            <w:tcW w:w="8420" w:type="dxa"/>
            <w:vAlign w:val="bottom"/>
          </w:tcPr>
          <w:p>
            <w:pPr>
              <w:ind w:left="400"/>
              <w:spacing w:after="0"/>
              <w:rPr>
                <w:sz w:val="20"/>
                <w:szCs w:val="20"/>
                <w:color w:val="auto"/>
              </w:rPr>
            </w:pPr>
            <w:r>
              <w:rPr>
                <w:rFonts w:ascii="Arial" w:cs="Arial" w:eastAsia="Arial" w:hAnsi="Arial"/>
                <w:sz w:val="18"/>
                <w:szCs w:val="18"/>
                <w:color w:val="auto"/>
              </w:rPr>
              <w:t>Execution and Authentications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2.05</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Registration of Transfer and Exchange</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2.06</w:t>
            </w:r>
          </w:p>
        </w:tc>
        <w:tc>
          <w:tcPr>
            <w:tcW w:w="8420" w:type="dxa"/>
            <w:vAlign w:val="bottom"/>
          </w:tcPr>
          <w:p>
            <w:pPr>
              <w:ind w:left="400"/>
              <w:spacing w:after="0"/>
              <w:rPr>
                <w:sz w:val="20"/>
                <w:szCs w:val="20"/>
                <w:color w:val="auto"/>
              </w:rPr>
            </w:pPr>
            <w:r>
              <w:rPr>
                <w:rFonts w:ascii="Arial" w:cs="Arial" w:eastAsia="Arial" w:hAnsi="Arial"/>
                <w:sz w:val="18"/>
                <w:szCs w:val="18"/>
                <w:color w:val="auto"/>
              </w:rPr>
              <w:t>Temporary Securities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2.07</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Mutilated, Destroyed, Lost or Stolen Securities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2.08</w:t>
            </w:r>
          </w:p>
        </w:tc>
        <w:tc>
          <w:tcPr>
            <w:tcW w:w="8420" w:type="dxa"/>
            <w:vAlign w:val="bottom"/>
          </w:tcPr>
          <w:p>
            <w:pPr>
              <w:ind w:left="400"/>
              <w:spacing w:after="0"/>
              <w:rPr>
                <w:sz w:val="20"/>
                <w:szCs w:val="20"/>
                <w:color w:val="auto"/>
              </w:rPr>
            </w:pPr>
            <w:r>
              <w:rPr>
                <w:rFonts w:ascii="Arial" w:cs="Arial" w:eastAsia="Arial" w:hAnsi="Arial"/>
                <w:sz w:val="18"/>
                <w:szCs w:val="18"/>
                <w:color w:val="auto"/>
              </w:rPr>
              <w:t>Cancellation</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2.09</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Benefits of Indenture</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2.10</w:t>
            </w:r>
          </w:p>
        </w:tc>
        <w:tc>
          <w:tcPr>
            <w:tcW w:w="8420" w:type="dxa"/>
            <w:vAlign w:val="bottom"/>
          </w:tcPr>
          <w:p>
            <w:pPr>
              <w:ind w:left="400"/>
              <w:spacing w:after="0"/>
              <w:rPr>
                <w:sz w:val="20"/>
                <w:szCs w:val="20"/>
                <w:color w:val="auto"/>
              </w:rPr>
            </w:pPr>
            <w:r>
              <w:rPr>
                <w:rFonts w:ascii="Arial" w:cs="Arial" w:eastAsia="Arial" w:hAnsi="Arial"/>
                <w:sz w:val="18"/>
                <w:szCs w:val="18"/>
                <w:color w:val="auto"/>
              </w:rPr>
              <w:t>Authenticating Agent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2.11</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Securities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REDEMPTION OF SECURITIES AND SINKING FUND PROVISIONS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Redemption</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3.02</w:t>
            </w:r>
          </w:p>
        </w:tc>
        <w:tc>
          <w:tcPr>
            <w:tcW w:w="8420" w:type="dxa"/>
            <w:vAlign w:val="bottom"/>
          </w:tcPr>
          <w:p>
            <w:pPr>
              <w:ind w:left="400"/>
              <w:spacing w:after="0"/>
              <w:rPr>
                <w:sz w:val="20"/>
                <w:szCs w:val="20"/>
                <w:color w:val="auto"/>
              </w:rPr>
            </w:pPr>
            <w:r>
              <w:rPr>
                <w:rFonts w:ascii="Arial" w:cs="Arial" w:eastAsia="Arial" w:hAnsi="Arial"/>
                <w:sz w:val="18"/>
                <w:szCs w:val="18"/>
                <w:color w:val="auto"/>
              </w:rPr>
              <w:t>Notice of Redemption</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Upon Redemption</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3.04</w:t>
            </w:r>
          </w:p>
        </w:tc>
        <w:tc>
          <w:tcPr>
            <w:tcW w:w="8420" w:type="dxa"/>
            <w:vAlign w:val="bottom"/>
          </w:tcPr>
          <w:p>
            <w:pPr>
              <w:ind w:left="400"/>
              <w:spacing w:after="0"/>
              <w:rPr>
                <w:sz w:val="20"/>
                <w:szCs w:val="20"/>
                <w:color w:val="auto"/>
              </w:rPr>
            </w:pPr>
            <w:r>
              <w:rPr>
                <w:rFonts w:ascii="Arial" w:cs="Arial" w:eastAsia="Arial" w:hAnsi="Arial"/>
                <w:sz w:val="18"/>
                <w:szCs w:val="18"/>
                <w:color w:val="auto"/>
              </w:rPr>
              <w:t>Sinking Fund</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3.05</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Satisfaction of Sinking Fund Payments with Securities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3.06</w:t>
            </w:r>
          </w:p>
        </w:tc>
        <w:tc>
          <w:tcPr>
            <w:tcW w:w="8420" w:type="dxa"/>
            <w:vAlign w:val="bottom"/>
          </w:tcPr>
          <w:p>
            <w:pPr>
              <w:ind w:left="400"/>
              <w:spacing w:after="0"/>
              <w:rPr>
                <w:sz w:val="20"/>
                <w:szCs w:val="20"/>
                <w:color w:val="auto"/>
              </w:rPr>
            </w:pPr>
            <w:r>
              <w:rPr>
                <w:rFonts w:ascii="Arial" w:cs="Arial" w:eastAsia="Arial" w:hAnsi="Arial"/>
                <w:sz w:val="18"/>
                <w:szCs w:val="18"/>
                <w:color w:val="auto"/>
              </w:rPr>
              <w:t>Redemption of Securities for Sinking Fund</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ARTICLE IV</w:t>
            </w:r>
          </w:p>
        </w:tc>
        <w:tc>
          <w:tcPr>
            <w:tcW w:w="8420" w:type="dxa"/>
            <w:vAlign w:val="bottom"/>
          </w:tcPr>
          <w:p>
            <w:pPr>
              <w:ind w:left="400"/>
              <w:spacing w:after="0"/>
              <w:rPr>
                <w:sz w:val="20"/>
                <w:szCs w:val="20"/>
                <w:color w:val="auto"/>
              </w:rPr>
            </w:pPr>
            <w:r>
              <w:rPr>
                <w:rFonts w:ascii="Arial" w:cs="Arial" w:eastAsia="Arial" w:hAnsi="Arial"/>
                <w:sz w:val="18"/>
                <w:szCs w:val="18"/>
                <w:color w:val="auto"/>
              </w:rPr>
              <w:t>COVENANTS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4.01</w:t>
            </w:r>
          </w:p>
        </w:tc>
        <w:tc>
          <w:tcPr>
            <w:tcW w:w="8420" w:type="dxa"/>
            <w:vAlign w:val="bottom"/>
          </w:tcPr>
          <w:p>
            <w:pPr>
              <w:ind w:left="400"/>
              <w:spacing w:after="0"/>
              <w:rPr>
                <w:sz w:val="20"/>
                <w:szCs w:val="20"/>
                <w:color w:val="auto"/>
              </w:rPr>
            </w:pPr>
            <w:r>
              <w:rPr>
                <w:rFonts w:ascii="Arial" w:cs="Arial" w:eastAsia="Arial" w:hAnsi="Arial"/>
                <w:sz w:val="18"/>
                <w:szCs w:val="18"/>
                <w:color w:val="auto"/>
              </w:rPr>
              <w:t>Payment of Principal, Premium and Interest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4.02</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Maintenance of Office or Agency</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4.03</w:t>
            </w:r>
          </w:p>
        </w:tc>
        <w:tc>
          <w:tcPr>
            <w:tcW w:w="8420" w:type="dxa"/>
            <w:vAlign w:val="bottom"/>
          </w:tcPr>
          <w:p>
            <w:pPr>
              <w:ind w:left="400"/>
              <w:spacing w:after="0"/>
              <w:rPr>
                <w:sz w:val="20"/>
                <w:szCs w:val="20"/>
                <w:color w:val="auto"/>
              </w:rPr>
            </w:pPr>
            <w:r>
              <w:rPr>
                <w:rFonts w:ascii="Arial" w:cs="Arial" w:eastAsia="Arial" w:hAnsi="Arial"/>
                <w:sz w:val="18"/>
                <w:szCs w:val="18"/>
                <w:color w:val="auto"/>
              </w:rPr>
              <w:t>Paying Agents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4.04</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Appointment to Fill Vacancy in Office of Trustee</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4.05</w:t>
            </w:r>
          </w:p>
        </w:tc>
        <w:tc>
          <w:tcPr>
            <w:tcW w:w="8420" w:type="dxa"/>
            <w:vAlign w:val="bottom"/>
          </w:tcPr>
          <w:p>
            <w:pPr>
              <w:ind w:left="400"/>
              <w:spacing w:after="0"/>
              <w:rPr>
                <w:sz w:val="20"/>
                <w:szCs w:val="20"/>
                <w:color w:val="auto"/>
              </w:rPr>
            </w:pPr>
            <w:r>
              <w:rPr>
                <w:rFonts w:ascii="Arial" w:cs="Arial" w:eastAsia="Arial" w:hAnsi="Arial"/>
                <w:sz w:val="18"/>
                <w:szCs w:val="18"/>
                <w:color w:val="auto"/>
              </w:rPr>
              <w:t>Compliance with Consolidation Provisions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ARTICLE V</w:t>
            </w:r>
          </w:p>
        </w:tc>
        <w:tc>
          <w:tcPr>
            <w:tcW w:w="8420" w:type="dxa"/>
            <w:vAlign w:val="bottom"/>
          </w:tcPr>
          <w:p>
            <w:pPr>
              <w:ind w:left="400"/>
              <w:spacing w:after="0"/>
              <w:rPr>
                <w:sz w:val="20"/>
                <w:szCs w:val="20"/>
                <w:color w:val="auto"/>
              </w:rPr>
            </w:pPr>
            <w:r>
              <w:rPr>
                <w:rFonts w:ascii="Arial" w:cs="Arial" w:eastAsia="Arial" w:hAnsi="Arial"/>
                <w:sz w:val="18"/>
                <w:szCs w:val="18"/>
                <w:color w:val="auto"/>
              </w:rPr>
              <w:t>SECURITYHOLDERS’ LISTS AND REPORTS BY THE COMPANY AND THE TRUSTEE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5.01</w:t>
            </w:r>
          </w:p>
        </w:tc>
        <w:tc>
          <w:tcPr>
            <w:tcW w:w="8420" w:type="dxa"/>
            <w:vAlign w:val="bottom"/>
          </w:tcPr>
          <w:p>
            <w:pPr>
              <w:ind w:left="40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5.02</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Preservation of Information; Communications with Securityholders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5.03</w:t>
            </w:r>
          </w:p>
        </w:tc>
        <w:tc>
          <w:tcPr>
            <w:tcW w:w="8420" w:type="dxa"/>
            <w:vAlign w:val="bottom"/>
          </w:tcPr>
          <w:p>
            <w:pPr>
              <w:ind w:left="400"/>
              <w:spacing w:after="0"/>
              <w:rPr>
                <w:sz w:val="20"/>
                <w:szCs w:val="20"/>
                <w:color w:val="auto"/>
              </w:rPr>
            </w:pPr>
            <w:r>
              <w:rPr>
                <w:rFonts w:ascii="Arial" w:cs="Arial" w:eastAsia="Arial" w:hAnsi="Arial"/>
                <w:sz w:val="18"/>
                <w:szCs w:val="18"/>
                <w:color w:val="auto"/>
              </w:rPr>
              <w:t>Reports by the Company</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5.04</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Reports by the Trustee</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REMEDIES OF THE TRUSTEE AND SECURITYHOLDERS ON EVENT OF DEFAULT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6.01</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Events of Default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6.02</w:t>
            </w:r>
          </w:p>
        </w:tc>
        <w:tc>
          <w:tcPr>
            <w:tcW w:w="8420" w:type="dxa"/>
            <w:vAlign w:val="bottom"/>
          </w:tcPr>
          <w:p>
            <w:pPr>
              <w:ind w:left="400"/>
              <w:spacing w:after="0"/>
              <w:rPr>
                <w:sz w:val="20"/>
                <w:szCs w:val="20"/>
                <w:color w:val="auto"/>
              </w:rPr>
            </w:pPr>
            <w:r>
              <w:rPr>
                <w:rFonts w:ascii="Arial" w:cs="Arial" w:eastAsia="Arial" w:hAnsi="Arial"/>
                <w:sz w:val="18"/>
                <w:szCs w:val="18"/>
                <w:color w:val="auto"/>
              </w:rPr>
              <w:t>Collection of Indebtedness and Suits for Enforcement by Trustee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6.03</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Application of Moneys Collected</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6.04</w:t>
            </w:r>
          </w:p>
        </w:tc>
        <w:tc>
          <w:tcPr>
            <w:tcW w:w="8420" w:type="dxa"/>
            <w:vAlign w:val="bottom"/>
          </w:tcPr>
          <w:p>
            <w:pPr>
              <w:ind w:left="400"/>
              <w:spacing w:after="0"/>
              <w:rPr>
                <w:sz w:val="20"/>
                <w:szCs w:val="20"/>
                <w:color w:val="auto"/>
              </w:rPr>
            </w:pPr>
            <w:r>
              <w:rPr>
                <w:rFonts w:ascii="Arial" w:cs="Arial" w:eastAsia="Arial" w:hAnsi="Arial"/>
                <w:sz w:val="18"/>
                <w:szCs w:val="18"/>
                <w:color w:val="auto"/>
              </w:rPr>
              <w:t>Limitation on Suits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6.05</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Rights and Remedies Cumulative; Delay or Omission Not Waiver</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6.06</w:t>
            </w:r>
          </w:p>
        </w:tc>
        <w:tc>
          <w:tcPr>
            <w:tcW w:w="8420" w:type="dxa"/>
            <w:vAlign w:val="bottom"/>
          </w:tcPr>
          <w:p>
            <w:pPr>
              <w:ind w:left="400"/>
              <w:spacing w:after="0"/>
              <w:rPr>
                <w:sz w:val="20"/>
                <w:szCs w:val="20"/>
                <w:color w:val="auto"/>
              </w:rPr>
            </w:pPr>
            <w:r>
              <w:rPr>
                <w:rFonts w:ascii="Arial" w:cs="Arial" w:eastAsia="Arial" w:hAnsi="Arial"/>
                <w:sz w:val="18"/>
                <w:szCs w:val="18"/>
                <w:color w:val="auto"/>
              </w:rPr>
              <w:t>Control by Securityholders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6.07</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Undertaking to Pay Costs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CONCERNING THE TRUSTEE</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7.01</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Certain Duties and Responsibilities of Trustee</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SECTION 7.02</w:t>
            </w:r>
          </w:p>
        </w:tc>
        <w:tc>
          <w:tcPr>
            <w:tcW w:w="8420" w:type="dxa"/>
            <w:vAlign w:val="bottom"/>
          </w:tcPr>
          <w:p>
            <w:pPr>
              <w:ind w:left="400"/>
              <w:spacing w:after="0"/>
              <w:rPr>
                <w:sz w:val="20"/>
                <w:szCs w:val="20"/>
                <w:color w:val="auto"/>
              </w:rPr>
            </w:pPr>
            <w:r>
              <w:rPr>
                <w:rFonts w:ascii="Arial" w:cs="Arial" w:eastAsia="Arial" w:hAnsi="Arial"/>
                <w:sz w:val="18"/>
                <w:szCs w:val="18"/>
                <w:color w:val="auto"/>
              </w:rPr>
              <w:t>Certain Rights of Trustee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SECTION 7.03</w:t>
            </w:r>
          </w:p>
        </w:tc>
        <w:tc>
          <w:tcPr>
            <w:tcW w:w="8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Trustee Not Responsible for Recitals or Issuance of Securities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7.04</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May Hold Securities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7.05</w:t>
            </w:r>
          </w:p>
        </w:tc>
        <w:tc>
          <w:tcPr>
            <w:tcW w:w="8280" w:type="dxa"/>
            <w:vAlign w:val="bottom"/>
          </w:tcPr>
          <w:p>
            <w:pPr>
              <w:ind w:left="360"/>
              <w:spacing w:after="0"/>
              <w:rPr>
                <w:sz w:val="20"/>
                <w:szCs w:val="20"/>
                <w:color w:val="auto"/>
              </w:rPr>
            </w:pPr>
            <w:r>
              <w:rPr>
                <w:rFonts w:ascii="Arial" w:cs="Arial" w:eastAsia="Arial" w:hAnsi="Arial"/>
                <w:sz w:val="18"/>
                <w:szCs w:val="18"/>
                <w:color w:val="auto"/>
              </w:rPr>
              <w:t>Moneys Held in Trust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7.06</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Reimbursement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7.07</w:t>
            </w:r>
          </w:p>
        </w:tc>
        <w:tc>
          <w:tcPr>
            <w:tcW w:w="8280" w:type="dxa"/>
            <w:vAlign w:val="bottom"/>
          </w:tcPr>
          <w:p>
            <w:pPr>
              <w:ind w:left="360"/>
              <w:spacing w:after="0"/>
              <w:rPr>
                <w:sz w:val="20"/>
                <w:szCs w:val="20"/>
                <w:color w:val="auto"/>
              </w:rPr>
            </w:pPr>
            <w:r>
              <w:rPr>
                <w:rFonts w:ascii="Arial" w:cs="Arial" w:eastAsia="Arial" w:hAnsi="Arial"/>
                <w:sz w:val="18"/>
                <w:szCs w:val="18"/>
                <w:color w:val="auto"/>
              </w:rPr>
              <w:t>Reliance on Officers’ Certificate</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7.08</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Disqualification; Conflicting Interests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7.09</w:t>
            </w:r>
          </w:p>
        </w:tc>
        <w:tc>
          <w:tcPr>
            <w:tcW w:w="8280" w:type="dxa"/>
            <w:vAlign w:val="bottom"/>
          </w:tcPr>
          <w:p>
            <w:pPr>
              <w:ind w:left="360"/>
              <w:spacing w:after="0"/>
              <w:rPr>
                <w:sz w:val="20"/>
                <w:szCs w:val="20"/>
                <w:color w:val="auto"/>
              </w:rPr>
            </w:pPr>
            <w:r>
              <w:rPr>
                <w:rFonts w:ascii="Arial" w:cs="Arial" w:eastAsia="Arial" w:hAnsi="Arial"/>
                <w:sz w:val="18"/>
                <w:szCs w:val="18"/>
                <w:color w:val="auto"/>
              </w:rPr>
              <w:t>Corporate Trustee Required; Eligibility</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7.10</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Resignation and Removal; Appointment of Successor</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7.11</w:t>
            </w:r>
          </w:p>
        </w:tc>
        <w:tc>
          <w:tcPr>
            <w:tcW w:w="8280" w:type="dxa"/>
            <w:vAlign w:val="bottom"/>
          </w:tcPr>
          <w:p>
            <w:pPr>
              <w:ind w:left="360"/>
              <w:spacing w:after="0"/>
              <w:rPr>
                <w:sz w:val="20"/>
                <w:szCs w:val="20"/>
                <w:color w:val="auto"/>
              </w:rPr>
            </w:pPr>
            <w:r>
              <w:rPr>
                <w:rFonts w:ascii="Arial" w:cs="Arial" w:eastAsia="Arial" w:hAnsi="Arial"/>
                <w:sz w:val="18"/>
                <w:szCs w:val="18"/>
                <w:color w:val="auto"/>
              </w:rPr>
              <w:t>Acceptance of Appointment By Successor</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7.12</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 Conversion, Consolidation or Succession to Business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7.13</w:t>
            </w:r>
          </w:p>
        </w:tc>
        <w:tc>
          <w:tcPr>
            <w:tcW w:w="8280" w:type="dxa"/>
            <w:vAlign w:val="bottom"/>
          </w:tcPr>
          <w:p>
            <w:pPr>
              <w:ind w:left="360"/>
              <w:spacing w:after="0"/>
              <w:rPr>
                <w:sz w:val="20"/>
                <w:szCs w:val="20"/>
                <w:color w:val="auto"/>
              </w:rPr>
            </w:pPr>
            <w:r>
              <w:rPr>
                <w:rFonts w:ascii="Arial" w:cs="Arial" w:eastAsia="Arial" w:hAnsi="Arial"/>
                <w:sz w:val="18"/>
                <w:szCs w:val="18"/>
                <w:color w:val="auto"/>
              </w:rPr>
              <w:t>Preferential Collection of Claims Against the Company</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ARTICLE VIII</w:t>
            </w:r>
          </w:p>
        </w:tc>
        <w:tc>
          <w:tcPr>
            <w:tcW w:w="8280" w:type="dxa"/>
            <w:vAlign w:val="bottom"/>
          </w:tcPr>
          <w:p>
            <w:pPr>
              <w:ind w:left="360"/>
              <w:spacing w:after="0"/>
              <w:rPr>
                <w:sz w:val="20"/>
                <w:szCs w:val="20"/>
                <w:color w:val="auto"/>
              </w:rPr>
            </w:pPr>
            <w:r>
              <w:rPr>
                <w:rFonts w:ascii="Arial" w:cs="Arial" w:eastAsia="Arial" w:hAnsi="Arial"/>
                <w:sz w:val="18"/>
                <w:szCs w:val="18"/>
                <w:color w:val="auto"/>
              </w:rPr>
              <w:t>CONCERNING THE SECURITYHOLDERS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8.01</w:t>
            </w:r>
          </w:p>
        </w:tc>
        <w:tc>
          <w:tcPr>
            <w:tcW w:w="8280" w:type="dxa"/>
            <w:vAlign w:val="bottom"/>
          </w:tcPr>
          <w:p>
            <w:pPr>
              <w:ind w:left="360"/>
              <w:spacing w:after="0"/>
              <w:rPr>
                <w:sz w:val="20"/>
                <w:szCs w:val="20"/>
                <w:color w:val="auto"/>
              </w:rPr>
            </w:pPr>
            <w:r>
              <w:rPr>
                <w:rFonts w:ascii="Arial" w:cs="Arial" w:eastAsia="Arial" w:hAnsi="Arial"/>
                <w:sz w:val="18"/>
                <w:szCs w:val="18"/>
                <w:color w:val="auto"/>
              </w:rPr>
              <w:t>Evidence of Action by Securityholders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8.02</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Proof of Execution by Securityholders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8.03</w:t>
            </w:r>
          </w:p>
        </w:tc>
        <w:tc>
          <w:tcPr>
            <w:tcW w:w="8280" w:type="dxa"/>
            <w:vAlign w:val="bottom"/>
          </w:tcPr>
          <w:p>
            <w:pPr>
              <w:ind w:left="360"/>
              <w:spacing w:after="0"/>
              <w:rPr>
                <w:sz w:val="20"/>
                <w:szCs w:val="20"/>
                <w:color w:val="auto"/>
              </w:rPr>
            </w:pPr>
            <w:r>
              <w:rPr>
                <w:rFonts w:ascii="Arial" w:cs="Arial" w:eastAsia="Arial" w:hAnsi="Arial"/>
                <w:sz w:val="18"/>
                <w:szCs w:val="18"/>
                <w:color w:val="auto"/>
              </w:rPr>
              <w:t>Who May be Deemed Owners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8.04</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Certain Securities Owned by Company Disregarded</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8.05</w:t>
            </w:r>
          </w:p>
        </w:tc>
        <w:tc>
          <w:tcPr>
            <w:tcW w:w="8280" w:type="dxa"/>
            <w:vAlign w:val="bottom"/>
          </w:tcPr>
          <w:p>
            <w:pPr>
              <w:ind w:left="360"/>
              <w:spacing w:after="0"/>
              <w:rPr>
                <w:sz w:val="20"/>
                <w:szCs w:val="20"/>
                <w:color w:val="auto"/>
              </w:rPr>
            </w:pPr>
            <w:r>
              <w:rPr>
                <w:rFonts w:ascii="Arial" w:cs="Arial" w:eastAsia="Arial" w:hAnsi="Arial"/>
                <w:sz w:val="18"/>
                <w:szCs w:val="18"/>
                <w:color w:val="auto"/>
              </w:rPr>
              <w:t>Actions Binding on Future Securityholders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8.06</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Purposes for Which Meetings May Be Called</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8.07</w:t>
            </w:r>
          </w:p>
        </w:tc>
        <w:tc>
          <w:tcPr>
            <w:tcW w:w="8280" w:type="dxa"/>
            <w:vAlign w:val="bottom"/>
          </w:tcPr>
          <w:p>
            <w:pPr>
              <w:ind w:left="360"/>
              <w:spacing w:after="0"/>
              <w:rPr>
                <w:sz w:val="20"/>
                <w:szCs w:val="20"/>
                <w:color w:val="auto"/>
              </w:rPr>
            </w:pPr>
            <w:r>
              <w:rPr>
                <w:rFonts w:ascii="Arial" w:cs="Arial" w:eastAsia="Arial" w:hAnsi="Arial"/>
                <w:sz w:val="18"/>
                <w:szCs w:val="18"/>
                <w:color w:val="auto"/>
              </w:rPr>
              <w:t>Call Notice and Place of Meetings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8.08</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Persons Entitled To Vote at Meetings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8.09</w:t>
            </w:r>
          </w:p>
        </w:tc>
        <w:tc>
          <w:tcPr>
            <w:tcW w:w="8280" w:type="dxa"/>
            <w:vAlign w:val="bottom"/>
          </w:tcPr>
          <w:p>
            <w:pPr>
              <w:ind w:left="360"/>
              <w:spacing w:after="0"/>
              <w:rPr>
                <w:sz w:val="20"/>
                <w:szCs w:val="20"/>
                <w:color w:val="auto"/>
              </w:rPr>
            </w:pPr>
            <w:r>
              <w:rPr>
                <w:rFonts w:ascii="Arial" w:cs="Arial" w:eastAsia="Arial" w:hAnsi="Arial"/>
                <w:sz w:val="18"/>
                <w:szCs w:val="18"/>
                <w:color w:val="auto"/>
              </w:rPr>
              <w:t>Quorum; Action</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8.10</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8.11</w:t>
            </w:r>
          </w:p>
        </w:tc>
        <w:tc>
          <w:tcPr>
            <w:tcW w:w="8280" w:type="dxa"/>
            <w:vAlign w:val="bottom"/>
          </w:tcPr>
          <w:p>
            <w:pPr>
              <w:ind w:left="360"/>
              <w:spacing w:after="0"/>
              <w:rPr>
                <w:sz w:val="20"/>
                <w:szCs w:val="20"/>
                <w:color w:val="auto"/>
              </w:rPr>
            </w:pPr>
            <w:r>
              <w:rPr>
                <w:rFonts w:ascii="Arial" w:cs="Arial" w:eastAsia="Arial" w:hAnsi="Arial"/>
                <w:sz w:val="18"/>
                <w:szCs w:val="18"/>
                <w:color w:val="auto"/>
              </w:rPr>
              <w:t>Counting Votes and Recording Action of Meetings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ARTICLE IX</w:t>
            </w:r>
          </w:p>
        </w:tc>
        <w:tc>
          <w:tcPr>
            <w:tcW w:w="8280" w:type="dxa"/>
            <w:vAlign w:val="bottom"/>
          </w:tcPr>
          <w:p>
            <w:pPr>
              <w:ind w:left="360"/>
              <w:spacing w:after="0"/>
              <w:rPr>
                <w:sz w:val="20"/>
                <w:szCs w:val="20"/>
                <w:color w:val="auto"/>
              </w:rPr>
            </w:pPr>
            <w:r>
              <w:rPr>
                <w:rFonts w:ascii="Arial" w:cs="Arial" w:eastAsia="Arial" w:hAnsi="Arial"/>
                <w:sz w:val="18"/>
                <w:szCs w:val="18"/>
                <w:color w:val="auto"/>
              </w:rPr>
              <w:t>SUPPLEMENTAL INDENTURES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9.01</w:t>
            </w:r>
          </w:p>
        </w:tc>
        <w:tc>
          <w:tcPr>
            <w:tcW w:w="8280" w:type="dxa"/>
            <w:vAlign w:val="bottom"/>
          </w:tcPr>
          <w:p>
            <w:pPr>
              <w:ind w:left="360"/>
              <w:spacing w:after="0"/>
              <w:rPr>
                <w:sz w:val="20"/>
                <w:szCs w:val="20"/>
                <w:color w:val="auto"/>
              </w:rPr>
            </w:pPr>
            <w:r>
              <w:rPr>
                <w:rFonts w:ascii="Arial" w:cs="Arial" w:eastAsia="Arial" w:hAnsi="Arial"/>
                <w:sz w:val="18"/>
                <w:szCs w:val="18"/>
                <w:color w:val="auto"/>
              </w:rPr>
              <w:t>Supplemental Indentures Without the Consent of Securityholders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9.02</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Supplemental Indentures With Consent of Securityholders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9.03</w:t>
            </w:r>
          </w:p>
        </w:tc>
        <w:tc>
          <w:tcPr>
            <w:tcW w:w="8280" w:type="dxa"/>
            <w:vAlign w:val="bottom"/>
          </w:tcPr>
          <w:p>
            <w:pPr>
              <w:ind w:left="360"/>
              <w:spacing w:after="0"/>
              <w:rPr>
                <w:sz w:val="20"/>
                <w:szCs w:val="20"/>
                <w:color w:val="auto"/>
              </w:rPr>
            </w:pPr>
            <w:r>
              <w:rPr>
                <w:rFonts w:ascii="Arial" w:cs="Arial" w:eastAsia="Arial" w:hAnsi="Arial"/>
                <w:sz w:val="18"/>
                <w:szCs w:val="18"/>
                <w:color w:val="auto"/>
              </w:rPr>
              <w:t>Effect of Supplemental Indentures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9.04</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Affected by Supplemental Indentures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9.05</w:t>
            </w:r>
          </w:p>
        </w:tc>
        <w:tc>
          <w:tcPr>
            <w:tcW w:w="8280" w:type="dxa"/>
            <w:vAlign w:val="bottom"/>
          </w:tcPr>
          <w:p>
            <w:pPr>
              <w:ind w:left="360"/>
              <w:spacing w:after="0"/>
              <w:rPr>
                <w:sz w:val="20"/>
                <w:szCs w:val="20"/>
                <w:color w:val="auto"/>
              </w:rPr>
            </w:pPr>
            <w:r>
              <w:rPr>
                <w:rFonts w:ascii="Arial" w:cs="Arial" w:eastAsia="Arial" w:hAnsi="Arial"/>
                <w:sz w:val="18"/>
                <w:szCs w:val="18"/>
                <w:color w:val="auto"/>
              </w:rPr>
              <w:t>Execution of Supplemental Indentures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ARTICLE X</w:t>
            </w:r>
          </w:p>
        </w:tc>
        <w:tc>
          <w:tcPr>
            <w:tcW w:w="8280" w:type="dxa"/>
            <w:vAlign w:val="bottom"/>
          </w:tcPr>
          <w:p>
            <w:pPr>
              <w:ind w:left="360"/>
              <w:spacing w:after="0"/>
              <w:rPr>
                <w:sz w:val="20"/>
                <w:szCs w:val="20"/>
                <w:color w:val="auto"/>
              </w:rPr>
            </w:pPr>
            <w:r>
              <w:rPr>
                <w:rFonts w:ascii="Arial" w:cs="Arial" w:eastAsia="Arial" w:hAnsi="Arial"/>
                <w:sz w:val="18"/>
                <w:szCs w:val="18"/>
                <w:color w:val="auto"/>
              </w:rPr>
              <w:t>SUCCESSOR ENTITY</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10.01</w:t>
            </w:r>
          </w:p>
        </w:tc>
        <w:tc>
          <w:tcPr>
            <w:tcW w:w="8280" w:type="dxa"/>
            <w:vAlign w:val="bottom"/>
          </w:tcPr>
          <w:p>
            <w:pPr>
              <w:ind w:left="360"/>
              <w:spacing w:after="0"/>
              <w:rPr>
                <w:sz w:val="20"/>
                <w:szCs w:val="20"/>
                <w:color w:val="auto"/>
              </w:rPr>
            </w:pPr>
            <w:r>
              <w:rPr>
                <w:rFonts w:ascii="Arial" w:cs="Arial" w:eastAsia="Arial" w:hAnsi="Arial"/>
                <w:sz w:val="18"/>
                <w:szCs w:val="18"/>
                <w:color w:val="auto"/>
              </w:rPr>
              <w:t>Company May Consolidate, Etc</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10.02</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Successor Entity Substituted</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10.03</w:t>
            </w:r>
          </w:p>
        </w:tc>
        <w:tc>
          <w:tcPr>
            <w:tcW w:w="8280" w:type="dxa"/>
            <w:vAlign w:val="bottom"/>
          </w:tcPr>
          <w:p>
            <w:pPr>
              <w:ind w:left="360"/>
              <w:spacing w:after="0"/>
              <w:rPr>
                <w:sz w:val="20"/>
                <w:szCs w:val="20"/>
                <w:color w:val="auto"/>
              </w:rPr>
            </w:pPr>
            <w:r>
              <w:rPr>
                <w:rFonts w:ascii="Arial" w:cs="Arial" w:eastAsia="Arial" w:hAnsi="Arial"/>
                <w:sz w:val="18"/>
                <w:szCs w:val="18"/>
                <w:color w:val="auto"/>
              </w:rPr>
              <w:t>Evidence of Consolidation, Etc</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ARTICLE XI</w:t>
            </w:r>
          </w:p>
        </w:tc>
        <w:tc>
          <w:tcPr>
            <w:tcW w:w="8280" w:type="dxa"/>
            <w:vAlign w:val="bottom"/>
          </w:tcPr>
          <w:p>
            <w:pPr>
              <w:ind w:left="360"/>
              <w:spacing w:after="0"/>
              <w:rPr>
                <w:sz w:val="20"/>
                <w:szCs w:val="20"/>
                <w:color w:val="auto"/>
              </w:rPr>
            </w:pPr>
            <w:r>
              <w:rPr>
                <w:rFonts w:ascii="Arial" w:cs="Arial" w:eastAsia="Arial" w:hAnsi="Arial"/>
                <w:sz w:val="18"/>
                <w:szCs w:val="18"/>
                <w:color w:val="auto"/>
              </w:rPr>
              <w:t>SATISFACTION AND DISCHARGE</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11.01</w:t>
            </w:r>
          </w:p>
        </w:tc>
        <w:tc>
          <w:tcPr>
            <w:tcW w:w="8280" w:type="dxa"/>
            <w:vAlign w:val="bottom"/>
          </w:tcPr>
          <w:p>
            <w:pPr>
              <w:ind w:left="360"/>
              <w:spacing w:after="0"/>
              <w:rPr>
                <w:sz w:val="20"/>
                <w:szCs w:val="20"/>
                <w:color w:val="auto"/>
              </w:rPr>
            </w:pPr>
            <w:r>
              <w:rPr>
                <w:rFonts w:ascii="Arial" w:cs="Arial" w:eastAsia="Arial" w:hAnsi="Arial"/>
                <w:sz w:val="18"/>
                <w:szCs w:val="18"/>
                <w:color w:val="auto"/>
              </w:rPr>
              <w:t>Satisfaction and Discharge of Indenture</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11.02</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Discharge of Obligations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11.03</w:t>
            </w:r>
          </w:p>
        </w:tc>
        <w:tc>
          <w:tcPr>
            <w:tcW w:w="8280" w:type="dxa"/>
            <w:vAlign w:val="bottom"/>
          </w:tcPr>
          <w:p>
            <w:pPr>
              <w:ind w:left="360"/>
              <w:spacing w:after="0"/>
              <w:rPr>
                <w:sz w:val="20"/>
                <w:szCs w:val="20"/>
                <w:color w:val="auto"/>
              </w:rPr>
            </w:pPr>
            <w:r>
              <w:rPr>
                <w:rFonts w:ascii="Arial" w:cs="Arial" w:eastAsia="Arial" w:hAnsi="Arial"/>
                <w:sz w:val="18"/>
                <w:szCs w:val="18"/>
                <w:color w:val="auto"/>
              </w:rPr>
              <w:t>Deposited Moneys to be Held in Trust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11.04</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Moneys Held by Paying Agents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11.05</w:t>
            </w:r>
          </w:p>
        </w:tc>
        <w:tc>
          <w:tcPr>
            <w:tcW w:w="8280" w:type="dxa"/>
            <w:vAlign w:val="bottom"/>
          </w:tcPr>
          <w:p>
            <w:pPr>
              <w:ind w:left="360"/>
              <w:spacing w:after="0"/>
              <w:rPr>
                <w:sz w:val="20"/>
                <w:szCs w:val="20"/>
                <w:color w:val="auto"/>
              </w:rPr>
            </w:pPr>
            <w:r>
              <w:rPr>
                <w:rFonts w:ascii="Arial" w:cs="Arial" w:eastAsia="Arial" w:hAnsi="Arial"/>
                <w:sz w:val="18"/>
                <w:szCs w:val="18"/>
                <w:color w:val="auto"/>
              </w:rPr>
              <w:t>Repayment to Company</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ARTICLE XII</w:t>
            </w:r>
          </w:p>
        </w:tc>
        <w:tc>
          <w:tcPr>
            <w:tcW w:w="8280" w:type="dxa"/>
            <w:vAlign w:val="bottom"/>
          </w:tcPr>
          <w:p>
            <w:pPr>
              <w:ind w:left="360"/>
              <w:spacing w:after="0"/>
              <w:rPr>
                <w:sz w:val="20"/>
                <w:szCs w:val="20"/>
                <w:color w:val="auto"/>
              </w:rPr>
            </w:pPr>
            <w:r>
              <w:rPr>
                <w:rFonts w:ascii="Arial" w:cs="Arial" w:eastAsia="Arial" w:hAnsi="Arial"/>
                <w:sz w:val="18"/>
                <w:szCs w:val="18"/>
                <w:color w:val="auto"/>
              </w:rPr>
              <w:t>IMMUNITY OF INCORPORATORS, STOCKHOLDERS, OFFICERS AND DIRECTORS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12.01</w:t>
            </w:r>
          </w:p>
        </w:tc>
        <w:tc>
          <w:tcPr>
            <w:tcW w:w="8280" w:type="dxa"/>
            <w:vAlign w:val="bottom"/>
          </w:tcPr>
          <w:p>
            <w:pPr>
              <w:ind w:left="360"/>
              <w:spacing w:after="0"/>
              <w:rPr>
                <w:sz w:val="20"/>
                <w:szCs w:val="20"/>
                <w:color w:val="auto"/>
              </w:rPr>
            </w:pPr>
            <w:r>
              <w:rPr>
                <w:rFonts w:ascii="Arial" w:cs="Arial" w:eastAsia="Arial" w:hAnsi="Arial"/>
                <w:sz w:val="18"/>
                <w:szCs w:val="18"/>
                <w:color w:val="auto"/>
              </w:rPr>
              <w:t>No Recourse</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ARTICLE XIII</w:t>
            </w:r>
          </w:p>
        </w:tc>
        <w:tc>
          <w:tcPr>
            <w:tcW w:w="8280" w:type="dxa"/>
            <w:vAlign w:val="bottom"/>
          </w:tcPr>
          <w:p>
            <w:pPr>
              <w:ind w:left="360"/>
              <w:spacing w:after="0"/>
              <w:rPr>
                <w:sz w:val="20"/>
                <w:szCs w:val="20"/>
                <w:color w:val="auto"/>
              </w:rPr>
            </w:pPr>
            <w:r>
              <w:rPr>
                <w:rFonts w:ascii="Arial" w:cs="Arial" w:eastAsia="Arial" w:hAnsi="Arial"/>
                <w:sz w:val="18"/>
                <w:szCs w:val="18"/>
                <w:color w:val="auto"/>
              </w:rPr>
              <w:t>MISCELLANEOUS PROVISIONS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13.01</w:t>
            </w:r>
          </w:p>
        </w:tc>
        <w:tc>
          <w:tcPr>
            <w:tcW w:w="8280" w:type="dxa"/>
            <w:vAlign w:val="bottom"/>
          </w:tcPr>
          <w:p>
            <w:pPr>
              <w:ind w:left="360"/>
              <w:spacing w:after="0"/>
              <w:rPr>
                <w:sz w:val="20"/>
                <w:szCs w:val="20"/>
                <w:color w:val="auto"/>
              </w:rPr>
            </w:pPr>
            <w:r>
              <w:rPr>
                <w:rFonts w:ascii="Arial" w:cs="Arial" w:eastAsia="Arial" w:hAnsi="Arial"/>
                <w:sz w:val="18"/>
                <w:szCs w:val="18"/>
                <w:color w:val="auto"/>
              </w:rPr>
              <w:t>Effect on Successors and Assigns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13.02</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Actions by Successor</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13.03</w:t>
            </w:r>
          </w:p>
        </w:tc>
        <w:tc>
          <w:tcPr>
            <w:tcW w:w="8280" w:type="dxa"/>
            <w:vAlign w:val="bottom"/>
          </w:tcPr>
          <w:p>
            <w:pPr>
              <w:ind w:left="360"/>
              <w:spacing w:after="0"/>
              <w:rPr>
                <w:sz w:val="20"/>
                <w:szCs w:val="20"/>
                <w:color w:val="auto"/>
              </w:rPr>
            </w:pPr>
            <w:r>
              <w:rPr>
                <w:rFonts w:ascii="Arial" w:cs="Arial" w:eastAsia="Arial" w:hAnsi="Arial"/>
                <w:sz w:val="18"/>
                <w:szCs w:val="18"/>
                <w:color w:val="auto"/>
              </w:rPr>
              <w:t>Surrender of Company Powers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13.04</w:t>
            </w:r>
          </w:p>
        </w:tc>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Notices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13.05</w:t>
            </w:r>
          </w:p>
        </w:tc>
        <w:tc>
          <w:tcPr>
            <w:tcW w:w="828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13.06</w:t>
            </w: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Treatment of Securities as Debt</w:t>
            </w:r>
          </w:p>
        </w:tc>
        <w:tc>
          <w:tcPr>
            <w:tcW w:w="3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13.07</w:t>
            </w:r>
          </w:p>
        </w:tc>
        <w:tc>
          <w:tcPr>
            <w:tcW w:w="6360" w:type="dxa"/>
            <w:vAlign w:val="bottom"/>
          </w:tcPr>
          <w:p>
            <w:pPr>
              <w:ind w:left="360"/>
              <w:spacing w:after="0"/>
              <w:rPr>
                <w:sz w:val="20"/>
                <w:szCs w:val="20"/>
                <w:color w:val="auto"/>
              </w:rPr>
            </w:pPr>
            <w:r>
              <w:rPr>
                <w:rFonts w:ascii="Arial" w:cs="Arial" w:eastAsia="Arial" w:hAnsi="Arial"/>
                <w:sz w:val="18"/>
                <w:szCs w:val="18"/>
                <w:color w:val="auto"/>
              </w:rPr>
              <w:t>Compliance Certificates and Opinions</w:t>
            </w:r>
          </w:p>
        </w:tc>
        <w:tc>
          <w:tcPr>
            <w:tcW w:w="34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13.08</w:t>
            </w: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Business Days</w:t>
            </w:r>
          </w:p>
        </w:tc>
        <w:tc>
          <w:tcPr>
            <w:tcW w:w="3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13.09</w:t>
            </w:r>
          </w:p>
        </w:tc>
        <w:tc>
          <w:tcPr>
            <w:tcW w:w="6360" w:type="dxa"/>
            <w:vAlign w:val="bottom"/>
          </w:tcPr>
          <w:p>
            <w:pPr>
              <w:ind w:left="360"/>
              <w:spacing w:after="0"/>
              <w:rPr>
                <w:sz w:val="20"/>
                <w:szCs w:val="20"/>
                <w:color w:val="auto"/>
              </w:rPr>
            </w:pPr>
            <w:r>
              <w:rPr>
                <w:rFonts w:ascii="Arial" w:cs="Arial" w:eastAsia="Arial" w:hAnsi="Arial"/>
                <w:sz w:val="18"/>
                <w:szCs w:val="18"/>
                <w:color w:val="auto"/>
              </w:rPr>
              <w:t>Conflict with Trust Indenture Act</w:t>
            </w:r>
          </w:p>
        </w:tc>
        <w:tc>
          <w:tcPr>
            <w:tcW w:w="34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13.10</w:t>
            </w: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Counterparts</w:t>
            </w:r>
          </w:p>
        </w:tc>
        <w:tc>
          <w:tcPr>
            <w:tcW w:w="3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SECTION 13.11</w:t>
            </w:r>
          </w:p>
        </w:tc>
        <w:tc>
          <w:tcPr>
            <w:tcW w:w="6360" w:type="dxa"/>
            <w:vAlign w:val="bottom"/>
          </w:tcPr>
          <w:p>
            <w:pPr>
              <w:ind w:left="360"/>
              <w:spacing w:after="0"/>
              <w:rPr>
                <w:sz w:val="20"/>
                <w:szCs w:val="20"/>
                <w:color w:val="auto"/>
              </w:rPr>
            </w:pPr>
            <w:r>
              <w:rPr>
                <w:rFonts w:ascii="Arial" w:cs="Arial" w:eastAsia="Arial" w:hAnsi="Arial"/>
                <w:sz w:val="18"/>
                <w:szCs w:val="18"/>
                <w:color w:val="auto"/>
              </w:rPr>
              <w:t>Separability</w:t>
            </w:r>
          </w:p>
        </w:tc>
        <w:tc>
          <w:tcPr>
            <w:tcW w:w="34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13.12</w:t>
            </w: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Assignment</w:t>
            </w:r>
          </w:p>
        </w:tc>
        <w:tc>
          <w:tcPr>
            <w:tcW w:w="3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ARTICLE XIV</w:t>
            </w: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SUBORDINATION OF SECURITIES</w:t>
            </w:r>
          </w:p>
        </w:tc>
        <w:tc>
          <w:tcPr>
            <w:tcW w:w="3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SECTION 14.01</w:t>
            </w: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Subordination Terms</w:t>
            </w:r>
          </w:p>
        </w:tc>
        <w:tc>
          <w:tcPr>
            <w:tcW w:w="3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20" w:right="80" w:hanging="5288"/>
        <w:spacing w:after="0" w:line="778"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Table of Contents does not constitute part of the Indenture and shall not have any bearing on the interpretation of any of its terms or provisions.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INDENTURE, dated as of [ ], by and between XpresSpa Group, Inc., a Delaware corporation (the “Company”), and [ ], as trustee (the “Trustee”):</w:t>
      </w:r>
    </w:p>
    <w:p>
      <w:pPr>
        <w:spacing w:after="0" w:line="23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WHEREAS,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color w:val="auto"/>
        </w:rPr>
        <w:t>Definitions of Terms.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99" w:name="page100"/>
    <w:bookmarkEnd w:id="99"/>
    <w:p>
      <w:pPr>
        <w:jc w:val="both"/>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“Certificate” means a certificate signed by the principal executive officer, the principal financial officer or the principal accounting officer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need not comply with the provisions of Section 13.07.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 means the Securities and Exchange Commission.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“Corporate Trust Office” means the office of the Trustee at which, at any particular time, its corporate trust business shall be principally 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00" w:name="page101"/>
    <w:bookmarkEnd w:id="100"/>
    <w:p>
      <w:pPr>
        <w:ind w:right="20"/>
        <w:spacing w:after="0" w:line="290"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ind w:right="1000"/>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Register” has the meaning specified in Section 2.05.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Registrar” has the meaning specified in Section 2.05.</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02" w:name="page103"/>
    <w:bookmarkEnd w:id="102"/>
    <w:p>
      <w:pPr>
        <w:ind w:right="120"/>
        <w:spacing w:after="0" w:line="264"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66"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ISSUE, DESCRIPTION, TERMS, EXECUTION,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REGISTRATION AND EXCHANGE OF SECURITIES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Designation and Terms of Securities.</w:t>
      </w:r>
    </w:p>
    <w:p>
      <w:pPr>
        <w:spacing w:after="0" w:line="225" w:lineRule="exact"/>
        <w:rPr>
          <w:sz w:val="20"/>
          <w:szCs w:val="20"/>
          <w:color w:val="auto"/>
        </w:rPr>
      </w:pPr>
    </w:p>
    <w:p>
      <w:pPr>
        <w:ind w:left="660" w:hanging="652"/>
        <w:spacing w:after="0" w:line="25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8" w:lineRule="exact"/>
        <w:rPr>
          <w:rFonts w:ascii="Arial" w:cs="Arial" w:eastAsia="Arial" w:hAnsi="Arial"/>
          <w:sz w:val="18"/>
          <w:szCs w:val="18"/>
          <w:color w:val="auto"/>
        </w:rPr>
      </w:pPr>
    </w:p>
    <w:p>
      <w:pPr>
        <w:ind w:left="1160" w:hanging="463"/>
        <w:spacing w:after="0"/>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title of the Security of the series (which shall distinguish the Securities of the series from all other Securities);</w:t>
      </w:r>
    </w:p>
    <w:p>
      <w:pPr>
        <w:spacing w:after="0" w:line="225" w:lineRule="exact"/>
        <w:rPr>
          <w:rFonts w:ascii="Arial" w:cs="Arial" w:eastAsia="Arial" w:hAnsi="Arial"/>
          <w:sz w:val="18"/>
          <w:szCs w:val="18"/>
          <w:color w:val="auto"/>
        </w:rPr>
      </w:pPr>
    </w:p>
    <w:p>
      <w:pPr>
        <w:jc w:val="both"/>
        <w:ind w:left="1160" w:right="140" w:hanging="463"/>
        <w:spacing w:after="0" w:line="264" w:lineRule="auto"/>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81" w:lineRule="exact"/>
        <w:rPr>
          <w:rFonts w:ascii="Arial" w:cs="Arial" w:eastAsia="Arial" w:hAnsi="Arial"/>
          <w:sz w:val="18"/>
          <w:szCs w:val="18"/>
          <w:color w:val="auto"/>
        </w:rPr>
      </w:pPr>
    </w:p>
    <w:p>
      <w:pPr>
        <w:ind w:left="1160" w:right="280" w:hanging="463"/>
        <w:spacing w:after="0" w:line="277" w:lineRule="auto"/>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3" w:name="page104"/>
    <w:bookmarkEnd w:id="103"/>
    <w:p>
      <w:pPr>
        <w:ind w:left="463" w:hanging="463"/>
        <w:spacing w:after="0"/>
        <w:tabs>
          <w:tab w:leader="none" w:pos="4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and the place(s) of payment;</w:t>
      </w:r>
    </w:p>
    <w:p>
      <w:pPr>
        <w:spacing w:after="0" w:line="225" w:lineRule="exact"/>
        <w:rPr>
          <w:rFonts w:ascii="Arial" w:cs="Arial" w:eastAsia="Arial" w:hAnsi="Arial"/>
          <w:sz w:val="18"/>
          <w:szCs w:val="18"/>
          <w:color w:val="auto"/>
        </w:rPr>
      </w:pPr>
    </w:p>
    <w:p>
      <w:pPr>
        <w:ind w:left="463" w:hanging="463"/>
        <w:spacing w:after="0"/>
        <w:tabs>
          <w:tab w:leader="none" w:pos="4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or the manner of calculation of such rate or rates, if any;</w:t>
      </w:r>
    </w:p>
    <w:p>
      <w:pPr>
        <w:spacing w:after="0" w:line="225" w:lineRule="exact"/>
        <w:rPr>
          <w:rFonts w:ascii="Arial" w:cs="Arial" w:eastAsia="Arial" w:hAnsi="Arial"/>
          <w:sz w:val="18"/>
          <w:szCs w:val="18"/>
          <w:color w:val="auto"/>
        </w:rPr>
      </w:pPr>
    </w:p>
    <w:p>
      <w:pPr>
        <w:ind w:left="463" w:right="20" w:hanging="463"/>
        <w:spacing w:after="0" w:line="286" w:lineRule="auto"/>
        <w:tabs>
          <w:tab w:leader="none" w:pos="463"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65" w:lineRule="exact"/>
        <w:rPr>
          <w:rFonts w:ascii="Arial" w:cs="Arial" w:eastAsia="Arial" w:hAnsi="Arial"/>
          <w:sz w:val="17"/>
          <w:szCs w:val="17"/>
          <w:color w:val="auto"/>
        </w:rPr>
      </w:pPr>
    </w:p>
    <w:p>
      <w:pPr>
        <w:ind w:left="463" w:hanging="463"/>
        <w:spacing w:after="0"/>
        <w:tabs>
          <w:tab w:leader="none" w:pos="4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or to defer the payment of interest and the duration of such extension;</w:t>
      </w:r>
    </w:p>
    <w:p>
      <w:pPr>
        <w:spacing w:after="0" w:line="225" w:lineRule="exact"/>
        <w:rPr>
          <w:rFonts w:ascii="Arial" w:cs="Arial" w:eastAsia="Arial" w:hAnsi="Arial"/>
          <w:sz w:val="18"/>
          <w:szCs w:val="18"/>
          <w:color w:val="auto"/>
        </w:rPr>
      </w:pPr>
    </w:p>
    <w:p>
      <w:pPr>
        <w:ind w:left="463" w:right="320" w:hanging="463"/>
        <w:spacing w:after="0" w:line="277" w:lineRule="auto"/>
        <w:tabs>
          <w:tab w:leader="none" w:pos="4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ind w:left="463" w:right="220" w:hanging="463"/>
        <w:spacing w:after="0" w:line="259" w:lineRule="auto"/>
        <w:tabs>
          <w:tab w:leader="none" w:pos="4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6" w:lineRule="exact"/>
        <w:rPr>
          <w:rFonts w:ascii="Arial" w:cs="Arial" w:eastAsia="Arial" w:hAnsi="Arial"/>
          <w:sz w:val="18"/>
          <w:szCs w:val="18"/>
          <w:color w:val="auto"/>
        </w:rPr>
      </w:pPr>
    </w:p>
    <w:p>
      <w:pPr>
        <w:ind w:left="463" w:hanging="463"/>
        <w:spacing w:after="0"/>
        <w:tabs>
          <w:tab w:leader="none" w:pos="4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463" w:hanging="463"/>
        <w:spacing w:after="0"/>
        <w:tabs>
          <w:tab w:leader="none" w:pos="4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left="463" w:hanging="463"/>
        <w:spacing w:after="0" w:line="277" w:lineRule="auto"/>
        <w:tabs>
          <w:tab w:leader="none" w:pos="4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70" w:lineRule="exact"/>
        <w:rPr>
          <w:rFonts w:ascii="Arial" w:cs="Arial" w:eastAsia="Arial" w:hAnsi="Arial"/>
          <w:sz w:val="18"/>
          <w:szCs w:val="18"/>
          <w:color w:val="auto"/>
        </w:rPr>
      </w:pPr>
    </w:p>
    <w:p>
      <w:pPr>
        <w:ind w:left="463" w:right="20" w:hanging="463"/>
        <w:spacing w:after="0" w:line="264" w:lineRule="auto"/>
        <w:tabs>
          <w:tab w:leader="none" w:pos="4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397" w:lineRule="exact"/>
        <w:rPr>
          <w:sz w:val="20"/>
          <w:szCs w:val="20"/>
          <w:color w:val="auto"/>
        </w:rPr>
      </w:pPr>
    </w:p>
    <w:p>
      <w:pPr>
        <w:ind w:left="494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3"/>
          </w:cols>
          <w:pgMar w:left="937" w:top="908" w:right="359" w:bottom="1440" w:gutter="0" w:footer="0" w:header="0"/>
        </w:sectPr>
      </w:pPr>
    </w:p>
    <w:bookmarkStart w:id="104" w:name="page105"/>
    <w:bookmarkEnd w:id="104"/>
    <w:p>
      <w:pPr>
        <w:ind w:left="1160" w:hanging="463"/>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Securities are issuable as a Global Security and, in such case, the identity of the Depositary for such series;</w:t>
      </w:r>
    </w:p>
    <w:p>
      <w:pPr>
        <w:spacing w:after="0" w:line="225" w:lineRule="exact"/>
        <w:rPr>
          <w:rFonts w:ascii="Arial" w:cs="Arial" w:eastAsia="Arial" w:hAnsi="Arial"/>
          <w:sz w:val="18"/>
          <w:szCs w:val="18"/>
          <w:color w:val="auto"/>
        </w:rPr>
      </w:pPr>
    </w:p>
    <w:p>
      <w:pPr>
        <w:ind w:left="1160" w:right="20" w:hanging="463"/>
        <w:spacing w:after="0" w:line="277" w:lineRule="auto"/>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70" w:lineRule="exact"/>
        <w:rPr>
          <w:rFonts w:ascii="Arial" w:cs="Arial" w:eastAsia="Arial" w:hAnsi="Arial"/>
          <w:sz w:val="18"/>
          <w:szCs w:val="18"/>
          <w:color w:val="auto"/>
        </w:rPr>
      </w:pPr>
    </w:p>
    <w:p>
      <w:pPr>
        <w:ind w:left="1160" w:right="700" w:hanging="463"/>
        <w:spacing w:after="0" w:line="277" w:lineRule="auto"/>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w:t>
      </w:r>
    </w:p>
    <w:p>
      <w:pPr>
        <w:spacing w:after="0" w:line="170" w:lineRule="exact"/>
        <w:rPr>
          <w:rFonts w:ascii="Arial" w:cs="Arial" w:eastAsia="Arial" w:hAnsi="Arial"/>
          <w:sz w:val="18"/>
          <w:szCs w:val="18"/>
          <w:color w:val="auto"/>
        </w:rPr>
      </w:pPr>
    </w:p>
    <w:p>
      <w:pPr>
        <w:ind w:left="1160" w:hanging="463"/>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additional or different Events of Default or restrictive covenants provided for with respect to the Securities of the series; and</w:t>
      </w:r>
    </w:p>
    <w:p>
      <w:pPr>
        <w:spacing w:after="0" w:line="225" w:lineRule="exact"/>
        <w:rPr>
          <w:rFonts w:ascii="Arial" w:cs="Arial" w:eastAsia="Arial" w:hAnsi="Arial"/>
          <w:sz w:val="18"/>
          <w:szCs w:val="18"/>
          <w:color w:val="auto"/>
        </w:rPr>
      </w:pPr>
    </w:p>
    <w:p>
      <w:pPr>
        <w:ind w:left="1160" w:hanging="463"/>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subordination terms of the Securities of the series.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Form of Securities and Trustee’s Certificate.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5" w:name="page106"/>
    <w:bookmarkEnd w:id="105"/>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color w:val="auto"/>
        </w:rPr>
        <w:t>Denominations: Provisions for Payment.</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6" w:lineRule="exact"/>
        <w:rPr>
          <w:sz w:val="20"/>
          <w:szCs w:val="20"/>
          <w:color w:val="auto"/>
        </w:rPr>
      </w:pPr>
    </w:p>
    <w:p>
      <w:pPr>
        <w:ind w:left="1160" w:right="100" w:hanging="463"/>
        <w:spacing w:after="0" w:line="286" w:lineRule="auto"/>
        <w:tabs>
          <w:tab w:leader="none" w:pos="1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ind w:left="1160" w:right="140" w:hanging="463"/>
        <w:spacing w:after="0" w:line="259"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Execution and Authentications.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ind w:right="20"/>
        <w:spacing w:after="0" w:line="272" w:lineRule="auto"/>
        <w:rPr>
          <w:sz w:val="20"/>
          <w:szCs w:val="20"/>
          <w:color w:val="auto"/>
        </w:rPr>
      </w:pPr>
      <w:r>
        <w:rPr>
          <w:rFonts w:ascii="Arial" w:cs="Arial" w:eastAsia="Arial" w:hAnsi="Arial"/>
          <w:sz w:val="17"/>
          <w:szCs w:val="17"/>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Registration of Transfer and Exchange.</w:t>
      </w:r>
    </w:p>
    <w:p>
      <w:pPr>
        <w:spacing w:after="0" w:line="225" w:lineRule="exact"/>
        <w:rPr>
          <w:sz w:val="20"/>
          <w:szCs w:val="20"/>
          <w:color w:val="auto"/>
        </w:rPr>
      </w:pPr>
    </w:p>
    <w:p>
      <w:pPr>
        <w:ind w:left="660" w:right="60" w:hanging="652"/>
        <w:spacing w:after="0" w:line="255"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93" w:lineRule="exact"/>
        <w:rPr>
          <w:rFonts w:ascii="Arial" w:cs="Arial" w:eastAsia="Arial" w:hAnsi="Arial"/>
          <w:sz w:val="18"/>
          <w:szCs w:val="18"/>
          <w:color w:val="auto"/>
        </w:rPr>
      </w:pPr>
    </w:p>
    <w:p>
      <w:pPr>
        <w:ind w:left="660" w:right="20" w:hanging="652"/>
        <w:spacing w:after="0" w:line="297"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8" w:name="page109"/>
    <w:bookmarkEnd w:id="108"/>
    <w:p>
      <w:pPr>
        <w:jc w:val="both"/>
        <w:ind w:right="40"/>
        <w:spacing w:after="0" w:line="264"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1" w:lineRule="exact"/>
        <w:rPr>
          <w:sz w:val="20"/>
          <w:szCs w:val="20"/>
          <w:color w:val="auto"/>
        </w:rPr>
      </w:pPr>
    </w:p>
    <w:p>
      <w:pPr>
        <w:ind w:left="660" w:right="80" w:hanging="652"/>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81" w:lineRule="exact"/>
        <w:rPr>
          <w:rFonts w:ascii="Arial" w:cs="Arial" w:eastAsia="Arial" w:hAnsi="Arial"/>
          <w:sz w:val="18"/>
          <w:szCs w:val="18"/>
          <w:color w:val="auto"/>
        </w:rPr>
      </w:pPr>
    </w:p>
    <w:p>
      <w:pPr>
        <w:ind w:left="660" w:right="60" w:hanging="652"/>
        <w:spacing w:after="0" w:line="302"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Temporary Securities.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9" w:name="page110"/>
    <w:bookmarkEnd w:id="109"/>
    <w:p>
      <w:pPr>
        <w:spacing w:after="0"/>
        <w:tabs>
          <w:tab w:leader="none" w:pos="12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color w:val="auto"/>
        </w:rPr>
        <w:t>Mutilated, Destroyed, Lost or Stolen Securities.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Cancellation.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10" w:name="page111"/>
    <w:bookmarkEnd w:id="110"/>
    <w:p>
      <w:pPr>
        <w:spacing w:after="0"/>
        <w:tabs>
          <w:tab w:leader="none" w:pos="12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color w:val="auto"/>
        </w:rPr>
        <w:t>Benefits of Indenture.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(and, with respect to the provisions of Article XIV, the holders of Senior Indebtedness, as defined in any supplement to this Indenture pursuant to Article XIV)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XIV, the holders of Senior Indebtedness).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Authenticating Agent.</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2"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1" w:name="page112"/>
    <w:bookmarkEnd w:id="111"/>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Global Securities</w:t>
      </w:r>
    </w:p>
    <w:p>
      <w:pPr>
        <w:spacing w:after="0" w:line="225" w:lineRule="exact"/>
        <w:rPr>
          <w:sz w:val="20"/>
          <w:szCs w:val="20"/>
          <w:color w:val="auto"/>
        </w:rPr>
      </w:pPr>
    </w:p>
    <w:p>
      <w:pPr>
        <w:ind w:left="660" w:right="100" w:hanging="652"/>
        <w:spacing w:after="0" w:line="272"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7" w:lineRule="exact"/>
        <w:rPr>
          <w:rFonts w:ascii="Arial" w:cs="Arial" w:eastAsia="Arial" w:hAnsi="Arial"/>
          <w:sz w:val="17"/>
          <w:szCs w:val="17"/>
          <w:color w:val="auto"/>
        </w:rPr>
      </w:pPr>
    </w:p>
    <w:p>
      <w:pPr>
        <w:ind w:left="660" w:right="20" w:hanging="652"/>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1" w:lineRule="exact"/>
        <w:rPr>
          <w:rFonts w:ascii="Arial" w:cs="Arial" w:eastAsia="Arial" w:hAnsi="Arial"/>
          <w:sz w:val="18"/>
          <w:szCs w:val="18"/>
          <w:color w:val="auto"/>
        </w:rPr>
      </w:pPr>
    </w:p>
    <w:p>
      <w:pPr>
        <w:ind w:left="660" w:hanging="652"/>
        <w:spacing w:after="0" w:line="283"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w:t>
      </w:r>
    </w:p>
    <w:p>
      <w:pPr>
        <w:spacing w:after="0" w:line="3" w:lineRule="exact"/>
        <w:rPr>
          <w:rFonts w:ascii="Arial" w:cs="Arial" w:eastAsia="Arial" w:hAnsi="Arial"/>
          <w:sz w:val="16"/>
          <w:szCs w:val="16"/>
          <w:color w:val="auto"/>
        </w:rPr>
      </w:pPr>
    </w:p>
    <w:p>
      <w:pPr>
        <w:jc w:val="both"/>
        <w:ind w:left="660" w:right="120"/>
        <w:spacing w:after="0" w:line="255" w:lineRule="auto"/>
        <w:rPr>
          <w:rFonts w:ascii="Arial" w:cs="Arial" w:eastAsia="Arial" w:hAnsi="Arial"/>
          <w:sz w:val="16"/>
          <w:szCs w:val="16"/>
          <w:color w:val="auto"/>
        </w:rPr>
      </w:pPr>
      <w:r>
        <w:rPr>
          <w:rFonts w:ascii="Arial" w:cs="Arial" w:eastAsia="Arial" w:hAnsi="Arial"/>
          <w:sz w:val="18"/>
          <w:szCs w:val="18"/>
          <w:color w:val="auto"/>
        </w:rPr>
        <w:t>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 OF SECURITIES AND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SINKING FUND PROVISIONS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color w:val="auto"/>
        </w:rPr>
        <w:t>Redemption.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color w:val="auto"/>
        </w:rPr>
        <w:t>Notice of Redemption.</w:t>
      </w:r>
    </w:p>
    <w:p>
      <w:pPr>
        <w:spacing w:after="0" w:line="225" w:lineRule="exact"/>
        <w:rPr>
          <w:sz w:val="20"/>
          <w:szCs w:val="20"/>
          <w:color w:val="auto"/>
        </w:rPr>
      </w:pPr>
    </w:p>
    <w:p>
      <w:pPr>
        <w:ind w:left="660" w:right="60" w:hanging="652"/>
        <w:spacing w:after="0" w:line="270"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6" w:lineRule="exact"/>
        <w:rPr>
          <w:sz w:val="20"/>
          <w:szCs w:val="20"/>
          <w:color w:val="auto"/>
        </w:rPr>
      </w:pPr>
    </w:p>
    <w:p>
      <w:pPr>
        <w:ind w:left="660" w:hanging="652"/>
        <w:spacing w:after="0" w:line="269"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3" w:name="page114"/>
    <w:bookmarkEnd w:id="113"/>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Payment Upon Redemption.</w:t>
      </w:r>
    </w:p>
    <w:p>
      <w:pPr>
        <w:spacing w:after="0" w:line="225" w:lineRule="exact"/>
        <w:rPr>
          <w:sz w:val="20"/>
          <w:szCs w:val="20"/>
          <w:color w:val="auto"/>
        </w:rPr>
      </w:pPr>
    </w:p>
    <w:p>
      <w:pPr>
        <w:ind w:left="660" w:right="60" w:hanging="652"/>
        <w:spacing w:after="0" w:line="290"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6" w:lineRule="exact"/>
        <w:rPr>
          <w:rFonts w:ascii="Arial" w:cs="Arial" w:eastAsia="Arial" w:hAnsi="Arial"/>
          <w:sz w:val="16"/>
          <w:szCs w:val="16"/>
          <w:color w:val="auto"/>
        </w:rPr>
      </w:pPr>
    </w:p>
    <w:p>
      <w:pPr>
        <w:ind w:left="660" w:right="300" w:hanging="652"/>
        <w:spacing w:after="0" w:line="312"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Sinking Fund.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color w:val="auto"/>
        </w:rPr>
        <w:t>Satisfaction of Sinking Fund Payments with Securities.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Redemption of Securities for Sinking Fund.</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Payment of Principal, Premium and Interest.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115" w:name="page116"/>
    <w:bookmarkEnd w:id="115"/>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color w:val="auto"/>
        </w:rPr>
        <w:t>Maintenance of Office or Agency.</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color w:val="auto"/>
        </w:rPr>
        <w:t>Paying Agents.</w:t>
      </w:r>
    </w:p>
    <w:p>
      <w:pPr>
        <w:spacing w:after="0" w:line="225" w:lineRule="exact"/>
        <w:rPr>
          <w:sz w:val="20"/>
          <w:szCs w:val="20"/>
          <w:color w:val="auto"/>
        </w:rPr>
      </w:pPr>
    </w:p>
    <w:p>
      <w:pPr>
        <w:jc w:val="both"/>
        <w:ind w:left="660" w:right="200" w:hanging="652"/>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1" w:lineRule="exact"/>
        <w:rPr>
          <w:rFonts w:ascii="Arial" w:cs="Arial" w:eastAsia="Arial" w:hAnsi="Arial"/>
          <w:sz w:val="18"/>
          <w:szCs w:val="18"/>
          <w:color w:val="auto"/>
        </w:rPr>
      </w:pPr>
    </w:p>
    <w:p>
      <w:pPr>
        <w:ind w:left="1160" w:right="120" w:hanging="463"/>
        <w:spacing w:after="0" w:line="264" w:lineRule="auto"/>
        <w:tabs>
          <w:tab w:leader="none" w:pos="1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1" w:lineRule="exact"/>
        <w:rPr>
          <w:rFonts w:ascii="Arial" w:cs="Arial" w:eastAsia="Arial" w:hAnsi="Arial"/>
          <w:sz w:val="18"/>
          <w:szCs w:val="18"/>
          <w:color w:val="auto"/>
        </w:rPr>
      </w:pPr>
    </w:p>
    <w:p>
      <w:pPr>
        <w:ind w:left="1160" w:right="400" w:hanging="463"/>
        <w:spacing w:after="0" w:line="308" w:lineRule="auto"/>
        <w:tabs>
          <w:tab w:leader="none" w:pos="1160"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Arial" w:cs="Arial" w:eastAsia="Arial" w:hAnsi="Arial"/>
          <w:sz w:val="17"/>
          <w:szCs w:val="17"/>
          <w:color w:val="auto"/>
        </w:rPr>
      </w:pPr>
    </w:p>
    <w:p>
      <w:pPr>
        <w:ind w:left="1160" w:right="200" w:hanging="463"/>
        <w:spacing w:after="0" w:line="277" w:lineRule="auto"/>
        <w:tabs>
          <w:tab w:leader="none" w:pos="1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160" w:hanging="463"/>
        <w:spacing w:after="0"/>
        <w:tabs>
          <w:tab w:leader="none" w:pos="1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color w:val="auto"/>
        </w:rPr>
      </w:pPr>
    </w:p>
    <w:p>
      <w:pPr>
        <w:ind w:left="660" w:right="20" w:hanging="652"/>
        <w:spacing w:after="0" w:line="270"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ind w:left="660" w:right="20" w:hanging="652"/>
        <w:spacing w:after="0" w:line="297"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color w:val="auto"/>
        </w:rPr>
        <w:t>Appointment to Fill Vacancy in Office of Trustee.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color w:val="auto"/>
        </w:rPr>
        <w:t>Compliance with Consolidation Provisions.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SECURITYHOLDERS’ LISTS AND REPORTS BY THE COMPANY AND THE 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color w:val="auto"/>
        </w:rPr>
        <w:t>Company to Furnish Trustee Names and Addresses of Securityholders.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Preservation of Information; Communications with Securityholders.</w:t>
      </w:r>
    </w:p>
    <w:p>
      <w:pPr>
        <w:spacing w:after="0" w:line="225" w:lineRule="exact"/>
        <w:rPr>
          <w:sz w:val="20"/>
          <w:szCs w:val="20"/>
          <w:color w:val="auto"/>
        </w:rPr>
      </w:pPr>
    </w:p>
    <w:p>
      <w:pPr>
        <w:jc w:val="both"/>
        <w:ind w:left="660" w:hanging="652"/>
        <w:spacing w:after="0" w:line="312"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color w:val="auto"/>
        </w:rPr>
        <w:t>Reports by the Company.</w:t>
      </w:r>
    </w:p>
    <w:p>
      <w:pPr>
        <w:spacing w:after="0" w:line="225" w:lineRule="exact"/>
        <w:rPr>
          <w:sz w:val="20"/>
          <w:szCs w:val="20"/>
          <w:color w:val="auto"/>
        </w:rPr>
      </w:pPr>
    </w:p>
    <w:p>
      <w:pPr>
        <w:ind w:left="660" w:right="20" w:hanging="652"/>
        <w:spacing w:after="0" w:line="253"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94" w:lineRule="exact"/>
        <w:rPr>
          <w:rFonts w:ascii="Arial" w:cs="Arial" w:eastAsia="Arial" w:hAnsi="Arial"/>
          <w:sz w:val="18"/>
          <w:szCs w:val="18"/>
          <w:color w:val="auto"/>
        </w:rPr>
      </w:pPr>
    </w:p>
    <w:p>
      <w:pPr>
        <w:ind w:left="660" w:right="260" w:hanging="652"/>
        <w:spacing w:after="0" w:line="286"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ind w:left="660" w:hanging="652"/>
        <w:spacing w:after="0" w:line="279"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color w:val="auto"/>
        </w:rPr>
        <w:t>Reports by the Trustee.</w:t>
      </w:r>
    </w:p>
    <w:p>
      <w:pPr>
        <w:spacing w:after="0" w:line="225" w:lineRule="exact"/>
        <w:rPr>
          <w:sz w:val="20"/>
          <w:szCs w:val="20"/>
          <w:color w:val="auto"/>
        </w:rPr>
      </w:pPr>
    </w:p>
    <w:p>
      <w:pPr>
        <w:ind w:left="660" w:right="40" w:hanging="652"/>
        <w:spacing w:after="0" w:line="342"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23" w:lineRule="exact"/>
        <w:rPr>
          <w:rFonts w:ascii="Arial" w:cs="Arial" w:eastAsia="Arial" w:hAnsi="Arial"/>
          <w:sz w:val="16"/>
          <w:szCs w:val="16"/>
          <w:color w:val="auto"/>
        </w:rPr>
      </w:pPr>
    </w:p>
    <w:p>
      <w:pPr>
        <w:ind w:left="660" w:right="260" w:hanging="652"/>
        <w:spacing w:after="0" w:line="286"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color w:val="auto"/>
        </w:rPr>
        <w:t>Events of Default.</w:t>
      </w:r>
    </w:p>
    <w:p>
      <w:pPr>
        <w:spacing w:after="0" w:line="225" w:lineRule="exact"/>
        <w:rPr>
          <w:sz w:val="20"/>
          <w:szCs w:val="20"/>
          <w:color w:val="auto"/>
        </w:rPr>
      </w:pPr>
    </w:p>
    <w:p>
      <w:pPr>
        <w:ind w:left="660" w:right="240" w:hanging="652"/>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ind w:left="1160" w:right="320" w:hanging="463"/>
        <w:spacing w:after="0" w:line="259" w:lineRule="auto"/>
        <w:tabs>
          <w:tab w:leader="none" w:pos="11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19" w:name="page120"/>
    <w:bookmarkEnd w:id="119"/>
    <w:p>
      <w:pPr>
        <w:ind w:left="1152" w:right="140" w:hanging="463"/>
        <w:spacing w:after="0" w:line="302" w:lineRule="auto"/>
        <w:tabs>
          <w:tab w:leader="none" w:pos="115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54" w:lineRule="exact"/>
        <w:rPr>
          <w:rFonts w:ascii="Arial" w:cs="Arial" w:eastAsia="Arial" w:hAnsi="Arial"/>
          <w:sz w:val="16"/>
          <w:szCs w:val="16"/>
          <w:color w:val="auto"/>
        </w:rPr>
      </w:pPr>
    </w:p>
    <w:p>
      <w:pPr>
        <w:ind w:left="1152" w:right="160" w:hanging="463"/>
        <w:spacing w:after="0" w:line="293" w:lineRule="auto"/>
        <w:tabs>
          <w:tab w:leader="none" w:pos="115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164" w:lineRule="exact"/>
        <w:rPr>
          <w:rFonts w:ascii="Arial" w:cs="Arial" w:eastAsia="Arial" w:hAnsi="Arial"/>
          <w:sz w:val="16"/>
          <w:szCs w:val="16"/>
          <w:color w:val="auto"/>
        </w:rPr>
      </w:pPr>
    </w:p>
    <w:p>
      <w:pPr>
        <w:ind w:left="1152" w:right="80" w:hanging="463"/>
        <w:spacing w:after="0" w:line="291" w:lineRule="auto"/>
        <w:tabs>
          <w:tab w:leader="none" w:pos="115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ind w:left="1452" w:hanging="304"/>
        <w:spacing w:after="0"/>
        <w:tabs>
          <w:tab w:leader="none" w:pos="145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10" w:lineRule="exact"/>
        <w:rPr>
          <w:rFonts w:ascii="Arial" w:cs="Arial" w:eastAsia="Arial" w:hAnsi="Arial"/>
          <w:sz w:val="18"/>
          <w:szCs w:val="18"/>
          <w:color w:val="auto"/>
        </w:rPr>
      </w:pPr>
    </w:p>
    <w:p>
      <w:pPr>
        <w:ind w:left="1152" w:hanging="463"/>
        <w:spacing w:after="0"/>
        <w:tabs>
          <w:tab w:leader="none" w:pos="115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 court of competent jurisdiction enters an order under any Bankruptcy Law that (i) is for relief against the Company in an involuntary case,</w:t>
      </w:r>
    </w:p>
    <w:p>
      <w:pPr>
        <w:spacing w:after="0" w:line="46" w:lineRule="exact"/>
        <w:rPr>
          <w:rFonts w:ascii="Arial" w:cs="Arial" w:eastAsia="Arial" w:hAnsi="Arial"/>
          <w:sz w:val="16"/>
          <w:szCs w:val="16"/>
          <w:color w:val="auto"/>
        </w:rPr>
      </w:pPr>
    </w:p>
    <w:p>
      <w:pPr>
        <w:ind w:left="1152" w:hanging="4"/>
        <w:spacing w:after="0" w:line="261" w:lineRule="auto"/>
        <w:tabs>
          <w:tab w:leader="none" w:pos="1417"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appoints a Custodian of the Company for all or substantially all of its property, or (iii) orders the liquidation of the Company, and the order or decree remains unstayed and in effect for 90 consecutive days.</w:t>
      </w:r>
    </w:p>
    <w:p>
      <w:pPr>
        <w:spacing w:after="0" w:line="183" w:lineRule="exact"/>
        <w:rPr>
          <w:rFonts w:ascii="Arial" w:cs="Arial" w:eastAsia="Arial" w:hAnsi="Arial"/>
          <w:sz w:val="18"/>
          <w:szCs w:val="18"/>
          <w:color w:val="auto"/>
        </w:rPr>
      </w:pPr>
    </w:p>
    <w:p>
      <w:pPr>
        <w:ind w:left="652" w:right="40" w:hanging="652"/>
        <w:spacing w:after="0" w:line="253" w:lineRule="auto"/>
        <w:tabs>
          <w:tab w:leader="none" w:pos="6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 Notwithstanding the foregoing, the payment of such principal (or, if any Securities of that series are discount securities, that portion of the principal amount as may be specified in the terms of that series pursuant to Section 2.01(a) (16)) of (and premium, if any, on) and accrued and unpaid interest, if any, on the Securities of such series shall remain subordinated to the extent provided in Article XIV.</w:t>
      </w: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20" w:name="page121"/>
    <w:bookmarkEnd w:id="120"/>
    <w:p>
      <w:pPr>
        <w:ind w:left="660" w:hanging="652"/>
        <w:spacing w:after="0" w:line="269"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82" w:lineRule="exact"/>
        <w:rPr>
          <w:rFonts w:ascii="Arial" w:cs="Arial" w:eastAsia="Arial" w:hAnsi="Arial"/>
          <w:sz w:val="17"/>
          <w:szCs w:val="17"/>
          <w:color w:val="auto"/>
        </w:rPr>
      </w:pPr>
    </w:p>
    <w:p>
      <w:pPr>
        <w:ind w:left="660" w:right="20" w:hanging="652"/>
        <w:spacing w:after="0" w:line="25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color w:val="auto"/>
        </w:rPr>
        <w:t>Collection of Indebtedness and Suits for Enforcement by Trustee.</w:t>
      </w:r>
    </w:p>
    <w:p>
      <w:pPr>
        <w:spacing w:after="0" w:line="225" w:lineRule="exact"/>
        <w:rPr>
          <w:sz w:val="20"/>
          <w:szCs w:val="20"/>
          <w:color w:val="auto"/>
        </w:rPr>
      </w:pPr>
    </w:p>
    <w:p>
      <w:pPr>
        <w:ind w:left="660" w:right="60" w:hanging="652"/>
        <w:spacing w:after="0" w:line="270"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1" w:name="page122"/>
    <w:bookmarkEnd w:id="121"/>
    <w:p>
      <w:pPr>
        <w:ind w:left="660" w:right="40" w:hanging="652"/>
        <w:spacing w:after="0" w:line="276"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72" w:lineRule="exact"/>
        <w:rPr>
          <w:rFonts w:ascii="Arial" w:cs="Arial" w:eastAsia="Arial" w:hAnsi="Arial"/>
          <w:sz w:val="17"/>
          <w:szCs w:val="17"/>
          <w:color w:val="auto"/>
        </w:rPr>
      </w:pPr>
    </w:p>
    <w:p>
      <w:pPr>
        <w:ind w:left="660" w:hanging="652"/>
        <w:spacing w:after="0" w:line="270"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77" w:lineRule="exact"/>
        <w:rPr>
          <w:rFonts w:ascii="Arial" w:cs="Arial" w:eastAsia="Arial" w:hAnsi="Arial"/>
          <w:sz w:val="17"/>
          <w:szCs w:val="17"/>
          <w:color w:val="auto"/>
        </w:rPr>
      </w:pPr>
    </w:p>
    <w:p>
      <w:pPr>
        <w:ind w:left="660" w:right="20" w:hanging="652"/>
        <w:spacing w:after="0" w:line="25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22" w:name="page123"/>
    <w:bookmarkEnd w:id="122"/>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color w:val="auto"/>
        </w:rPr>
        <w:t>Application of Moneys Collected.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ectPr>
          <w:pgSz w:w="11900" w:h="16838" w:orient="portrait"/>
          <w:cols w:equalWidth="0" w:num="1">
            <w:col w:w="11380"/>
          </w:cols>
          <w:pgMar w:left="240" w:top="908" w:right="27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FIRST: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To the payment of costs and expenses of collection and of all amounts payable to the Trustee under Section 7.06;</w:t>
      </w:r>
    </w:p>
    <w:p>
      <w:pPr>
        <w:spacing w:after="0" w:line="211" w:lineRule="exact"/>
        <w:rPr>
          <w:sz w:val="20"/>
          <w:szCs w:val="20"/>
          <w:color w:val="auto"/>
        </w:rPr>
      </w:pPr>
    </w:p>
    <w:p>
      <w:pPr>
        <w:sectPr>
          <w:pgSz w:w="11900" w:h="16838" w:orient="portrait"/>
          <w:cols w:equalWidth="0" w:num="2">
            <w:col w:w="660" w:space="720"/>
            <w:col w:w="10000"/>
          </w:cols>
          <w:pgMar w:left="240" w:top="908"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SECOND: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To the payment of all Senior Indebtedness of the Company if and to the extent required by Article XIV; and</w:t>
      </w:r>
    </w:p>
    <w:p>
      <w:pPr>
        <w:spacing w:after="0" w:line="211" w:lineRule="exact"/>
        <w:rPr>
          <w:sz w:val="20"/>
          <w:szCs w:val="20"/>
          <w:color w:val="auto"/>
        </w:rPr>
      </w:pPr>
    </w:p>
    <w:p>
      <w:pPr>
        <w:sectPr>
          <w:pgSz w:w="11900" w:h="16838" w:orient="portrait"/>
          <w:cols w:equalWidth="0" w:num="2">
            <w:col w:w="780" w:space="600"/>
            <w:col w:w="10000"/>
          </w:cols>
          <w:pgMar w:left="240" w:top="908"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THIRD: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93" w:lineRule="exact"/>
        <w:rPr>
          <w:sz w:val="20"/>
          <w:szCs w:val="20"/>
          <w:color w:val="auto"/>
        </w:rPr>
      </w:pPr>
    </w:p>
    <w:p>
      <w:pPr>
        <w:sectPr>
          <w:pgSz w:w="11900" w:h="16838" w:orient="portrait"/>
          <w:cols w:equalWidth="0" w:num="2">
            <w:col w:w="660" w:space="720"/>
            <w:col w:w="10000"/>
          </w:cols>
          <w:pgMar w:left="240" w:top="908" w:right="279" w:bottom="1440" w:gutter="0" w:footer="0" w:header="0"/>
          <w:type w:val="continuous"/>
        </w:sect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color w:val="auto"/>
        </w:rPr>
        <w:t>Limitation on Suits.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type w:val="continuous"/>
        </w:sectPr>
      </w:pPr>
    </w:p>
    <w:bookmarkStart w:id="123" w:name="page124"/>
    <w:bookmarkEnd w:id="123"/>
    <w:p>
      <w:pPr>
        <w:spacing w:after="0" w:line="270" w:lineRule="auto"/>
        <w:rPr>
          <w:sz w:val="20"/>
          <w:szCs w:val="20"/>
          <w:color w:val="auto"/>
        </w:rPr>
      </w:pPr>
      <w:r>
        <w:rPr>
          <w:rFonts w:ascii="Arial" w:cs="Arial" w:eastAsia="Arial" w:hAnsi="Arial"/>
          <w:sz w:val="17"/>
          <w:szCs w:val="17"/>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color w:val="auto"/>
        </w:rPr>
        <w:t>Rights and Remedies Cumulative; Delay or Omission Not Waiver.</w:t>
      </w:r>
    </w:p>
    <w:p>
      <w:pPr>
        <w:spacing w:after="0" w:line="225" w:lineRule="exact"/>
        <w:rPr>
          <w:sz w:val="20"/>
          <w:szCs w:val="20"/>
          <w:color w:val="auto"/>
        </w:rPr>
      </w:pPr>
    </w:p>
    <w:p>
      <w:pPr>
        <w:ind w:left="660" w:right="340" w:hanging="652"/>
        <w:spacing w:after="0" w:line="259"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ind w:left="660" w:right="300" w:hanging="652"/>
        <w:spacing w:after="0" w:line="302" w:lineRule="auto"/>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color w:val="auto"/>
        </w:rPr>
        <w:t>Control by Securityholders.</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w:t>
      </w:r>
    </w:p>
    <w:p>
      <w:pPr>
        <w:spacing w:after="0" w:line="2"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4" w:name="page125"/>
    <w:bookmarkEnd w:id="124"/>
    <w:p>
      <w:pPr>
        <w:spacing w:after="0" w:line="283" w:lineRule="auto"/>
        <w:rPr>
          <w:sz w:val="20"/>
          <w:szCs w:val="20"/>
          <w:color w:val="auto"/>
        </w:rPr>
      </w:pPr>
      <w:r>
        <w:rPr>
          <w:rFonts w:ascii="Arial" w:cs="Arial" w:eastAsia="Arial" w:hAnsi="Arial"/>
          <w:sz w:val="16"/>
          <w:szCs w:val="16"/>
          <w:color w:val="auto"/>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w:t>
      </w:r>
    </w:p>
    <w:p>
      <w:pPr>
        <w:spacing w:after="0" w:line="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color w:val="auto"/>
        </w:rPr>
        <w:t>Undertaking to Pay Costs.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CONCERNING THE 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Certain Duties and Responsibilities of Trustee.</w:t>
      </w:r>
    </w:p>
    <w:p>
      <w:pPr>
        <w:spacing w:after="0" w:line="225" w:lineRule="exact"/>
        <w:rPr>
          <w:sz w:val="20"/>
          <w:szCs w:val="20"/>
          <w:color w:val="auto"/>
        </w:rPr>
      </w:pPr>
    </w:p>
    <w:p>
      <w:pPr>
        <w:ind w:left="660" w:right="40" w:hanging="652"/>
        <w:spacing w:after="0" w:line="293"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660" w:right="120" w:hanging="652"/>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160" w:right="20" w:hanging="463"/>
        <w:spacing w:after="0" w:line="277" w:lineRule="auto"/>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ind w:left="1960" w:right="180" w:hanging="574"/>
        <w:spacing w:after="0" w:line="259" w:lineRule="auto"/>
        <w:tabs>
          <w:tab w:leader="none" w:pos="196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86" w:lineRule="exact"/>
        <w:rPr>
          <w:rFonts w:ascii="Arial" w:cs="Arial" w:eastAsia="Arial" w:hAnsi="Arial"/>
          <w:sz w:val="18"/>
          <w:szCs w:val="18"/>
          <w:color w:val="auto"/>
        </w:rPr>
      </w:pPr>
    </w:p>
    <w:p>
      <w:pPr>
        <w:ind w:left="1960" w:hanging="574"/>
        <w:spacing w:after="0" w:line="276" w:lineRule="auto"/>
        <w:tabs>
          <w:tab w:leader="none" w:pos="1960" w:val="left"/>
        </w:tabs>
        <w:numPr>
          <w:ilvl w:val="2"/>
          <w:numId w:val="109"/>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72" w:lineRule="exact"/>
        <w:rPr>
          <w:rFonts w:ascii="Arial" w:cs="Arial" w:eastAsia="Arial" w:hAnsi="Arial"/>
          <w:sz w:val="17"/>
          <w:szCs w:val="17"/>
          <w:color w:val="auto"/>
        </w:rPr>
      </w:pPr>
    </w:p>
    <w:p>
      <w:pPr>
        <w:ind w:left="1160" w:hanging="463"/>
        <w:spacing w:after="0" w:line="277" w:lineRule="auto"/>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jc w:val="both"/>
        <w:ind w:left="1160" w:hanging="463"/>
        <w:spacing w:after="0" w:line="259" w:lineRule="auto"/>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86" w:lineRule="exact"/>
        <w:rPr>
          <w:rFonts w:ascii="Arial" w:cs="Arial" w:eastAsia="Arial" w:hAnsi="Arial"/>
          <w:sz w:val="18"/>
          <w:szCs w:val="18"/>
          <w:color w:val="auto"/>
        </w:rPr>
      </w:pPr>
    </w:p>
    <w:p>
      <w:pPr>
        <w:jc w:val="both"/>
        <w:ind w:left="1160" w:hanging="463"/>
        <w:spacing w:after="0" w:line="259" w:lineRule="auto"/>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6" w:name="page127"/>
    <w:bookmarkEnd w:id="126"/>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color w:val="auto"/>
        </w:rPr>
        <w:t>Certain Rights of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ind w:left="660" w:right="180" w:hanging="652"/>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left="660" w:right="200" w:hanging="652"/>
        <w:spacing w:after="0" w:line="286"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65"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70" w:lineRule="exact"/>
        <w:rPr>
          <w:rFonts w:ascii="Arial" w:cs="Arial" w:eastAsia="Arial" w:hAnsi="Arial"/>
          <w:sz w:val="18"/>
          <w:szCs w:val="18"/>
          <w:color w:val="auto"/>
        </w:rPr>
      </w:pPr>
    </w:p>
    <w:p>
      <w:pPr>
        <w:ind w:left="660" w:right="40" w:hanging="652"/>
        <w:spacing w:after="0" w:line="293"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660" w:right="580" w:hanging="652"/>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27" w:name="page128"/>
    <w:bookmarkEnd w:id="127"/>
    <w:p>
      <w:pPr>
        <w:ind w:left="660" w:hanging="652"/>
        <w:spacing w:after="0" w:line="25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92" w:lineRule="exact"/>
        <w:rPr>
          <w:rFonts w:ascii="Arial" w:cs="Arial" w:eastAsia="Arial" w:hAnsi="Arial"/>
          <w:sz w:val="18"/>
          <w:szCs w:val="18"/>
          <w:color w:val="auto"/>
        </w:rPr>
      </w:pPr>
    </w:p>
    <w:p>
      <w:pPr>
        <w:ind w:left="660" w:right="160" w:hanging="652"/>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Trustee Not Responsible for Recitals or Issuance of Securities.</w:t>
      </w:r>
    </w:p>
    <w:p>
      <w:pPr>
        <w:spacing w:after="0" w:line="225" w:lineRule="exact"/>
        <w:rPr>
          <w:sz w:val="20"/>
          <w:szCs w:val="20"/>
          <w:color w:val="auto"/>
        </w:rPr>
      </w:pPr>
    </w:p>
    <w:p>
      <w:pPr>
        <w:ind w:left="660" w:right="20" w:hanging="652"/>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jc w:val="both"/>
        <w:ind w:left="660" w:right="140" w:hanging="652"/>
        <w:spacing w:after="0" w:line="286"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color w:val="auto"/>
        </w:rPr>
        <w:t>May Hold Securities.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color w:val="auto"/>
        </w:rPr>
        <w:t>Moneys Held in Trust.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8" w:name="page129"/>
    <w:bookmarkEnd w:id="128"/>
    <w:p>
      <w:pPr>
        <w:spacing w:after="0"/>
        <w:tabs>
          <w:tab w:leader="none" w:pos="12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color w:val="auto"/>
        </w:rPr>
        <w:t>Compensation and Reimbursement.</w:t>
      </w:r>
    </w:p>
    <w:p>
      <w:pPr>
        <w:spacing w:after="0" w:line="225" w:lineRule="exact"/>
        <w:rPr>
          <w:sz w:val="20"/>
          <w:szCs w:val="20"/>
          <w:color w:val="auto"/>
        </w:rPr>
      </w:pPr>
    </w:p>
    <w:p>
      <w:pPr>
        <w:ind w:left="660" w:hanging="652"/>
        <w:spacing w:after="0" w:line="270" w:lineRule="auto"/>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177" w:lineRule="exact"/>
        <w:rPr>
          <w:rFonts w:ascii="Arial" w:cs="Arial" w:eastAsia="Arial" w:hAnsi="Arial"/>
          <w:sz w:val="17"/>
          <w:szCs w:val="17"/>
          <w:color w:val="auto"/>
        </w:rPr>
      </w:pPr>
    </w:p>
    <w:p>
      <w:pPr>
        <w:ind w:left="660" w:right="140" w:hanging="652"/>
        <w:spacing w:after="0" w:line="259"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color w:val="auto"/>
        </w:rPr>
        <w:t>Reliance on Officers’ Certificate.</w:t>
      </w:r>
    </w:p>
    <w:p>
      <w:pPr>
        <w:spacing w:after="0" w:line="225"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9" w:name="page130"/>
    <w:bookmarkEnd w:id="129"/>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7"/>
          <w:szCs w:val="17"/>
          <w:color w:val="auto"/>
        </w:rPr>
        <w:t>Disqualification; Conflicting Interests.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color w:val="auto"/>
        </w:rPr>
        <w:t>Corporate Trustee Required; Eligibility.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color w:val="auto"/>
        </w:rPr>
        <w:t>Resignation and Removal; Appointment of Successor.</w:t>
      </w:r>
    </w:p>
    <w:p>
      <w:pPr>
        <w:spacing w:after="0" w:line="225" w:lineRule="exact"/>
        <w:rPr>
          <w:sz w:val="20"/>
          <w:szCs w:val="20"/>
          <w:color w:val="auto"/>
        </w:rPr>
      </w:pPr>
    </w:p>
    <w:p>
      <w:pPr>
        <w:ind w:left="660" w:hanging="652"/>
        <w:spacing w:after="0" w:line="270" w:lineRule="auto"/>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7" w:lineRule="exact"/>
        <w:rPr>
          <w:rFonts w:ascii="Arial" w:cs="Arial" w:eastAsia="Arial" w:hAnsi="Arial"/>
          <w:sz w:val="17"/>
          <w:szCs w:val="17"/>
          <w:color w:val="auto"/>
        </w:rPr>
      </w:pPr>
    </w:p>
    <w:p>
      <w:pPr>
        <w:ind w:left="660" w:hanging="652"/>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1160" w:right="260" w:hanging="463"/>
        <w:spacing w:after="0" w:line="277" w:lineRule="auto"/>
        <w:tabs>
          <w:tab w:leader="none" w:pos="11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25" w:right="279" w:bottom="1440" w:gutter="0" w:footer="0" w:header="0"/>
        </w:sectPr>
      </w:pPr>
    </w:p>
    <w:bookmarkStart w:id="130" w:name="page131"/>
    <w:bookmarkEnd w:id="130"/>
    <w:p>
      <w:pPr>
        <w:ind w:left="1160" w:right="60" w:hanging="463"/>
        <w:spacing w:after="0" w:line="277" w:lineRule="auto"/>
        <w:tabs>
          <w:tab w:leader="none" w:pos="11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left="1160" w:hanging="463"/>
        <w:spacing w:after="0" w:line="270" w:lineRule="auto"/>
        <w:tabs>
          <w:tab w:leader="none" w:pos="11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1" w:lineRule="exact"/>
        <w:rPr>
          <w:rFonts w:ascii="Arial" w:cs="Arial" w:eastAsia="Arial" w:hAnsi="Arial"/>
          <w:sz w:val="17"/>
          <w:szCs w:val="17"/>
          <w:color w:val="auto"/>
        </w:rPr>
      </w:pPr>
    </w:p>
    <w:p>
      <w:pPr>
        <w:ind w:left="660" w:right="100" w:hanging="652"/>
        <w:spacing w:after="0" w:line="264"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1" w:lineRule="exact"/>
        <w:rPr>
          <w:rFonts w:ascii="Arial" w:cs="Arial" w:eastAsia="Arial" w:hAnsi="Arial"/>
          <w:sz w:val="18"/>
          <w:szCs w:val="18"/>
          <w:color w:val="auto"/>
        </w:rPr>
      </w:pPr>
    </w:p>
    <w:p>
      <w:pPr>
        <w:ind w:left="660" w:right="380" w:hanging="652"/>
        <w:spacing w:after="0" w:line="342" w:lineRule="auto"/>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color w:val="auto"/>
        </w:rPr>
        <w:t>Acceptance of Appointment By Successor.</w:t>
      </w:r>
    </w:p>
    <w:p>
      <w:pPr>
        <w:spacing w:after="0" w:line="225" w:lineRule="exact"/>
        <w:rPr>
          <w:sz w:val="20"/>
          <w:szCs w:val="20"/>
          <w:color w:val="auto"/>
        </w:rPr>
      </w:pPr>
    </w:p>
    <w:p>
      <w:pPr>
        <w:ind w:left="660" w:right="80" w:hanging="652"/>
        <w:spacing w:after="0" w:line="293" w:lineRule="auto"/>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1" w:name="page132"/>
    <w:bookmarkEnd w:id="131"/>
    <w:p>
      <w:pPr>
        <w:ind w:left="652" w:hanging="652"/>
        <w:spacing w:after="0" w:line="285" w:lineRule="auto"/>
        <w:tabs>
          <w:tab w:leader="none" w:pos="6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70" w:lineRule="exact"/>
        <w:rPr>
          <w:rFonts w:ascii="Arial" w:cs="Arial" w:eastAsia="Arial" w:hAnsi="Arial"/>
          <w:sz w:val="16"/>
          <w:szCs w:val="16"/>
          <w:color w:val="auto"/>
        </w:rPr>
      </w:pPr>
    </w:p>
    <w:p>
      <w:pPr>
        <w:ind w:left="652" w:right="700" w:hanging="652"/>
        <w:spacing w:after="0" w:line="342" w:lineRule="auto"/>
        <w:tabs>
          <w:tab w:leader="none" w:pos="6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left="652" w:right="220" w:hanging="652"/>
        <w:spacing w:after="0" w:line="277" w:lineRule="auto"/>
        <w:tabs>
          <w:tab w:leader="none" w:pos="6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38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8" w:right="279" w:bottom="1440" w:gutter="0" w:footer="0" w:header="0"/>
        </w:sectPr>
      </w:pPr>
    </w:p>
    <w:bookmarkStart w:id="132" w:name="page133"/>
    <w:bookmarkEnd w:id="132"/>
    <w:p>
      <w:pPr>
        <w:ind w:left="660" w:hanging="652"/>
        <w:spacing w:after="0" w:line="259"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color w:val="auto"/>
        </w:rPr>
        <w:t>Merger, Conversion, Consolidation or Succession to Business.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color w:val="auto"/>
        </w:rPr>
        <w:t>Preferential Collection of Claims Against the Company.</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CONCERNING THE SECURITYHOLDERS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color w:val="auto"/>
        </w:rPr>
        <w:t>Evidence of Action by Securityholders.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3" w:name="page134"/>
    <w:bookmarkEnd w:id="133"/>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color w:val="auto"/>
        </w:rPr>
        <w:t>Proof of Execution by Securityholders.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7"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fact and date of the execution by any such Person of any instrument may be proved in any reasonable manner acceptable to the Trustee.</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color w:val="auto"/>
        </w:rPr>
        <w:t>Who May be Deemed Owners.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color w:val="auto"/>
        </w:rPr>
        <w:t>Certain Securities Owned by Company Disregarded.</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4" w:name="page135"/>
    <w:bookmarkEnd w:id="134"/>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color w:val="auto"/>
        </w:rPr>
        <w:t>Actions Binding on Future Securityholders.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color w:val="auto"/>
        </w:rPr>
        <w:t>Purposes for Which Meetings May Be Called.</w:t>
      </w:r>
    </w:p>
    <w:p>
      <w:pPr>
        <w:spacing w:after="0" w:line="22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color w:val="auto"/>
        </w:rPr>
        <w:t>Call Notice and Place of Meetings.</w:t>
      </w:r>
    </w:p>
    <w:p>
      <w:pPr>
        <w:spacing w:after="0" w:line="225" w:lineRule="exact"/>
        <w:rPr>
          <w:sz w:val="20"/>
          <w:szCs w:val="20"/>
          <w:color w:val="auto"/>
        </w:rPr>
      </w:pPr>
    </w:p>
    <w:p>
      <w:pPr>
        <w:ind w:left="660" w:hanging="652"/>
        <w:spacing w:after="0" w:line="276" w:lineRule="auto"/>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Trustee may at any time call a meeting of holders of any series of Securities for any purpose specified in Section 8.06 hereof, to be held at such time and at such place in The City of New York.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172" w:lineRule="exact"/>
        <w:rPr>
          <w:rFonts w:ascii="Arial" w:cs="Arial" w:eastAsia="Arial" w:hAnsi="Arial"/>
          <w:sz w:val="17"/>
          <w:szCs w:val="17"/>
          <w:color w:val="auto"/>
        </w:rPr>
      </w:pPr>
    </w:p>
    <w:p>
      <w:pPr>
        <w:ind w:left="660" w:right="60" w:hanging="652"/>
        <w:spacing w:after="0" w:line="255"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for such meeting and may call such meeting for such purposes by giving notice thereof as provided in paragraph (a) of this Section.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5" w:name="page136"/>
    <w:bookmarkEnd w:id="135"/>
    <w:p>
      <w:pPr>
        <w:spacing w:after="0"/>
        <w:tabs>
          <w:tab w:leader="none" w:pos="128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color w:val="auto"/>
        </w:rPr>
        <w:t>Persons Entitled To Vote at Meetings.</w:t>
      </w:r>
    </w:p>
    <w:p>
      <w:pPr>
        <w:spacing w:after="0" w:line="22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7"/>
          <w:szCs w:val="17"/>
          <w:color w:val="auto"/>
        </w:rPr>
        <w:t>Quorum; Action.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36" w:name="page137"/>
    <w:bookmarkEnd w:id="136"/>
    <w:p>
      <w:pPr>
        <w:spacing w:after="0" w:line="254" w:lineRule="auto"/>
        <w:rPr>
          <w:sz w:val="20"/>
          <w:szCs w:val="20"/>
          <w:color w:val="auto"/>
        </w:rPr>
      </w:pPr>
      <w:r>
        <w:rPr>
          <w:rFonts w:ascii="Arial" w:cs="Arial" w:eastAsia="Arial" w:hAnsi="Arial"/>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color w:val="auto"/>
        </w:rPr>
        <w:t>Determination of Voting Rights; Conduct and Adjournment of Meetings.</w:t>
      </w:r>
    </w:p>
    <w:p>
      <w:pPr>
        <w:spacing w:after="0" w:line="225" w:lineRule="exact"/>
        <w:rPr>
          <w:sz w:val="20"/>
          <w:szCs w:val="20"/>
          <w:color w:val="auto"/>
        </w:rPr>
      </w:pPr>
    </w:p>
    <w:p>
      <w:pPr>
        <w:ind w:left="660" w:right="60" w:hanging="652"/>
        <w:spacing w:after="0" w:line="259"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86" w:lineRule="exact"/>
        <w:rPr>
          <w:rFonts w:ascii="Arial" w:cs="Arial" w:eastAsia="Arial" w:hAnsi="Arial"/>
          <w:sz w:val="18"/>
          <w:szCs w:val="18"/>
          <w:color w:val="auto"/>
        </w:rPr>
      </w:pPr>
    </w:p>
    <w:p>
      <w:pPr>
        <w:ind w:left="660" w:right="160" w:hanging="652"/>
        <w:spacing w:after="0" w:line="25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8" w:lineRule="exact"/>
        <w:rPr>
          <w:rFonts w:ascii="Arial" w:cs="Arial" w:eastAsia="Arial" w:hAnsi="Arial"/>
          <w:sz w:val="18"/>
          <w:szCs w:val="18"/>
          <w:color w:val="auto"/>
        </w:rPr>
      </w:pPr>
    </w:p>
    <w:p>
      <w:pPr>
        <w:ind w:left="660" w:right="80" w:hanging="652"/>
        <w:spacing w:after="0" w:line="279"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71" w:lineRule="exact"/>
        <w:rPr>
          <w:rFonts w:ascii="Arial" w:cs="Arial" w:eastAsia="Arial" w:hAnsi="Arial"/>
          <w:sz w:val="17"/>
          <w:szCs w:val="17"/>
          <w:color w:val="auto"/>
        </w:rPr>
      </w:pPr>
    </w:p>
    <w:p>
      <w:pPr>
        <w:jc w:val="both"/>
        <w:ind w:left="660" w:right="180" w:hanging="652"/>
        <w:spacing w:after="0" w:line="26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7" w:name="page138"/>
    <w:bookmarkEnd w:id="137"/>
    <w:p>
      <w:pPr>
        <w:spacing w:after="0"/>
        <w:tabs>
          <w:tab w:leader="none" w:pos="128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color w:val="auto"/>
        </w:rPr>
        <w:t>Counting Votes and Recording Action of Meetings.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Supplemental Indentures Without the Consent of Securityholders.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1" w:lineRule="exact"/>
        <w:rPr>
          <w:sz w:val="20"/>
          <w:szCs w:val="20"/>
          <w:color w:val="auto"/>
        </w:rPr>
      </w:pPr>
    </w:p>
    <w:p>
      <w:pPr>
        <w:jc w:val="both"/>
        <w:ind w:left="660" w:right="260" w:hanging="652"/>
        <w:spacing w:after="0" w:line="286"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comply with Article X;</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660" w:right="40" w:hanging="652"/>
        <w:spacing w:after="0" w:line="264"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8" w:name="page139"/>
    <w:bookmarkEnd w:id="138"/>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comply with the requirements of the Commission in order to effect or maintain the qualification of this Indenture under the Trust Indenture Act.</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Supplemental Indentures With Consent of Securityholders.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39" w:name="page140"/>
    <w:bookmarkEnd w:id="139"/>
    <w:p>
      <w:pPr>
        <w:ind w:right="20"/>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Effect of Supplemental Indentures.</w:t>
      </w:r>
    </w:p>
    <w:p>
      <w:pPr>
        <w:spacing w:after="0" w:line="22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Securities Affected by Supplemental Indentures.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Execution of Supplemental Indentures.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SUCCESSOR ENTITY</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color w:val="auto"/>
        </w:rPr>
        <w:t>Company May Consolidate, Etc.</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173"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color w:val="auto"/>
        </w:rPr>
        <w:t>Successor Entity Substituted.</w:t>
      </w:r>
    </w:p>
    <w:p>
      <w:pPr>
        <w:spacing w:after="0" w:line="225" w:lineRule="exact"/>
        <w:rPr>
          <w:sz w:val="20"/>
          <w:szCs w:val="20"/>
          <w:color w:val="auto"/>
        </w:rPr>
      </w:pPr>
    </w:p>
    <w:p>
      <w:pPr>
        <w:ind w:left="660" w:hanging="652"/>
        <w:spacing w:after="0" w:line="255"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9" w:lineRule="exact"/>
        <w:rPr>
          <w:rFonts w:ascii="Arial" w:cs="Arial" w:eastAsia="Arial" w:hAnsi="Arial"/>
          <w:sz w:val="18"/>
          <w:szCs w:val="18"/>
          <w:color w:val="auto"/>
        </w:rPr>
      </w:pPr>
    </w:p>
    <w:p>
      <w:pPr>
        <w:ind w:left="660" w:right="740" w:hanging="652"/>
        <w:spacing w:after="0" w:line="277"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41" w:name="page142"/>
    <w:bookmarkEnd w:id="141"/>
    <w:p>
      <w:pPr>
        <w:ind w:left="660" w:right="140" w:hanging="652"/>
        <w:spacing w:after="0" w:line="264"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color w:val="auto"/>
        </w:rPr>
        <w:t>Evidence of Consolidation, Etc. to Trustee.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color w:val="auto"/>
        </w:rPr>
        <w:t>Satisfaction and Discharge of Indenture.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142" w:name="page143"/>
    <w:bookmarkEnd w:id="142"/>
    <w:p>
      <w:pPr>
        <w:spacing w:after="0"/>
        <w:tabs>
          <w:tab w:leader="none" w:pos="13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color w:val="auto"/>
        </w:rPr>
        <w:t>Discharge of Obligations.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7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color w:val="auto"/>
        </w:rPr>
        <w:t>Deposited Moneys to be Held in Trust.</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color w:val="auto"/>
        </w:rPr>
        <w:t>Payment of Moneys Held by Paying Agents.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color w:val="auto"/>
        </w:rPr>
        <w:t>Repayment to Company.</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color w:val="auto"/>
        </w:rPr>
        <w:t>No Recourse.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5"/>
          <w:szCs w:val="15"/>
          <w:color w:val="auto"/>
        </w:rPr>
        <w:t>Effect on Successors and Assigns.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contained by or on behalf of the Company shall bind its successors and assigns, whether so expressed or not.</w:t>
      </w:r>
    </w:p>
    <w:p>
      <w:pPr>
        <w:spacing w:after="0" w:line="1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color w:val="auto"/>
        </w:rPr>
        <w:t>Actions by Successor.</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color w:val="auto"/>
        </w:rPr>
        <w:t>Surrender of Company Powers.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44" w:name="page145"/>
    <w:bookmarkEnd w:id="144"/>
    <w:p>
      <w:pPr>
        <w:spacing w:after="0"/>
        <w:tabs>
          <w:tab w:leader="none" w:pos="138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color w:val="auto"/>
        </w:rPr>
        <w:t>Notices.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XpresSpa Group, Inc., Attn: [ ], 780 Third Avenue,</w:t>
      </w:r>
    </w:p>
    <w:p>
      <w:pPr>
        <w:ind w:right="120"/>
        <w:spacing w:after="0" w:line="269" w:lineRule="auto"/>
        <w:rPr>
          <w:sz w:val="20"/>
          <w:szCs w:val="20"/>
          <w:color w:val="auto"/>
        </w:rPr>
      </w:pPr>
      <w:r>
        <w:rPr>
          <w:rFonts w:ascii="Arial" w:cs="Arial" w:eastAsia="Arial" w:hAnsi="Arial"/>
          <w:sz w:val="16"/>
          <w:szCs w:val="16"/>
          <w:color w:val="auto"/>
        </w:rPr>
        <w:t>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8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color w:val="auto"/>
        </w:rPr>
        <w:t>Governing Law.</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internal laws of the State of New York, and for all purposes shall be construed in accordance with the laws of said State.</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6"/>
          <w:szCs w:val="16"/>
          <w:color w:val="auto"/>
        </w:rPr>
        <w:t>Treatment of Securities as Debt.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13.07</w:t>
      </w:r>
      <w:r>
        <w:rPr>
          <w:sz w:val="20"/>
          <w:szCs w:val="20"/>
          <w:color w:val="auto"/>
        </w:rPr>
        <w:tab/>
      </w:r>
      <w:r>
        <w:rPr>
          <w:rFonts w:ascii="Arial" w:cs="Arial" w:eastAsia="Arial" w:hAnsi="Arial"/>
          <w:sz w:val="16"/>
          <w:szCs w:val="16"/>
          <w:color w:val="auto"/>
        </w:rPr>
        <w:t>Compliance Certificates and Opinions.</w:t>
      </w:r>
    </w:p>
    <w:p>
      <w:pPr>
        <w:spacing w:after="0" w:line="225" w:lineRule="exact"/>
        <w:rPr>
          <w:sz w:val="20"/>
          <w:szCs w:val="20"/>
          <w:color w:val="auto"/>
        </w:rPr>
      </w:pPr>
    </w:p>
    <w:p>
      <w:pPr>
        <w:ind w:left="660" w:right="80" w:hanging="652"/>
        <w:spacing w:after="0" w:line="297"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58" w:lineRule="exact"/>
        <w:rPr>
          <w:rFonts w:ascii="Arial" w:cs="Arial" w:eastAsia="Arial" w:hAnsi="Arial"/>
          <w:sz w:val="16"/>
          <w:szCs w:val="16"/>
          <w:color w:val="auto"/>
        </w:rPr>
      </w:pPr>
    </w:p>
    <w:p>
      <w:pPr>
        <w:ind w:left="660" w:right="40" w:hanging="652"/>
        <w:spacing w:after="0" w:line="273" w:lineRule="auto"/>
        <w:tabs>
          <w:tab w:leader="none" w:pos="6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5" w:name="page146"/>
    <w:bookmarkEnd w:id="145"/>
    <w:p>
      <w:pPr>
        <w:spacing w:after="0"/>
        <w:tabs>
          <w:tab w:leader="none" w:pos="138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5"/>
          <w:szCs w:val="15"/>
          <w:color w:val="auto"/>
        </w:rPr>
        <w:t>Payments on Business Days.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6"/>
          <w:szCs w:val="16"/>
          <w:color w:val="auto"/>
        </w:rPr>
        <w:t>Conflict with Trust Indenture Act.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color w:val="auto"/>
        </w:rPr>
        <w:t>Counterparts.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color w:val="auto"/>
        </w:rPr>
        <w:t>Separability.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46" w:name="page147"/>
    <w:bookmarkEnd w:id="146"/>
    <w:p>
      <w:pPr>
        <w:spacing w:after="0"/>
        <w:tabs>
          <w:tab w:leader="none" w:pos="136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color w:val="auto"/>
        </w:rPr>
        <w:t>Assignment.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SUBORDINATION OF SECURITIES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14.01</w:t>
      </w:r>
      <w:r>
        <w:rPr>
          <w:sz w:val="20"/>
          <w:szCs w:val="20"/>
          <w:color w:val="auto"/>
        </w:rPr>
        <w:tab/>
      </w:r>
      <w:r>
        <w:rPr>
          <w:rFonts w:ascii="Arial" w:cs="Arial" w:eastAsia="Arial" w:hAnsi="Arial"/>
          <w:sz w:val="16"/>
          <w:szCs w:val="16"/>
          <w:color w:val="auto"/>
        </w:rPr>
        <w:t>Subordination Terms.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payment by the Company of the principal of, premium, if any, and interest on any series of Securities issued hereunder shall be subordinated to the extent set forth in an indenture supplemental hereto relating to the Securities of such series.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day and year first above written.</w:t>
      </w:r>
    </w:p>
    <w:p>
      <w:pPr>
        <w:sectPr>
          <w:pgSz w:w="11900" w:h="16838" w:orient="portrait"/>
          <w:cols w:equalWidth="0" w:num="1">
            <w:col w:w="10219"/>
          </w:cols>
          <w:pgMar w:left="240" w:top="908" w:right="1440" w:bottom="1440" w:gutter="0" w:footer="0" w:header="0"/>
        </w:sect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XPRESSPA GROUP, INC.</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type w:val="continuous"/>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-121920</wp:posOffset>
            </wp:positionV>
            <wp:extent cx="557530" cy="694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557530" cy="6946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212 935 3000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We have acted as legal counsel to XpresSpa Group, Inc., a Delaware corporation (the “Company”), in connection with the preparation and filing with the Securities and Exchange Commission (the “Commission”) of a Registration Statement on Form S-3 (the “Registration Statement”), pursuant to which the Company is registering under the Securities Act of 1933, as amended (the “Securities Act”), the following: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common stock, $0.01 par value per share (the “Common Stock”);</w:t>
      </w:r>
    </w:p>
    <w:p>
      <w:pPr>
        <w:spacing w:after="0" w:line="252" w:lineRule="exact"/>
        <w:rPr>
          <w:sz w:val="20"/>
          <w:szCs w:val="20"/>
          <w:color w:val="auto"/>
        </w:rPr>
      </w:pPr>
    </w:p>
    <w:p>
      <w:pPr>
        <w:ind w:left="520" w:hanging="188"/>
        <w:spacing w:after="0"/>
        <w:tabs>
          <w:tab w:leader="none" w:pos="5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preferred stock, $0.01 par value per share (the “Preferred Stock”);</w:t>
      </w:r>
    </w:p>
    <w:p>
      <w:pPr>
        <w:spacing w:after="0" w:line="252" w:lineRule="exact"/>
        <w:rPr>
          <w:rFonts w:ascii="Arial" w:cs="Arial" w:eastAsia="Arial" w:hAnsi="Arial"/>
          <w:sz w:val="18"/>
          <w:szCs w:val="18"/>
          <w:color w:val="auto"/>
        </w:rPr>
      </w:pPr>
    </w:p>
    <w:p>
      <w:pPr>
        <w:ind w:right="180" w:firstLine="332"/>
        <w:spacing w:after="0" w:line="264" w:lineRule="auto"/>
        <w:tabs>
          <w:tab w:leader="none" w:pos="56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senior debt securities, in one or more series (the “Senior Debt Securities”), which may be issued pursuant to an indenture to be dated on or about the date of the first issuance of Senior Debt Securities thereunder, by and between the Company and a trustee to be selected by the Company (the “Senior Indenture”);</w:t>
      </w:r>
    </w:p>
    <w:p>
      <w:pPr>
        <w:spacing w:after="0" w:line="208" w:lineRule="exact"/>
        <w:rPr>
          <w:rFonts w:ascii="Arial" w:cs="Arial" w:eastAsia="Arial" w:hAnsi="Arial"/>
          <w:sz w:val="18"/>
          <w:szCs w:val="18"/>
          <w:color w:val="auto"/>
        </w:rPr>
      </w:pPr>
    </w:p>
    <w:p>
      <w:pPr>
        <w:ind w:right="220" w:firstLine="332"/>
        <w:spacing w:after="0" w:line="264" w:lineRule="auto"/>
        <w:tabs>
          <w:tab w:leader="none" w:pos="54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subordinated debt securities, in one or more series (the “Subordinated Debt Securities” and, together with the Senior Debt Securities, the “Debt Securities”), which may be issued pursuant to an indenture to be dated on or about the date of the first issuance of Subordinated Debt Securities thereunder, by and between the Company and a trustee to be selected by the Company (the “Subordinated Indenture”);</w:t>
      </w:r>
    </w:p>
    <w:p>
      <w:pPr>
        <w:spacing w:after="0" w:line="208" w:lineRule="exact"/>
        <w:rPr>
          <w:rFonts w:ascii="Arial" w:cs="Arial" w:eastAsia="Arial" w:hAnsi="Arial"/>
          <w:sz w:val="18"/>
          <w:szCs w:val="18"/>
          <w:color w:val="auto"/>
        </w:rPr>
      </w:pPr>
    </w:p>
    <w:p>
      <w:pPr>
        <w:jc w:val="both"/>
        <w:ind w:right="160" w:firstLine="332"/>
        <w:spacing w:after="0" w:line="264" w:lineRule="auto"/>
        <w:tabs>
          <w:tab w:leader="none" w:pos="49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and/or Debt Securities (the “Warrants”), which may be issued under warrant agreements, to be dated on or about the date of the first issuance of the applicable Warrants thereunder, by and between the Company and a warrant agent to be selected by the Company (each, a “Warrant Agreement”);</w:t>
      </w:r>
    </w:p>
    <w:p>
      <w:pPr>
        <w:spacing w:after="0" w:line="208" w:lineRule="exact"/>
        <w:rPr>
          <w:rFonts w:ascii="Arial" w:cs="Arial" w:eastAsia="Arial" w:hAnsi="Arial"/>
          <w:sz w:val="18"/>
          <w:szCs w:val="18"/>
          <w:color w:val="auto"/>
        </w:rPr>
      </w:pPr>
    </w:p>
    <w:p>
      <w:pPr>
        <w:ind w:right="300" w:firstLine="332"/>
        <w:spacing w:after="0" w:line="264" w:lineRule="auto"/>
        <w:tabs>
          <w:tab w:leader="none" w:pos="5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rights to purchase Common Stock, Preferred Stock or Debt Securities (the “Rights”), which may be issued pursuant to a rights agreement and certificates issued thereunder, to be dated on or about the date of the first issuance of the applicable Rights thereunder, by and between the Company and a rights agent to be selected by the Company (each, a “Rights Agreement”); and</w:t>
      </w:r>
    </w:p>
    <w:p>
      <w:pPr>
        <w:spacing w:after="0" w:line="208" w:lineRule="exact"/>
        <w:rPr>
          <w:rFonts w:ascii="Arial" w:cs="Arial" w:eastAsia="Arial" w:hAnsi="Arial"/>
          <w:sz w:val="18"/>
          <w:szCs w:val="18"/>
          <w:color w:val="auto"/>
        </w:rPr>
      </w:pPr>
    </w:p>
    <w:p>
      <w:pPr>
        <w:ind w:right="180" w:firstLine="332"/>
        <w:spacing w:after="0" w:line="264" w:lineRule="auto"/>
        <w:tabs>
          <w:tab w:leader="none" w:pos="60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units comprised of one or more Debt Securities, shares of Common Stock, Preferred Stock, Rights, and Warrants, in any combination (the “Units”), which may be issued under unit agreements, to be dated on or about the date of the first issuance of the applicable Units thereunder, by and between the Company and a unit agent to be selected by the Company (each, a “Unit Agreement”).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Common Stock, the Preferred Stock, the Debt Securities, the Warrants, the Rights and the Units are collectively referred to herein as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“Securities.” The Registration Statement relates to the registration of the Securities to be offered and sold by the Company from time to time on a delayed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continuous basis pursuant to Rule 415 under the Securities Act. The maximum aggregate public offering price of the Securities being registered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$50,000,000. This opinion is being rendered in connection with the filing of the Registration Statement with the Commission. All capitalized terms used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herein and not otherwise defined shall have the respective meanings given to them in the Registration Statement.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tabs>
          <w:tab w:leader="none" w:pos="240" w:val="left"/>
          <w:tab w:leader="none" w:pos="240" w:val="left"/>
          <w:tab w:leader="none" w:pos="220" w:val="left"/>
          <w:tab w:leader="none" w:pos="240" w:val="left"/>
          <w:tab w:leader="none" w:pos="240" w:val="left"/>
          <w:tab w:leader="none" w:pos="20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LOS ANGELES</w:t>
      </w:r>
      <w:r>
        <w:rPr>
          <w:sz w:val="20"/>
          <w:szCs w:val="20"/>
          <w:color w:val="auto"/>
        </w:rPr>
        <w:tab/>
      </w:r>
      <w:r>
        <w:rPr>
          <w:rFonts w:ascii="Arial" w:cs="Arial" w:eastAsia="Arial" w:hAnsi="Arial"/>
          <w:sz w:val="14"/>
          <w:szCs w:val="14"/>
          <w:color w:val="auto"/>
        </w:rPr>
        <w:t>NEW YORK</w:t>
      </w:r>
      <w:r>
        <w:rPr>
          <w:sz w:val="20"/>
          <w:szCs w:val="20"/>
          <w:color w:val="auto"/>
        </w:rPr>
        <w:tab/>
      </w:r>
      <w:r>
        <w:rPr>
          <w:rFonts w:ascii="Arial" w:cs="Arial" w:eastAsia="Arial" w:hAnsi="Arial"/>
          <w:sz w:val="14"/>
          <w:szCs w:val="14"/>
          <w:color w:val="auto"/>
        </w:rPr>
        <w:t>SAN DIEGO</w:t>
      </w:r>
      <w:r>
        <w:rPr>
          <w:sz w:val="20"/>
          <w:szCs w:val="20"/>
          <w:color w:val="auto"/>
        </w:rPr>
        <w:tab/>
      </w:r>
      <w:r>
        <w:rPr>
          <w:rFonts w:ascii="Arial" w:cs="Arial" w:eastAsia="Arial" w:hAnsi="Arial"/>
          <w:sz w:val="14"/>
          <w:szCs w:val="14"/>
          <w:color w:val="auto"/>
        </w:rPr>
        <w:t>SAN FRANCISCO</w:t>
      </w:r>
      <w:r>
        <w:rPr>
          <w:sz w:val="20"/>
          <w:szCs w:val="20"/>
          <w:color w:val="auto"/>
        </w:rPr>
        <w:tab/>
      </w:r>
      <w:r>
        <w:rPr>
          <w:rFonts w:ascii="Arial" w:cs="Arial" w:eastAsia="Arial" w:hAnsi="Arial"/>
          <w:sz w:val="13"/>
          <w:szCs w:val="13"/>
          <w:color w:val="auto"/>
        </w:rPr>
        <w:t>WASHINGTON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July 22,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27" w:lineRule="exact"/>
        <w:rPr>
          <w:sz w:val="20"/>
          <w:szCs w:val="20"/>
          <w:color w:val="auto"/>
        </w:rPr>
      </w:pPr>
    </w:p>
    <w:p>
      <w:pPr>
        <w:jc w:val="both"/>
        <w:ind w:right="320" w:firstLine="486"/>
        <w:spacing w:after="0" w:line="264" w:lineRule="auto"/>
        <w:rPr>
          <w:sz w:val="20"/>
          <w:szCs w:val="20"/>
          <w:color w:val="auto"/>
        </w:rPr>
      </w:pPr>
      <w:r>
        <w:rPr>
          <w:rFonts w:ascii="Arial" w:cs="Arial" w:eastAsia="Arial" w:hAnsi="Arial"/>
          <w:sz w:val="18"/>
          <w:szCs w:val="18"/>
          <w:color w:val="auto"/>
        </w:rPr>
        <w:t>In connection with this opinion, we have examined the Company’s Amended and Restated Certificate of Incorporation and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181"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w:t>
      </w:r>
    </w:p>
    <w:p>
      <w:pPr>
        <w:spacing w:after="0" w:line="181"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our capacity as counsel to the Company in connection with such registration, we are familiar with the proceedings taken and proposed to be taken by the Company in connection with the authorization and issuance of the Securities. For purposes of this opinion, we have assumed that such proceedings will be timely and properly completed, in accordance with all requirements of applicable federal and Delaware laws, in the manner presently proposed.</w:t>
      </w:r>
    </w:p>
    <w:p>
      <w:pPr>
        <w:spacing w:after="0" w:line="147" w:lineRule="exact"/>
        <w:rPr>
          <w:sz w:val="20"/>
          <w:szCs w:val="20"/>
          <w:color w:val="auto"/>
        </w:rPr>
      </w:pPr>
    </w:p>
    <w:p>
      <w:pPr>
        <w:jc w:val="both"/>
        <w:ind w:right="20" w:firstLine="486"/>
        <w:spacing w:after="0" w:line="291" w:lineRule="auto"/>
        <w:rPr>
          <w:sz w:val="20"/>
          <w:szCs w:val="20"/>
          <w:color w:val="auto"/>
        </w:rPr>
      </w:pPr>
      <w:r>
        <w:rPr>
          <w:rFonts w:ascii="Arial" w:cs="Arial" w:eastAsia="Arial" w:hAnsi="Arial"/>
          <w:sz w:val="16"/>
          <w:szCs w:val="16"/>
          <w:color w:val="auto"/>
        </w:rPr>
        <w:t>The opinions set forth below are subject to the following exceptions, limitations and qualifications: (i) the effect of bankruptcy, insolvency, reorganization, fraudulent conveyance, moratorium or other similar laws now or hereafter in effect relating to or affecting the rights and remedies of creditors;</w:t>
      </w:r>
    </w:p>
    <w:p>
      <w:pPr>
        <w:ind w:right="60" w:firstLine="8"/>
        <w:spacing w:after="0" w:line="252" w:lineRule="auto"/>
        <w:tabs>
          <w:tab w:leader="none" w:pos="26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effect of general principles of equity, whether enforcement is considered in a proceeding in equity or at law,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(iv) we express no opinion concerning the enforceability of any waiver of rights or defenses with respect to stay, extension or usury laws; and (v) we express no opinion with respect to whether acceleration of any Debt Securities may affect the ability to collect any portion of the stated principal amount thereof which might be determined to constitute unearned interest thereon.</w:t>
      </w:r>
    </w:p>
    <w:p>
      <w:pPr>
        <w:spacing w:after="0" w:line="194"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have relied as to certain matters on information obtained from public officials, officers of the Company, and other sources believed by us to be responsible and we have assumed that the Senior Indenture and the Subordinated Indenture will be duly authorized, executed, and delivered by the respective trustees thereunder and the Warrant Agreement, Rights Agreement and Unit Agreement will be duly authorized, executed, and delivered by the warrant agent, rights agent and unit agent, respectively, thereunder will be duly authorized, executed, and delivered by the other parties thereto. With respect to our opinion as to the Common Stock and Securities convertible into or exercisable for shares of Common Stock, we have assumed that, at the time of issuance and sale, a sufficient number of shares of Common Stock are authorized and available for issuance under the Company’s Amended and Restated Certificate of Incorporation, as amended, as then in effect and that the consideration for the issuance and sale of the Common Stock (or Debt Securities convertible into Common Stock or Warrants or Rights exercisable for Common Stock or any Units of such Securities) is in an amount that is not less than the par value of the Common Stock. With respect to our opinion as to the Preferred Stock and Securities convertible into or exercisable for shares of Preferred Stock, we have assumed that, at the time of issuance and sale, a sufficient number of shares of Preferred Stock are authorized, designated and available for issuance under the Company’s Amended and Restated Certificate of Incorporation, as amended, and that the consideration for the issuance and sale of the Preferred Stock (or Debt Securities convertible into Preferred Stock or Warrants or Rights exercisable for Preferred Stock or any Units of such Securities) is in an amount that is not less than the par value of the Preferred Stock. We have also assumed that any Warrants, Rights and Units offered under the Registration Statement, and the related Warrant Agreement, Rights Agreement and Unit Agreement, as applicable, will be executed in the forms to be filed as exhibits to the Registration Statement or incorporated by reference therein. We have not independently verified any of the foregoing assumptions.</w:t>
      </w:r>
    </w:p>
    <w:p>
      <w:pPr>
        <w:spacing w:after="0" w:line="169"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It is understood that this opinion is to be used only in connection with the offer and sale of Securities while the Registration Statement is effective under the Securities Act.</w:t>
      </w:r>
    </w:p>
    <w:p>
      <w:pPr>
        <w:spacing w:after="0" w:line="170"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Our opinion is limited to the general corporate laws of the State of Delaware and the laws of the State of New York. Without limiting the generality of the foregoing, we express no opinion with respect to (i) the qualification of the shares under the securities or blue sky laws of any state or any foreign jurisdiction or (ii) the compliance with any federal or state law, rule or regulation relating to securities, or to the sale or issuance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July 22,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2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Please note that we are opining only as to the matters expressly set forth herein, and no opinion should be inferred as to any other matters. The Securities may be issued from time to time on a delayed or continuous basis, but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Based upon the foregoing, we are of the opinion that:</w:t>
      </w:r>
    </w:p>
    <w:p>
      <w:pPr>
        <w:spacing w:after="0" w:line="225" w:lineRule="exact"/>
        <w:rPr>
          <w:sz w:val="20"/>
          <w:szCs w:val="20"/>
          <w:color w:val="auto"/>
        </w:rPr>
      </w:pPr>
    </w:p>
    <w:p>
      <w:pPr>
        <w:ind w:right="120" w:firstLine="494"/>
        <w:spacing w:after="0" w:line="284" w:lineRule="auto"/>
        <w:tabs>
          <w:tab w:leader="none" w:pos="66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With respect to the Common Stock, when (i) specifically authorized for issuance by the Company’s Board of Directors or an authorized committee thereof (the “Authorizing Resolutions”), (ii) the Registration Statement, as finally amended (including all post-effective amendments), has become effective under the Securities Act, (iii) an appropriate prospectus supplement with respect to the applicable shares of Common Stock has been prepared, delivered and filed in compliance with the Securities Act and the applicable rules and regulations thereunder, (iv) if the applicable shares of Common Stock are to be sold pursuant to a purchase, underwriting or similar agreement (an “Underwriting Agreement”), such Underwriting Agreement with respect to the applicable shares of Common Stock in the form filed as an exhibit to the Registration Statement, any post-effective amendment thereto or to a Current Report on Form</w:t>
      </w:r>
    </w:p>
    <w:p>
      <w:pPr>
        <w:spacing w:after="0" w:line="4"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8-K, has been duly authorized, executed and delivered by the Company and the other parties thereto, (v) the terms of the sale of the Common Stock have been duly established in conformity with the Company’s then operative Amended and Restated Certificate of Incorporation, as amended, and Amended and Restated Bylaws and do not violate any applicable law or result in a default under or breach of any agreement or instrument binding on the Company and comply with any requirement or restriction imposed by any court or governmental body having jurisdiction over the Company, (vi) the Common Stock has been issued and sold as contemplated by the Registration Statement and the prospectus included therein, and (vii) the Company has received the consideration provided for in the Authorizing Resolutions and, if applicable, the Underwriting Agreement, the Common Stock will be validly issued, fully paid and nonassessable.</w:t>
      </w:r>
    </w:p>
    <w:p>
      <w:pPr>
        <w:spacing w:after="0" w:line="193" w:lineRule="exact"/>
        <w:rPr>
          <w:rFonts w:ascii="Arial" w:cs="Arial" w:eastAsia="Arial" w:hAnsi="Arial"/>
          <w:sz w:val="16"/>
          <w:szCs w:val="16"/>
          <w:color w:val="auto"/>
        </w:rPr>
      </w:pPr>
    </w:p>
    <w:p>
      <w:pPr>
        <w:ind w:firstLine="494"/>
        <w:spacing w:after="0" w:line="286" w:lineRule="auto"/>
        <w:tabs>
          <w:tab w:leader="none" w:pos="66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With respect to the Preferred Stock, when (i) specifically authorized for issuance by the Authorizing Resolutions, (ii) the Registration Statement, as finally amended (including all post-effective amendments), has become effective under the Securities Act, (iii) an appropriate prospectus supplement with respect to the applicable shares of Preferred Stock has been prepared, delivered and filed in compliance with the Securities Act and the applicable rules and regulations thereunder, (iv) if the applicable shares of Preferred Stock are to be sold pursuant to an Underwriting Agreement, such Underwriting Agreement with respect to the applicable shares of Preferred Stock in the form filed as an exhibit to the Registration Statement, any post-effective amendment thereto or to a Current Report on Form 8-K, has been duly authorized, executed and delivered by the Company and the other parties thereto, (v) an appropriate Certificate or Certificates of Amendment or Designation relating to a class or series of the Preferred Stock to be sold under the Registration Statement has been duly authorized and adopted and filed with the Secretary of State of the State of Delaware prior to the issuance of the Preferred Stock, (vi) the terms of issuance and sale of shares of such class or series of Preferred Stock have been duly established in conformity with the Company’s then operative Amended and Restated Certificate of Incorporation, as amended, and Amended and Restated Bylaws and do not violate any applicable law or result in a default under or breach of any agreement or instrument binding upon the Company and comply with any requirement or restriction imposed by any court or governmental body having jurisdiction over the Company, (vii) shares of such class or series of Preferred Stock have been duly issued and sold as contemplated by the Registration Statement and the prospectus included therein, and (viii) the Company has received the consideration provided for in the Authorizing Resolutions and, if applicable, the Underwriting Agreement, the Preferred Stock will be validly issued, fully paid and nonassessable.</w:t>
      </w:r>
    </w:p>
    <w:p>
      <w:pPr>
        <w:spacing w:after="0" w:line="171" w:lineRule="exact"/>
        <w:rPr>
          <w:rFonts w:ascii="Arial" w:cs="Arial" w:eastAsia="Arial" w:hAnsi="Arial"/>
          <w:sz w:val="16"/>
          <w:szCs w:val="16"/>
          <w:color w:val="auto"/>
        </w:rPr>
      </w:pPr>
    </w:p>
    <w:p>
      <w:pPr>
        <w:ind w:right="80" w:firstLine="494"/>
        <w:spacing w:after="0" w:line="284" w:lineRule="auto"/>
        <w:tabs>
          <w:tab w:leader="none" w:pos="66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With respect to the Debt Securities, when (i) specifically authorized for issuance by the Authorizing Resolutions, (ii) the Registration Statement, as finally amended (including all post-effective amendments), has become effective under the Securities Act, (iii) the Senior Indenture or the Subordinated Indenture, whichever the case may be, has been duly authorized, executed and delivered by the Company, (iv) an appropriate prospectus supplement with respect to the applicable Debt Securities has been prepared, delivered and filed in compliance with the Securities Act and the applicable rules and regulations thereunder, (v) if the applicable Debt Securities are to be sold pursuant to an Underwriting Agreement, such Underwriting Agreement with respect to the applicable Debt Securities in the form filed as an exhibit to the Registration Statement, any post-effective amendment thereto or to a Current Report on Form</w:t>
      </w:r>
    </w:p>
    <w:p>
      <w:pPr>
        <w:spacing w:after="0" w:line="4"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8-K, has been duly authorized, executed and delivered by the Company and the other parties thereto; (vi) the terms of the Debt Securities and of their issuance and sale have been duly established in conformity with the Senior Indenture or the Subordinated Indenture, whichever the case may be, and do not violate any applicable law or result in a default under or breach of any agreement or instrument binding upon the Company and comply with any requirement or restriction imposed by any court or governmental body having jurisdiction over the Company, (vii) such Debt Securities have been duly executed and authenticated in accordance with the Senior Indenture or the Subordinated Indenture, whichever the case may be, and issued and sold as contemplated in the Registration Statement and the prospectus included therein, (viii) the Senior Indenture or the Subordinated Indenture, whichever the case may be, relating to the Debt Securities has been qualified under the Trust Indenture Act of 1939, as amended, and (ix) the Company has received the consideration provided for in the Authorizing Resolutions and, if applicable, the Underwriting Agreement, the Debt Securities will constitute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July 22,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27" w:lineRule="exact"/>
        <w:rPr>
          <w:sz w:val="20"/>
          <w:szCs w:val="20"/>
          <w:color w:val="auto"/>
        </w:rPr>
      </w:pPr>
    </w:p>
    <w:p>
      <w:pPr>
        <w:ind w:firstLine="494"/>
        <w:spacing w:after="0" w:line="287" w:lineRule="auto"/>
        <w:tabs>
          <w:tab w:leader="none" w:pos="66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With respect to the Warrants, when (i) specifically authorized for issuance by the Authorizing Resolutions, (ii) the Registration Statement, as finally amended (including all post-effective amendments), has become effective under the Securities Act, (iii) the Warrant Agreement relating to the Warrants has been duly authorized, executed, and delivered by the Company, (iv) an appropriate prospectus supplement with respect to the applicable Warrants has been prepared, delivered and filed in compliance with the Securities Act and the applicable rules and regulations thereunder, (v) if the applicable Warrants are to be sold pursuant to an Underwriting Agreement, such Underwriting Agreement with respect to the applicable Warrants in the form filed as an exhibit to the Registration Statement, any post-effective amendment thereto or to a Current Report on Form 8-K, has been duly authorized, executed and delivered by the Company and the other parties thereto, (vi) the terms of the Warrants and of their issuance and sale have been duly established in conformity with the Warrant Agreement and do not violate any applicable law or result in a default under or breach of any agreement or instrument binding upon the Company and comply with any requirement or restriction imposed by any court or governmental body having jurisdiction over the Company, (vii) the Warrants have been duly executed and countersigned in accordance with the Warrant Agreement and issued and sold as contemplated by the Registration Statement and the prospectus included therein, and (viii) the Company has received the consideration provided for in the Authorizing Resolutions and, if applicable, the Underwriting Agreement, the Warrants will constitute binding obligations of the Company.</w:t>
      </w:r>
    </w:p>
    <w:p>
      <w:pPr>
        <w:spacing w:after="0" w:line="168" w:lineRule="exact"/>
        <w:rPr>
          <w:rFonts w:ascii="Arial" w:cs="Arial" w:eastAsia="Arial" w:hAnsi="Arial"/>
          <w:sz w:val="16"/>
          <w:szCs w:val="16"/>
          <w:color w:val="auto"/>
        </w:rPr>
      </w:pPr>
    </w:p>
    <w:p>
      <w:pPr>
        <w:ind w:right="120" w:firstLine="494"/>
        <w:spacing w:after="0" w:line="287" w:lineRule="auto"/>
        <w:tabs>
          <w:tab w:leader="none" w:pos="66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With respect to the Rights, when (i) specifically authorized for issuance by the Authorizing Resolutions, (ii) the Registration Statement, as finally amended (including all post-effective amendments), has become effective under the Securities Act, (iii) the Rights Agreement and any certificates relating to the Rights have been duly authorized, executed, and delivered by the Company, (iv) an appropriate prospectus supplement with respect to the applicable Rights has been prepared, delivered and filed in compliance with the Securities Act and the applicable rules and regulations thereunder, (v) if the applicable Rights are to be sold pursuant to an Underwriting Agreement, such Underwriting Agreement with respect to the applicable Rights in the form filed as an exhibit to the Registration Statement, any post-effective amendment thereto or to a Current Report on Form 8-K, has been duly authorized, executed and delivered by the Company and the other parties thereto, (vi) the terms of the Rights and of their issuance and sale have been duly established in conformity with the Rights Agreement and any rights certificates and do not violate any applicable law or result in a default under or breach of any agreement or instrument binding upon the Company and comply with any requirement or restriction imposed by any court or governmental body having jurisdiction over the Company, (vii) the Rights have been duly executed and countersigned in accordance with the Rights Agreement and issued and sold as contemplated by the Registration Statement and the prospectus included therein, and (viii) the Company has received the consideration provided for in the Authorizing Resolutions and, if applicable, the Underwriting Agreement, the Rights will constitute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July 22,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27" w:lineRule="exact"/>
        <w:rPr>
          <w:sz w:val="20"/>
          <w:szCs w:val="20"/>
          <w:color w:val="auto"/>
        </w:rPr>
      </w:pPr>
    </w:p>
    <w:p>
      <w:pPr>
        <w:ind w:firstLine="494"/>
        <w:spacing w:after="0" w:line="269" w:lineRule="auto"/>
        <w:tabs>
          <w:tab w:leader="none" w:pos="66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With respect to the Units, when (i) specifically authorized for issuance by the Authorizing Resolutions, (ii) the Registration Statement, as finally amended (including all post-effective amendments), has become effective under the Securities Act, (iii) the Unit Agreement relating to the Units has been duly authorized, executed, and delivered by the Company, (iv) an appropriate prospectus supplement with respect to the applicable Units has been prepared, delivered and filed in compliance with the Securities Act and the applicable rules and regulations thereunder, (v) if the applicable Units are to be sold pursuant to an Underwriting Agreement, such Underwriting Agreement with respect to the applicable Units in the form filed as an exhibit to the Registration Statement, any post-effective amendment thereto or to a Current Report on Form 8-K, has been duly authorized, executed and delivered by the Company and the other parties thereto, (vi) the terms of the Units and of their issuance and sale have been duly established in conformity with the Unit Agreement and do not violate any applicable law or result in a default under or breach of any agreement or instrument binding upon the Company and comply with any requirement or restriction imposed by any court or governmental body having jurisdiction over the Company, (vii) the Units have been duly executed and countersigned in accordance with the Unit Agreement and issued and sold as contemplated by the Registration Statement and the prospectus included therein, and (viii) the Company has received the consideration provided for in the Authorizing Resolutions and, if applicable, the Underwriting Agreement, the Units will constitute binding obligations of the Company.</w:t>
      </w:r>
    </w:p>
    <w:p>
      <w:pPr>
        <w:spacing w:after="0" w:line="180"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which forms part of the Registration Statement,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MINTZ, LEVIN, COHN, FERRIS, GLOVSKY &amp; POPEO, P.C.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 GLOVSKY &amp;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consent to the incorporation by reference in this Registration Statement on Form S-3 of XpresSpa Group, Inc. of our report dated April 1, 2019 with respect to our audits of the consolidated financial statements of XpresSpa Group, Inc. (which includes an explanatory paragraph relating to the Company’s ability to continue as a going concern), as of and for the years ended December 31, 2018 and 2017, which appear in the Annual Report on Form 10-K of XpresSpa Group Inc. for the year ended December 31, 2018. We also consent to the reference to our firm under the caption “Experts” in the Prospectus, which is part of this Registration Statement.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241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1)"/>
      <w:numFmt w:val="decimal"/>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1)"/>
      <w:numFmt w:val="lowerRoman"/>
      <w:start w:val="3"/>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6">
    <w:nsid w:val="3B0FD379"/>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5"/>
    </w:lvl>
  </w:abstractNum>
  <w:abstractNum w:abstractNumId="27">
    <w:nsid w:val="68EB2F63"/>
    <w:multiLevelType w:val="hybridMultilevel"/>
    <w:lvl w:ilvl="0">
      <w:lvlJc w:val="left"/>
      <w:lvlText w:val="(%1)"/>
      <w:numFmt w:val="lowerRoman"/>
      <w:start w:val="2"/>
    </w:lvl>
  </w:abstractNum>
  <w:abstractNum w:abstractNumId="28">
    <w:nsid w:val="4962813B"/>
    <w:multiLevelType w:val="hybridMultilevel"/>
    <w:lvl w:ilvl="0">
      <w:lvlJc w:val="left"/>
      <w:lvlText w:val="(%1)"/>
      <w:numFmt w:val="decimal"/>
      <w:start w:val="2"/>
    </w:lvl>
  </w:abstractNum>
  <w:abstractNum w:abstractNumId="29">
    <w:nsid w:val="60B6DF70"/>
    <w:multiLevelType w:val="hybridMultilevel"/>
    <w:lvl w:ilvl="0">
      <w:lvlJc w:val="left"/>
      <w:lvlText w:val="(%1)"/>
      <w:numFmt w:val="lowerRoman"/>
      <w:start w:val="1"/>
    </w:lvl>
  </w:abstractNum>
  <w:abstractNum w:abstractNumId="30">
    <w:nsid w:val="6A5EE64"/>
    <w:multiLevelType w:val="hybridMultilevel"/>
    <w:lvl w:ilvl="0">
      <w:lvlJc w:val="left"/>
      <w:lvlText w:val="(%1)"/>
      <w:numFmt w:val="decimal"/>
      <w:start w:val="5"/>
    </w:lvl>
  </w:abstractNum>
  <w:abstractNum w:abstractNumId="31">
    <w:nsid w:val="14330624"/>
    <w:multiLevelType w:val="hybridMultilevel"/>
    <w:lvl w:ilvl="0">
      <w:lvlJc w:val="left"/>
      <w:lvlText w:val="(%1)"/>
      <w:numFmt w:val="lowerRoman"/>
      <w:start w:val="1"/>
    </w:lvl>
    <w:lvl w:ilvl="1">
      <w:lvlJc w:val="left"/>
      <w:lvlText w:val="%2"/>
      <w:numFmt w:val="upperLetter"/>
      <w:start w:val="35"/>
    </w:lvl>
  </w:abstractNum>
  <w:abstractNum w:abstractNumId="32">
    <w:nsid w:val="7FFFCA11"/>
    <w:multiLevelType w:val="hybridMultilevel"/>
    <w:lvl w:ilvl="0">
      <w:lvlJc w:val="left"/>
      <w:lvlText w:val="(%1)"/>
      <w:numFmt w:val="lowerRoman"/>
      <w:start w:val="3"/>
    </w:lvl>
  </w:abstractNum>
  <w:abstractNum w:abstractNumId="33">
    <w:nsid w:val="1A27709E"/>
    <w:multiLevelType w:val="hybridMultilevel"/>
    <w:lvl w:ilvl="0">
      <w:lvlJc w:val="left"/>
      <w:lvlText w:val="(%1)"/>
      <w:numFmt w:val="lowerRoman"/>
      <w:start w:val="1"/>
    </w:lvl>
  </w:abstractNum>
  <w:abstractNum w:abstractNumId="34">
    <w:nsid w:val="71EA1109"/>
    <w:multiLevelType w:val="hybridMultilevel"/>
    <w:lvl w:ilvl="0">
      <w:lvlJc w:val="left"/>
      <w:lvlText w:val="(%1)"/>
      <w:numFmt w:val="lowerLetter"/>
      <w:start w:val="3"/>
    </w:lvl>
    <w:lvl w:ilvl="1">
      <w:lvlJc w:val="left"/>
      <w:lvlText w:val="%2"/>
      <w:numFmt w:val="upperLetter"/>
      <w:start w:val="35"/>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1)"/>
      <w:numFmt w:val="decimal"/>
      <w:start w:val="1"/>
    </w:lvl>
  </w:abstractNum>
  <w:abstractNum w:abstractNumId="37">
    <w:nsid w:val="6EB5BD4"/>
    <w:multiLevelType w:val="hybridMultilevel"/>
    <w:lvl w:ilvl="0">
      <w:lvlJc w:val="left"/>
      <w:lvlText w:val="(%1)"/>
      <w:numFmt w:val="decimal"/>
      <w:start w:val="2"/>
    </w:lvl>
  </w:abstractNum>
  <w:abstractNum w:abstractNumId="38">
    <w:nsid w:val="6F6DD9AC"/>
    <w:multiLevelType w:val="hybridMultilevel"/>
    <w:lvl w:ilvl="0">
      <w:lvlJc w:val="left"/>
      <w:lvlText w:val="(%1)"/>
      <w:numFmt w:val="lowerLetter"/>
      <w:start w:val="1"/>
    </w:lvl>
    <w:lvl w:ilvl="1">
      <w:lvlJc w:val="left"/>
      <w:lvlText w:val="(%2)"/>
      <w:numFmt w:val="decimal"/>
      <w:start w:val="1"/>
    </w:lvl>
  </w:abstractNum>
  <w:abstractNum w:abstractNumId="39">
    <w:nsid w:val="94211F2"/>
    <w:multiLevelType w:val="hybridMultilevel"/>
    <w:lvl w:ilvl="0">
      <w:lvlJc w:val="left"/>
      <w:lvlText w:val="(%1)"/>
      <w:numFmt w:val="decimal"/>
      <w:start w:val="5"/>
    </w:lvl>
  </w:abstractNum>
  <w:abstractNum w:abstractNumId="40">
    <w:nsid w:val="885E1B"/>
    <w:multiLevelType w:val="hybridMultilevel"/>
    <w:lvl w:ilvl="0">
      <w:lvlJc w:val="left"/>
      <w:lvlText w:val="(%1)"/>
      <w:numFmt w:val="decimal"/>
      <w:start w:val="1"/>
    </w:lvl>
  </w:abstractNum>
  <w:abstractNum w:abstractNumId="41">
    <w:nsid w:val="76272110"/>
    <w:multiLevelType w:val="hybridMultilevel"/>
    <w:lvl w:ilvl="0">
      <w:lvlJc w:val="left"/>
      <w:lvlText w:val="(%1)"/>
      <w:numFmt w:val="lowerLetter"/>
      <w:start w:val="1"/>
    </w:lvl>
  </w:abstractNum>
  <w:abstractNum w:abstractNumId="42">
    <w:nsid w:val="4C04A8AF"/>
    <w:multiLevelType w:val="hybridMultilevel"/>
    <w:lvl w:ilvl="0">
      <w:lvlJc w:val="left"/>
      <w:lvlText w:val="(%1)"/>
      <w:numFmt w:val="lowerLetter"/>
      <w:start w:val="3"/>
    </w:lvl>
  </w:abstractNum>
  <w:abstractNum w:abstractNumId="43">
    <w:nsid w:val="1716703B"/>
    <w:multiLevelType w:val="hybridMultilevel"/>
    <w:lvl w:ilvl="0">
      <w:lvlJc w:val="left"/>
      <w:lvlText w:val="(%1)"/>
      <w:numFmt w:val="lowerLetter"/>
      <w:start w:val="1"/>
    </w:lvl>
  </w:abstractNum>
  <w:abstractNum w:abstractNumId="44">
    <w:nsid w:val="14E17E33"/>
    <w:multiLevelType w:val="hybridMultilevel"/>
    <w:lvl w:ilvl="0">
      <w:lvlJc w:val="left"/>
      <w:lvlText w:val="(%1)"/>
      <w:numFmt w:val="lowerLetter"/>
      <w:start w:val="2"/>
    </w:lvl>
  </w:abstractNum>
  <w:abstractNum w:abstractNumId="45">
    <w:nsid w:val="3222E7CD"/>
    <w:multiLevelType w:val="hybridMultilevel"/>
    <w:lvl w:ilvl="0">
      <w:lvlJc w:val="left"/>
      <w:lvlText w:val="(%1)"/>
      <w:numFmt w:val="lowerLetter"/>
      <w:start w:val="1"/>
    </w:lvl>
  </w:abstractNum>
  <w:abstractNum w:abstractNumId="46">
    <w:nsid w:val="74DE0EE3"/>
    <w:multiLevelType w:val="hybridMultilevel"/>
    <w:lvl w:ilvl="0">
      <w:lvlJc w:val="left"/>
      <w:lvlText w:val="(%1)"/>
      <w:numFmt w:val="lowerLetter"/>
      <w:start w:val="2"/>
    </w:lvl>
  </w:abstractNum>
  <w:abstractNum w:abstractNumId="47">
    <w:nsid w:val="68EBC550"/>
    <w:multiLevelType w:val="hybridMultilevel"/>
    <w:lvl w:ilvl="0">
      <w:lvlJc w:val="left"/>
      <w:lvlText w:val="(%1)"/>
      <w:numFmt w:val="lowerLetter"/>
      <w:start w:val="1"/>
    </w:lvl>
  </w:abstractNum>
  <w:abstractNum w:abstractNumId="48">
    <w:nsid w:val="2DF6D648"/>
    <w:multiLevelType w:val="hybridMultilevel"/>
    <w:lvl w:ilvl="0">
      <w:lvlJc w:val="left"/>
      <w:lvlText w:val="(%1)"/>
      <w:numFmt w:val="lowerLetter"/>
      <w:start w:val="1"/>
    </w:lvl>
    <w:lvl w:ilvl="1">
      <w:lvlJc w:val="left"/>
      <w:lvlText w:val="(%2)"/>
      <w:numFmt w:val="decimal"/>
      <w:start w:val="1"/>
    </w:lvl>
  </w:abstractNum>
  <w:abstractNum w:abstractNumId="49">
    <w:nsid w:val="46B7D447"/>
    <w:multiLevelType w:val="hybridMultilevel"/>
    <w:lvl w:ilvl="0">
      <w:lvlJc w:val="left"/>
      <w:lvlText w:val="(%1)"/>
      <w:numFmt w:val="lowerLetter"/>
      <w:start w:val="3"/>
    </w:lvl>
  </w:abstractNum>
  <w:abstractNum w:abstractNumId="50">
    <w:nsid w:val="4A2AC315"/>
    <w:multiLevelType w:val="hybridMultilevel"/>
    <w:lvl w:ilvl="0">
      <w:lvlJc w:val="left"/>
      <w:lvlText w:val="(%1)"/>
      <w:numFmt w:val="lowerLetter"/>
      <w:start w:val="1"/>
    </w:lvl>
  </w:abstractNum>
  <w:abstractNum w:abstractNumId="51">
    <w:nsid w:val="39EE015C"/>
    <w:multiLevelType w:val="hybridMultilevel"/>
    <w:lvl w:ilvl="0">
      <w:lvlJc w:val="left"/>
      <w:lvlText w:val="(%1)"/>
      <w:numFmt w:val="lowerLetter"/>
      <w:start w:val="1"/>
    </w:lvl>
  </w:abstractNum>
  <w:abstractNum w:abstractNumId="52">
    <w:nsid w:val="57FC4FBB"/>
    <w:multiLevelType w:val="hybridMultilevel"/>
    <w:lvl w:ilvl="0">
      <w:lvlJc w:val="left"/>
      <w:lvlText w:val="(%1)"/>
      <w:numFmt w:val="lowerLetter"/>
      <w:start w:val="1"/>
    </w:lvl>
  </w:abstractNum>
  <w:abstractNum w:abstractNumId="53">
    <w:nsid w:val="CC1016F"/>
    <w:multiLevelType w:val="hybridMultilevel"/>
    <w:lvl w:ilvl="0">
      <w:lvlJc w:val="left"/>
      <w:lvlText w:val="(%1)"/>
      <w:numFmt w:val="lowerLetter"/>
      <w:start w:val="1"/>
    </w:lvl>
    <w:lvl w:ilvl="1">
      <w:lvlJc w:val="left"/>
      <w:lvlText w:val="(%2)"/>
      <w:numFmt w:val="decimal"/>
      <w:start w:val="1"/>
    </w:lvl>
  </w:abstractNum>
  <w:abstractNum w:abstractNumId="54">
    <w:nsid w:val="43F18422"/>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4"/>
    </w:lvl>
  </w:abstractNum>
  <w:abstractNum w:abstractNumId="55">
    <w:nsid w:val="60EF011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56">
    <w:nsid w:val="26F324B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7">
    <w:nsid w:val="7F01579B"/>
    <w:multiLevelType w:val="hybridMultilevel"/>
    <w:lvl w:ilvl="0">
      <w:lvlJc w:val="left"/>
      <w:lvlText w:val="(%1)"/>
      <w:numFmt w:val="lowerLetter"/>
      <w:start w:val="4"/>
    </w:lvl>
  </w:abstractNum>
  <w:abstractNum w:abstractNumId="58">
    <w:nsid w:val="49DA307D"/>
    <w:multiLevelType w:val="hybridMultilevel"/>
    <w:lvl w:ilvl="0">
      <w:lvlJc w:val="left"/>
      <w:lvlText w:val="(%1)"/>
      <w:numFmt w:val="lowerLetter"/>
      <w:start w:val="1"/>
    </w:lvl>
  </w:abstractNum>
  <w:abstractNum w:abstractNumId="59">
    <w:nsid w:val="7055A5F5"/>
    <w:multiLevelType w:val="hybridMultilevel"/>
    <w:lvl w:ilvl="0">
      <w:lvlJc w:val="left"/>
      <w:lvlText w:val="(%1)"/>
      <w:numFmt w:val="lowerLetter"/>
      <w:start w:val="4"/>
    </w:lvl>
  </w:abstractNum>
  <w:abstractNum w:abstractNumId="60">
    <w:nsid w:val="5FB8370B"/>
    <w:multiLevelType w:val="hybridMultilevel"/>
    <w:lvl w:ilvl="0">
      <w:lvlJc w:val="left"/>
      <w:lvlText w:val="(%1)"/>
      <w:numFmt w:val="lowerLetter"/>
      <w:start w:val="1"/>
    </w:lvl>
  </w:abstractNum>
  <w:abstractNum w:abstractNumId="61">
    <w:nsid w:val="50801EE1"/>
    <w:multiLevelType w:val="hybridMultilevel"/>
    <w:lvl w:ilvl="0">
      <w:lvlJc w:val="left"/>
      <w:lvlText w:val="(%1)"/>
      <w:numFmt w:val="lowerLetter"/>
      <w:start w:val="1"/>
    </w:lvl>
    <w:lvl w:ilvl="1">
      <w:lvlJc w:val="left"/>
      <w:lvlText w:val="(%2)"/>
      <w:numFmt w:val="decimal"/>
      <w:start w:val="1"/>
    </w:lvl>
  </w:abstractNum>
  <w:abstractNum w:abstractNumId="62">
    <w:nsid w:val="488AC1A"/>
    <w:multiLevelType w:val="hybridMultilevel"/>
    <w:lvl w:ilvl="0">
      <w:lvlJc w:val="left"/>
      <w:lvlText w:val="%1"/>
      <w:numFmt w:val="decimal"/>
      <w:start w:val="1"/>
    </w:lvl>
    <w:lvl w:ilvl="1">
      <w:lvlJc w:val="left"/>
      <w:lvlText w:val="(%2)"/>
      <w:numFmt w:val="lowerRoman"/>
      <w:start w:val="1"/>
    </w:lvl>
  </w:abstractNum>
  <w:abstractNum w:abstractNumId="63">
    <w:nsid w:val="5FB8011C"/>
    <w:multiLevelType w:val="hybridMultilevel"/>
    <w:lvl w:ilvl="0">
      <w:lvlJc w:val="left"/>
      <w:lvlText w:val="(%1)"/>
      <w:numFmt w:val="decimal"/>
      <w:start w:val="2"/>
    </w:lvl>
    <w:lvl w:ilvl="1">
      <w:lvlJc w:val="left"/>
      <w:lvlText w:val="%2"/>
      <w:numFmt w:val="lowerRoman"/>
      <w:start w:val="1"/>
    </w:lvl>
  </w:abstractNum>
  <w:abstractNum w:abstractNumId="64">
    <w:nsid w:val="6AA78F7F"/>
    <w:multiLevelType w:val="hybridMultilevel"/>
    <w:lvl w:ilvl="0">
      <w:lvlJc w:val="left"/>
      <w:lvlText w:val="(%1)"/>
      <w:numFmt w:val="lowerLetter"/>
      <w:start w:val="1"/>
    </w:lvl>
  </w:abstractNum>
  <w:abstractNum w:abstractNumId="65">
    <w:nsid w:val="7672BD23"/>
    <w:multiLevelType w:val="hybridMultilevel"/>
    <w:lvl w:ilvl="0">
      <w:lvlJc w:val="left"/>
      <w:lvlText w:val="(%1)"/>
      <w:numFmt w:val="lowerLetter"/>
      <w:start w:val="2"/>
    </w:lvl>
  </w:abstractNum>
  <w:abstractNum w:abstractNumId="66">
    <w:nsid w:val="6FC75AF8"/>
    <w:multiLevelType w:val="hybridMultilevel"/>
    <w:lvl w:ilvl="0">
      <w:lvlJc w:val="left"/>
      <w:lvlText w:val="(%1)"/>
      <w:numFmt w:val="lowerLetter"/>
      <w:start w:val="1"/>
    </w:lvl>
  </w:abstractNum>
  <w:abstractNum w:abstractNumId="67">
    <w:nsid w:val="6A5F7029"/>
    <w:multiLevelType w:val="hybridMultilevel"/>
    <w:lvl w:ilvl="0">
      <w:lvlJc w:val="left"/>
      <w:lvlText w:val="(%1)"/>
      <w:numFmt w:val="lowerLetter"/>
      <w:start w:val="1"/>
    </w:lvl>
  </w:abstractNum>
  <w:abstractNum w:abstractNumId="68">
    <w:nsid w:val="7D5E18F8"/>
    <w:multiLevelType w:val="hybridMultilevel"/>
    <w:lvl w:ilvl="0">
      <w:lvlJc w:val="left"/>
      <w:lvlText w:val="(%1)"/>
      <w:numFmt w:val="lowerLetter"/>
      <w:start w:val="2"/>
    </w:lvl>
  </w:abstractNum>
  <w:abstractNum w:abstractNumId="69">
    <w:nsid w:val="5F3534A4"/>
    <w:multiLevelType w:val="hybridMultilevel"/>
    <w:lvl w:ilvl="0">
      <w:lvlJc w:val="left"/>
      <w:lvlText w:val="(%1)"/>
      <w:numFmt w:val="lowerLetter"/>
      <w:start w:val="1"/>
    </w:lvl>
    <w:lvl w:ilvl="1">
      <w:lvlJc w:val="left"/>
      <w:lvlText w:val="(%2)"/>
      <w:numFmt w:val="decimal"/>
      <w:start w:val="1"/>
    </w:lvl>
  </w:abstractNum>
  <w:abstractNum w:abstractNumId="70">
    <w:nsid w:val="73A1821B"/>
    <w:multiLevelType w:val="hybridMultilevel"/>
    <w:lvl w:ilvl="0">
      <w:lvlJc w:val="left"/>
      <w:lvlText w:val="(%1)"/>
      <w:numFmt w:val="lowerLetter"/>
      <w:start w:val="3"/>
    </w:lvl>
  </w:abstractNum>
  <w:abstractNum w:abstractNumId="71">
    <w:nsid w:val="7DE67713"/>
    <w:multiLevelType w:val="hybridMultilevel"/>
    <w:lvl w:ilvl="0">
      <w:lvlJc w:val="left"/>
      <w:lvlText w:val="(%1)"/>
      <w:numFmt w:val="lowerLetter"/>
      <w:start w:val="1"/>
    </w:lvl>
  </w:abstractNum>
  <w:abstractNum w:abstractNumId="72">
    <w:nsid w:val="555C55B5"/>
    <w:multiLevelType w:val="hybridMultilevel"/>
    <w:lvl w:ilvl="0">
      <w:lvlJc w:val="left"/>
      <w:lvlText w:val="(%1)"/>
      <w:numFmt w:val="lowerLetter"/>
      <w:start w:val="3"/>
    </w:lvl>
  </w:abstractNum>
  <w:abstractNum w:abstractNumId="73">
    <w:nsid w:val="3FA62ACA"/>
    <w:multiLevelType w:val="hybridMultilevel"/>
    <w:lvl w:ilvl="0">
      <w:lvlJc w:val="left"/>
      <w:lvlText w:val="(%1)"/>
      <w:numFmt w:val="lowerLetter"/>
      <w:start w:val="1"/>
    </w:lvl>
  </w:abstractNum>
  <w:abstractNum w:abstractNumId="74">
    <w:nsid w:val="14FCE74E"/>
    <w:multiLevelType w:val="hybridMultilevel"/>
    <w:lvl w:ilvl="0">
      <w:lvlJc w:val="left"/>
      <w:lvlText w:val="(%1)"/>
      <w:numFmt w:val="lowerLetter"/>
      <w:start w:val="1"/>
    </w:lvl>
  </w:abstractNum>
  <w:abstractNum w:abstractNumId="75">
    <w:nsid w:val="6A3DD3E8"/>
    <w:multiLevelType w:val="hybridMultilevel"/>
    <w:lvl w:ilvl="0">
      <w:lvlJc w:val="left"/>
      <w:lvlText w:val="(%1)"/>
      <w:numFmt w:val="lowerLetter"/>
      <w:start w:val="1"/>
    </w:lvl>
  </w:abstractNum>
  <w:abstractNum w:abstractNumId="76">
    <w:nsid w:val="71C91298"/>
    <w:multiLevelType w:val="hybridMultilevel"/>
    <w:lvl w:ilvl="0">
      <w:lvlJc w:val="left"/>
      <w:lvlText w:val="(%1)"/>
      <w:numFmt w:val="lowerLetter"/>
      <w:start w:val="2"/>
    </w:lvl>
  </w:abstractNum>
  <w:abstractNum w:abstractNumId="77">
    <w:nsid w:val="9DAF632"/>
    <w:multiLevelType w:val="hybridMultilevel"/>
    <w:lvl w:ilvl="0">
      <w:lvlJc w:val="left"/>
      <w:lvlText w:val="(%1)"/>
      <w:numFmt w:val="lowerLetter"/>
      <w:start w:val="1"/>
    </w:lvl>
  </w:abstractNum>
  <w:abstractNum w:abstractNumId="78">
    <w:nsid w:val="53299938"/>
    <w:multiLevelType w:val="hybridMultilevel"/>
    <w:lvl w:ilvl="0">
      <w:lvlJc w:val="left"/>
      <w:lvlText w:val="(%1)"/>
      <w:numFmt w:val="lowerLetter"/>
      <w:start w:val="1"/>
    </w:lvl>
  </w:abstractNum>
  <w:abstractNum w:abstractNumId="79">
    <w:nsid w:val="1FBFE8E0"/>
    <w:multiLevelType w:val="hybridMultilevel"/>
    <w:lvl w:ilvl="0">
      <w:lvlJc w:val="left"/>
      <w:lvlText w:val="(%1)"/>
      <w:numFmt w:val="lowerLetter"/>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1)"/>
      <w:numFmt w:val="decimal"/>
      <w:start w:val="2"/>
    </w:lvl>
  </w:abstractNum>
  <w:abstractNum w:abstractNumId="83">
    <w:nsid w:val="288F1A34"/>
    <w:multiLevelType w:val="hybridMultilevel"/>
    <w:lvl w:ilvl="0">
      <w:lvlJc w:val="left"/>
      <w:lvlText w:val="(%1)"/>
      <w:numFmt w:val="lowerLetter"/>
      <w:start w:val="1"/>
    </w:lvl>
    <w:lvl w:ilvl="1">
      <w:lvlJc w:val="left"/>
      <w:lvlText w:val="(%2)"/>
      <w:numFmt w:val="decimal"/>
      <w:start w:val="1"/>
    </w:lvl>
  </w:abstractNum>
  <w:abstractNum w:abstractNumId="84">
    <w:nsid w:val="2A155DBC"/>
    <w:multiLevelType w:val="hybridMultilevel"/>
    <w:lvl w:ilvl="0">
      <w:lvlJc w:val="left"/>
      <w:lvlText w:val="(%1)"/>
      <w:numFmt w:val="decimal"/>
      <w:start w:val="4"/>
    </w:lvl>
  </w:abstractNum>
  <w:abstractNum w:abstractNumId="85">
    <w:nsid w:val="1D9F6E5F"/>
    <w:multiLevelType w:val="hybridMultilevel"/>
    <w:lvl w:ilvl="0">
      <w:lvlJc w:val="left"/>
      <w:lvlText w:val="(%1)"/>
      <w:numFmt w:val="decimal"/>
      <w:start w:val="14"/>
    </w:lvl>
  </w:abstractNum>
  <w:abstractNum w:abstractNumId="86">
    <w:nsid w:val="97E1B4E"/>
    <w:multiLevelType w:val="hybridMultilevel"/>
    <w:lvl w:ilvl="0">
      <w:lvlJc w:val="left"/>
      <w:lvlText w:val="(%1)"/>
      <w:numFmt w:val="decimal"/>
      <w:start w:val="1"/>
    </w:lvl>
  </w:abstractNum>
  <w:abstractNum w:abstractNumId="87">
    <w:nsid w:val="51088277"/>
    <w:multiLevelType w:val="hybridMultilevel"/>
    <w:lvl w:ilvl="0">
      <w:lvlJc w:val="left"/>
      <w:lvlText w:val="(%1)"/>
      <w:numFmt w:val="decimal"/>
      <w:start w:val="2"/>
    </w:lvl>
  </w:abstractNum>
  <w:abstractNum w:abstractNumId="88">
    <w:nsid w:val="1CA0C5FA"/>
    <w:multiLevelType w:val="hybridMultilevel"/>
    <w:lvl w:ilvl="0">
      <w:lvlJc w:val="left"/>
      <w:lvlText w:val="(%1)"/>
      <w:numFmt w:val="lowerLetter"/>
      <w:start w:val="1"/>
    </w:lvl>
  </w:abstractNum>
  <w:abstractNum w:abstractNumId="89">
    <w:nsid w:val="53584BCB"/>
    <w:multiLevelType w:val="hybridMultilevel"/>
    <w:lvl w:ilvl="0">
      <w:lvlJc w:val="left"/>
      <w:lvlText w:val="(%1)"/>
      <w:numFmt w:val="lowerLetter"/>
      <w:start w:val="3"/>
    </w:lvl>
  </w:abstractNum>
  <w:abstractNum w:abstractNumId="90">
    <w:nsid w:val="415E286C"/>
    <w:multiLevelType w:val="hybridMultilevel"/>
    <w:lvl w:ilvl="0">
      <w:lvlJc w:val="left"/>
      <w:lvlText w:val="(%1)"/>
      <w:numFmt w:val="lowerLetter"/>
      <w:start w:val="1"/>
    </w:lvl>
  </w:abstractNum>
  <w:abstractNum w:abstractNumId="91">
    <w:nsid w:val="7C58FD05"/>
    <w:multiLevelType w:val="hybridMultilevel"/>
    <w:lvl w:ilvl="0">
      <w:lvlJc w:val="left"/>
      <w:lvlText w:val="(%1)"/>
      <w:numFmt w:val="lowerLetter"/>
      <w:start w:val="1"/>
    </w:lvl>
  </w:abstractNum>
  <w:abstractNum w:abstractNumId="92">
    <w:nsid w:val="23D86AAC"/>
    <w:multiLevelType w:val="hybridMultilevel"/>
    <w:lvl w:ilvl="0">
      <w:lvlJc w:val="left"/>
      <w:lvlText w:val="(%1)"/>
      <w:numFmt w:val="lowerLetter"/>
      <w:start w:val="2"/>
    </w:lvl>
  </w:abstractNum>
  <w:abstractNum w:abstractNumId="93">
    <w:nsid w:val="45E6D486"/>
    <w:multiLevelType w:val="hybridMultilevel"/>
    <w:lvl w:ilvl="0">
      <w:lvlJc w:val="left"/>
      <w:lvlText w:val="(%1)"/>
      <w:numFmt w:val="lowerLetter"/>
      <w:start w:val="1"/>
    </w:lvl>
  </w:abstractNum>
  <w:abstractNum w:abstractNumId="94">
    <w:nsid w:val="5C10FE21"/>
    <w:multiLevelType w:val="hybridMultilevel"/>
    <w:lvl w:ilvl="0">
      <w:lvlJc w:val="left"/>
      <w:lvlText w:val="(%1)"/>
      <w:numFmt w:val="lowerLetter"/>
      <w:start w:val="1"/>
    </w:lvl>
    <w:lvl w:ilvl="1">
      <w:lvlJc w:val="left"/>
      <w:lvlText w:val="(%2)"/>
      <w:numFmt w:val="decimal"/>
      <w:start w:val="1"/>
    </w:lvl>
  </w:abstractNum>
  <w:abstractNum w:abstractNumId="95">
    <w:nsid w:val="E7FFA2B"/>
    <w:multiLevelType w:val="hybridMultilevel"/>
    <w:lvl w:ilvl="0">
      <w:lvlJc w:val="left"/>
      <w:lvlText w:val="(%1)"/>
      <w:numFmt w:val="lowerLetter"/>
      <w:start w:val="3"/>
    </w:lvl>
  </w:abstractNum>
  <w:abstractNum w:abstractNumId="96">
    <w:nsid w:val="3C5991AA"/>
    <w:multiLevelType w:val="hybridMultilevel"/>
    <w:lvl w:ilvl="0">
      <w:lvlJc w:val="left"/>
      <w:lvlText w:val="(%1)"/>
      <w:numFmt w:val="lowerLetter"/>
      <w:start w:val="1"/>
    </w:lvl>
  </w:abstractNum>
  <w:abstractNum w:abstractNumId="97">
    <w:nsid w:val="4BD8591A"/>
    <w:multiLevelType w:val="hybridMultilevel"/>
    <w:lvl w:ilvl="0">
      <w:lvlJc w:val="left"/>
      <w:lvlText w:val="(%1)"/>
      <w:numFmt w:val="lowerLetter"/>
      <w:start w:val="1"/>
    </w:lvl>
  </w:abstractNum>
  <w:abstractNum w:abstractNumId="98">
    <w:nsid w:val="78DF6A55"/>
    <w:multiLevelType w:val="hybridMultilevel"/>
    <w:lvl w:ilvl="0">
      <w:lvlJc w:val="left"/>
      <w:lvlText w:val="(%1)"/>
      <w:numFmt w:val="lowerLetter"/>
      <w:start w:val="3"/>
    </w:lvl>
  </w:abstractNum>
  <w:abstractNum w:abstractNumId="99">
    <w:nsid w:val="39B7AAA2"/>
    <w:multiLevelType w:val="hybridMultilevel"/>
    <w:lvl w:ilvl="0">
      <w:lvlJc w:val="left"/>
      <w:lvlText w:val="(%1)"/>
      <w:numFmt w:val="lowerLetter"/>
      <w:start w:val="1"/>
    </w:lvl>
  </w:abstractNum>
  <w:abstractNum w:abstractNumId="100">
    <w:nsid w:val="2B0D8DBE"/>
    <w:multiLevelType w:val="hybridMultilevel"/>
    <w:lvl w:ilvl="0">
      <w:lvlJc w:val="left"/>
      <w:lvlText w:val="(%1)"/>
      <w:numFmt w:val="lowerLetter"/>
      <w:start w:val="1"/>
    </w:lvl>
    <w:lvl w:ilvl="1">
      <w:lvlJc w:val="left"/>
      <w:lvlText w:val="(%2)"/>
      <w:numFmt w:val="decimal"/>
      <w:start w:val="1"/>
    </w:lvl>
  </w:abstractNum>
  <w:abstractNum w:abstractNumId="101">
    <w:nsid w:val="6C80EC70"/>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4"/>
    </w:lvl>
  </w:abstractNum>
  <w:abstractNum w:abstractNumId="102">
    <w:nsid w:val="379E21B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03">
    <w:nsid w:val="69E37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4">
    <w:nsid w:val="2C27173B"/>
    <w:multiLevelType w:val="hybridMultilevel"/>
    <w:lvl w:ilvl="0">
      <w:lvlJc w:val="left"/>
      <w:lvlText w:val="(%1)"/>
      <w:numFmt w:val="lowerLetter"/>
      <w:start w:val="3"/>
    </w:lvl>
  </w:abstractNum>
  <w:abstractNum w:abstractNumId="105">
    <w:nsid w:val="4C9B0904"/>
    <w:multiLevelType w:val="hybridMultilevel"/>
    <w:lvl w:ilvl="0">
      <w:lvlJc w:val="left"/>
      <w:lvlText w:val="(%1)"/>
      <w:numFmt w:val="lowerLetter"/>
      <w:start w:val="1"/>
    </w:lvl>
  </w:abstractNum>
  <w:abstractNum w:abstractNumId="106">
    <w:nsid w:val="6AA7B75C"/>
    <w:multiLevelType w:val="hybridMultilevel"/>
    <w:lvl w:ilvl="0">
      <w:lvlJc w:val="left"/>
      <w:lvlText w:val="(%1)"/>
      <w:numFmt w:val="lowerLetter"/>
      <w:start w:val="2"/>
    </w:lvl>
  </w:abstractNum>
  <w:abstractNum w:abstractNumId="107">
    <w:nsid w:val="1DF029D3"/>
    <w:multiLevelType w:val="hybridMultilevel"/>
    <w:lvl w:ilvl="0">
      <w:lvlJc w:val="left"/>
      <w:lvlText w:val="(%1)"/>
      <w:numFmt w:val="lowerLetter"/>
      <w:start w:val="1"/>
    </w:lvl>
  </w:abstractNum>
  <w:abstractNum w:abstractNumId="108">
    <w:nsid w:val="5675FF3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9">
    <w:nsid w:val="3DD15094"/>
    <w:multiLevelType w:val="hybridMultilevel"/>
    <w:lvl w:ilvl="0">
      <w:lvlJc w:val="left"/>
      <w:lvlText w:val="(%1)"/>
      <w:numFmt w:val="lowerLetter"/>
      <w:start w:val="1"/>
    </w:lvl>
  </w:abstractNum>
  <w:abstractNum w:abstractNumId="110">
    <w:nsid w:val="3DB012B3"/>
    <w:multiLevelType w:val="hybridMultilevel"/>
    <w:lvl w:ilvl="0">
      <w:lvlJc w:val="left"/>
      <w:lvlText w:val="(%1)"/>
      <w:numFmt w:val="lowerLetter"/>
      <w:start w:val="6"/>
    </w:lvl>
  </w:abstractNum>
  <w:abstractNum w:abstractNumId="111">
    <w:nsid w:val="2708C9AF"/>
    <w:multiLevelType w:val="hybridMultilevel"/>
    <w:lvl w:ilvl="0">
      <w:lvlJc w:val="left"/>
      <w:lvlText w:val="(%1)"/>
      <w:numFmt w:val="lowerLetter"/>
      <w:start w:val="1"/>
    </w:lvl>
  </w:abstractNum>
  <w:abstractNum w:abstractNumId="112">
    <w:nsid w:val="5B25ACE2"/>
    <w:multiLevelType w:val="hybridMultilevel"/>
    <w:lvl w:ilvl="0">
      <w:lvlJc w:val="left"/>
      <w:lvlText w:val="(%1)"/>
      <w:numFmt w:val="lowerLetter"/>
      <w:start w:val="1"/>
    </w:lvl>
  </w:abstractNum>
  <w:abstractNum w:abstractNumId="113">
    <w:nsid w:val="175DFCF0"/>
    <w:multiLevelType w:val="hybridMultilevel"/>
    <w:lvl w:ilvl="0">
      <w:lvlJc w:val="left"/>
      <w:lvlText w:val="(%1)"/>
      <w:numFmt w:val="lowerLetter"/>
      <w:start w:val="1"/>
    </w:lvl>
    <w:lvl w:ilvl="1">
      <w:lvlJc w:val="left"/>
      <w:lvlText w:val="(%2)"/>
      <w:numFmt w:val="decimal"/>
      <w:start w:val="1"/>
    </w:lvl>
  </w:abstractNum>
  <w:abstractNum w:abstractNumId="114">
    <w:nsid w:val="4F97E3E4"/>
    <w:multiLevelType w:val="hybridMultilevel"/>
    <w:lvl w:ilvl="0">
      <w:lvlJc w:val="left"/>
      <w:lvlText w:val="%1"/>
      <w:numFmt w:val="lowerLetter"/>
      <w:start w:val="1"/>
    </w:lvl>
    <w:lvl w:ilvl="1">
      <w:lvlJc w:val="left"/>
      <w:lvlText w:val="(%2)"/>
      <w:numFmt w:val="decimal"/>
      <w:start w:val="2"/>
    </w:lvl>
  </w:abstractNum>
  <w:abstractNum w:abstractNumId="115">
    <w:nsid w:val="53B0A9E"/>
    <w:multiLevelType w:val="hybridMultilevel"/>
    <w:lvl w:ilvl="0">
      <w:lvlJc w:val="left"/>
      <w:lvlText w:val="(%1)"/>
      <w:numFmt w:val="lowerLetter"/>
      <w:start w:val="3"/>
    </w:lvl>
    <w:lvl w:ilvl="1">
      <w:lvlJc w:val="left"/>
      <w:lvlText w:val="%2"/>
      <w:numFmt w:val="decimal"/>
      <w:start w:val="1"/>
    </w:lvl>
  </w:abstractNum>
  <w:abstractNum w:abstractNumId="116">
    <w:nsid w:val="34FD6B4F"/>
    <w:multiLevelType w:val="hybridMultilevel"/>
    <w:lvl w:ilvl="0">
      <w:lvlJc w:val="left"/>
      <w:lvlText w:val="(%1)"/>
      <w:numFmt w:val="lowerLetter"/>
      <w:start w:val="1"/>
    </w:lvl>
  </w:abstractNum>
  <w:abstractNum w:abstractNumId="117">
    <w:nsid w:val="5915FF32"/>
    <w:multiLevelType w:val="hybridMultilevel"/>
    <w:lvl w:ilvl="0">
      <w:lvlJc w:val="left"/>
      <w:lvlText w:val="(%1)"/>
      <w:numFmt w:val="lowerLetter"/>
      <w:start w:val="2"/>
    </w:lvl>
  </w:abstractNum>
  <w:abstractNum w:abstractNumId="118">
    <w:nsid w:val="56438D15"/>
    <w:multiLevelType w:val="hybridMultilevel"/>
    <w:lvl w:ilvl="0">
      <w:lvlJc w:val="left"/>
      <w:lvlText w:val="(%1)"/>
      <w:numFmt w:val="lowerLetter"/>
      <w:start w:val="5"/>
    </w:lvl>
  </w:abstractNum>
  <w:abstractNum w:abstractNumId="119">
    <w:nsid w:val="519E3149"/>
    <w:multiLevelType w:val="hybridMultilevel"/>
    <w:lvl w:ilvl="0">
      <w:lvlJc w:val="left"/>
      <w:lvlText w:val="(%1)"/>
      <w:numFmt w:val="lowerLetter"/>
      <w:start w:val="1"/>
    </w:lvl>
  </w:abstractNum>
  <w:abstractNum w:abstractNumId="120">
    <w:nsid w:val="2C6E4AFD"/>
    <w:multiLevelType w:val="hybridMultilevel"/>
    <w:lvl w:ilvl="0">
      <w:lvlJc w:val="left"/>
      <w:lvlText w:val="(%1)"/>
      <w:numFmt w:val="lowerLetter"/>
      <w:start w:val="1"/>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lowerLetter"/>
      <w:start w:val="1"/>
    </w:lvl>
  </w:abstractNum>
  <w:abstractNum w:abstractNumId="123">
    <w:nsid w:val="5046B5A9"/>
    <w:multiLevelType w:val="hybridMultilevel"/>
    <w:lvl w:ilvl="0">
      <w:lvlJc w:val="left"/>
      <w:lvlText w:val="(%1)"/>
      <w:numFmt w:val="lowerLetter"/>
      <w:start w:val="6"/>
    </w:lvl>
  </w:abstractNum>
  <w:abstractNum w:abstractNumId="124">
    <w:nsid w:val="5D888A08"/>
    <w:multiLevelType w:val="hybridMultilevel"/>
    <w:lvl w:ilvl="0">
      <w:lvlJc w:val="left"/>
      <w:lvlText w:val="(%1)"/>
      <w:numFmt w:val="lowerLetter"/>
      <w:start w:val="1"/>
    </w:lvl>
  </w:abstractNum>
  <w:abstractNum w:abstractNumId="125">
    <w:nsid w:val="2A082C70"/>
    <w:multiLevelType w:val="hybridMultilevel"/>
    <w:lvl w:ilvl="0">
      <w:lvlJc w:val="left"/>
      <w:lvlText w:val="(%1)"/>
      <w:numFmt w:val="lowerLetter"/>
      <w:start w:val="3"/>
    </w:lvl>
  </w:abstractNum>
  <w:abstractNum w:abstractNumId="126">
    <w:nsid w:val="5EC6AFD4"/>
    <w:multiLevelType w:val="hybridMultilevel"/>
    <w:lvl w:ilvl="0">
      <w:lvlJc w:val="left"/>
      <w:lvlText w:val="(%1)"/>
      <w:numFmt w:val="lowerLetter"/>
      <w:start w:val="1"/>
    </w:lvl>
  </w:abstractNum>
  <w:abstractNum w:abstractNumId="127">
    <w:nsid w:val="19E21BB2"/>
    <w:multiLevelType w:val="hybridMultilevel"/>
    <w:lvl w:ilvl="0">
      <w:lvlJc w:val="left"/>
      <w:lvlText w:val="%1."/>
      <w:numFmt w:val="lowerRoman"/>
      <w:start w:val="2"/>
    </w:lvl>
  </w:abstractNum>
  <w:abstractNum w:abstractNumId="128">
    <w:nsid w:val="75E0858A"/>
    <w:multiLevelType w:val="hybridMultilevel"/>
    <w:lvl w:ilvl="0">
      <w:lvlJc w:val="left"/>
      <w:lvlText w:val="(%1)"/>
      <w:numFmt w:val="lowerRoman"/>
      <w:start w:val="2"/>
    </w:lvl>
  </w:abstractNum>
  <w:abstractNum w:abstractNumId="129">
    <w:nsid w:val="57A61A29"/>
    <w:multiLevelType w:val="hybridMultilevel"/>
    <w:lvl w:ilvl="0">
      <w:lvlJc w:val="left"/>
      <w:lvlText w:val="%1."/>
      <w:numFmt w:val="decimal"/>
      <w:start w:val="1"/>
    </w:lvl>
  </w:abstractNum>
  <w:abstractNum w:abstractNumId="130">
    <w:nsid w:val="5399C654"/>
    <w:multiLevelType w:val="hybridMultilevel"/>
    <w:lvl w:ilvl="0">
      <w:lvlJc w:val="left"/>
      <w:lvlText w:val="%1."/>
      <w:numFmt w:val="decimal"/>
      <w:start w:val="4"/>
    </w:lvl>
  </w:abstractNum>
  <w:abstractNum w:abstractNumId="131">
    <w:nsid w:val="20EE1348"/>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50"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84" Type="http://schemas.openxmlformats.org/officeDocument/2006/relationships/image" Target="media/image44.png"/><Relationship Id="rId91" Type="http://schemas.openxmlformats.org/officeDocument/2006/relationships/image" Target="media/image45.png"/><Relationship Id="rId92" Type="http://schemas.openxmlformats.org/officeDocument/2006/relationships/image" Target="media/image46.png"/><Relationship Id="rId93" Type="http://schemas.openxmlformats.org/officeDocument/2006/relationships/image" Target="media/image47.png"/><Relationship Id="rId94" Type="http://schemas.openxmlformats.org/officeDocument/2006/relationships/image" Target="media/image48.png"/><Relationship Id="rId95" Type="http://schemas.openxmlformats.org/officeDocument/2006/relationships/image" Target="media/image49.png"/><Relationship Id="rId96" Type="http://schemas.openxmlformats.org/officeDocument/2006/relationships/image" Target="media/image50.png"/><Relationship Id="rId97" Type="http://schemas.openxmlformats.org/officeDocument/2006/relationships/image" Target="media/image51.png"/><Relationship Id="rId98" Type="http://schemas.openxmlformats.org/officeDocument/2006/relationships/image" Target="media/image52.png"/><Relationship Id="rId99" Type="http://schemas.openxmlformats.org/officeDocument/2006/relationships/image" Target="media/image53.png"/><Relationship Id="rId100" Type="http://schemas.openxmlformats.org/officeDocument/2006/relationships/image" Target="media/image54.png"/><Relationship Id="rId101" Type="http://schemas.openxmlformats.org/officeDocument/2006/relationships/image" Target="media/image55.png"/><Relationship Id="rId102" Type="http://schemas.openxmlformats.org/officeDocument/2006/relationships/image" Target="media/image56.png"/><Relationship Id="rId103" Type="http://schemas.openxmlformats.org/officeDocument/2006/relationships/image" Target="media/image57.png"/><Relationship Id="rId104" Type="http://schemas.openxmlformats.org/officeDocument/2006/relationships/image" Target="media/image58.png"/><Relationship Id="rId105" Type="http://schemas.openxmlformats.org/officeDocument/2006/relationships/image" Target="media/image59.png"/><Relationship Id="rId106" Type="http://schemas.openxmlformats.org/officeDocument/2006/relationships/image" Target="media/image60.png"/><Relationship Id="rId107" Type="http://schemas.openxmlformats.org/officeDocument/2006/relationships/image" Target="media/image61.png"/><Relationship Id="rId108" Type="http://schemas.openxmlformats.org/officeDocument/2006/relationships/image" Target="media/image62.png"/><Relationship Id="rId109"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115" Type="http://schemas.openxmlformats.org/officeDocument/2006/relationships/image" Target="media/image69.png"/><Relationship Id="rId116"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jpe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4" Type="http://schemas.openxmlformats.org/officeDocument/2006/relationships/hyperlink" Target="http://www.sec.gov/Archives/edgar/data/1410428/000114420419017496/tv516017_10k.htm" TargetMode="External"/><Relationship Id="rId25" Type="http://schemas.openxmlformats.org/officeDocument/2006/relationships/hyperlink" Target="http://www.sec.gov/Archives/edgar/data/1410428/000114420419026665/tv520725_10q.htm" TargetMode="External"/><Relationship Id="rId26" Type="http://schemas.openxmlformats.org/officeDocument/2006/relationships/hyperlink" Target="http://www.sec.gov/Archives/edgar/data/1410428/000114420419034328/tv525020_8k.htm" TargetMode="External"/><Relationship Id="rId49" Type="http://schemas.openxmlformats.org/officeDocument/2006/relationships/hyperlink" Target="http://www.sec.gov/Archives/edgar/data/1410428/000114420419022522/tv519608_10ka.htm" TargetMode="External"/><Relationship Id="rId51" Type="http://schemas.openxmlformats.org/officeDocument/2006/relationships/hyperlink" Target="http://www.sec.gov/Archives/edgar/data/1410428/000114420419007309/tv513163_8k.htm" TargetMode="External"/><Relationship Id="rId52" Type="http://schemas.openxmlformats.org/officeDocument/2006/relationships/hyperlink" Target="http://www.sec.gov/Archives/edgar/data/1410428/000114420419009610/tv514467_8k.htm" TargetMode="External"/><Relationship Id="rId53" Type="http://schemas.openxmlformats.org/officeDocument/2006/relationships/hyperlink" Target="http://www.sec.gov/Archives/edgar/data/1410428/000114420419014325/tv516349_8k.htm" TargetMode="External"/><Relationship Id="rId54" Type="http://schemas.openxmlformats.org/officeDocument/2006/relationships/hyperlink" Target="http://www.sec.gov/Archives/edgar/data/1410428/000114420419015650/tv516755_8k.htm" TargetMode="External"/><Relationship Id="rId55" Type="http://schemas.openxmlformats.org/officeDocument/2006/relationships/hyperlink" Target="http://www.sec.gov/Archives/edgar/data/1410428/000114420419022528/tv520089_8k.htm" TargetMode="External"/><Relationship Id="rId56" Type="http://schemas.openxmlformats.org/officeDocument/2006/relationships/hyperlink" Target="http://www.sec.gov/Archives/edgar/data/1410428/000114420419027101/tv521899_8k.htm" TargetMode="External"/><Relationship Id="rId57" Type="http://schemas.openxmlformats.org/officeDocument/2006/relationships/hyperlink" Target="http://www.sec.gov/Archives/edgar/data/1410428/000114420419031189/tv523626_8k.htm" TargetMode="External"/><Relationship Id="rId58" Type="http://schemas.openxmlformats.org/officeDocument/2006/relationships/hyperlink" Target="http://www.sec.gov/Archives/edgar/data/1410428/000114420419032532/tv524367_8k.htm" TargetMode="External"/><Relationship Id="rId59" Type="http://schemas.openxmlformats.org/officeDocument/2006/relationships/hyperlink" Target="http://www.sec.gov/Archives/edgar/data/1410428/000114420419033939/tv524856_8k.htm" TargetMode="External"/><Relationship Id="rId60" Type="http://schemas.openxmlformats.org/officeDocument/2006/relationships/hyperlink" Target="http://www.sec.gov/Archives/edgar/data/1410428/000114420413024675/v342843_8a12b.htm" TargetMode="External"/><Relationship Id="rId61" Type="http://schemas.openxmlformats.org/officeDocument/2006/relationships/hyperlink" Target="http://www.sec.gov/Archives/edgar/data/1410428/000119312510140514/d8a12b.htm" TargetMode="External"/><Relationship Id="rId66" Type="http://schemas.openxmlformats.org/officeDocument/2006/relationships/hyperlink" Target="http://www.sec.gov/Archives/edgar/data/1410428/000114420416117230/v446257_ex2-1.htm" TargetMode="External"/><Relationship Id="rId67" Type="http://schemas.openxmlformats.org/officeDocument/2006/relationships/hyperlink" Target="http://www.sec.gov/Archives/edgar/data/1410428/000114420416123414/v448507_ex2-1.htm" TargetMode="External"/><Relationship Id="rId68" Type="http://schemas.openxmlformats.org/officeDocument/2006/relationships/hyperlink" Target="http://www.sec.gov/Archives/edgar/data/1410428/000114420416129472/v451220_ex2-1.htm" TargetMode="External"/><Relationship Id="rId69" Type="http://schemas.openxmlformats.org/officeDocument/2006/relationships/hyperlink" Target="http://www.sec.gov/Archives/edgar/data/1410428/000114420419017496/tv516017_ex3-1.htm" TargetMode="External"/><Relationship Id="rId70" Type="http://schemas.openxmlformats.org/officeDocument/2006/relationships/hyperlink" Target="http://www.sec.gov/Archives/edgar/data/1410428/000114420419017496/tv516017_ex3-2.htm" TargetMode="External"/><Relationship Id="rId71" Type="http://schemas.openxmlformats.org/officeDocument/2006/relationships/hyperlink" Target="http://www.sec.gov/Archives/edgar/data/1410428/000114420416089189/v434655_ex3-1.htm" TargetMode="External"/><Relationship Id="rId72" Type="http://schemas.openxmlformats.org/officeDocument/2006/relationships/hyperlink" Target="http://www.sec.gov/Archives/edgar/data/1410428/000114420416141154/v455681_ex3-1.htm" TargetMode="External"/><Relationship Id="rId73" Type="http://schemas.openxmlformats.org/officeDocument/2006/relationships/hyperlink" Target="http://www.sec.gov/Archives/edgar/data/1410428/000114420419033939/tv524856_ex3-2.htm" TargetMode="External"/><Relationship Id="rId74" Type="http://schemas.openxmlformats.org/officeDocument/2006/relationships/hyperlink" Target="http://www.sec.gov/Archives/edgar/data/1410428/000114420418060039/tv506091_ex3-1.htm" TargetMode="External"/><Relationship Id="rId75" Type="http://schemas.openxmlformats.org/officeDocument/2006/relationships/hyperlink" Target="http://www.sec.gov/Archives/edgar/data/1410428/000114420419033939/tv524856_ex3-1.htm" TargetMode="External"/><Relationship Id="rId76" Type="http://schemas.openxmlformats.org/officeDocument/2006/relationships/hyperlink" Target="http://www.sec.gov/Archives/edgar/data/1410428/000114420419033939/tv524856_ex3-3.htm" TargetMode="External"/><Relationship Id="rId77" Type="http://schemas.openxmlformats.org/officeDocument/2006/relationships/hyperlink" Target="http://www.sec.gov/Archives/edgar/data/1410428/000114420419033939/tv524856_ex3-4.htm" TargetMode="External"/><Relationship Id="rId78" Type="http://schemas.openxmlformats.org/officeDocument/2006/relationships/hyperlink" Target="http://www.sec.gov/Archives/edgar/data/1410428/000119312510123446/dex42.htm" TargetMode="External"/><Relationship Id="rId79" Type="http://schemas.openxmlformats.org/officeDocument/2006/relationships/hyperlink" Target="http://www.sec.gov/Archives/edgar/data/1410428/000114420415059695/v422196_ex4-1.htm" TargetMode="External"/><Relationship Id="rId80" Type="http://schemas.openxmlformats.org/officeDocument/2006/relationships/hyperlink" Target="http://www.sec.gov/Archives/edgar/data/1410428/000114420415027143/v409292_ex10-3.htm" TargetMode="External"/><Relationship Id="rId81" Type="http://schemas.openxmlformats.org/officeDocument/2006/relationships/hyperlink" Target="http://www.sec.gov/Archives/edgar/data/1410428/000114420416089189/v434655_ex4-1.htm" TargetMode="External"/><Relationship Id="rId82" Type="http://schemas.openxmlformats.org/officeDocument/2006/relationships/hyperlink" Target="http://www.sec.gov/Archives/edgar/data/1410428/000114420419015650/tv516755_ex10-1.htm" TargetMode="External"/><Relationship Id="rId83" Type="http://schemas.openxmlformats.org/officeDocument/2006/relationships/hyperlink" Target="http://www.sec.gov/Archives/edgar/data/1410428/000114420416129474/v449051_s4a.htm" TargetMode="External"/><Relationship Id="rId85" Type="http://schemas.openxmlformats.org/officeDocument/2006/relationships/hyperlink" Target="http://www.sec.gov/Archives/edgar/data/1410428/000114420418028911/tv492938_ex4-1.htm" TargetMode="External"/><Relationship Id="rId86" Type="http://schemas.openxmlformats.org/officeDocument/2006/relationships/hyperlink" Target="http://www.sec.gov/Archives/edgar/data/1410428/000114420418028911/tv492938_ex4-2.htm" TargetMode="External"/><Relationship Id="rId87" Type="http://schemas.openxmlformats.org/officeDocument/2006/relationships/hyperlink" Target="http://www.sec.gov/Archives/edgar/data/1410428/000114420419033939/tv524856_ex4-1.htm" TargetMode="External"/><Relationship Id="rId88" Type="http://schemas.openxmlformats.org/officeDocument/2006/relationships/hyperlink" Target="http://www.sec.gov/Archives/edgar/data/1410428/000114420419033939/tv524856_ex4-2.htm" TargetMode="External"/><Relationship Id="rId89" Type="http://schemas.openxmlformats.org/officeDocument/2006/relationships/hyperlink" Target="http://www.sec.gov/Archives/edgar/data/1410428/000114420419033939/tv524856_ex4-3.htm" TargetMode="External"/><Relationship Id="rId90" Type="http://schemas.openxmlformats.org/officeDocument/2006/relationships/hyperlink" Target="http://www.sec.gov/Archives/edgar/data/1410428/000114420419033939/tv524856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2019-11-30T20:54:35Z</dcterms:created>
  <dcterms:modified xsi:type="dcterms:W3CDTF">2019-11-30T20:54:35Z</dcterms:modified>
</cp:coreProperties>
</file>