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12026d1_10ka.htm"/>
      <w:bookmarkStart w:id="1" w:name="kstm2412026d1_10ka"/>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30101__20"/>
      <w:bookmarkEnd w:id="2"/>
      <w:r>
        <w:rPr>
          <w:rFonts w:ascii="Times New Roman;Times;Serif" w:hAnsi="Times New Roman;Times;Serif"/>
          <w:b/>
          <w:i w:val="false"/>
          <w:caps w:val="false"/>
          <w:smallCaps w:val="false"/>
          <w:sz w:val="20"/>
        </w:rPr>
        <w:t>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90"/>
        <w:gridCol w:w="9470"/>
      </w:tblGrid>
      <w:tr>
        <w:trPr/>
        <w:tc>
          <w:tcPr>
            <w:tcW w:w="29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both"/>
              <w:rPr>
                <w:b/>
                <w:sz w:val="20"/>
              </w:rPr>
            </w:pPr>
            <w:r>
              <w:rPr>
                <w:b/>
                <w:sz w:val="20"/>
              </w:rPr>
              <w:t>(Mark One)</w:t>
            </w:r>
          </w:p>
        </w:tc>
      </w:tr>
      <w:tr>
        <w:trPr/>
        <w:tc>
          <w:tcPr>
            <w:tcW w:w="290" w:type="dxa"/>
            <w:tcBorders/>
            <w:vAlign w:val="center"/>
          </w:tcPr>
          <w:p>
            <w:pPr>
              <w:pStyle w:val="TableContents"/>
              <w:bidi w:val="0"/>
              <w:spacing w:before="0" w:after="283"/>
              <w:jc w:val="left"/>
              <w:rPr>
                <w:sz w:val="20"/>
              </w:rPr>
            </w:pPr>
            <w:bookmarkStart w:id="3" w:name="xdx_907_edei--DocumentAnnualReport_c2023"/>
            <w:bookmarkEnd w:id="3"/>
            <w:r>
              <w:rPr>
                <w:rFonts w:ascii="Wingdings" w:hAnsi="Wingdings"/>
                <w:sz w:val="20"/>
              </w:rPr>
              <w:t>x</w:t>
            </w:r>
            <w:r>
              <w:rPr>
                <w:sz w:val="20"/>
              </w:rPr>
              <w:t> </w:t>
            </w:r>
          </w:p>
        </w:tc>
        <w:tc>
          <w:tcPr>
            <w:tcW w:w="9470" w:type="dxa"/>
            <w:tcBorders/>
            <w:vAlign w:val="center"/>
          </w:tcPr>
          <w:p>
            <w:pPr>
              <w:pStyle w:val="TableContents"/>
              <w:bidi w:val="0"/>
              <w:spacing w:before="0" w:after="283"/>
              <w:jc w:val="both"/>
              <w:rPr>
                <w:b/>
                <w:sz w:val="20"/>
              </w:rPr>
            </w:pPr>
            <w:r>
              <w:rPr>
                <w:b/>
                <w:sz w:val="20"/>
              </w:rPr>
              <w:t>ANNUAL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6_edei--DocumentPeriodEndDate_c202"/>
      <w:bookmarkEnd w:id="4"/>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305"/>
        <w:gridCol w:w="9875"/>
      </w:tblGrid>
      <w:tr>
        <w:trPr/>
        <w:tc>
          <w:tcPr>
            <w:tcW w:w="305" w:type="dxa"/>
            <w:tcBorders/>
            <w:vAlign w:val="center"/>
          </w:tcPr>
          <w:p>
            <w:pPr>
              <w:pStyle w:val="TableContents"/>
              <w:bidi w:val="0"/>
              <w:spacing w:before="0" w:after="283"/>
              <w:jc w:val="left"/>
              <w:rPr/>
            </w:pPr>
            <w:bookmarkStart w:id="5" w:name="xdx_90E_edei--DocumentTransitionReport_c"/>
            <w:bookmarkEnd w:id="5"/>
            <w:r>
              <w:rPr/>
              <w:t>☐ </w:t>
            </w:r>
          </w:p>
        </w:tc>
        <w:tc>
          <w:tcPr>
            <w:tcW w:w="9875" w:type="dxa"/>
            <w:tcBorders/>
            <w:vAlign w:val="center"/>
          </w:tcPr>
          <w:p>
            <w:pPr>
              <w:pStyle w:val="TableContents"/>
              <w:bidi w:val="0"/>
              <w:spacing w:before="0" w:after="283"/>
              <w:jc w:val="both"/>
              <w:rPr>
                <w:b/>
                <w:sz w:val="20"/>
              </w:rPr>
            </w:pPr>
            <w:r>
              <w:rPr>
                <w:b/>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 to ___</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3_edei--EntityFileNumber_c20230101"/>
      <w:bookmarkEnd w:id="6"/>
      <w:r>
        <w:rPr>
          <w:rFonts w:ascii="Times New Roman;Times;Serif" w:hAnsi="Times New Roman;Times;Serif"/>
          <w:b/>
          <w:i w:val="false"/>
          <w:caps w:val="false"/>
          <w:smallCaps w:val="false"/>
          <w:sz w:val="20"/>
        </w:rPr>
        <w:t>001-34785</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7" w:name="xdx_90C_edei--EntityRegistrantName_c2023"/>
      <w:bookmarkEnd w:id="7"/>
      <w:r>
        <w:rPr>
          <w:rFonts w:ascii="Times New Roman;Times;Serif" w:hAnsi="Times New Roman;Times;Serif"/>
          <w:b/>
          <w:i w:val="false"/>
          <w:caps w:val="false"/>
          <w:smallCaps w:val="false"/>
          <w:sz w:val="28"/>
        </w:rPr>
        <w:t>XWELL,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740"/>
        <w:gridCol w:w="2915"/>
      </w:tblGrid>
      <w:tr>
        <w:trPr/>
        <w:tc>
          <w:tcPr>
            <w:tcW w:w="3740" w:type="dxa"/>
            <w:tcBorders/>
            <w:vAlign w:val="center"/>
          </w:tcPr>
          <w:p>
            <w:pPr>
              <w:pStyle w:val="TableContents"/>
              <w:bidi w:val="0"/>
              <w:spacing w:before="0" w:after="283"/>
              <w:jc w:val="center"/>
              <w:rPr>
                <w:b/>
                <w:sz w:val="20"/>
              </w:rPr>
            </w:pPr>
            <w:bookmarkStart w:id="8" w:name="xdx_904_edei--EntityIncorporationStateCo"/>
            <w:bookmarkEnd w:id="8"/>
            <w:r>
              <w:rPr>
                <w:b/>
                <w:sz w:val="20"/>
              </w:rPr>
              <w:t>Delaware</w:t>
            </w:r>
          </w:p>
        </w:tc>
        <w:tc>
          <w:tcPr>
            <w:tcW w:w="2915" w:type="dxa"/>
            <w:tcBorders/>
            <w:vAlign w:val="center"/>
          </w:tcPr>
          <w:p>
            <w:pPr>
              <w:pStyle w:val="TableContents"/>
              <w:bidi w:val="0"/>
              <w:spacing w:before="0" w:after="283"/>
              <w:jc w:val="center"/>
              <w:rPr>
                <w:b/>
                <w:sz w:val="20"/>
              </w:rPr>
            </w:pPr>
            <w:bookmarkStart w:id="9" w:name="xdx_904_edei--EntityTaxIdentificationNum"/>
            <w:bookmarkEnd w:id="9"/>
            <w:r>
              <w:rPr>
                <w:b/>
                <w:sz w:val="20"/>
              </w:rPr>
              <w:t>20-4988129</w:t>
            </w:r>
          </w:p>
        </w:tc>
      </w:tr>
      <w:tr>
        <w:trPr/>
        <w:tc>
          <w:tcPr>
            <w:tcW w:w="37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3740"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AddressLine1_"/>
            <w:bookmarkEnd w:id="10"/>
            <w:r>
              <w:rPr>
                <w:rFonts w:ascii="Times New Roman;Times;Serif" w:hAnsi="Times New Roman;Times;Serif"/>
                <w:b/>
                <w:i w:val="false"/>
                <w:caps w:val="false"/>
                <w:smallCaps w:val="false"/>
                <w:sz w:val="20"/>
              </w:rPr>
              <w:t xml:space="preserve">254 West 31st Street, </w:t>
            </w:r>
            <w:bookmarkStart w:id="11" w:name="xdx_907_edei--EntityAddressAddressLine2_"/>
            <w:bookmarkEnd w:id="11"/>
            <w:r>
              <w:rPr>
                <w:rFonts w:ascii="Times New Roman;Times;Serif" w:hAnsi="Times New Roman;Times;Serif"/>
                <w:b/>
                <w:i w:val="false"/>
                <w:caps w:val="false"/>
                <w:smallCaps w:val="false"/>
                <w:sz w:val="20"/>
              </w:rPr>
              <w:t>11th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1_edei--EntityAddressCityOrTown_c2"/>
            <w:bookmarkEnd w:id="12"/>
            <w:r>
              <w:rPr>
                <w:rFonts w:ascii="Times New Roman;Times;Serif" w:hAnsi="Times New Roman;Times;Serif"/>
                <w:b/>
                <w:i w:val="false"/>
                <w:caps w:val="false"/>
                <w:smallCaps w:val="false"/>
                <w:sz w:val="20"/>
              </w:rPr>
              <w:t xml:space="preserve">New York, </w:t>
            </w:r>
            <w:bookmarkStart w:id="13" w:name="xdx_90E_edei--EntityAddressStateOrProvin"/>
            <w:bookmarkEnd w:id="13"/>
            <w:r>
              <w:rPr>
                <w:rFonts w:ascii="Times New Roman;Times;Serif" w:hAnsi="Times New Roman;Times;Serif"/>
                <w:b/>
                <w:i w:val="false"/>
                <w:caps w:val="false"/>
                <w:smallCaps w:val="false"/>
                <w:sz w:val="20"/>
              </w:rPr>
              <w:t>NY</w:t>
            </w:r>
          </w:p>
        </w:tc>
        <w:tc>
          <w:tcPr>
            <w:tcW w:w="2915" w:type="dxa"/>
            <w:tcBorders/>
            <w:vAlign w:val="center"/>
          </w:tcPr>
          <w:p>
            <w:pPr>
              <w:pStyle w:val="TableContents"/>
              <w:bidi w:val="0"/>
              <w:spacing w:before="0" w:after="283"/>
              <w:jc w:val="center"/>
              <w:rPr>
                <w:b/>
                <w:sz w:val="20"/>
              </w:rPr>
            </w:pPr>
            <w:bookmarkStart w:id="14" w:name="xdx_909_edei--EntityAddressPostalZipCode"/>
            <w:bookmarkEnd w:id="14"/>
            <w:r>
              <w:rPr>
                <w:b/>
                <w:sz w:val="20"/>
              </w:rPr>
              <w:t>10001</w:t>
            </w:r>
          </w:p>
        </w:tc>
      </w:tr>
      <w:tr>
        <w:trPr/>
        <w:tc>
          <w:tcPr>
            <w:tcW w:w="3740" w:type="dxa"/>
            <w:tcBorders/>
            <w:vAlign w:val="center"/>
          </w:tcPr>
          <w:p>
            <w:pPr>
              <w:pStyle w:val="TableContents"/>
              <w:bidi w:val="0"/>
              <w:spacing w:before="0" w:after="283"/>
              <w:jc w:val="center"/>
              <w:rPr>
                <w:sz w:val="20"/>
              </w:rPr>
            </w:pPr>
            <w:r>
              <w:rPr>
                <w:sz w:val="20"/>
              </w:rPr>
              <w:t>(Address of principal executive offices)</w:t>
            </w:r>
          </w:p>
        </w:tc>
        <w:tc>
          <w:tcPr>
            <w:tcW w:w="291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5" w:name="xdx_902_edei--CityAreaCode_c20230101__20"/>
      <w:bookmarkEnd w:id="15"/>
      <w:r>
        <w:rPr>
          <w:rFonts w:ascii="Times New Roman;Times;Serif" w:hAnsi="Times New Roman;Times;Serif"/>
          <w:b/>
          <w:i w:val="false"/>
          <w:caps w:val="false"/>
          <w:smallCaps w:val="false"/>
          <w:sz w:val="20"/>
        </w:rPr>
        <w:t>212)-</w:t>
      </w:r>
      <w:bookmarkStart w:id="16" w:name="xdx_90E_edei--LocalPhoneNumber_c20230101"/>
      <w:bookmarkEnd w:id="16"/>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410"/>
        <w:gridCol w:w="60"/>
        <w:gridCol w:w="1415"/>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left"/>
              <w:rPr>
                <w:sz w:val="20"/>
              </w:rPr>
            </w:pPr>
            <w:bookmarkStart w:id="17" w:name="xdx_90D_edei--Security12bTitle_c20230101"/>
            <w:bookmarkEnd w:id="17"/>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sz w:val="20"/>
              </w:rPr>
            </w:pPr>
            <w:bookmarkStart w:id="18" w:name="xdx_908_edei--TradingSymbol_c20230101__2"/>
            <w:bookmarkEnd w:id="18"/>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 xml:space="preserve">The </w:t>
            </w:r>
            <w:bookmarkStart w:id="19" w:name="xdx_902_edei--SecurityExchangeName_c2023"/>
            <w:bookmarkEnd w:id="19"/>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w:t>
      </w:r>
      <w:bookmarkStart w:id="20" w:name="xdx_904_edei--EntityWellKnownSeasonedIss"/>
      <w:bookmarkEnd w:id="20"/>
      <w:r>
        <w:rPr>
          <w:rFonts w:ascii="Times New Roman;Times;Serif" w:hAnsi="Times New Roman;Times;Serif"/>
          <w:b w:val="false"/>
          <w:i w:val="false"/>
          <w:caps w:val="false"/>
          <w:smallCaps w:val="false"/>
          <w:sz w:val="20"/>
        </w:rPr>
        <w:t>No </w:t>
      </w:r>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w:t>
      </w:r>
      <w:bookmarkStart w:id="21" w:name="xdx_90B_edei--EntityVoluntaryFilers_c202"/>
      <w:bookmarkEnd w:id="21"/>
      <w:r>
        <w:rPr>
          <w:rFonts w:ascii="Times New Roman;Times;Serif" w:hAnsi="Times New Roman;Times;Serif"/>
          <w:b w:val="false"/>
          <w:i w:val="false"/>
          <w:caps w:val="false"/>
          <w:smallCaps w:val="false"/>
          <w:sz w:val="20"/>
        </w:rPr>
        <w:t>No </w:t>
      </w:r>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A_edei--EntityCurrentReportingStat"/>
      <w:bookmarkEnd w:id="22"/>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3" w:name="xdx_904_edei--EntityInteractiveDataCurre"/>
      <w:bookmarkEnd w:id="23"/>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b w:val="false"/>
          <w:i/>
          <w:caps w:val="false"/>
          <w:smallCaps w:val="false"/>
          <w:sz w:val="20"/>
        </w:rPr>
        <w:t>large accelerated filer,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accelerated filer,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smaller reporting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emerging growth company</w:t>
      </w:r>
      <w:r>
        <w:rPr>
          <w:rFonts w:ascii="Times New Roman;Times;Serif" w:hAnsi="Times New Roman;Times;Serif"/>
          <w:b w:val="false"/>
          <w:i w:val="false"/>
          <w:caps w:val="false"/>
          <w:smallCaps w:val="false"/>
          <w:sz w:val="20"/>
        </w:rPr>
        <w:t>”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835"/>
        <w:gridCol w:w="335"/>
        <w:gridCol w:w="60"/>
        <w:gridCol w:w="2225"/>
        <w:gridCol w:w="350"/>
      </w:tblGrid>
      <w:tr>
        <w:trPr/>
        <w:tc>
          <w:tcPr>
            <w:tcW w:w="1835" w:type="dxa"/>
            <w:tcBorders/>
            <w:vAlign w:val="center"/>
          </w:tcPr>
          <w:p>
            <w:pPr>
              <w:pStyle w:val="TableContents"/>
              <w:bidi w:val="0"/>
              <w:spacing w:before="0" w:after="283"/>
              <w:jc w:val="left"/>
              <w:rPr>
                <w:sz w:val="20"/>
              </w:rPr>
            </w:pPr>
            <w:r>
              <w:rPr>
                <w:sz w:val="20"/>
              </w:rPr>
              <w:t>Large accelerated filer</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35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bookmarkStart w:id="24" w:name="xdx_904_edei--EntityFilerCategory_c20230"/>
            <w:bookmarkEnd w:id="24"/>
            <w:r>
              <w:rPr>
                <w:sz w:val="20"/>
              </w:rPr>
              <w:t>Non-accelerated filer</w:t>
            </w:r>
          </w:p>
        </w:tc>
        <w:tc>
          <w:tcPr>
            <w:tcW w:w="335" w:type="dxa"/>
            <w:tcBorders/>
            <w:vAlign w:val="center"/>
          </w:tcPr>
          <w:p>
            <w:pPr>
              <w:pStyle w:val="TableContents"/>
              <w:bidi w:val="0"/>
              <w:spacing w:before="0" w:after="283"/>
              <w:jc w:val="left"/>
              <w:rPr/>
            </w:pPr>
            <w:r>
              <w:rPr>
                <w:rFonts w:ascii="Wingdings" w:hAnsi="Wingdings"/>
              </w:rPr>
              <w:t>x</w:t>
            </w: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350" w:type="dxa"/>
            <w:tcBorders/>
            <w:vAlign w:val="center"/>
          </w:tcPr>
          <w:p>
            <w:pPr>
              <w:pStyle w:val="TableContents"/>
              <w:bidi w:val="0"/>
              <w:spacing w:before="0" w:after="283"/>
              <w:jc w:val="left"/>
              <w:rPr/>
            </w:pPr>
            <w:bookmarkStart w:id="25" w:name="xdx_90D_edei--EntitySmallBusiness_c20230"/>
            <w:bookmarkEnd w:id="25"/>
            <w:r>
              <w:rPr>
                <w:rFonts w:ascii="Wingdings" w:hAnsi="Wingdings"/>
              </w:rPr>
              <w:t>x</w:t>
            </w:r>
            <w:r>
              <w:rPr/>
              <w:t> </w:t>
            </w:r>
          </w:p>
        </w:tc>
      </w:tr>
      <w:tr>
        <w:trPr/>
        <w:tc>
          <w:tcPr>
            <w:tcW w:w="183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350" w:type="dxa"/>
            <w:tcBorders/>
            <w:vAlign w:val="center"/>
          </w:tcPr>
          <w:p>
            <w:pPr>
              <w:pStyle w:val="TableContents"/>
              <w:bidi w:val="0"/>
              <w:spacing w:before="0" w:after="283"/>
              <w:jc w:val="left"/>
              <w:rPr/>
            </w:pPr>
            <w:bookmarkStart w:id="26" w:name="xdx_904_edei--EntityEmergingGrowthCompan"/>
            <w:bookmarkEnd w:id="26"/>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7" w:name="xdx_909_edei--IcfrAuditorAttestationFlag"/>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8" w:name="xdx_907_edei--DocumentFinStmtErrorCorrec"/>
      <w:bookmarkEnd w:id="28"/>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bookmarkStart w:id="29" w:name="xdx_902_edei--DocumentFinStmtRestatement"/>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w:t>
      </w:r>
      <w:bookmarkStart w:id="30" w:name="xdx_906_edei--EntityShellCompany_c202301"/>
      <w:bookmarkEnd w:id="30"/>
      <w:r>
        <w:rPr>
          <w:rFonts w:ascii="Times New Roman;Times;Serif" w:hAnsi="Times New Roman;Times;Serif"/>
          <w:b w:val="false"/>
          <w:i w:val="false"/>
          <w:caps w:val="false"/>
          <w:smallCaps w:val="false"/>
          <w:sz w:val="20"/>
        </w:rPr>
        <w:t xml:space="preserve">☐ No </w:t>
      </w:r>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registrant’s voting common stock held by non-affiliates of the registrant, as of June 30, 2023, the last business day of the registrant’s most recently completed second quarter, was $</w:t>
      </w:r>
      <w:bookmarkStart w:id="31" w:name="xdx_90D_edei--EntityPublicFloat_iI_c2023"/>
      <w:bookmarkEnd w:id="31"/>
      <w:r>
        <w:rPr>
          <w:rFonts w:ascii="Times New Roman;Times;Serif" w:hAnsi="Times New Roman;Times;Serif"/>
          <w:b w:val="false"/>
          <w:i w:val="false"/>
          <w:caps w:val="false"/>
          <w:smallCaps w:val="false"/>
          <w:sz w:val="20"/>
        </w:rPr>
        <w:t>16,663,729 computed by reference to the closing sale price of $4.00 per share on the Nasdaq Stock Market LLC on June 30, 2023. The registrant does not have any non-voting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15, 2024, </w:t>
      </w:r>
      <w:bookmarkStart w:id="32" w:name="xdx_904_edei--EntityCommonStockSharesOut"/>
      <w:bookmarkEnd w:id="32"/>
      <w:r>
        <w:rPr>
          <w:rFonts w:ascii="Times New Roman;Times;Serif" w:hAnsi="Times New Roman;Times;Serif"/>
          <w:b w:val="false"/>
          <w:i w:val="false"/>
          <w:caps w:val="false"/>
          <w:smallCaps w:val="false"/>
          <w:sz w:val="20"/>
        </w:rPr>
        <w:t>4,183,435 shares of the registrant’s common stock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required by Part III will be included in an amendment to this Annual Report on Form 10-K within 120 days of December 31, 2023.</w:t>
      </w:r>
    </w:p>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60"/>
        <w:gridCol w:w="1760"/>
        <w:gridCol w:w="1715"/>
      </w:tblGrid>
      <w:tr>
        <w:trPr/>
        <w:tc>
          <w:tcPr>
            <w:tcW w:w="1460" w:type="dxa"/>
            <w:tcBorders/>
            <w:vAlign w:val="center"/>
          </w:tcPr>
          <w:p>
            <w:pPr>
              <w:pStyle w:val="TableContents"/>
              <w:bidi w:val="0"/>
              <w:spacing w:before="0" w:after="283"/>
              <w:jc w:val="center"/>
              <w:rPr/>
            </w:pPr>
            <w:r>
              <w:rPr/>
              <w:t>Auditor Name:</w:t>
            </w:r>
          </w:p>
        </w:tc>
        <w:tc>
          <w:tcPr>
            <w:tcW w:w="1760" w:type="dxa"/>
            <w:tcBorders/>
            <w:vAlign w:val="center"/>
          </w:tcPr>
          <w:p>
            <w:pPr>
              <w:pStyle w:val="TableContents"/>
              <w:bidi w:val="0"/>
              <w:spacing w:before="0" w:after="283"/>
              <w:jc w:val="center"/>
              <w:rPr/>
            </w:pPr>
            <w:r>
              <w:rPr/>
              <w:t>Auditor Location:</w:t>
            </w:r>
          </w:p>
        </w:tc>
        <w:tc>
          <w:tcPr>
            <w:tcW w:w="1715" w:type="dxa"/>
            <w:tcBorders/>
            <w:vAlign w:val="center"/>
          </w:tcPr>
          <w:p>
            <w:pPr>
              <w:pStyle w:val="TableContents"/>
              <w:bidi w:val="0"/>
              <w:spacing w:before="0" w:after="283"/>
              <w:jc w:val="center"/>
              <w:rPr/>
            </w:pPr>
            <w:r>
              <w:rPr/>
              <w:t>Auditor Firm ID:</w:t>
            </w:r>
          </w:p>
        </w:tc>
      </w:tr>
      <w:tr>
        <w:trPr/>
        <w:tc>
          <w:tcPr>
            <w:tcW w:w="1460" w:type="dxa"/>
            <w:tcBorders/>
            <w:vAlign w:val="center"/>
          </w:tcPr>
          <w:p>
            <w:pPr>
              <w:pStyle w:val="TableContents"/>
              <w:bidi w:val="0"/>
              <w:spacing w:before="0" w:after="283"/>
              <w:jc w:val="center"/>
              <w:rPr/>
            </w:pPr>
            <w:bookmarkStart w:id="33" w:name="xdx_900_edei--AuditorName_c20230101__202"/>
            <w:bookmarkEnd w:id="33"/>
            <w:r>
              <w:rPr/>
              <w:t>Marcum LLP</w:t>
            </w:r>
          </w:p>
        </w:tc>
        <w:tc>
          <w:tcPr>
            <w:tcW w:w="1760" w:type="dxa"/>
            <w:tcBorders/>
            <w:vAlign w:val="center"/>
          </w:tcPr>
          <w:p>
            <w:pPr>
              <w:pStyle w:val="TableContents"/>
              <w:bidi w:val="0"/>
              <w:spacing w:before="0" w:after="283"/>
              <w:jc w:val="center"/>
              <w:rPr/>
            </w:pPr>
            <w:bookmarkStart w:id="34" w:name="xdx_908_edei--AuditorLocation_c20230101_"/>
            <w:bookmarkEnd w:id="34"/>
            <w:r>
              <w:rPr/>
              <w:t>East Hanover, NJ.</w:t>
            </w:r>
          </w:p>
        </w:tc>
        <w:tc>
          <w:tcPr>
            <w:tcW w:w="1715" w:type="dxa"/>
            <w:tcBorders/>
            <w:vAlign w:val="center"/>
          </w:tcPr>
          <w:p>
            <w:pPr>
              <w:pStyle w:val="TableContents"/>
              <w:bidi w:val="0"/>
              <w:spacing w:before="0" w:after="283"/>
              <w:jc w:val="center"/>
              <w:rPr/>
            </w:pPr>
            <w:r>
              <w:rPr/>
              <w:t>PCAOB ID #</w:t>
            </w:r>
            <w:bookmarkStart w:id="35" w:name="xdx_902_edei--AuditorFirmId_c20230101__2"/>
            <w:bookmarkEnd w:id="35"/>
            <w:r>
              <w:rPr/>
              <w:t>688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(the “Amendment No. 1”) to the Annual Report on Form 10-K of XWELL, Inc. (the “Company”) for the year ended December 31, 2023, as filed with the Securities and Exchange Commission on April 16, 2024 (the “Original Form 10-K”) is being filed solely to replace the certifications required by Sections 302 and 906 of the Sarbanes-Oxley Act of 2002, as amended, which inadvertently included the incorrect signatories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noted herein, this Amendment No. 1 does not modify or update in any way the Original Form 10-K, nor does it reflect events occurring after the filing of the Original Form 10-K. Accordingly, this Amendment No. 1 should be read in conjunction with the Original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5600"/>
        <w:gridCol w:w="140"/>
      </w:tblGrid>
      <w:tr>
        <w:trPr/>
        <w:tc>
          <w:tcPr>
            <w:tcW w:w="5600" w:type="dxa"/>
            <w:tcBorders/>
            <w:vAlign w:val="center"/>
          </w:tcPr>
          <w:p>
            <w:pPr>
              <w:pStyle w:val="TableContents"/>
              <w:bidi w:val="0"/>
              <w:spacing w:before="0" w:after="283"/>
              <w:jc w:val="left"/>
              <w:rPr/>
            </w:pPr>
            <w:hyperlink w:anchor="ya_018">
              <w:r>
                <w:rPr>
                  <w:rStyle w:val="InternetLink"/>
                </w:rPr>
                <w:t>PART IV</w:t>
              </w:r>
            </w:hyperlink>
          </w:p>
        </w:tc>
        <w:tc>
          <w:tcPr>
            <w:tcW w:w="140" w:type="dxa"/>
            <w:tcBorders/>
            <w:vAlign w:val="center"/>
          </w:tcPr>
          <w:p>
            <w:pPr>
              <w:pStyle w:val="TableContents"/>
              <w:bidi w:val="0"/>
              <w:spacing w:before="0" w:after="283"/>
              <w:jc w:val="right"/>
              <w:rPr/>
            </w:pPr>
            <w:hyperlink w:anchor="ya_018">
              <w:r>
                <w:rPr>
                  <w:rStyle w:val="InternetLink"/>
                  <w:sz w:val="20"/>
                </w:rPr>
                <w:t>4</w:t>
              </w:r>
            </w:hyperlink>
          </w:p>
        </w:tc>
      </w:tr>
      <w:tr>
        <w:trPr/>
        <w:tc>
          <w:tcPr>
            <w:tcW w:w="5600" w:type="dxa"/>
            <w:tcBorders/>
            <w:vAlign w:val="center"/>
          </w:tcPr>
          <w:p>
            <w:pPr>
              <w:pStyle w:val="TableContents"/>
              <w:bidi w:val="0"/>
              <w:spacing w:before="0" w:after="283"/>
              <w:jc w:val="left"/>
              <w:rPr/>
            </w:pPr>
            <w:hyperlink w:anchor="ya_019">
              <w:r>
                <w:rPr>
                  <w:rStyle w:val="InternetLink"/>
                  <w:sz w:val="20"/>
                </w:rPr>
                <w:t>ITEM 15. EXHIBITS AND FINANCIAL STATEMENT SCHEDULES</w:t>
              </w:r>
            </w:hyperlink>
          </w:p>
        </w:tc>
        <w:tc>
          <w:tcPr>
            <w:tcW w:w="140" w:type="dxa"/>
            <w:tcBorders/>
            <w:vAlign w:val="center"/>
          </w:tcPr>
          <w:p>
            <w:pPr>
              <w:pStyle w:val="TableContents"/>
              <w:bidi w:val="0"/>
              <w:spacing w:before="0" w:after="283"/>
              <w:jc w:val="right"/>
              <w:rPr/>
            </w:pPr>
            <w:hyperlink w:anchor="ya_019">
              <w:r>
                <w:rPr>
                  <w:rStyle w:val="InternetLink"/>
                  <w:sz w:val="20"/>
                </w:rPr>
                <w:t>4</w:t>
              </w:r>
            </w:hyperlink>
          </w:p>
        </w:tc>
      </w:tr>
      <w:tr>
        <w:trPr/>
        <w:tc>
          <w:tcPr>
            <w:tcW w:w="5600" w:type="dxa"/>
            <w:tcBorders/>
            <w:vAlign w:val="center"/>
          </w:tcPr>
          <w:p>
            <w:pPr>
              <w:pStyle w:val="TableContents"/>
              <w:bidi w:val="0"/>
              <w:spacing w:before="0" w:after="283"/>
              <w:jc w:val="left"/>
              <w:rPr/>
            </w:pPr>
            <w:hyperlink w:anchor="ya_020">
              <w:r>
                <w:rPr>
                  <w:rStyle w:val="InternetLink"/>
                  <w:sz w:val="20"/>
                </w:rPr>
                <w:t>SIGNATURES</w:t>
              </w:r>
            </w:hyperlink>
          </w:p>
        </w:tc>
        <w:tc>
          <w:tcPr>
            <w:tcW w:w="140" w:type="dxa"/>
            <w:tcBorders/>
            <w:vAlign w:val="center"/>
          </w:tcPr>
          <w:p>
            <w:pPr>
              <w:pStyle w:val="TableContents"/>
              <w:bidi w:val="0"/>
              <w:spacing w:before="0" w:after="283"/>
              <w:jc w:val="right"/>
              <w:rPr/>
            </w:pPr>
            <w:hyperlink w:anchor="ya_020">
              <w:r>
                <w:rPr>
                  <w:rStyle w:val="InternetLink"/>
                  <w:sz w:val="20"/>
                </w:rPr>
                <w:t>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ya_018"/>
      <w:bookmarkEnd w:id="36"/>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ya_019"/>
      <w:bookmarkEnd w:id="37"/>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No financial statements are filed with this Amendment No. 1. These items were included as part of the Original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(a)(3)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xml:space="preserve"> The following exhibits are filed as part of, or incorporated by reference into, this Amendment No. 1 to the Original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5"/>
        <w:gridCol w:w="60"/>
        <w:gridCol w:w="9280"/>
      </w:tblGrid>
      <w:tr>
        <w:trPr/>
        <w:tc>
          <w:tcPr>
            <w:tcW w:w="865" w:type="dxa"/>
            <w:tcBorders>
              <w:bottom w:val="single" w:sz="8" w:space="0" w:color="000000"/>
            </w:tcBorders>
            <w:vAlign w:val="center"/>
          </w:tcPr>
          <w:p>
            <w:pPr>
              <w:pStyle w:val="TableContents"/>
              <w:bidi w:val="0"/>
              <w:spacing w:before="0" w:after="283"/>
              <w:jc w:val="left"/>
              <w:rPr/>
            </w:pPr>
            <w:r>
              <w:rPr>
                <w:b/>
              </w:rPr>
              <w:t>Exhibit</w:t>
            </w:r>
            <w:r>
              <w:rPr/>
              <w:t xml:space="preserve"> </w:t>
              <w:br/>
            </w:r>
            <w:r>
              <w:rPr>
                <w:b/>
              </w:rPr>
              <w:t>No.</w:t>
            </w:r>
          </w:p>
        </w:tc>
        <w:tc>
          <w:tcPr>
            <w:tcW w:w="60" w:type="dxa"/>
            <w:tcBorders/>
            <w:tcMar>
              <w:bottom w:w="0" w:type="dxa"/>
            </w:tcMar>
            <w:vAlign w:val="center"/>
          </w:tcPr>
          <w:p>
            <w:pPr>
              <w:pStyle w:val="TableContents"/>
              <w:bidi w:val="0"/>
              <w:spacing w:before="0" w:after="283"/>
              <w:jc w:val="left"/>
              <w:rPr/>
            </w:pPr>
            <w:r>
              <w:rPr/>
              <w:t> </w:t>
            </w:r>
          </w:p>
        </w:tc>
        <w:tc>
          <w:tcPr>
            <w:tcW w:w="928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pPr>
            <w:hyperlink w:anchor="tm2412026d1_ex31-1.htm">
              <w:r>
                <w:rPr>
                  <w:rStyle w:val="InternetLink"/>
                </w:rPr>
                <w:t>31.1*</w:t>
              </w:r>
            </w:hyperlink>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hyperlink w:anchor="tm2412026d1_ex31-1.htm">
              <w:r>
                <w:rPr>
                  <w:rStyle w:val="InternetLink"/>
                </w:rPr>
                <w:t>Certification of Principal Executive Officer pursuant to Exchange Act, Rules 13a - 14(a) and 15d - 14(a), as adopted pursuant to Section 302 of the Sarbanes-Oxley Act of 2002</w:t>
              </w:r>
            </w:hyperlink>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pPr>
            <w:hyperlink w:anchor="tm2412026d1_ex31-2.htm">
              <w:r>
                <w:rPr>
                  <w:rStyle w:val="InternetLink"/>
                </w:rPr>
                <w:t>31.2*</w:t>
              </w:r>
            </w:hyperlink>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hyperlink w:anchor="tm2412026d1_ex31-2.htm">
              <w:r>
                <w:rPr>
                  <w:rStyle w:val="InternetLink"/>
                </w:rPr>
                <w:t>Certification of Principal Financial Officer pursuant to Exchange Act, Rules 13a - 14(a) and 15d - 14(a), as adopted pursuant to Section 302 of the Sarbanes-Oxley Act of 2002</w:t>
              </w:r>
            </w:hyperlink>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pPr>
            <w:hyperlink w:anchor="tm2412026d1_ex32.htm">
              <w:r>
                <w:rPr>
                  <w:rStyle w:val="InternetLink"/>
                </w:rPr>
                <w:t>32**</w:t>
              </w:r>
            </w:hyperlink>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hyperlink w:anchor="tm2412026d1_ex32.htm">
              <w:r>
                <w:rPr>
                  <w:rStyle w:val="InternetLink"/>
                </w:rPr>
                <w:t>Certifications of Principal Executive Officer and Principal Financial Officer Pursuant to 18 U.S.C. Section 1350, as adopted pursuant to Section 906 of the Sarbanes-Oxley Act of 2002</w:t>
              </w:r>
            </w:hyperlink>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pPr>
            <w:hyperlink r:id="rId2">
              <w:r>
                <w:rPr>
                  <w:rStyle w:val="InternetLink"/>
                </w:rPr>
                <w:t>97</w:t>
              </w:r>
            </w:hyperlink>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hyperlink r:id="rId3">
              <w:r>
                <w:rPr>
                  <w:rStyle w:val="InternetLink"/>
                </w:rPr>
                <w:t>XWELL, INC Incentive Compensation Recovery Policy</w:t>
              </w:r>
            </w:hyperlink>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101.INS</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Instance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101.SCH</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Taxonomy Extension Schema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101.CAL</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Taxonomy Extension Calculation Linkbase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101.DEF</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Taxonomy Extension Definition Linkbase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101.LAB</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Taxonomy Extension Label Linkbase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101.PRE</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Inline XBRL Taxonomy Extension Presentation Linkbase Document</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283"/>
              <w:jc w:val="left"/>
              <w:rPr>
                <w:color w:val="000000"/>
              </w:rPr>
            </w:pPr>
            <w:r>
              <w:rPr>
                <w:color w:val="000000"/>
              </w:rPr>
              <w:t>104</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color w:val="000000"/>
              </w:rPr>
            </w:pPr>
            <w:r>
              <w:rPr>
                <w:color w:val="000000"/>
              </w:rPr>
              <w:t>Cover Page Interactive Data File (embedded within the Inline XBRL documents)</w:t>
            </w:r>
          </w:p>
        </w:tc>
      </w:tr>
    </w:tbl>
    <w:p>
      <w:pPr>
        <w:pStyle w:val="TextBody"/>
        <w:pBdr>
          <w:bottom w:val="single" w:sz="8" w:space="1" w:color="000000"/>
        </w:pBdr>
        <w:bidi w:val="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ya_020"/>
      <w:bookmarkEnd w:id="3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Amendment No. 1 to the Annual Report on Form 10-K to be signed on its behalf by the undersigned thereunto, duly authorized on the 17th day of April 2024.</w:t>
      </w:r>
    </w:p>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380"/>
        <w:gridCol w:w="2465"/>
        <w:gridCol w:w="75"/>
      </w:tblGrid>
      <w:tr>
        <w:trPr/>
        <w:tc>
          <w:tcPr>
            <w:tcW w:w="2845" w:type="dxa"/>
            <w:gridSpan w:val="2"/>
            <w:tcBorders/>
            <w:vAlign w:val="center"/>
          </w:tcPr>
          <w:p>
            <w:pPr>
              <w:pStyle w:val="TableContents"/>
              <w:bidi w:val="0"/>
              <w:spacing w:before="0" w:after="283"/>
              <w:jc w:val="left"/>
              <w:rPr>
                <w:b/>
                <w:sz w:val="20"/>
              </w:rPr>
            </w:pPr>
            <w:r>
              <w:rPr>
                <w:b/>
                <w:sz w:val="20"/>
              </w:rPr>
              <w:t>XWELL, Inc.</w:t>
            </w:r>
          </w:p>
        </w:tc>
        <w:tc>
          <w:tcPr>
            <w:tcW w:w="75" w:type="dxa"/>
            <w:tcBorders/>
            <w:vAlign w:val="center"/>
          </w:tcPr>
          <w:p>
            <w:pPr>
              <w:pStyle w:val="TableContents"/>
              <w:bidi w:val="0"/>
              <w:spacing w:before="0" w:after="283"/>
              <w:jc w:val="left"/>
              <w:rPr/>
            </w:pPr>
            <w:r>
              <w:rPr/>
              <w:t> </w:t>
            </w:r>
          </w:p>
        </w:tc>
      </w:tr>
      <w:tr>
        <w:trPr/>
        <w:tc>
          <w:tcPr>
            <w:tcW w:w="28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20"/>
              </w:rPr>
            </w:pPr>
            <w:r>
              <w:rPr>
                <w:sz w:val="20"/>
              </w:rPr>
              <w:t xml:space="preserve">By: </w:t>
            </w:r>
          </w:p>
        </w:tc>
        <w:tc>
          <w:tcPr>
            <w:tcW w:w="24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R. MILFORD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b/>
                <w:sz w:val="20"/>
              </w:rPr>
            </w:pPr>
            <w:r>
              <w:rPr>
                <w:b/>
                <w:sz w:val="20"/>
              </w:rPr>
              <w:t>Scott R. Milford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b/>
                <w:sz w:val="20"/>
              </w:rPr>
            </w:pPr>
            <w:r>
              <w:rPr>
                <w:b/>
                <w:sz w:val="20"/>
              </w:rPr>
              <w:t>Chief Executive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b/>
                <w:sz w:val="20"/>
              </w:rPr>
            </w:pPr>
            <w:r>
              <w:rPr>
                <w:b/>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80"/>
        <w:gridCol w:w="3800"/>
        <w:gridCol w:w="75"/>
      </w:tblGrid>
      <w:tr>
        <w:trPr/>
        <w:tc>
          <w:tcPr>
            <w:tcW w:w="4180" w:type="dxa"/>
            <w:gridSpan w:val="2"/>
            <w:tcBorders/>
            <w:vAlign w:val="center"/>
          </w:tcPr>
          <w:p>
            <w:pPr>
              <w:pStyle w:val="TableContents"/>
              <w:bidi w:val="0"/>
              <w:spacing w:before="0" w:after="283"/>
              <w:jc w:val="left"/>
              <w:rPr>
                <w:b/>
                <w:sz w:val="20"/>
              </w:rPr>
            </w:pPr>
            <w:r>
              <w:rPr>
                <w:b/>
                <w:sz w:val="20"/>
              </w:rPr>
              <w:t>XWELL, Inc.</w:t>
            </w:r>
          </w:p>
        </w:tc>
        <w:tc>
          <w:tcPr>
            <w:tcW w:w="75" w:type="dxa"/>
            <w:tcBorders/>
            <w:vAlign w:val="center"/>
          </w:tcPr>
          <w:p>
            <w:pPr>
              <w:pStyle w:val="TableContents"/>
              <w:bidi w:val="0"/>
              <w:spacing w:before="0" w:after="283"/>
              <w:jc w:val="left"/>
              <w:rPr/>
            </w:pPr>
            <w:r>
              <w:rPr/>
              <w:t> </w:t>
            </w:r>
          </w:p>
        </w:tc>
      </w:tr>
      <w:tr>
        <w:trPr/>
        <w:tc>
          <w:tcPr>
            <w:tcW w:w="41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20"/>
              </w:rPr>
            </w:pPr>
            <w:r>
              <w:rPr>
                <w:sz w:val="20"/>
              </w:rPr>
              <w:t xml:space="preserve">By: </w:t>
            </w:r>
          </w:p>
        </w:tc>
        <w:tc>
          <w:tcPr>
            <w:tcW w:w="38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SUZANNE A. SCRABIS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b/>
                <w:sz w:val="20"/>
              </w:rPr>
            </w:pPr>
            <w:r>
              <w:rPr>
                <w:b/>
                <w:sz w:val="20"/>
              </w:rPr>
              <w:t>Suzanne A. Scrabis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b/>
                <w:sz w:val="20"/>
              </w:rPr>
            </w:pPr>
            <w:r>
              <w:rPr>
                <w:b/>
                <w:sz w:val="20"/>
              </w:rPr>
              <w:t>Chief Financial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b/>
                <w:sz w:val="20"/>
              </w:rPr>
            </w:pPr>
            <w:r>
              <w:rPr>
                <w:b/>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Securities Exchange Act of 1934, this Amendment No. 1 to the Annual Report on Form 10-K has been signed below by the following persons on behalf of the registrant and in the capacities indicated below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2255"/>
        <w:gridCol w:w="60"/>
        <w:gridCol w:w="3875"/>
        <w:gridCol w:w="60"/>
        <w:gridCol w:w="1220"/>
      </w:tblGrid>
      <w:tr>
        <w:trPr/>
        <w:tc>
          <w:tcPr>
            <w:tcW w:w="2255"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SCOTT R. MILFORD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Chief Executive Officer and Director (Principal</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Scott R. Milford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 xml:space="preserve">Executive Officer)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SUZANNE A. SCRABIS</w:t>
            </w:r>
          </w:p>
        </w:tc>
        <w:tc>
          <w:tcPr>
            <w:tcW w:w="60" w:type="dxa"/>
            <w:tcBorders/>
            <w:tcMar>
              <w:bottom w:w="0" w:type="dxa"/>
            </w:tcMar>
            <w:vAlign w:val="center"/>
          </w:tcPr>
          <w:p>
            <w:pPr>
              <w:pStyle w:val="TableContents"/>
              <w:bidi w:val="0"/>
              <w:spacing w:before="0" w:after="283"/>
              <w:jc w:val="center"/>
              <w:rPr/>
            </w:pPr>
            <w:r>
              <w:rPr/>
              <w:t> </w:t>
            </w:r>
          </w:p>
        </w:tc>
        <w:tc>
          <w:tcPr>
            <w:tcW w:w="3875" w:type="dxa"/>
            <w:tcBorders/>
            <w:tcMar>
              <w:bottom w:w="0" w:type="dxa"/>
            </w:tcMar>
            <w:vAlign w:val="center"/>
          </w:tcPr>
          <w:p>
            <w:pPr>
              <w:pStyle w:val="TableContents"/>
              <w:bidi w:val="0"/>
              <w:spacing w:before="0" w:after="283"/>
              <w:jc w:val="left"/>
              <w:rPr>
                <w:sz w:val="20"/>
              </w:rPr>
            </w:pPr>
            <w:r>
              <w:rPr>
                <w:sz w:val="20"/>
              </w:rPr>
              <w:t>Chief Financial Officer (Principal Financial and</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Suzanne A. Scrabis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Accounting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BRUCE T. BERNSTEIN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Bruce T. Bernstein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ROBERT WEINSTEIN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Robert Weinstein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MICHAEL LEBOWITZ</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Michael Lebowitz</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GAELLE WIZENBERG</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sz w:val="20"/>
              </w:rPr>
            </w:pPr>
            <w:r>
              <w:rPr>
                <w:sz w:val="20"/>
              </w:rPr>
              <w:t>April 17, 2024</w:t>
            </w:r>
          </w:p>
        </w:tc>
      </w:tr>
      <w:tr>
        <w:trPr/>
        <w:tc>
          <w:tcPr>
            <w:tcW w:w="2255" w:type="dxa"/>
            <w:tcBorders/>
            <w:tcMar>
              <w:bottom w:w="0" w:type="dxa"/>
            </w:tcMar>
            <w:vAlign w:val="center"/>
          </w:tcPr>
          <w:p>
            <w:pPr>
              <w:pStyle w:val="TableContents"/>
              <w:bidi w:val="0"/>
              <w:spacing w:before="0" w:after="283"/>
              <w:jc w:val="left"/>
              <w:rPr>
                <w:b/>
                <w:sz w:val="20"/>
              </w:rPr>
            </w:pPr>
            <w:r>
              <w:rPr>
                <w:b/>
                <w:sz w:val="20"/>
              </w:rPr>
              <w:t>Gaelle Wizenberg</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9" w:name="tm2412026d1_ex31-1.htm"/>
      <w:bookmarkStart w:id="40" w:name="kstm2412026d1_ex311"/>
      <w:bookmarkEnd w:id="39"/>
      <w:bookmarkEnd w:id="4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 UNDER SECTION 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R. Milford,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XWELL,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17, 2024</w:t>
      </w:r>
    </w:p>
    <w:p>
      <w:pPr>
        <w:pStyle w:val="TextBody"/>
        <w:bidi w:val="0"/>
        <w:spacing w:before="0" w:after="0"/>
        <w:ind w:left="0" w:right="0" w:hanging="0"/>
        <w:jc w:val="left"/>
        <w:rPr>
          <w:caps w:val="false"/>
          <w:smallCaps w:val="false"/>
        </w:rPr>
      </w:pPr>
      <w:r>
        <w:rPr>
          <w:caps w:val="false"/>
          <w:smallCaps w:val="false"/>
        </w:rPr>
        <w:t> </w:t>
      </w:r>
    </w:p>
    <w:tbl>
      <w:tblPr>
        <w:tblW w:w="3125" w:type="dxa"/>
        <w:jc w:val="left"/>
        <w:tblInd w:w="0" w:type="dxa"/>
        <w:tblLayout w:type="fixed"/>
        <w:tblCellMar>
          <w:top w:w="0" w:type="dxa"/>
          <w:left w:w="0" w:type="dxa"/>
          <w:bottom w:w="28" w:type="dxa"/>
          <w:right w:w="0" w:type="dxa"/>
        </w:tblCellMar>
      </w:tblPr>
      <w:tblGrid>
        <w:gridCol w:w="3050"/>
        <w:gridCol w:w="75"/>
      </w:tblGrid>
      <w:tr>
        <w:trPr/>
        <w:tc>
          <w:tcPr>
            <w:tcW w:w="3050" w:type="dxa"/>
            <w:tcBorders>
              <w:bottom w:val="single" w:sz="8" w:space="0" w:color="000000"/>
            </w:tcBorders>
            <w:vAlign w:val="center"/>
          </w:tcPr>
          <w:p>
            <w:pPr>
              <w:pStyle w:val="TableContents"/>
              <w:bidi w:val="0"/>
              <w:spacing w:before="0" w:after="283"/>
              <w:jc w:val="left"/>
              <w:rPr>
                <w:sz w:val="20"/>
              </w:rPr>
            </w:pPr>
            <w:r>
              <w:rPr>
                <w:sz w:val="20"/>
              </w:rPr>
              <w:t>/s/ SCOTT R. MILFORD</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sz w:val="20"/>
              </w:rPr>
            </w:pPr>
            <w:r>
              <w:rPr>
                <w:b/>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pPr>
            <w:r>
              <w:rPr>
                <w:b/>
              </w:rPr>
              <w:t>(Principal Executive Officer)</w:t>
            </w:r>
            <w:r>
              <w:rPr/>
              <w:t xml:space="preserve">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tm2412026d1_ex31-2.htm"/>
      <w:bookmarkStart w:id="42" w:name="kstm2412026d1_ex312"/>
      <w:bookmarkEnd w:id="41"/>
      <w:bookmarkEnd w:id="4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 UNDER SECTION 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Suzanne A. Scrabis,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XWELL,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17, 2024</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28" w:type="dxa"/>
          <w:right w:w="0" w:type="dxa"/>
        </w:tblCellMar>
      </w:tblPr>
      <w:tblGrid>
        <w:gridCol w:w="3815"/>
        <w:gridCol w:w="75"/>
      </w:tblGrid>
      <w:tr>
        <w:trPr/>
        <w:tc>
          <w:tcPr>
            <w:tcW w:w="3815" w:type="dxa"/>
            <w:tcBorders>
              <w:bottom w:val="single" w:sz="8" w:space="0" w:color="000000"/>
            </w:tcBorders>
            <w:vAlign w:val="center"/>
          </w:tcPr>
          <w:p>
            <w:pPr>
              <w:pStyle w:val="TableContents"/>
              <w:bidi w:val="0"/>
              <w:spacing w:before="0" w:after="283"/>
              <w:jc w:val="left"/>
              <w:rPr>
                <w:sz w:val="20"/>
              </w:rPr>
            </w:pPr>
            <w:r>
              <w:rPr>
                <w:sz w:val="20"/>
              </w:rPr>
              <w:t>/s/ Suzanne A. Scrabis</w:t>
            </w:r>
          </w:p>
        </w:tc>
        <w:tc>
          <w:tcPr>
            <w:tcW w:w="75" w:type="dxa"/>
            <w:tcBorders/>
            <w:tcMar>
              <w:bottom w:w="0" w:type="dxa"/>
            </w:tcMar>
            <w:vAlign w:val="center"/>
          </w:tcPr>
          <w:p>
            <w:pPr>
              <w:pStyle w:val="TableContents"/>
              <w:bidi w:val="0"/>
              <w:spacing w:before="0" w:after="283"/>
              <w:jc w:val="left"/>
              <w:rPr/>
            </w:pPr>
            <w:r>
              <w:rPr/>
              <w:t> </w:t>
            </w:r>
          </w:p>
        </w:tc>
      </w:tr>
      <w:tr>
        <w:trPr/>
        <w:tc>
          <w:tcPr>
            <w:tcW w:w="3815" w:type="dxa"/>
            <w:tcBorders/>
            <w:tcMar>
              <w:bottom w:w="0" w:type="dxa"/>
            </w:tcMar>
            <w:vAlign w:val="center"/>
          </w:tcPr>
          <w:p>
            <w:pPr>
              <w:pStyle w:val="TableContents"/>
              <w:bidi w:val="0"/>
              <w:spacing w:before="0" w:after="283"/>
              <w:jc w:val="left"/>
              <w:rPr>
                <w:b/>
                <w:sz w:val="20"/>
              </w:rPr>
            </w:pPr>
            <w:r>
              <w:rPr>
                <w:b/>
                <w:sz w:val="20"/>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3815" w:type="dxa"/>
            <w:tcBorders/>
            <w:tcMar>
              <w:bottom w:w="0" w:type="dxa"/>
            </w:tcMar>
            <w:vAlign w:val="center"/>
          </w:tcPr>
          <w:p>
            <w:pPr>
              <w:pStyle w:val="TableContents"/>
              <w:bidi w:val="0"/>
              <w:spacing w:before="0" w:after="283"/>
              <w:jc w:val="left"/>
              <w:rPr>
                <w:b/>
                <w:sz w:val="20"/>
              </w:rPr>
            </w:pPr>
            <w:r>
              <w:rPr>
                <w:b/>
                <w:sz w:val="20"/>
              </w:rPr>
              <w:t>(Principal Financial and Accounting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43" w:name="tm2412026d1_ex32.htm"/>
      <w:bookmarkStart w:id="44" w:name="kstm2412026d1_ex32"/>
      <w:bookmarkEnd w:id="43"/>
      <w:bookmarkEnd w:id="4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 UNDER SECTION 906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XWELL, Inc., a Delaware corporation (the “Company”), does hereby certify, to such officer’s knowledge,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sz w:val="20"/>
              </w:rPr>
            </w:pPr>
            <w:r>
              <w:rPr>
                <w:sz w:val="20"/>
              </w:rPr>
              <w:t>Dated: April 17, 2024</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R. MILFORD</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Chief Executive Officer</w:t>
            </w:r>
          </w:p>
        </w:tc>
      </w:tr>
      <w:tr>
        <w:trPr/>
        <w:tc>
          <w:tcPr>
            <w:tcW w:w="180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(Principal Executive Officer)      </w:t>
            </w:r>
          </w:p>
        </w:tc>
      </w:tr>
    </w:tbl>
    <w:p>
      <w:pPr>
        <w:pStyle w:val="TextBody"/>
        <w:bidi w:val="0"/>
        <w:spacing w:before="0" w:after="0"/>
        <w:ind w:left="0" w:right="0" w:firstLine="576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SUZANNE A. SCRABIS</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55837024005211/xwel-20231231xex97.htm" TargetMode="External"/><Relationship Id="rId3" Type="http://schemas.openxmlformats.org/officeDocument/2006/relationships/hyperlink" Target="https://www.sec.gov/Archives/edgar/data/1410428/000155837024005211/xwel-20231231xex97.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2373</Words>
  <Characters>12957</Characters>
  <CharactersWithSpaces>15409</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