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AWM Investment Company,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FORM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527 MADISON AVENUE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SUITE 2600</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80"/>
              <w:spacing w:after="0"/>
              <w:rPr>
                <w:sz w:val="20"/>
                <w:szCs w:val="20"/>
                <w:color w:val="auto"/>
              </w:rPr>
            </w:pPr>
            <w:r>
              <w:rPr>
                <w:rFonts w:ascii="Arial" w:cs="Arial" w:eastAsia="Arial" w:hAnsi="Arial"/>
                <w:sz w:val="18"/>
                <w:szCs w:val="18"/>
                <w:color w:val="0000FF"/>
              </w:rPr>
              <w:t>NY</w:t>
            </w:r>
          </w:p>
        </w:tc>
        <w:tc>
          <w:tcPr>
            <w:tcW w:w="1200" w:type="dxa"/>
            <w:vAlign w:val="bottom"/>
          </w:tcPr>
          <w:p>
            <w:pPr>
              <w:ind w:left="16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2"/>
          </w:tcPr>
          <w:p>
            <w:pPr>
              <w:ind w:left="6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07"/>
              <w:spacing w:after="0"/>
              <w:rPr>
                <w:sz w:val="20"/>
                <w:szCs w:val="20"/>
                <w:color w:val="auto"/>
              </w:rPr>
            </w:pPr>
            <w:r>
              <w:rPr>
                <w:rFonts w:ascii="Arial" w:cs="Arial" w:eastAsia="Arial" w:hAnsi="Arial"/>
                <w:sz w:val="18"/>
                <w:szCs w:val="18"/>
                <w:color w:val="0000FF"/>
              </w:rPr>
              <w:t>2,954,545</w:t>
            </w:r>
            <w:r>
              <w:rPr>
                <w:rFonts w:ascii="Arial" w:cs="Arial" w:eastAsia="Arial" w:hAnsi="Arial"/>
                <w:sz w:val="22"/>
                <w:szCs w:val="22"/>
                <w:color w:val="008000"/>
                <w:vertAlign w:val="superscript"/>
              </w:rPr>
              <w:t>(1)(2)</w:t>
            </w:r>
          </w:p>
        </w:tc>
        <w:tc>
          <w:tcPr>
            <w:tcW w:w="920" w:type="dxa"/>
            <w:vAlign w:val="bottom"/>
            <w:tcBorders>
              <w:bottom w:val="single" w:sz="8" w:color="2C2C2C"/>
            </w:tcBorders>
          </w:tcPr>
          <w:p>
            <w:pPr>
              <w:ind w:left="580"/>
              <w:spacing w:after="0" w:line="324" w:lineRule="exact"/>
              <w:rPr>
                <w:sz w:val="20"/>
                <w:szCs w:val="20"/>
                <w:color w:val="auto"/>
              </w:rPr>
            </w:pPr>
            <w:r>
              <w:rPr>
                <w:rFonts w:ascii="Arial" w:cs="Arial" w:eastAsia="Arial" w:hAnsi="Arial"/>
                <w:sz w:val="35"/>
                <w:szCs w:val="35"/>
                <w:color w:val="0000FF"/>
                <w:w w:val="95"/>
                <w:vertAlign w:val="subscript"/>
              </w:rPr>
              <w:t>I</w:t>
            </w:r>
            <w:r>
              <w:rPr>
                <w:rFonts w:ascii="Arial" w:cs="Arial" w:eastAsia="Arial" w:hAnsi="Arial"/>
                <w:sz w:val="11"/>
                <w:szCs w:val="11"/>
                <w:color w:val="008000"/>
                <w:w w:val="95"/>
              </w:rPr>
              <w:t>(1)(2)</w:t>
            </w:r>
          </w:p>
        </w:tc>
        <w:tc>
          <w:tcPr>
            <w:tcW w:w="40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120"/>
              <w:spacing w:after="0"/>
              <w:rPr>
                <w:sz w:val="20"/>
                <w:szCs w:val="20"/>
                <w:color w:val="auto"/>
              </w:rPr>
            </w:pPr>
            <w:r>
              <w:rPr>
                <w:rFonts w:ascii="Arial" w:cs="Arial" w:eastAsia="Arial" w:hAnsi="Arial"/>
                <w:sz w:val="18"/>
                <w:szCs w:val="18"/>
                <w:color w:val="0000FF"/>
              </w:rPr>
              <w:t>By Limited Partnerships</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AWM Investment Company, Inc., a Delaware corporation (AWM), is the investment adviser to Special Situations Cayman Fund, L.P. (CAYMAN), Special Situations Fund III QP, L.P. (SSFQP) and Special Situations Private Equity Fund, L.P. (SSPE and together with CAYMAN and SSFQP, the Funds). As the investment adviser to the Funds, AWM holds sole voting and investment power over 517,000 Shares of common stock of the Issuer (the Shares) held by CAYMAN, 1,551,000 Shares held by SSFQP and 886,545 Shares held by SSPE.</w:t>
      </w:r>
    </w:p>
    <w:p>
      <w:pPr>
        <w:spacing w:after="0" w:line="2" w:lineRule="exact"/>
        <w:rPr>
          <w:rFonts w:ascii="Arial" w:cs="Arial" w:eastAsia="Arial" w:hAnsi="Arial"/>
          <w:sz w:val="12"/>
          <w:szCs w:val="12"/>
          <w:color w:val="008000"/>
        </w:rPr>
      </w:pPr>
    </w:p>
    <w:p>
      <w:pPr>
        <w:ind w:left="40" w:right="1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Adam C. Stettner</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08/04/2017</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5264"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2019-12-04T01:35:00Z</dcterms:created>
  <dcterms:modified xsi:type="dcterms:W3CDTF">2019-12-04T01:35:00Z</dcterms:modified>
</cp:coreProperties>
</file>