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July 22, 2010, the Company announced that the units it issued in its recent initial public offering will separate into the underlying shares of common stock and warrants upon the commencement of trading on July 27, 2010. Each unit consists of one share of common stock and two warrants. Each warrant entitles its holder to purchase one share of common stock at $5.06 per share and will expire on June 21, 2015.</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copy of the Company’s press release, dated July 22, 2010, concerning the separation of the units is attached hereto as Exhibit 99.1 and is incorporated herein by reference.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22, 2010</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27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color w:val="auto"/>
              </w:rPr>
              <w:t>Dated: July 22, 2010</w:t>
            </w:r>
          </w:p>
        </w:tc>
        <w:tc>
          <w:tcPr>
            <w:tcW w:w="3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VRINGO, INC.</w:t>
            </w:r>
          </w:p>
        </w:tc>
        <w:tc>
          <w:tcPr>
            <w:tcW w:w="4240" w:type="dxa"/>
            <w:vAlign w:val="bottom"/>
          </w:tcPr>
          <w:p>
            <w:pPr>
              <w:spacing w:after="0"/>
              <w:rPr>
                <w:sz w:val="19"/>
                <w:szCs w:val="19"/>
                <w:color w:val="auto"/>
              </w:rPr>
            </w:pPr>
          </w:p>
        </w:tc>
      </w:tr>
      <w:tr>
        <w:trPr>
          <w:trHeight w:val="433"/>
        </w:trPr>
        <w:tc>
          <w:tcPr>
            <w:tcW w:w="3480" w:type="dxa"/>
            <w:vAlign w:val="bottom"/>
          </w:tcPr>
          <w:p>
            <w:pPr>
              <w:spacing w:after="0"/>
              <w:rPr>
                <w:sz w:val="24"/>
                <w:szCs w:val="24"/>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1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16"/>
        </w:trPr>
        <w:tc>
          <w:tcPr>
            <w:tcW w:w="3480" w:type="dxa"/>
            <w:vAlign w:val="bottom"/>
          </w:tcPr>
          <w:p>
            <w:pPr>
              <w:spacing w:after="0"/>
              <w:rPr>
                <w:sz w:val="18"/>
                <w:szCs w:val="18"/>
                <w:color w:val="auto"/>
              </w:rPr>
            </w:pPr>
          </w:p>
        </w:tc>
        <w:tc>
          <w:tcPr>
            <w:tcW w:w="3700" w:type="dxa"/>
            <w:vAlign w:val="bottom"/>
            <w:gridSpan w:val="2"/>
          </w:tcPr>
          <w:p>
            <w:pPr>
              <w:ind w:left="2000"/>
              <w:spacing w:after="0"/>
              <w:rPr>
                <w:sz w:val="20"/>
                <w:szCs w:val="20"/>
                <w:color w:val="auto"/>
              </w:rPr>
            </w:pPr>
            <w:r>
              <w:rPr>
                <w:rFonts w:ascii="Arial" w:cs="Arial" w:eastAsia="Arial" w:hAnsi="Arial"/>
                <w:sz w:val="18"/>
                <w:szCs w:val="18"/>
                <w:color w:val="auto"/>
              </w:rPr>
              <w:t>Name:</w:t>
            </w:r>
          </w:p>
        </w:tc>
        <w:tc>
          <w:tcPr>
            <w:tcW w:w="4240" w:type="dxa"/>
            <w:vAlign w:val="bottom"/>
          </w:tcPr>
          <w:p>
            <w:pPr>
              <w:jc w:val="center"/>
              <w:ind w:right="1046"/>
              <w:spacing w:after="0"/>
              <w:rPr>
                <w:sz w:val="20"/>
                <w:szCs w:val="20"/>
                <w:color w:val="auto"/>
              </w:rPr>
            </w:pPr>
            <w:r>
              <w:rPr>
                <w:rFonts w:ascii="Arial" w:cs="Arial" w:eastAsia="Arial" w:hAnsi="Arial"/>
                <w:sz w:val="14"/>
                <w:szCs w:val="14"/>
                <w:b w:val="1"/>
                <w:bCs w:val="1"/>
                <w:color w:val="auto"/>
                <w:w w:val="90"/>
              </w:rPr>
              <w:t>Andrew Perlman</w:t>
            </w:r>
          </w:p>
        </w:tc>
      </w:tr>
      <w:tr>
        <w:trPr>
          <w:trHeight w:val="237"/>
        </w:trPr>
        <w:tc>
          <w:tcPr>
            <w:tcW w:w="3480" w:type="dxa"/>
            <w:vAlign w:val="bottom"/>
          </w:tcPr>
          <w:p>
            <w:pPr>
              <w:spacing w:after="0"/>
              <w:rPr>
                <w:sz w:val="20"/>
                <w:szCs w:val="20"/>
                <w:color w:val="auto"/>
              </w:rPr>
            </w:pPr>
          </w:p>
        </w:tc>
        <w:tc>
          <w:tcPr>
            <w:tcW w:w="3700" w:type="dxa"/>
            <w:vAlign w:val="bottom"/>
            <w:gridSpan w:val="2"/>
          </w:tcPr>
          <w:p>
            <w:pPr>
              <w:ind w:left="2000"/>
              <w:spacing w:after="0"/>
              <w:rPr>
                <w:sz w:val="20"/>
                <w:szCs w:val="20"/>
                <w:color w:val="auto"/>
              </w:rPr>
            </w:pPr>
            <w:r>
              <w:rPr>
                <w:rFonts w:ascii="Arial" w:cs="Arial" w:eastAsia="Arial" w:hAnsi="Arial"/>
                <w:sz w:val="18"/>
                <w:szCs w:val="18"/>
                <w:color w:val="auto"/>
              </w:rPr>
              <w:t>Title:</w:t>
            </w:r>
          </w:p>
        </w:tc>
        <w:tc>
          <w:tcPr>
            <w:tcW w:w="42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President</w:t>
            </w:r>
          </w:p>
        </w:tc>
      </w:tr>
      <w:tr>
        <w:trPr>
          <w:trHeight w:val="350"/>
        </w:trPr>
        <w:tc>
          <w:tcPr>
            <w:tcW w:w="3480" w:type="dxa"/>
            <w:vAlign w:val="bottom"/>
          </w:tcPr>
          <w:p>
            <w:pPr>
              <w:spacing w:after="0"/>
              <w:rPr>
                <w:sz w:val="24"/>
                <w:szCs w:val="24"/>
                <w:color w:val="auto"/>
              </w:rPr>
            </w:pPr>
          </w:p>
        </w:tc>
        <w:tc>
          <w:tcPr>
            <w:tcW w:w="2580" w:type="dxa"/>
            <w:vAlign w:val="bottom"/>
          </w:tcPr>
          <w:p>
            <w:pPr>
              <w:ind w:left="2200"/>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9225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22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Contacts:</w:t>
            </w:r>
          </w:p>
        </w:tc>
        <w:tc>
          <w:tcPr>
            <w:tcW w:w="2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Investor Relations Firm:</w:t>
            </w:r>
          </w:p>
        </w:tc>
        <w:tc>
          <w:tcPr>
            <w:tcW w:w="0" w:type="dxa"/>
            <w:vAlign w:val="bottom"/>
          </w:tcPr>
          <w:p>
            <w:pPr>
              <w:spacing w:after="0"/>
              <w:rPr>
                <w:sz w:val="1"/>
                <w:szCs w:val="1"/>
                <w:color w:val="auto"/>
              </w:rPr>
            </w:pPr>
          </w:p>
        </w:tc>
      </w:tr>
      <w:tr>
        <w:trPr>
          <w:trHeight w:val="184"/>
        </w:trPr>
        <w:tc>
          <w:tcPr>
            <w:tcW w:w="6060" w:type="dxa"/>
            <w:vAlign w:val="bottom"/>
            <w:gridSpan w:val="4"/>
          </w:tcPr>
          <w:p>
            <w:pPr>
              <w:spacing w:after="0" w:line="184" w:lineRule="exact"/>
              <w:rPr>
                <w:sz w:val="20"/>
                <w:szCs w:val="20"/>
                <w:color w:val="auto"/>
              </w:rPr>
            </w:pPr>
            <w:r>
              <w:rPr>
                <w:rFonts w:ascii="Arial" w:cs="Arial" w:eastAsia="Arial" w:hAnsi="Arial"/>
                <w:sz w:val="18"/>
                <w:szCs w:val="18"/>
                <w:color w:val="auto"/>
              </w:rPr>
              <w:t>Vringo, Inc.</w:t>
            </w:r>
          </w:p>
        </w:tc>
        <w:tc>
          <w:tcPr>
            <w:tcW w:w="2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Ellen Cohl</w:t>
            </w:r>
          </w:p>
        </w:tc>
        <w:tc>
          <w:tcPr>
            <w:tcW w:w="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4"/>
            <w:vMerge w:val="continue"/>
          </w:tcPr>
          <w:p>
            <w:pPr>
              <w:spacing w:after="0"/>
              <w:rPr>
                <w:sz w:val="19"/>
                <w:szCs w:val="19"/>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w w:val="97"/>
              </w:rPr>
              <w:t>Crescendo Communications, LLC</w:t>
            </w:r>
          </w:p>
        </w:tc>
        <w:tc>
          <w:tcPr>
            <w:tcW w:w="0" w:type="dxa"/>
            <w:vAlign w:val="bottom"/>
          </w:tcPr>
          <w:p>
            <w:pPr>
              <w:spacing w:after="0"/>
              <w:rPr>
                <w:sz w:val="1"/>
                <w:szCs w:val="1"/>
                <w:color w:val="auto"/>
              </w:rPr>
            </w:pPr>
          </w:p>
        </w:tc>
      </w:tr>
      <w:tr>
        <w:trPr>
          <w:trHeight w:val="228"/>
        </w:trPr>
        <w:tc>
          <w:tcPr>
            <w:tcW w:w="6060" w:type="dxa"/>
            <w:vAlign w:val="bottom"/>
            <w:gridSpan w:val="4"/>
          </w:tcPr>
          <w:p>
            <w:pPr>
              <w:spacing w:after="0"/>
              <w:rPr>
                <w:sz w:val="20"/>
                <w:szCs w:val="20"/>
                <w:color w:val="auto"/>
              </w:rPr>
            </w:pPr>
            <w:r>
              <w:rPr>
                <w:rFonts w:ascii="Arial" w:cs="Arial" w:eastAsia="Arial" w:hAnsi="Arial"/>
                <w:sz w:val="18"/>
                <w:szCs w:val="18"/>
                <w:color w:val="auto"/>
              </w:rPr>
              <w:t>VP, Corporate Governance</w:t>
            </w:r>
          </w:p>
        </w:tc>
        <w:tc>
          <w:tcPr>
            <w:tcW w:w="2640" w:type="dxa"/>
            <w:vAlign w:val="bottom"/>
            <w:gridSpan w:val="4"/>
          </w:tcPr>
          <w:p>
            <w:pPr>
              <w:spacing w:after="0"/>
              <w:rPr>
                <w:sz w:val="20"/>
                <w:szCs w:val="20"/>
                <w:color w:val="auto"/>
              </w:rPr>
            </w:pPr>
            <w:r>
              <w:rPr>
                <w:rFonts w:ascii="Arial" w:cs="Arial" w:eastAsia="Arial" w:hAnsi="Arial"/>
                <w:sz w:val="18"/>
                <w:szCs w:val="18"/>
                <w:b w:val="1"/>
                <w:bCs w:val="1"/>
                <w:color w:val="auto"/>
                <w:w w:val="91"/>
              </w:rPr>
              <w:t>John J. Quirk / David K. Waldman</w:t>
            </w:r>
          </w:p>
        </w:tc>
        <w:tc>
          <w:tcPr>
            <w:tcW w:w="0" w:type="dxa"/>
            <w:vAlign w:val="bottom"/>
          </w:tcPr>
          <w:p>
            <w:pPr>
              <w:spacing w:after="0"/>
              <w:rPr>
                <w:sz w:val="1"/>
                <w:szCs w:val="1"/>
                <w:color w:val="auto"/>
              </w:rPr>
            </w:pPr>
          </w:p>
        </w:tc>
      </w:tr>
      <w:tr>
        <w:trPr>
          <w:trHeight w:val="191"/>
        </w:trPr>
        <w:tc>
          <w:tcPr>
            <w:tcW w:w="6060" w:type="dxa"/>
            <w:vAlign w:val="bottom"/>
            <w:gridSpan w:val="4"/>
          </w:tcPr>
          <w:p>
            <w:pPr>
              <w:spacing w:after="0" w:line="191" w:lineRule="exact"/>
              <w:rPr>
                <w:sz w:val="20"/>
                <w:szCs w:val="20"/>
                <w:color w:val="auto"/>
              </w:rPr>
            </w:pPr>
            <w:r>
              <w:rPr>
                <w:rFonts w:ascii="Arial" w:cs="Arial" w:eastAsia="Arial" w:hAnsi="Arial"/>
                <w:sz w:val="18"/>
                <w:szCs w:val="18"/>
                <w:color w:val="auto"/>
              </w:rPr>
              <w:t>Email: ir@vringo.com</w:t>
            </w:r>
          </w:p>
        </w:tc>
        <w:tc>
          <w:tcPr>
            <w:tcW w:w="2640" w:type="dxa"/>
            <w:vAlign w:val="bottom"/>
            <w:gridSpan w:val="4"/>
          </w:tcPr>
          <w:p>
            <w:pPr>
              <w:spacing w:after="0" w:line="191" w:lineRule="exact"/>
              <w:rPr>
                <w:sz w:val="20"/>
                <w:szCs w:val="20"/>
                <w:color w:val="auto"/>
              </w:rPr>
            </w:pPr>
            <w:r>
              <w:rPr>
                <w:rFonts w:ascii="Arial" w:cs="Arial" w:eastAsia="Arial" w:hAnsi="Arial"/>
                <w:sz w:val="18"/>
                <w:szCs w:val="18"/>
                <w:color w:val="auto"/>
              </w:rPr>
              <w:t>Email: vrng@crescendo-ir.com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60" w:type="dxa"/>
            <w:vAlign w:val="bottom"/>
            <w:gridSpan w:val="4"/>
          </w:tcPr>
          <w:p>
            <w:pPr>
              <w:spacing w:after="0"/>
              <w:rPr>
                <w:sz w:val="20"/>
                <w:szCs w:val="20"/>
                <w:color w:val="auto"/>
              </w:rPr>
            </w:pPr>
            <w:r>
              <w:rPr>
                <w:rFonts w:ascii="Arial" w:cs="Arial" w:eastAsia="Arial" w:hAnsi="Arial"/>
                <w:sz w:val="18"/>
                <w:szCs w:val="18"/>
                <w:color w:val="auto"/>
              </w:rPr>
              <w:t>Phone: +1 646-525-4319</w:t>
            </w:r>
          </w:p>
        </w:tc>
        <w:tc>
          <w:tcPr>
            <w:tcW w:w="2640" w:type="dxa"/>
            <w:vAlign w:val="bottom"/>
            <w:gridSpan w:val="4"/>
          </w:tcPr>
          <w:p>
            <w:pPr>
              <w:spacing w:after="0"/>
              <w:rPr>
                <w:sz w:val="20"/>
                <w:szCs w:val="20"/>
                <w:color w:val="auto"/>
              </w:rPr>
            </w:pPr>
            <w:r>
              <w:rPr>
                <w:rFonts w:ascii="Arial" w:cs="Arial" w:eastAsia="Arial" w:hAnsi="Arial"/>
                <w:sz w:val="18"/>
                <w:szCs w:val="18"/>
                <w:color w:val="auto"/>
              </w:rPr>
              <w:t>Phone: +1 212-671-1020</w:t>
            </w:r>
          </w:p>
        </w:tc>
        <w:tc>
          <w:tcPr>
            <w:tcW w:w="0" w:type="dxa"/>
            <w:vAlign w:val="bottom"/>
          </w:tcPr>
          <w:p>
            <w:pPr>
              <w:spacing w:after="0"/>
              <w:rPr>
                <w:sz w:val="1"/>
                <w:szCs w:val="1"/>
                <w:color w:val="auto"/>
              </w:rPr>
            </w:pPr>
          </w:p>
        </w:tc>
      </w:tr>
      <w:tr>
        <w:trPr>
          <w:trHeight w:val="340"/>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FOR IMMEDIATE RELEASE</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Units to Separate on July 27, 2010</w:t>
      </w:r>
    </w:p>
    <w:p>
      <w:pPr>
        <w:spacing w:after="0" w:line="171"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b w:val="1"/>
          <w:bCs w:val="1"/>
          <w:color w:val="auto"/>
        </w:rPr>
        <w:t xml:space="preserve">July 22, 2010 – NEW YORK </w:t>
      </w:r>
      <w:r>
        <w:rPr>
          <w:rFonts w:ascii="Arial" w:cs="Arial" w:eastAsia="Arial" w:hAnsi="Arial"/>
          <w:sz w:val="15"/>
          <w:szCs w:val="15"/>
          <w:color w:val="auto"/>
        </w:rPr>
        <w:t>– Vringo, Inc., (NYSE Amex: VRNGU, VRNG, VRNGW) a provider of video ringtones and personalization solutions for mobile</w:t>
      </w:r>
      <w:r>
        <w:rPr>
          <w:rFonts w:ascii="Arial" w:cs="Arial" w:eastAsia="Arial" w:hAnsi="Arial"/>
          <w:sz w:val="15"/>
          <w:szCs w:val="15"/>
          <w:b w:val="1"/>
          <w:bCs w:val="1"/>
          <w:color w:val="auto"/>
        </w:rPr>
        <w:t xml:space="preserve"> </w:t>
      </w:r>
      <w:r>
        <w:rPr>
          <w:rFonts w:ascii="Arial" w:cs="Arial" w:eastAsia="Arial" w:hAnsi="Arial"/>
          <w:sz w:val="15"/>
          <w:szCs w:val="15"/>
          <w:color w:val="auto"/>
        </w:rPr>
        <w:t>devices, today announced that the units issued in its initial public offering and trading under the ticker “VRNGU” will separate into their underlying shares of common stock and warrants upon the commencement of trading on Tuesday, July 27. Each unit consists of one share of common stock and two warrants. Each warrant entitles the holder to purchase one share of common stock at an exercise price of $5.06 per share and expires, if not exercised, on June 21, 2015.</w:t>
      </w:r>
    </w:p>
    <w:p>
      <w:pPr>
        <w:spacing w:after="0" w:line="9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Upon the commencement of trading on July 27, 2010, each unit will automatically separate into its underlying share of common stock and two warrants. The common stock and warrants will trade separately on the NYSE Amex under the symbols “VRNG” and “VRNGW,” respectively. The units, which are currently traded under the symbol “VRNGU,” are expected to no longer be listed on the NYSE Amex following the separation.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Founded in 2006, Vringo is bringing about the evolution of ringtones. With its award-winning video ringtone application and Web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For more information, visit </w:t>
      </w:r>
      <w:r>
        <w:rPr>
          <w:rFonts w:ascii="Arial" w:cs="Arial" w:eastAsia="Arial" w:hAnsi="Arial"/>
          <w:sz w:val="18"/>
          <w:szCs w:val="18"/>
          <w:u w:val="single" w:color="auto"/>
          <w:color w:val="auto"/>
        </w:rPr>
        <w:t>http://www.vringo.com</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www.vringo.com/p_video_ringtones.html</w:t>
      </w:r>
      <w:r>
        <w:rPr>
          <w:rFonts w:ascii="Arial" w:cs="Arial" w:eastAsia="Arial" w:hAnsi="Arial"/>
          <w:sz w:val="18"/>
          <w:szCs w:val="18"/>
          <w:color w:val="auto"/>
        </w:rPr>
        <w:t>.</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2019-12-11T05:19:55Z</dcterms:created>
  <dcterms:modified xsi:type="dcterms:W3CDTF">2019-12-11T05:19:55Z</dcterms:modified>
</cp:coreProperties>
</file>