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2011</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59"/>
        </w:trPr>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0" w:type="dxa"/>
            <w:vAlign w:val="bottom"/>
            <w:gridSpan w:val="6"/>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Commission file number: 001-34785</w:t>
            </w:r>
          </w:p>
        </w:tc>
      </w:tr>
      <w:tr>
        <w:trPr>
          <w:trHeight w:val="351"/>
        </w:trPr>
        <w:tc>
          <w:tcPr>
            <w:tcW w:w="1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r>
        <w:trPr>
          <w:trHeight w:val="565"/>
        </w:trPr>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tcPr>
          <w:p>
            <w:pPr>
              <w:jc w:val="center"/>
              <w:ind w:left="461"/>
              <w:spacing w:after="0"/>
              <w:rPr>
                <w:sz w:val="20"/>
                <w:szCs w:val="20"/>
                <w:color w:val="auto"/>
              </w:rPr>
            </w:pPr>
            <w:r>
              <w:rPr>
                <w:rFonts w:ascii="Times New Roman" w:cs="Times New Roman" w:eastAsia="Times New Roman" w:hAnsi="Times New Roman"/>
                <w:sz w:val="22"/>
                <w:szCs w:val="22"/>
                <w:b w:val="1"/>
                <w:bCs w:val="1"/>
                <w:color w:val="auto"/>
                <w:w w:val="97"/>
              </w:rPr>
              <w:t>VRINGO, INC.</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20" w:type="dxa"/>
            <w:vAlign w:val="bottom"/>
            <w:gridSpan w:val="7"/>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351"/>
        </w:trPr>
        <w:tc>
          <w:tcPr>
            <w:tcW w:w="1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r>
        <w:trPr>
          <w:trHeight w:val="520"/>
        </w:trPr>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20" w:type="dxa"/>
            <w:vAlign w:val="bottom"/>
            <w:gridSpan w:val="2"/>
          </w:tcPr>
          <w:p>
            <w:pPr>
              <w:spacing w:after="0"/>
              <w:rPr>
                <w:sz w:val="24"/>
                <w:szCs w:val="24"/>
                <w:color w:val="auto"/>
              </w:rPr>
            </w:pPr>
          </w:p>
        </w:tc>
        <w:tc>
          <w:tcPr>
            <w:tcW w:w="4800" w:type="dxa"/>
            <w:vAlign w:val="bottom"/>
            <w:gridSpan w:val="5"/>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0"/>
        </w:trPr>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4"/>
        </w:trPr>
        <w:tc>
          <w:tcPr>
            <w:tcW w:w="1260" w:type="dxa"/>
            <w:vAlign w:val="bottom"/>
          </w:tcPr>
          <w:p>
            <w:pPr>
              <w:spacing w:after="0"/>
              <w:rPr>
                <w:sz w:val="18"/>
                <w:szCs w:val="18"/>
                <w:color w:val="auto"/>
              </w:rPr>
            </w:pPr>
          </w:p>
        </w:tc>
        <w:tc>
          <w:tcPr>
            <w:tcW w:w="5380" w:type="dxa"/>
            <w:vAlign w:val="bottom"/>
            <w:gridSpan w:val="4"/>
          </w:tcPr>
          <w:p>
            <w:pPr>
              <w:jc w:val="center"/>
              <w:ind w:right="2301"/>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0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1260" w:type="dxa"/>
            <w:vAlign w:val="bottom"/>
          </w:tcPr>
          <w:p>
            <w:pPr>
              <w:spacing w:after="0"/>
              <w:rPr>
                <w:sz w:val="20"/>
                <w:szCs w:val="20"/>
                <w:color w:val="auto"/>
              </w:rPr>
            </w:pPr>
          </w:p>
        </w:tc>
        <w:tc>
          <w:tcPr>
            <w:tcW w:w="5380" w:type="dxa"/>
            <w:vAlign w:val="bottom"/>
            <w:gridSpan w:val="4"/>
          </w:tcPr>
          <w:p>
            <w:pPr>
              <w:jc w:val="center"/>
              <w:ind w:right="2301"/>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80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92"/>
        </w:trPr>
        <w:tc>
          <w:tcPr>
            <w:tcW w:w="1260" w:type="dxa"/>
            <w:vAlign w:val="bottom"/>
          </w:tcPr>
          <w:p>
            <w:pPr>
              <w:spacing w:after="0"/>
              <w:rPr>
                <w:sz w:val="24"/>
                <w:szCs w:val="24"/>
                <w:color w:val="auto"/>
              </w:rPr>
            </w:pPr>
          </w:p>
        </w:tc>
        <w:tc>
          <w:tcPr>
            <w:tcW w:w="5380" w:type="dxa"/>
            <w:vAlign w:val="bottom"/>
            <w:gridSpan w:val="4"/>
          </w:tcPr>
          <w:p>
            <w:pPr>
              <w:jc w:val="center"/>
              <w:ind w:right="2301"/>
              <w:spacing w:after="0"/>
              <w:rPr>
                <w:sz w:val="20"/>
                <w:szCs w:val="20"/>
                <w:color w:val="auto"/>
              </w:rPr>
            </w:pPr>
            <w:r>
              <w:rPr>
                <w:rFonts w:ascii="Times New Roman" w:cs="Times New Roman" w:eastAsia="Times New Roman" w:hAnsi="Times New Roman"/>
                <w:sz w:val="18"/>
                <w:szCs w:val="18"/>
                <w:b w:val="1"/>
                <w:bCs w:val="1"/>
                <w:color w:val="auto"/>
                <w:w w:val="97"/>
              </w:rPr>
              <w:t>44 W. 28th Street New York, New York</w:t>
            </w:r>
          </w:p>
        </w:tc>
        <w:tc>
          <w:tcPr>
            <w:tcW w:w="24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10001</w:t>
            </w:r>
          </w:p>
        </w:tc>
        <w:tc>
          <w:tcPr>
            <w:tcW w:w="232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237"/>
        </w:trPr>
        <w:tc>
          <w:tcPr>
            <w:tcW w:w="6640" w:type="dxa"/>
            <w:vAlign w:val="bottom"/>
            <w:gridSpan w:val="5"/>
          </w:tcPr>
          <w:p>
            <w:pPr>
              <w:jc w:val="center"/>
              <w:ind w:right="104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20" w:type="dxa"/>
            <w:vAlign w:val="bottom"/>
          </w:tcPr>
          <w:p>
            <w:pPr>
              <w:spacing w:after="0"/>
              <w:rPr>
                <w:sz w:val="20"/>
                <w:szCs w:val="20"/>
                <w:color w:val="auto"/>
              </w:rPr>
            </w:pPr>
          </w:p>
        </w:tc>
        <w:tc>
          <w:tcPr>
            <w:tcW w:w="3180" w:type="dxa"/>
            <w:vAlign w:val="bottom"/>
            <w:gridSpan w:val="4"/>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(646) 525-4319</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18 East 16th Street, 7th Floor, New York, New York 10003</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06"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40"/>
          </w:cols>
          <w:pgMar w:left="240" w:top="662" w:right="219" w:bottom="1440" w:gutter="0" w:footer="0" w:header="0"/>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160" w:space="720"/>
            <w:col w:w="4400" w:space="720"/>
            <w:col w:w="2140" w:space="720"/>
            <w:col w:w="580"/>
          </w:cols>
          <w:pgMar w:left="240" w:top="662" w:right="21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2" w:lineRule="exact"/>
        <w:rPr>
          <w:sz w:val="24"/>
          <w:szCs w:val="24"/>
          <w:color w:val="auto"/>
        </w:rPr>
      </w:pPr>
    </w:p>
    <w:p>
      <w:pPr>
        <w:sectPr>
          <w:pgSz w:w="11900" w:h="16838" w:orient="portrait"/>
          <w:cols w:equalWidth="0" w:num="5">
            <w:col w:w="2160" w:space="720"/>
            <w:col w:w="160" w:space="80"/>
            <w:col w:w="4160" w:space="720"/>
            <w:col w:w="2140" w:space="720"/>
            <w:col w:w="580"/>
          </w:cols>
          <w:pgMar w:left="240" w:top="662" w:right="219" w:bottom="1440" w:gutter="0" w:footer="0" w:header="0"/>
          <w:type w:val="continuous"/>
        </w:sectPr>
      </w:pPr>
    </w:p>
    <w:p>
      <w:pPr>
        <w:spacing w:after="0" w:line="24" w:lineRule="exact"/>
        <w:rPr>
          <w:sz w:val="24"/>
          <w:szCs w:val="24"/>
          <w:color w:val="auto"/>
        </w:r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4"/>
          <w:szCs w:val="24"/>
          <w:color w:val="auto"/>
        </w:rPr>
      </w:pPr>
    </w:p>
    <w:p>
      <w:pPr>
        <w:sectPr>
          <w:pgSz w:w="11900" w:h="16838" w:orient="portrait"/>
          <w:cols w:equalWidth="0" w:num="2">
            <w:col w:w="8820" w:space="180"/>
            <w:col w:w="2440"/>
          </w:cols>
          <w:pgMar w:left="240" w:top="662" w:right="21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15, 2011, 6,136,613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727075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662"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VRINGO,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4T.</w:t>
            </w:r>
          </w:p>
        </w:tc>
        <w:tc>
          <w:tcPr>
            <w:tcW w:w="9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96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6.</w:t>
            </w:r>
          </w:p>
        </w:tc>
        <w:tc>
          <w:tcPr>
            <w:tcW w:w="9680" w:type="dxa"/>
            <w:vAlign w:val="bottom"/>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96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20" w:type="dxa"/>
            <w:vAlign w:val="bottom"/>
            <w:gridSpan w:val="2"/>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20" w:type="dxa"/>
            <w:vAlign w:val="bottom"/>
            <w:gridSpan w:val="2"/>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Vringo, Inc. and Subsidiary</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20" w:type="dxa"/>
            <w:vAlign w:val="bottom"/>
            <w:gridSpan w:val="2"/>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(a Development Stage Company)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20" w:type="dxa"/>
            <w:vAlign w:val="bottom"/>
            <w:gridSpan w:val="2"/>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2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2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4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1,051</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deposit (restricted)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gridSpan w:val="2"/>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gridSpan w:val="2"/>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deposit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20" w:type="dxa"/>
            <w:vAlign w:val="bottom"/>
            <w:gridSpan w:val="3"/>
            <w:shd w:val="clear" w:color="auto" w:fill="CCFFC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 at cost, net of $431 and $393 accumulated depreciation and amortization,</w:t>
            </w:r>
          </w:p>
        </w:tc>
        <w:tc>
          <w:tcPr>
            <w:tcW w:w="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w:t>
            </w: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as of June 30, 2011 and December 31, 2010, respectively</w:t>
            </w:r>
          </w:p>
        </w:tc>
        <w:tc>
          <w:tcPr>
            <w:tcW w:w="2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65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Deferred tax assets—long-term</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65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65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2011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short-term tax liabilities,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short-term severance pay</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venture loan</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1,901</w:t>
            </w:r>
          </w:p>
        </w:tc>
        <w:tc>
          <w:tcPr>
            <w:tcW w:w="2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FFC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Venture loan</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Derivative liabilities on account of warrants</w:t>
            </w:r>
          </w:p>
        </w:tc>
        <w:tc>
          <w:tcPr>
            <w:tcW w:w="4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1,725</w:t>
            </w:r>
          </w:p>
        </w:tc>
        <w:tc>
          <w:tcPr>
            <w:tcW w:w="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1,910</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4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Deficit in stockholders' equity</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gridSpan w:val="2"/>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5,000,000 authorized; none issued and outstanding as of</w:t>
            </w:r>
          </w:p>
        </w:tc>
        <w:tc>
          <w:tcPr>
            <w:tcW w:w="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June 30, 2011 and December 31, 2010</w:t>
            </w:r>
          </w:p>
        </w:tc>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28,000,000 authorized; 5,963,614 and 5,405,080 issued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outstanding as of June 30, 2011 and December 31, 2010 respectively</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30,867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(32,680)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deficit in stockholders' equity</w:t>
            </w:r>
          </w:p>
        </w:tc>
        <w:tc>
          <w:tcPr>
            <w:tcW w:w="2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(1,753)</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FFC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deficit in stockholders' equity</w:t>
            </w:r>
          </w:p>
        </w:tc>
        <w:tc>
          <w:tcPr>
            <w:tcW w:w="2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20" w:type="dxa"/>
            <w:vAlign w:val="bottom"/>
            <w:tcBorders>
              <w:top w:val="single" w:sz="8" w:color="CCFFCC"/>
              <w:bottom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500" w:right="2500" w:hanging="2492"/>
        <w:spacing w:after="0" w:line="564" w:lineRule="auto"/>
        <w:tabs>
          <w:tab w:leader="none" w:pos="3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recorded as of June 30, 2011 and December 31, 2010 include $21 and $20 to a related party, respectively. The accompanying notes form an integral part of these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 w:name="page5"/>
    <w:bookmarkEnd w:id="4"/>
    <w:p>
      <w:pPr>
        <w:ind w:left="4680"/>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78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inception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2700" w:type="dxa"/>
            <w:vAlign w:val="bottom"/>
            <w:gridSpan w:val="4"/>
            <w:vMerge w:val="continue"/>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2011</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60" w:type="dxa"/>
            <w:vAlign w:val="bottom"/>
            <w:tcBorders>
              <w:bottom w:val="single" w:sz="8" w:color="auto"/>
            </w:tcBorders>
          </w:tcPr>
          <w:p>
            <w:pPr>
              <w:jc w:val="right"/>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3"/>
                <w:szCs w:val="13"/>
                <w:color w:val="auto"/>
              </w:rPr>
            </w:pPr>
          </w:p>
        </w:tc>
        <w:tc>
          <w:tcPr>
            <w:tcW w:w="1140" w:type="dxa"/>
            <w:vAlign w:val="bottom"/>
            <w:tcBorders>
              <w:bottom w:val="single" w:sz="8" w:color="auto"/>
            </w:tcBorders>
          </w:tcPr>
          <w:p>
            <w:pPr>
              <w:jc w:val="right"/>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1140" w:type="dxa"/>
            <w:vAlign w:val="bottom"/>
            <w:tcBorders>
              <w:bottom w:val="single" w:sz="8" w:color="auto"/>
            </w:tcBorders>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3"/>
                <w:szCs w:val="13"/>
                <w:color w:val="auto"/>
              </w:rPr>
            </w:pPr>
          </w:p>
        </w:tc>
        <w:tc>
          <w:tcPr>
            <w:tcW w:w="1140" w:type="dxa"/>
            <w:vAlign w:val="bottom"/>
            <w:tcBorders>
              <w:bottom w:val="single" w:sz="8" w:color="auto"/>
            </w:tcBorders>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260" w:type="dxa"/>
            <w:vAlign w:val="bottom"/>
            <w:tcBorders>
              <w:left w:val="single" w:sz="8" w:color="CCFFCC"/>
            </w:tcBorders>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160" w:type="dxa"/>
            <w:vAlign w:val="bottom"/>
            <w:shd w:val="clear" w:color="auto" w:fill="CCFFCC"/>
          </w:tcPr>
          <w:p>
            <w:pPr>
              <w:spacing w:after="0"/>
              <w:rPr>
                <w:sz w:val="18"/>
                <w:szCs w:val="18"/>
                <w:color w:val="auto"/>
              </w:rPr>
            </w:pPr>
          </w:p>
        </w:tc>
        <w:tc>
          <w:tcPr>
            <w:tcW w:w="26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260" w:type="dxa"/>
            <w:vAlign w:val="bottom"/>
            <w:tcBorders>
              <w:left w:val="single" w:sz="8" w:color="CCFFCC"/>
            </w:tcBorders>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260" w:type="dxa"/>
            <w:vAlign w:val="bottom"/>
            <w:tcBorders>
              <w:left w:val="single" w:sz="8" w:color="CCFFCC"/>
            </w:tcBorders>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1,355</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Borders>
              <w:lef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3,710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(1,653)</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(1,729)</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(3,336)</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(2,994)</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(29,180)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142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and amortization of debt discount expense</w:t>
            </w:r>
          </w:p>
        </w:tc>
        <w:tc>
          <w:tcPr>
            <w:tcW w:w="14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(118)</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(3,355)</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(227)</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(4,009)</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the fair value of warrants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(663)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Gain on restructuring of venture loan</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c>
          <w:tcPr>
            <w:tcW w:w="260" w:type="dxa"/>
            <w:vAlign w:val="bottom"/>
            <w:tcBorders>
              <w:left w:val="single" w:sz="8" w:color="CCFFCC"/>
            </w:tcBorders>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963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60" w:type="dxa"/>
            <w:vAlign w:val="bottom"/>
            <w:tcBorders>
              <w:left w:val="single" w:sz="8" w:color="CCFFCC"/>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 on income</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(4,594)</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(2,569)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(1,504)</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(4,612)</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(2,613)</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(6,609)</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(32,680)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260" w:type="dxa"/>
            <w:vAlign w:val="bottom"/>
            <w:tcBorders>
              <w:left w:val="single" w:sz="8" w:color="CCFFCC"/>
            </w:tcBorders>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used in computing basic</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5,845,738</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5,784,337</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dilutive net loss per common share</w:t>
            </w:r>
          </w:p>
        </w:tc>
        <w:tc>
          <w:tcPr>
            <w:tcW w:w="11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887,567</w:t>
            </w:r>
          </w:p>
        </w:tc>
        <w:tc>
          <w:tcPr>
            <w:tcW w:w="11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627,174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0" w:lineRule="exact"/>
        <w:rPr>
          <w:sz w:val="20"/>
          <w:szCs w:val="20"/>
          <w:color w:val="auto"/>
        </w:rPr>
      </w:pPr>
    </w:p>
    <w:p>
      <w:pPr>
        <w:ind w:left="340" w:right="1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recorded for the three and six months ending June 30, 2011 and 2010 and the cumulative period from inception include $31, $162, $31, $89 and $1,213, respectively, to related 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preferred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stage</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9, 2006 (inception)</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A convertible preferred stock, net of</w:t>
            </w: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issuance costs of $33</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2,321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2006</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2,288</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(1,481)</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as part of conversion of convertible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Discounts to temporary equity</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2007</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2,578</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(6,644)</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(7,332)</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preferred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stage</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2008</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2,960</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(13,976)</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 modification</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forfeiture—non employees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(6,149)</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Issuance of common stock, net of issuance costs of $1,768</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9,239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9,263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of series A convertible preferred stock for common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Conversion of Bridge notes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2,536</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883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Exercise of warrants to charity</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 of warrants to lead investors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warrants to charity</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Reverse stock split</w:t>
            </w:r>
          </w:p>
        </w:tc>
        <w:tc>
          <w:tcPr>
            <w:tcW w:w="14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of series B convertible preferred stock for common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Cashless exercise of warrants to charity</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2010</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29,774</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(30,067)</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forfeitures—employees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stock options, net of forfeitures—non employees</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Issuance of shares to a consultant</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in connection with restructuring of venture</w:t>
            </w: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210</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213</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w:t>
            </w:r>
          </w:p>
        </w:tc>
        <w:tc>
          <w:tcPr>
            <w:tcW w:w="142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Grants of warrants to charity</w:t>
            </w:r>
          </w:p>
        </w:tc>
        <w:tc>
          <w:tcPr>
            <w:tcW w:w="1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(2,613)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2011</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4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30,867</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(32,680)</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Consideration for less than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from inception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7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(2,613)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Adjustments to reconcile net cash flows used in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not affecting cash flows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tax assets and liabilities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(decrease) in accrued severance pay</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(179)</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2,398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fair value of warrants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Gain on restructuring of venture loan</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Exchange rate (gains) losses</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current assets and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Decrease (increase) in receivables, prepaid expenses and other current assets</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payables and accruals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(2,916)</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(2,787)</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lease deposits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 in restricted short-term deposits and cash equivalents</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2,582</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(1,059)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from inception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7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Receipt of a venture loan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Repayment on account of venture loan</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(1,034)</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Receipt of convertible loans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Issuance of convertible preferred stock</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 and warrants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380" w:type="dxa"/>
            <w:vAlign w:val="bottom"/>
            <w:gridSpan w:val="2"/>
            <w:shd w:val="clear" w:color="auto" w:fill="D0FFD0"/>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(1,031)</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color w:val="auto"/>
              </w:rPr>
              <w:t>9,186</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28,931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D0FFD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D0FFD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D0FFD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D0FFD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380" w:type="dxa"/>
            <w:vAlign w:val="bottom"/>
            <w:gridSpan w:val="2"/>
            <w:shd w:val="clear" w:color="auto" w:fill="D0FFD0"/>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(5,000)</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color w:val="auto"/>
              </w:rPr>
              <w:t>8,948</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5,407</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60" w:type="dxa"/>
            <w:vAlign w:val="bottom"/>
            <w:shd w:val="clear" w:color="auto" w:fill="D0FFD0"/>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220" w:type="dxa"/>
            <w:vAlign w:val="bottom"/>
            <w:shd w:val="clear" w:color="auto" w:fill="D0FFD0"/>
          </w:tcPr>
          <w:p>
            <w:pPr>
              <w:spacing w:after="0"/>
              <w:rPr>
                <w:sz w:val="22"/>
                <w:szCs w:val="22"/>
                <w:color w:val="auto"/>
              </w:rPr>
            </w:pP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color w:val="auto"/>
              </w:rPr>
              <w:t>9,692</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D0FFD0"/>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D0FFD0"/>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D0FFD0"/>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D0FFD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8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transactions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Conversion of convertible loan into convertible preferred stock</w:t>
            </w:r>
          </w:p>
        </w:tc>
        <w:tc>
          <w:tcPr>
            <w:tcW w:w="138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 debt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Discount to the series B convertible preferred stock</w:t>
            </w:r>
          </w:p>
        </w:tc>
        <w:tc>
          <w:tcPr>
            <w:tcW w:w="138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fair value of loan warrants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Allocation of fair value of conversion warrants</w:t>
            </w:r>
          </w:p>
        </w:tc>
        <w:tc>
          <w:tcPr>
            <w:tcW w:w="138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color w:val="auto"/>
              </w:rPr>
              <w:t>1,564</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Exchange of series B convertible preferred stock for common stock</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Exchange of series A convertible preferred stock for common stock</w:t>
            </w:r>
          </w:p>
        </w:tc>
        <w:tc>
          <w:tcPr>
            <w:tcW w:w="138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bridge notes into common stock</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0FFD0"/>
          </w:tcPr>
          <w:p>
            <w:pPr>
              <w:spacing w:after="0"/>
              <w:rPr>
                <w:sz w:val="20"/>
                <w:szCs w:val="20"/>
                <w:color w:val="auto"/>
              </w:rPr>
            </w:pPr>
            <w:r>
              <w:rPr>
                <w:rFonts w:ascii="Times New Roman" w:cs="Times New Roman" w:eastAsia="Times New Roman" w:hAnsi="Times New Roman"/>
                <w:sz w:val="18"/>
                <w:szCs w:val="18"/>
                <w:color w:val="auto"/>
              </w:rPr>
              <w:t>Amortization of discounts to temporary equity</w:t>
            </w:r>
          </w:p>
        </w:tc>
        <w:tc>
          <w:tcPr>
            <w:tcW w:w="138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D0FFD0"/>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shd w:val="clear" w:color="auto" w:fill="D0FFD0"/>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in consideration of restructuring of venture loan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1—General</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engaged in developing software platforms and applications for mobile phones. The Company provides a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is still significant doubt as to the ability of the Company to continue operating as a "going concern". The Company has incurred significant losses since its inception and expects that it will continue to operate at a net loss in the foreseeable future. For the three and six month periods ended June 30, 2011 and for the cumulative period from inception until June 30, 2011, the Company incurred net losses of $1.5 million, $2.6 million and $32.7 million, respectively. The Company's deficit in stockholders' equity as of June 30, 2011 was $1.8 million.</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July 2011, after the balance sheet date, the Company signed a non-binding Letter of Intent to acquire substantially all the assets, and assume substantially all of the liabilities, of Zlango Ltd. (see Note 8 b). The consummation of the transaction is subject to the signing of a definitive agreement, completion of due diligence investigation and receipt of regulatory and stockholder approval. In addition, during July 2011, the Company raised an aggregate amount of $2.5 million through the issuance of convertible notes in a private placement and intends to seek additional financing. There is no assurance that the subsequent financing will be consummated. Should it not be consummated by January 1, 2012, the convertible notes will be repayable in full, unless earlier converted (see Note 8 c). Based on the above, the Company has sufficient cash to meet planned operating needs into the first quarter of 2012.</w:t>
      </w:r>
    </w:p>
    <w:p>
      <w:pPr>
        <w:spacing w:after="0" w:line="188"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18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2011, approximately $180 thousand of the Company's net liabilities were located outside of the United States.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and Reporting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17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These financial statements should be read in conjunction with the consolidated financial statements and related notes for the year ended December 31, 2010. The results of operations for the three and six month period ended June 30, 2011 are not necessarily indicative of the results that may be expected for the entire fiscal year or for any other interim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Development stage enterprise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Translation into U.S. dollars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June 30, 2011, the exchange rate was U.S. $1 = NIS 3.415 (December 31, 2010—U.S. $1 = NIS 3.549). The average exchange rate for the three and six months ended June 30, 2011 was U.S. $1 = 3.441 NIS and U.S. $1 = 3.521 NIS, respectively (three and six months ended June 30, 2010— U.S. $1 = NIS 3.783 and US $1 = NIS 3.759, respectively).</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and Reporting Policies—(cont'd)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Accounting for share-based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Share-based compensation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fair value of stock options granted to management, employees and directors (except for the $5.50 options granted in 2010 and in 2011) is estimated at the date of grant using the Black-Scholes-Merton option-pricing model, which takes into consideration the share price at the date of grant, the exercise price of the option, the expected life of the option, risk-free interest rate, expected dividend and the expected volatility. The fair value of the stock options granted to management, employees and directors at an exercise price of $5.50 was valued using the Lattice model, which takes into consideration the share price at the date of grant, the exercise price of the option, the expected life of the option, risk free interest rate, expected dividend, and the expected volatility. The Company uses the Lattice option pricing model for the valuation of options that are not plain vanilla that are issued to management, employees and directors.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 of stock options granted to consultants is estimated at the date of grant using the Black-Scholes-Merton option-pricing model. In cases where no measurement date has been reached nor there is a counter-party performance commitment, the options are revalued at the reporting date. The options are valued using the share price, the exercise price of the option, the expected life of the option, risk-free interest rates and the expected volatility, at the reporting period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Impact of new accounting standards not yet adopted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May 2011, the FASB issued guidance to amend the accounting and disclosure requirements on fair value measurements (ASU 2011-04). The new guidance limits the highest-and-best-use measure to nonfinancial assets, permits certain financial assets and liabilities with offsetting positions in market or counterparty credit risks to be measured at a net basis, and provides guidance on the applicability of premiums and discounts. Additionally, the new guidance expands the disclosures on Level 3 inputs by requiring quantitative disclosure of the unobservable inputs and assumptions, as well as description of the valuation processes and the sensitivity of the fair value to changes in unobservable inputs. The new guidance will be effective beginning January 1, 2012. The Company does not anticipate a material impact on its financial statements upon adoption of the new requirements.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Net loss per share data</w:t>
      </w:r>
    </w:p>
    <w:p>
      <w:pPr>
        <w:spacing w:after="0" w:line="25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losses per common share: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2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June 30,</w:t>
            </w:r>
          </w:p>
        </w:tc>
        <w:tc>
          <w:tcPr>
            <w:tcW w:w="0" w:type="dxa"/>
            <w:vAlign w:val="bottom"/>
          </w:tcPr>
          <w:p>
            <w:pPr>
              <w:spacing w:after="0"/>
              <w:rPr>
                <w:sz w:val="1"/>
                <w:szCs w:val="1"/>
                <w:color w:val="auto"/>
              </w:rPr>
            </w:pPr>
          </w:p>
        </w:tc>
      </w:tr>
      <w:tr>
        <w:trPr>
          <w:trHeight w:val="223"/>
        </w:trPr>
        <w:tc>
          <w:tcPr>
            <w:tcW w:w="4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2011</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FFCC"/>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loss attributable to common stock shares (basic and</w:t>
            </w:r>
          </w:p>
        </w:tc>
        <w:tc>
          <w:tcPr>
            <w:tcW w:w="1420" w:type="dxa"/>
            <w:vAlign w:val="bottom"/>
            <w:gridSpan w:val="2"/>
            <w:vMerge w:val="restart"/>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(1,504)</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40" w:type="dxa"/>
            <w:vAlign w:val="bottom"/>
            <w:gridSpan w:val="2"/>
            <w:vMerge w:val="restart"/>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(2,613)</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gridSpan w:val="2"/>
            <w:vMerge w:val="continue"/>
            <w:shd w:val="clear" w:color="auto" w:fill="CCFFCC"/>
          </w:tcPr>
          <w:p>
            <w:pPr>
              <w:spacing w:after="0"/>
              <w:rPr>
                <w:sz w:val="20"/>
                <w:szCs w:val="20"/>
                <w:color w:val="auto"/>
              </w:rPr>
            </w:pP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(4,612)</w:t>
            </w:r>
          </w:p>
        </w:tc>
        <w:tc>
          <w:tcPr>
            <w:tcW w:w="1340" w:type="dxa"/>
            <w:vAlign w:val="bottom"/>
            <w:gridSpan w:val="2"/>
            <w:vMerge w:val="continue"/>
            <w:shd w:val="clear" w:color="auto" w:fill="CCFFCC"/>
          </w:tcPr>
          <w:p>
            <w:pPr>
              <w:spacing w:after="0"/>
              <w:rPr>
                <w:sz w:val="20"/>
                <w:szCs w:val="20"/>
                <w:color w:val="auto"/>
              </w:rPr>
            </w:pP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(6,609)</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(32,680)</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FFCC"/>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stock shares</w:t>
            </w:r>
          </w:p>
        </w:tc>
        <w:tc>
          <w:tcPr>
            <w:tcW w:w="1420" w:type="dxa"/>
            <w:vAlign w:val="bottom"/>
            <w:gridSpan w:val="2"/>
            <w:vMerge w:val="restart"/>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5,756,345</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5,654,929</w:t>
            </w: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outstanding during the period (basic and diluted)</w:t>
            </w:r>
          </w:p>
        </w:tc>
        <w:tc>
          <w:tcPr>
            <w:tcW w:w="1420" w:type="dxa"/>
            <w:vAlign w:val="bottom"/>
            <w:gridSpan w:val="2"/>
            <w:vMerge w:val="continue"/>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839,332</w:t>
            </w:r>
          </w:p>
        </w:tc>
        <w:tc>
          <w:tcPr>
            <w:tcW w:w="1140" w:type="dxa"/>
            <w:vAlign w:val="bottom"/>
            <w:vMerge w:val="continue"/>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603,057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1,319,021</w:t>
            </w:r>
          </w:p>
        </w:tc>
        <w:tc>
          <w:tcPr>
            <w:tcW w:w="0" w:type="dxa"/>
            <w:vAlign w:val="bottom"/>
          </w:tcPr>
          <w:p>
            <w:pPr>
              <w:spacing w:after="0"/>
              <w:rPr>
                <w:sz w:val="1"/>
                <w:szCs w:val="1"/>
                <w:color w:val="auto"/>
              </w:rPr>
            </w:pPr>
          </w:p>
        </w:tc>
      </w:tr>
      <w:tr>
        <w:trPr>
          <w:trHeight w:val="198"/>
        </w:trPr>
        <w:tc>
          <w:tcPr>
            <w:tcW w:w="47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number of penny stock options and</w:t>
            </w:r>
          </w:p>
        </w:tc>
        <w:tc>
          <w:tcPr>
            <w:tcW w:w="14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89,393</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129,408</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warrants (basic and diluted)</w:t>
            </w:r>
          </w:p>
        </w:tc>
        <w:tc>
          <w:tcPr>
            <w:tcW w:w="1420" w:type="dxa"/>
            <w:vAlign w:val="bottom"/>
            <w:gridSpan w:val="2"/>
            <w:vMerge w:val="continue"/>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48,235</w:t>
            </w:r>
          </w:p>
        </w:tc>
        <w:tc>
          <w:tcPr>
            <w:tcW w:w="1340" w:type="dxa"/>
            <w:vAlign w:val="bottom"/>
            <w:gridSpan w:val="2"/>
            <w:vMerge w:val="continue"/>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b w:val="1"/>
                <w:bCs w:val="1"/>
                <w:color w:val="auto"/>
              </w:rPr>
              <w:t>Basic and diluted common stock share outstanding</w:t>
            </w:r>
          </w:p>
        </w:tc>
        <w:tc>
          <w:tcPr>
            <w:tcW w:w="142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5,845,738</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887,567</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5,784,337</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627,174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1,367,246</w:t>
            </w:r>
          </w:p>
        </w:tc>
        <w:tc>
          <w:tcPr>
            <w:tcW w:w="0" w:type="dxa"/>
            <w:vAlign w:val="bottom"/>
          </w:tcPr>
          <w:p>
            <w:pPr>
              <w:spacing w:after="0"/>
              <w:rPr>
                <w:sz w:val="1"/>
                <w:szCs w:val="1"/>
                <w:color w:val="auto"/>
              </w:rPr>
            </w:pPr>
          </w:p>
        </w:tc>
      </w:tr>
      <w:tr>
        <w:trPr>
          <w:trHeight w:val="27"/>
        </w:trPr>
        <w:tc>
          <w:tcPr>
            <w:tcW w:w="470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Basic and diluted net losses per common stock share</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Reclassification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balances have been reclassified to conform to current year presentation.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25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Company measures fair value in accordance with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(formerly SFAS 157,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ASC 820-10 clarifies that fair value is an exit price, representing the amount that would be received to sell an asset or paid to transfer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1 Inputs</w:t>
      </w:r>
      <w:r>
        <w:rPr>
          <w:rFonts w:ascii="Times New Roman" w:cs="Times New Roman" w:eastAsia="Times New Roman" w:hAnsi="Times New Roman"/>
          <w:sz w:val="18"/>
          <w:szCs w:val="18"/>
          <w:color w:val="auto"/>
        </w:rPr>
        <w:t>: Unadjusted quoted prices in active markets for identical assets or liabilities accessible to the reporting entity at the measurement date.</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Level 2 Inputs</w:t>
      </w:r>
      <w:r>
        <w:rPr>
          <w:rFonts w:ascii="Times New Roman" w:cs="Times New Roman" w:eastAsia="Times New Roman" w:hAnsi="Times New Roman"/>
          <w:sz w:val="18"/>
          <w:szCs w:val="18"/>
          <w:color w:val="auto"/>
        </w:rPr>
        <w:t>: Other than quoted prices included in Level 1 inputs that are observable for the asset or liability, either directly or indirectly, for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full term of the asset or liability.</w:t>
      </w:r>
    </w:p>
    <w:p>
      <w:pPr>
        <w:spacing w:after="0" w:line="18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Inputs: </w:t>
      </w:r>
      <w:r>
        <w:rPr>
          <w:rFonts w:ascii="Times New Roman" w:cs="Times New Roman" w:eastAsia="Times New Roman" w:hAnsi="Times New Roman"/>
          <w:sz w:val="18"/>
          <w:szCs w:val="18"/>
          <w:color w:val="auto"/>
        </w:rPr>
        <w:t>Unobservable inputs for the asset or liability used to measure fair value to the extent that observable inputs are not available, thereby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(as these warrants include a down-round protection clause) models which utilize significant inputs that are unobservable in the market such as the expected stock price volatility and the dividend yield, and the remaining period of time the warrants will be outstanding before they expire.</w:t>
      </w:r>
    </w:p>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June 30, 2011 and December 31, 2010, aggregated by the level in the fair-value hierarchy within which those measurements fall: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c>
          <w:tcPr>
            <w:tcW w:w="0" w:type="dxa"/>
            <w:vAlign w:val="bottom"/>
          </w:tcPr>
          <w:p>
            <w:pPr>
              <w:spacing w:after="0"/>
              <w:rPr>
                <w:sz w:val="1"/>
                <w:szCs w:val="1"/>
                <w:color w:val="auto"/>
              </w:rPr>
            </w:pPr>
          </w:p>
        </w:tc>
      </w:tr>
      <w:tr>
        <w:trPr>
          <w:trHeight w:val="194"/>
        </w:trPr>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U.S.$</w:t>
            </w: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320" w:type="dxa"/>
            <w:vAlign w:val="bottom"/>
            <w:gridSpan w:val="2"/>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w:t>
            </w: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Cash equivalents (restricted)</w:t>
            </w:r>
          </w:p>
        </w:tc>
        <w:tc>
          <w:tcPr>
            <w:tcW w:w="1320" w:type="dxa"/>
            <w:vAlign w:val="bottom"/>
            <w:gridSpan w:val="2"/>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1,051</w:t>
            </w:r>
          </w:p>
        </w:tc>
        <w:tc>
          <w:tcPr>
            <w:tcW w:w="1580" w:type="dxa"/>
            <w:vAlign w:val="bottom"/>
            <w:gridSpan w:val="3"/>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1,051</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gridSpan w:val="2"/>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1,102</w:t>
            </w:r>
          </w:p>
        </w:tc>
        <w:tc>
          <w:tcPr>
            <w:tcW w:w="1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1,102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 on account of warrants</w:t>
            </w:r>
          </w:p>
        </w:tc>
        <w:tc>
          <w:tcPr>
            <w:tcW w:w="25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1,725</w:t>
            </w:r>
          </w:p>
        </w:tc>
        <w:tc>
          <w:tcPr>
            <w:tcW w:w="10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20" w:type="dxa"/>
            <w:vAlign w:val="bottom"/>
            <w:gridSpan w:val="2"/>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1,725</w:t>
            </w:r>
          </w:p>
        </w:tc>
        <w:tc>
          <w:tcPr>
            <w:tcW w:w="10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
        </w:trPr>
        <w:tc>
          <w:tcPr>
            <w:tcW w:w="44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480" w:type="dxa"/>
            <w:vAlign w:val="bottom"/>
          </w:tcPr>
          <w:p>
            <w:pPr>
              <w:spacing w:after="0"/>
              <w:rPr>
                <w:sz w:val="24"/>
                <w:szCs w:val="24"/>
                <w:color w:val="auto"/>
              </w:rPr>
            </w:pPr>
          </w:p>
        </w:tc>
        <w:tc>
          <w:tcPr>
            <w:tcW w:w="244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Measurements—(cont'd)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2010</w:t>
            </w: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U.S.$</w:t>
            </w: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4,542</w:t>
            </w:r>
          </w:p>
        </w:tc>
        <w:tc>
          <w:tcPr>
            <w:tcW w:w="22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4,542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4,542</w:t>
            </w:r>
          </w:p>
        </w:tc>
        <w:tc>
          <w:tcPr>
            <w:tcW w:w="220" w:type="dxa"/>
            <w:vAlign w:val="bottom"/>
            <w:shd w:val="clear" w:color="auto" w:fill="CCFFCC"/>
          </w:tcPr>
          <w:p>
            <w:pPr>
              <w:spacing w:after="0"/>
              <w:rPr>
                <w:sz w:val="22"/>
                <w:szCs w:val="22"/>
                <w:color w:val="auto"/>
              </w:rPr>
            </w:pPr>
          </w:p>
        </w:tc>
        <w:tc>
          <w:tcPr>
            <w:tcW w:w="14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4,542</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CCFFCC"/>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Derivative liability on account of warrants</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7"/>
        </w:trPr>
        <w:tc>
          <w:tcPr>
            <w:tcW w:w="5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22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at June 30, 2011 and December 31, 2010, consisted of cash, accounts receivable, long-term deposits, accrued expenses and the venture loan. The carrying amounts of all the aforementioned financial instruments, approximate fair value, except the venture loan (see below).</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liabilities measured at fair value using significant unobservable inputs (Level 3) during the six months ended June 30,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6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Special Bridge</w:t>
            </w:r>
          </w:p>
        </w:tc>
        <w:tc>
          <w:tcPr>
            <w:tcW w:w="120" w:type="dxa"/>
            <w:vAlign w:val="bottom"/>
          </w:tcPr>
          <w:p>
            <w:pPr>
              <w:spacing w:after="0"/>
              <w:rPr>
                <w:sz w:val="16"/>
                <w:szCs w:val="16"/>
                <w:color w:val="auto"/>
              </w:rPr>
            </w:pPr>
          </w:p>
        </w:tc>
        <w:tc>
          <w:tcPr>
            <w:tcW w:w="136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Conversion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U.S.$ thousands</w:t>
            </w: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Original allocated amount</w:t>
            </w:r>
          </w:p>
        </w:tc>
        <w:tc>
          <w:tcPr>
            <w:tcW w:w="382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allocated amount (upon IPO)</w:t>
            </w:r>
          </w:p>
        </w:tc>
        <w:tc>
          <w:tcPr>
            <w:tcW w:w="3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1,564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Fair value adjustment included in statement of operations</w:t>
            </w:r>
          </w:p>
        </w:tc>
        <w:tc>
          <w:tcPr>
            <w:tcW w:w="25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148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CCFFCC"/>
          </w:tcPr>
          <w:p>
            <w:pPr>
              <w:spacing w:after="0"/>
              <w:rPr>
                <w:sz w:val="2"/>
                <w:szCs w:val="2"/>
                <w:color w:val="auto"/>
              </w:rPr>
            </w:pPr>
          </w:p>
        </w:tc>
        <w:tc>
          <w:tcPr>
            <w:tcW w:w="25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2010</w:t>
            </w:r>
          </w:p>
        </w:tc>
        <w:tc>
          <w:tcPr>
            <w:tcW w:w="2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Fair value adjustment included in statement of operations</w:t>
            </w:r>
          </w:p>
        </w:tc>
        <w:tc>
          <w:tcPr>
            <w:tcW w:w="256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CCFFCC"/>
          </w:tcPr>
          <w:p>
            <w:pPr>
              <w:spacing w:after="0"/>
              <w:rPr>
                <w:sz w:val="2"/>
                <w:szCs w:val="2"/>
                <w:color w:val="auto"/>
              </w:rPr>
            </w:pPr>
          </w:p>
        </w:tc>
        <w:tc>
          <w:tcPr>
            <w:tcW w:w="256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2011</w:t>
            </w:r>
          </w:p>
        </w:tc>
        <w:tc>
          <w:tcPr>
            <w:tcW w:w="2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56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Measurements—(cont'd)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amounts and the related estimated fair value of the venture loan are as follows: (see also Note 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58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June 30, 2011</w:t>
            </w: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2010</w:t>
            </w:r>
          </w:p>
        </w:tc>
      </w:tr>
      <w:tr>
        <w:trPr>
          <w:trHeight w:val="194"/>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13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100" w:type="dxa"/>
            <w:vAlign w:val="bottom"/>
          </w:tcPr>
          <w:p>
            <w:pPr>
              <w:spacing w:after="0"/>
              <w:rPr>
                <w:sz w:val="19"/>
                <w:szCs w:val="19"/>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U.S.$ thousands</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Venture loan</w:t>
            </w:r>
          </w:p>
        </w:tc>
        <w:tc>
          <w:tcPr>
            <w:tcW w:w="1280" w:type="dxa"/>
            <w:vAlign w:val="bottom"/>
            <w:gridSpan w:val="2"/>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1,051</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1,051</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3,173</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FFCC"/>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1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4—Venture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2011, the Company entered into a Settlement Agreement (the “Agreement”) with the lenders of the venture loan (the "Lenders"),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Lenders agreed to accept less than the full amount owed to them by the Company. As part of the Agreement, the Company immediately 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$331 thousand, and placed additional $1,051 thousand as collateral into a restricted account. In addition, the Company issued the Lenders 250,000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common stock, in exchange for 250,000 Senior Lender Warrants, which were cancelled. Subsequent to the balance sheet date, the Company repaid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 of its venture loan, using the funds set aside in the restricted account (see Note 8 a).</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the date of the Agreement, subsequent to the repayment of the $331 thousand, the loan balance was recorded down to $1,051 thousand. The difference between the fair market value of the shares of common stock issued and the fair market value of the cancelled Senior Lender Warrants, amounting to $231 thousand, was recorded in the statement of stockholders’ equity. In addition, the difference between the carrying value of the loan and the total sum of future payments on the loan, including the above mentioned $231 thousand, net of legal fees, resulted in a gain on restructuring of debt, in the total amount of $963 thousand, recorded in the statements of operations. Basic and diluted per share gain on restructuring of venture loan is $0.16.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January 31, 2011, the Company granted 480 thousand options to purchase shares of common stock to its employees, management and consultants (see below). During the three and six month period ended June 30, 2011, 120 thousand and 234 thousand stock options were forfeited and 20 thousand and 20 thousand stock options were exercised, respectively.</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during the three and six month period ended June 30, 2011, the Company issued 0 and 27 thousand shares of common stock to one of its consultants, respectively. As a result, compensation expense in the total amount of approximately $45 thousand was recorded.</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2011,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the six month period ended June 30, 2011. In April 2011, the Company issued 19,862 shares of common stock upon exercise of 20 thousand charitable warrants with an exercise price of $0.01 per share.</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June 30, 2011, there was approximately $2.5 million of total unrecognized share-based payment costs related to non-vested share-based compensation arrangements granted under the Company’s incentive plans. That cost is expected to be recognized over an estimated 3.25 years period.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5—Stockholders' Equity—(cont'd)</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2011, there were approximately 11.1 million shares of common stock available for future grants.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option activity for the year 2011 to balance sheet date, by grant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No. of options to</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 of options to</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r>
      <w:tr>
        <w:trPr>
          <w:trHeight w:val="245"/>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option</w:t>
            </w: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January 31, 2011</w:t>
            </w:r>
          </w:p>
        </w:tc>
        <w:tc>
          <w:tcPr>
            <w:tcW w:w="35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0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22,000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2011</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252,500</w:t>
            </w:r>
          </w:p>
        </w:tc>
        <w:tc>
          <w:tcPr>
            <w:tcW w:w="100" w:type="dxa"/>
            <w:vAlign w:val="bottom"/>
          </w:tcPr>
          <w:p>
            <w:pPr>
              <w:spacing w:after="0"/>
              <w:rPr>
                <w:sz w:val="20"/>
                <w:szCs w:val="20"/>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r>
    </w:tbl>
    <w:p>
      <w:pPr>
        <w:spacing w:after="0" w:line="2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 $0.01 options granted January 31, 2011, to management employees and directors was calculated using the Black-Scholes-Merton model with an expected life of 4-4.25 years, a risk-free interest rate of 1.44%-1.55% and an expected volatility of 47.9%-52.2% and no dividend yield. The fair value of the common stock used for this calculation was $1.68.</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the $5.50 options granted January 31, 2011, to employees and directors was calculated using the Lattice model with an expected life of 6 years, a risk-free interest rate of 2.38% and an expected volatility of 56.41% and no dividend yield. The fair value of the common stock used for this calculation was $1.68.</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total fair value of all options granted to non-employees, is calculated using the Black-Scholes-Merton model with an expected life of 2.5-5.75 years, stock price of $1.22, a risk free interest rate of 0.57%-2.01% and an expected volatility of 45.71%-54.41% and no dividend yield.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Vringo,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for office space and cars, as of June 30, 2011,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U.S.$</w:t>
            </w:r>
          </w:p>
        </w:tc>
      </w:tr>
      <w:tr>
        <w:trPr>
          <w:trHeight w:val="245"/>
        </w:trPr>
        <w:tc>
          <w:tcPr>
            <w:tcW w:w="20" w:type="dxa"/>
            <w:vAlign w:val="bottom"/>
          </w:tcPr>
          <w:p>
            <w:pPr>
              <w:spacing w:after="0"/>
              <w:rPr>
                <w:sz w:val="21"/>
                <w:szCs w:val="21"/>
                <w:color w:val="auto"/>
              </w:rPr>
            </w:pPr>
          </w:p>
        </w:tc>
        <w:tc>
          <w:tcPr>
            <w:tcW w:w="914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6"/>
        </w:trPr>
        <w:tc>
          <w:tcPr>
            <w:tcW w:w="20" w:type="dxa"/>
            <w:vAlign w:val="bottom"/>
          </w:tcPr>
          <w:p>
            <w:pPr>
              <w:spacing w:after="0"/>
              <w:rPr>
                <w:sz w:val="18"/>
                <w:szCs w:val="18"/>
                <w:color w:val="auto"/>
              </w:rPr>
            </w:pPr>
          </w:p>
        </w:tc>
        <w:tc>
          <w:tcPr>
            <w:tcW w:w="9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2011 (six months ending December 31, 2011)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91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Rental expense for operating leases for both office space and cars for the six months ended June 30, 2011 and 2010 was $55 thousand, and $65 thousand, respectively. Rental expense for operating leases for both office space and cars for the three months ended June 30, 2011 and 2010 was $22 thousand, and $39 thousand,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7—Risks and Uncertainties</w:t>
      </w:r>
    </w:p>
    <w:p>
      <w:pPr>
        <w:spacing w:after="0" w:line="229" w:lineRule="exact"/>
        <w:rPr>
          <w:sz w:val="20"/>
          <w:szCs w:val="20"/>
          <w:color w:val="auto"/>
        </w:rPr>
      </w:pPr>
    </w:p>
    <w:p>
      <w:pPr>
        <w:ind w:left="660" w:right="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its international carrier partners.</w:t>
      </w:r>
    </w:p>
    <w:p>
      <w:pPr>
        <w:spacing w:after="0" w:line="203"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188"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188"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2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continue operating as a going concern the Company needs to raise capital through further debt or equity transactions. The Company is thus exposed to a market risk that it will not be able to raise this capital, as disclosed in 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8—Subsequent Events</w:t>
      </w:r>
    </w:p>
    <w:p>
      <w:pPr>
        <w:spacing w:after="0" w:line="256" w:lineRule="exact"/>
        <w:rPr>
          <w:sz w:val="20"/>
          <w:szCs w:val="20"/>
          <w:color w:val="auto"/>
        </w:rPr>
      </w:pPr>
    </w:p>
    <w:p>
      <w:pPr>
        <w:ind w:left="660" w:right="20" w:hanging="293"/>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2011, the Company repaid the outstanding $1,051 thousand balance of its venture loan, using the funds set aside in the restricted account (see Note 4).</w:t>
      </w:r>
    </w:p>
    <w:p>
      <w:pPr>
        <w:spacing w:after="0" w:line="188" w:lineRule="exact"/>
        <w:rPr>
          <w:rFonts w:ascii="Times New Roman" w:cs="Times New Roman" w:eastAsia="Times New Roman" w:hAnsi="Times New Roman"/>
          <w:sz w:val="18"/>
          <w:szCs w:val="18"/>
          <w:color w:val="auto"/>
        </w:rPr>
      </w:pPr>
    </w:p>
    <w:p>
      <w:pPr>
        <w:jc w:val="both"/>
        <w:ind w:left="660" w:hanging="304"/>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2011, the Company announced that it executed a Letter of Intent ("LOI") to acquire substantially all of the assets, and assume substantially all of the liabilities, including a long-term loan of up to $3 million, of Zlango Ltd., a mobile messaging company ("Zlango"). Under the terms of the LOI, the Company will issue 3 million shares of its common stock and provide Zlango's management with a retention package comprised of options to purchase 250 thousand shares of common stock. Further, as a condition of closing, Zlango’s long-term loan is to be renegotiated to provide a minimum eighteen month principal holiday and a reduced interest rate during the initial eighteen month period, with repayments to begin over the subsequent 48 month period.</w:t>
      </w:r>
    </w:p>
    <w:p>
      <w:pPr>
        <w:spacing w:after="0" w:line="214" w:lineRule="exact"/>
        <w:rPr>
          <w:rFonts w:ascii="Times New Roman" w:cs="Times New Roman" w:eastAsia="Times New Roman" w:hAnsi="Times New Roman"/>
          <w:sz w:val="18"/>
          <w:szCs w:val="18"/>
          <w:color w:val="auto"/>
        </w:rPr>
      </w:pPr>
    </w:p>
    <w:p>
      <w:pPr>
        <w:jc w:val="both"/>
        <w:ind w:left="660" w:hanging="293"/>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2011, the Company issued convertible notes in a private placement, in the aggregate amount of $2.5 million, primarily to two venture capital firms: Benchmark Capital and DAG Ventures. These venture capital firms may participate in a subsequent financing, following the intended acquisition of Zlango (see Note 8 b). Should the subsequent financing occur, the convertible notes will automatically convert into the same securities as the subsequent financing, except that the conversion price for the convertible notes will be equal to the lower of: (i) the closing price of the Company's common stock on the day the private placement was announced; or (ii) the closing price of the Company's common stock on the closing date; or (iii) a 10% discount to the securities issued in the subsequent financing. Should the subsequent financing not occur by January 1, 2012, then the principal and all accrued but unpaid interest thereon shall be repayable in full to convertible note holders.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31, 2011.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provide comprehensive software platforms and applications that allows users to create, download and share mobile video entertainment content in the form of video ringtones for mobile phones, “ReMixed” video clips from artists and branded content, Fan Loyalty mobile applications for contestant based reality TV shows, as well as social picture ringtone and ringback content. We believe that our service represents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begin to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21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our core video ringtone platform we have also developed three new platforms: our Video ReMix Platform that allows users to create their own “mix” combining their own clips together with artist and branded content, our Facetones™ platform that automatically generates a slideshow from social network pictures which provides relevant and social visual enhancement to the Ringtone and the Ringback tone, and our Fan Loyalty platform that allows users to obtain video and video ringtones, view information on reality television stars and vote for contestants. To develop these new platforms, we have leveraged our existing technology, intellectual property and our extensive experience with mobile video. We believe that these new platforms will represent a major component of our business on a going forward basis.</w:t>
      </w:r>
    </w:p>
    <w:p>
      <w:pPr>
        <w:spacing w:after="0" w:line="215"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mobile content and mobile social services market is fragmented and that there are opportunities to acquire additional assets. We have been focusing on commercializing our core video ringtone service primarily through agreements with mobile carriers and other distribution partners in related areas such as handset manufactures and retailers such as the CarPhone Warehouse. We have launched our Video Ringtone service commercially with five mobile carriers operating in Turkey, Malaysia, United Arab Emirates, Singapore, and the United Kingdom. In addition, we launched a Video ringtone service with RTL, a major television network in Belgium, and with Hungama Digital Media Entertainment ("Hungama"), a content and mobile services aggregator in India. The service with Hungama is being offered to customers of 15 different mobile carriers in India. As of the end of the second quarter, we no longer offer our service commercially in Armenia. As of August 15, 2011, our partners have an aggregate of approximately 700 million subscribers, of which 294,000 are paid subscribers to our service, and another 25,000 subscribers have enrolled on a free-trial basis.</w:t>
      </w:r>
    </w:p>
    <w:p>
      <w:pPr>
        <w:spacing w:after="0" w:line="2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first half of 2011, we launched our products and services with Everything Everywhere Limited, a United Kingdom communication company which operates the T–Mobile UK and Orange UK mobile services. With this launch, our video ringtone service is available to over 16 million Orange subscribers in the United Kingdom. We anticipate further integration with T-Mobile for a future release which would make our service directly available to another 14-plus million mobile subscribers in the UK.</w:t>
      </w:r>
    </w:p>
    <w:p>
      <w:pPr>
        <w:spacing w:after="0" w:line="207" w:lineRule="exact"/>
        <w:rPr>
          <w:sz w:val="20"/>
          <w:szCs w:val="20"/>
          <w:color w:val="auto"/>
        </w:rPr>
      </w:pPr>
    </w:p>
    <w:p>
      <w:pPr>
        <w:ind w:right="160" w:firstLine="486"/>
        <w:spacing w:after="0" w:line="277" w:lineRule="auto"/>
        <w:rPr>
          <w:sz w:val="20"/>
          <w:szCs w:val="20"/>
          <w:color w:val="auto"/>
        </w:rPr>
      </w:pPr>
      <w:r>
        <w:rPr>
          <w:rFonts w:ascii="Times New Roman" w:cs="Times New Roman" w:eastAsia="Times New Roman" w:hAnsi="Times New Roman"/>
          <w:sz w:val="17"/>
          <w:szCs w:val="17"/>
          <w:color w:val="auto"/>
        </w:rPr>
        <w:t>We also launched our Video ringtone products and services with StarHub, a mobile carrier in Singapore. Through this new carrier, our video ringtone service will be co-branded by StarHub and made available to its over 2 million customers. Following the termination of our agreement with Avea in Turkey, we signed a deal with Retromedya, a third party service provider there, to offer our service to the customers of all carriers in Turkey. In April 2011, we launched our ringtone service in India with Hungama, which is available to a potential 500 million plus subscribers. We are negotiating with additional mobile carriers in a number of different countries and we expect to continue to scale our video ringtone business with carriers during the remainder of 2011.</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new platforms – Video ReMix, Facetones™, and Fan Loyalty, have generated a significant portion of second quarter revenues.</w:t>
      </w:r>
    </w:p>
    <w:p>
      <w:pPr>
        <w:spacing w:after="0" w:line="25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Following our first quarter launch of our Video ReMix platform, we continued in the second quarter to partner with Corso Communications and its client Heineken, to deliver a sponsored version of this platform.</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we launched our Facetones™ platform, with a product for Android users together with BlueVia, the new global software developer platform of Telefonica, the largest mobile operator in the Spanish speaking world, and fourth largest globally. Facetones™ will be initially available on Telefonica's Application Store (Mstore) in several global markets. Subsequent to quarter end, Facetones™ was launched in Japan for Android users through the docomo market, a mobile internet portal operated by NTT DOCOMO, INC., the largest mobile phone operator in Japan, with 50+ million customers. Revenue from the Facetones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platform was earned for development services from Nokia (NYSE: NOK).</w:t>
      </w:r>
    </w:p>
    <w:p>
      <w:pPr>
        <w:spacing w:after="0" w:line="12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the second quarter, we launched our Fan Loyalty platform by co-branding our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features exclusive content and fully integrated live voting capabilities for the blockbuster "Star Academy" reality music show, which reaches over 300 million viewers and is available in over 10 countries in the region.</w:t>
      </w:r>
    </w:p>
    <w:p>
      <w:pPr>
        <w:spacing w:after="0" w:line="21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applications are monetized not only via carrier relationships, but also through various application stores (“App stores”). We commenced distribution of our apps through Nokia’s Ovi store, Verizon V Cast App Store, Vodafone Shop, Telefonica owned portals as well as the NTT Docomo Market. Our content partnerships include major artists, celebrities and content providers, including EMI, Warner Music, T–Pain, Muhammad Ali Enterprises, Tiesto, Turner, Marvel, Hungama Mobile, RTL and Ingrooves.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July 2011, we executed a Letter of Intent ("LOI") to acquire substantially all assets and assume practically all liabilities of Zlango Ltd., a mobile messaging company ("Zlango"). We intend to leverage Zlango's rich media messaging services together with our strong portfolio of mobile social and video applications to create a new leader in the mobile social arena. Zlango's technology can effortlessly add icons, themes and images to standard text messages. Zlango provides a set of technology platforms through a managed services environment for enabling rich media messages over the existing mobile text infrastructure. It also offers a platform for premium and syndicated content, as well as user-generated content.</w:t>
      </w:r>
    </w:p>
    <w:p>
      <w:pPr>
        <w:spacing w:after="0" w:line="21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July 21, 2011, the NYSE Amex (the "Exchange") accepted our plan for regaining compliance with the Exchange's listing standards (the "Plan"). The Plan was submitted on June 23, 2011, in response to a notice received on May 24, 2011 from the Exchange regarding our non-compliance with certain continued listing standards. While we are not yet in compliance with the Exchange's listing standards, with the Exchange's acceptance of the Plan, our listing is now continued under an extension with a target completion date of September 30, 2011. We will continue to provide the Exchange staff with updates relative to the initiatives detailed in the Plan, which calls for us to regain compliance with the Exchange's continued listing standards by September 30, 2011.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business model for our video ringtone platform entails revenue sharing and/or charging fees from our mobile carriers or app store distribution partners primarily using a subscription-based model where users pay a monthly fee for access to the service, as well as, additional fees for access to certain premium content. Some of our products are available for one time purchase fees in app stores. In addition, as in the case of our Video ReMix for Corso/Heineken and our Fan Loyalty platform for the Star Academy service, we have engaged primarily in developing free experiences for consumers in exchange for one-time fees from sponsors. Our Facetones™ product is or will be offered in a variety of business models including monthly subscription services together with operators, as a premium app available for purchase in app stores, and in a free direct to consumer version where we are monetizing by displaying ads at the end of the phone call.</w:t>
      </w:r>
    </w:p>
    <w:p>
      <w:pPr>
        <w:spacing w:after="0" w:line="21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We have launched our various services together with mobile carriers and other partners in Latin America, parts of Europe including the United Kingdom and Spain, Japan, India, Singapore, Turkey, Malaysia, Armenia and the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subscriptions ranging from $1 to $5 and we expect to generally receive at least 40% of the monthly subscription revenue. We currently monetize our video ringtone service across our existing launches on a blended rate basis of $0.13 per subscriber per month and we intend to increase this rate going forward as we move to more lucrative markets in Europe and North America. We expect that premium content will generally be sold for $1 to $5 per item although this price and the monthly subscription rate may vary substantially by country. Operators usually do not charge us or our users for any data charges associated with using our service or for using the operator's text messaging infrastructure to communicate with our subscribers.</w:t>
      </w:r>
    </w:p>
    <w:p>
      <w:pPr>
        <w:spacing w:after="0" w:line="19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Our Video ReMix Platform allows users to create their own “mix” combining their own clips together with artist and branded content. Our Facetones™ product creates an automated video slideshow using friends' photos from social networks which is played each time a user makes or receives a call. Facetones™ initially connects with Facebook(R), the world's leading social media site, providing for a significantly enhanced mobile experience for users of social media. Our Fan Loyalty platform allows users to obtain video and video ringtones, view information on reality television stars and vote for contestants.</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model consists of growing our user base through carrier partnerships, continuing to ensure we have broad handset reach, enhancing our viral and social tools, maintaining and growing our product and technology portfolio, building a strong revenue base of recurring monthly subscription revenue, finding new forms of distribution, exploring monetization through advertising, and revenue through content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a development stage company. From inception through June 30, 2011, we have raised approximately $28.5 million. These amounts have been used to finance our operations, as until now, we have not yet generated any significant revenues. From inception and until June 30, 2011, we recorded losses of $32.7 million and net cash outflow from operations of $26.8 million.</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 As of June 30, 2011, we had approximately $0.4 million in cash and cash equivalents. Our average monthly burn rate from operations for the six month period ended June 30, 2011, was approximately $0.5 million. In addition, in order to conserve funds, we underwent resource reductions in the first half of 2011.</w:t>
      </w:r>
    </w:p>
    <w:p>
      <w:pPr>
        <w:spacing w:after="0" w:line="21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July 2011, we issued convertible notes in a private placement, in the aggregate amount of $2.5 million, primarily to two venture capital firms: Benchmark Capital and DAG Ventures. These venture capital firms may participate in a subsequent financing, following the intended acquisition of Zlango. Should the subsequent financing round occur, the convertible notes will automatically convert into the same securities as the ones issued in the subsequent financing. Should the subsequent financing not occur by January 1, 2012, the principal and all accrued but unpaid interest thereon shall be repayable in full to the holders of the convertible note, unless the notes are converted prior to such time.</w:t>
      </w:r>
    </w:p>
    <w:p>
      <w:pPr>
        <w:spacing w:after="0" w:line="21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revenues and anticipated revenues are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recognize revenue from monthly subscription from carriers, development projects and content sales when all the conditions for revenue recognition are met: (i) persuasive evidence of an arrangement exists, (ii) collection of the fee is probable, (iii) the sales price is fixed and determinable and</w:t>
      </w:r>
    </w:p>
    <w:p>
      <w:pPr>
        <w:ind w:right="60" w:firstLine="8"/>
        <w:spacing w:after="0" w:line="255"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ind w:right="60"/>
        <w:spacing w:after="0" w:line="289" w:lineRule="auto"/>
        <w:rPr>
          <w:sz w:val="20"/>
          <w:szCs w:val="20"/>
          <w:color w:val="auto"/>
        </w:rPr>
      </w:pPr>
      <w:r>
        <w:rPr>
          <w:rFonts w:ascii="Times New Roman" w:cs="Times New Roman" w:eastAsia="Times New Roman" w:hAnsi="Times New Roman"/>
          <w:sz w:val="17"/>
          <w:szCs w:val="17"/>
          <w:color w:val="auto"/>
        </w:rPr>
        <w:t>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expenses directly related to providing our service in launched markets. These expenses include the costs associated with production servers serving the end-users, royalty fees for content sales, amortization of prepaid content licenses, the direct costs of billing services and text messaging providers. In addition, cost of revenue includes certain set-up and other direct costs incurred in connection with adjustments made to our products for each individual client.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Marketing expenses include the salary of all business development and marketing personnel, travel expenses relating to business development activity and tradeshows, as well as public relations, advertising and customer acquisition expenses. As we increase our sales, certain commissions to agents will also be included in sales and marketing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the salary of our finance and administrative personnel, rental costs, legal and accounting fees, insurance, telephone and other office expenses including depreciation and amortization. Following the consummation of our IPO, general and administrative expenses increased significantly as we incurred additional costs of being a public company. These costs include increased legal and accounting costs, additional insurance costs, director compensation and increased share based compensation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 (income)</w:t>
      </w:r>
    </w:p>
    <w:p>
      <w:pPr>
        <w:spacing w:after="0" w:line="256"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Non-operating expense (income) includes transaction gains (losses) from foreign exchange rate differences, interest on deposits, bank charges and interest and discount amortization expenses on venture loan. In addition, non-operating expense (income) includes gain on restructuring of venture loan in light of the settlement agreement signed June 8, 2011. Fair value adjustments of derivative liabilities on account of the Special Bridge Warrants and the Conversion Warrants, which are highly influenced by our stock price at the period end (measurement date), are recorded in non-operating expense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At June 30, 2011, our deferred tax assets generated from our U.S. activities were entirely offset by a valuation allowance because realization depends on generating future taxable income, which, in our estimation, is not more likely than not to be realized. The deferred tax assets and liabilities generated from our subsidiary's operations are not offset by an allowance, as in our estimation, it is more likely than not to be realized.</w:t>
      </w:r>
    </w:p>
    <w:p>
      <w:pPr>
        <w:spacing w:after="0" w:line="21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subsidiary generates net taxable income from services it provides to us. The subsidiary charges us for research and development and certain management services provided to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and 2008. In January 2011, new legislation amending the Investment Law was enacted. According to the amendment, the uniform tax rate applicable to the zone where the production facilities of the subsidiary are located would be 15% in 2011 and 2012, 12.5% in 2013 and 2014, and 12% in 2015 and thereafter. Under the transitory provisions of the new legislation, the subsidiary irrevocably implemented the new law while waiving benefits provided under the current law.</w:t>
      </w:r>
    </w:p>
    <w:p>
      <w:pPr>
        <w:spacing w:after="0" w:line="2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February 2011, the Israeli tax authorities commenced an audit of the subsidiary's Israeli tax returns for the 2007 through 2009 tax years. To date, the subsidiary has not yet received any findings from the audit by the Israeli tax authorities.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2011 and 2010 and the development stage period (cumulative from inception through June 30, 2011)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from 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8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4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rPr>
              <w:t>Six months Ended June 30,</w:t>
            </w:r>
          </w:p>
        </w:tc>
        <w:tc>
          <w:tcPr>
            <w:tcW w:w="80" w:type="dxa"/>
            <w:vAlign w:val="bottom"/>
          </w:tcPr>
          <w:p>
            <w:pPr>
              <w:spacing w:after="0"/>
              <w:rPr>
                <w:sz w:val="20"/>
                <w:szCs w:val="20"/>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2010</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19"/>
                <w:szCs w:val="19"/>
                <w:color w:val="auto"/>
              </w:rPr>
            </w:pP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 in thousands)</w:t>
            </w:r>
          </w:p>
        </w:tc>
        <w:tc>
          <w:tcPr>
            <w:tcW w:w="2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1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2011, Compared to Three Months Ended June 30, 2010</w:t>
      </w:r>
    </w:p>
    <w:p>
      <w:pPr>
        <w:spacing w:after="0" w:line="256"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 period ended June 30, 2011, we recorded revenues of $227 thousand, which represents an increase of $183 thousand (or 416%) from revenues recorded for the three month period ended June 30, 2010. The increase was mainly due to revenue in Malaysia ($78 thousand in the second quarter of 2011, compared to the $15 thousand recorded in the second quarter of 2010), completion of Facetones™ ($50 thousand recognized in the second quarter of 2011) and completion of development of Fan Loyalty application ($45 thousand recognized in the second quarter of 2011).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2011, Compared to Six Months Ended June 30, 2010</w:t>
      </w:r>
    </w:p>
    <w:p>
      <w:pPr>
        <w:spacing w:after="0" w:line="256"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During the six month period ended June 30, 2011, we recorded revenues of $374 thousand, which represents an increase of $300 thousand (or 405%) from revenues recorded for the six month period ended June 30, 2010. The increase was mainly due to revenue in Malaysia ($155 thousand in the first half of 2011, compared to the $25 thousand in the first half of 2010), completion of Facetones™ ($50 thousand recognized in the first half of 2011), completion of development of Fan Loyalty application ($45 thousand recognized in the first half of 2011), delivery of Video ReMix platform ($30 thousand recognized in the first half of 2011), revenue recorded in connection with set-up fees for the new agreement in Singapore ($18 thousand recognized in the first half of 2011).</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From Inception Through June 30, 2011</w:t>
      </w:r>
    </w:p>
    <w:p>
      <w:pPr>
        <w:spacing w:after="0" w:line="256"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From inception through June 30, 2011, we recorded revenues of $605 thousand, which includes $375 thousand from revenue share subscription services, $100 thousand from one-time setup fees, $50 thousand from Facetones™, 45 thousand from Fan Loyalty application formats, $30 thousand from Video ReMix platform and $5 thousand from applications sold.</w:t>
      </w:r>
    </w:p>
    <w:p>
      <w:pPr>
        <w:spacing w:after="0" w:line="203" w:lineRule="exact"/>
        <w:rPr>
          <w:sz w:val="20"/>
          <w:szCs w:val="20"/>
          <w:color w:val="auto"/>
        </w:rPr>
      </w:pPr>
    </w:p>
    <w:p>
      <w:pPr>
        <w:ind w:left="660" w:right="260" w:firstLine="648"/>
        <w:spacing w:after="0" w:line="276" w:lineRule="auto"/>
        <w:rPr>
          <w:sz w:val="20"/>
          <w:szCs w:val="20"/>
          <w:color w:val="auto"/>
        </w:rPr>
      </w:pPr>
      <w:r>
        <w:rPr>
          <w:rFonts w:ascii="Times New Roman" w:cs="Times New Roman" w:eastAsia="Times New Roman" w:hAnsi="Times New Roman"/>
          <w:sz w:val="17"/>
          <w:szCs w:val="17"/>
          <w:color w:val="auto"/>
        </w:rPr>
        <w:t>We expect to continue to generate a substantial portion of our revenues for the remainder of the year from: (i) Video Remix, Facetones™ and Fan Loyalty application platforms, (ii) revenue-sharing agreements in Malaysia, (iii) services provided in the United Arab Emirates,</w:t>
      </w:r>
    </w:p>
    <w:p>
      <w:pPr>
        <w:spacing w:after="0" w:line="1" w:lineRule="exact"/>
        <w:rPr>
          <w:sz w:val="20"/>
          <w:szCs w:val="20"/>
          <w:color w:val="auto"/>
        </w:rPr>
      </w:pPr>
    </w:p>
    <w:p>
      <w:pPr>
        <w:ind w:left="660" w:right="600" w:hanging="4"/>
        <w:spacing w:after="0" w:line="261" w:lineRule="auto"/>
        <w:tabs>
          <w:tab w:leader="none" w:pos="9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Everything Everywhere Limited and Bango in the UK, (v) recently launched services in India, and (vi) partnership with StarHub in Singapore. Our agreement with Vivacell in Armenia expired on June 30, 2011 and was not renewed.</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660" w:type="dxa"/>
            <w:vAlign w:val="bottom"/>
            <w:gridSpan w:val="3"/>
          </w:tcPr>
          <w:p>
            <w:pPr>
              <w:jc w:val="right"/>
              <w:ind w:right="1350"/>
              <w:spacing w:after="0"/>
              <w:rPr>
                <w:sz w:val="20"/>
                <w:szCs w:val="20"/>
                <w:color w:val="auto"/>
              </w:rPr>
            </w:pPr>
            <w:r>
              <w:rPr>
                <w:rFonts w:ascii="Times New Roman" w:cs="Times New Roman" w:eastAsia="Times New Roman" w:hAnsi="Times New Roman"/>
                <w:sz w:val="18"/>
                <w:szCs w:val="18"/>
                <w:b w:val="1"/>
                <w:bCs w:val="1"/>
                <w:i w:val="1"/>
                <w:iCs w:val="1"/>
                <w:color w:val="auto"/>
                <w:w w:val="99"/>
              </w:rPr>
              <w:t>Cost of Revenue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from inception to</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80" w:type="dxa"/>
            <w:vAlign w:val="bottom"/>
          </w:tcPr>
          <w:p>
            <w:pPr>
              <w:spacing w:after="0"/>
              <w:rPr>
                <w:sz w:val="19"/>
                <w:szCs w:val="19"/>
                <w:color w:val="auto"/>
              </w:rPr>
            </w:pPr>
          </w:p>
        </w:tc>
        <w:tc>
          <w:tcPr>
            <w:tcW w:w="14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2480" w:type="dxa"/>
            <w:vAlign w:val="bottom"/>
            <w:gridSpan w:val="2"/>
            <w:shd w:val="clear" w:color="auto" w:fill="CCFFCC"/>
          </w:tcPr>
          <w:p>
            <w:pPr>
              <w:jc w:val="right"/>
              <w:ind w:right="1250"/>
              <w:spacing w:after="0"/>
              <w:rPr>
                <w:sz w:val="20"/>
                <w:szCs w:val="20"/>
                <w:color w:val="auto"/>
              </w:rPr>
            </w:pPr>
            <w:r>
              <w:rPr>
                <w:rFonts w:ascii="Times New Roman" w:cs="Times New Roman" w:eastAsia="Times New Roman" w:hAnsi="Times New Roman"/>
                <w:sz w:val="18"/>
                <w:szCs w:val="18"/>
                <w:color w:val="auto"/>
                <w:w w:val="98"/>
              </w:rPr>
              <w:t>Cost of revenue</w:t>
            </w:r>
          </w:p>
        </w:tc>
        <w:tc>
          <w:tcPr>
            <w:tcW w:w="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8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00"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 is mainly comprised of cost of services related to the provision of content to end-users and cost of hosted servers needed to support our service in markets where we have launched our product. The increase in cost of revenue recorded during three and six month period ended June 30, 2011, compared with three and six month period ended June 30, 2010, is mainly related to costs incurred in connection with the Fan Loyalty platform integration with Rotana and Video ReMix Platform modifications for Corso. This increase was offset by a decrease in content purchases and related expenses.</w:t>
      </w:r>
    </w:p>
    <w:p>
      <w:pPr>
        <w:spacing w:after="0" w:line="211"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We expect that cost of revenue will increase, as we provide more services and content to our users. As some of these costs are fixed irrespective of our revenues, we expect our gross margin to increase, as our revenues increase. We believe that we currently have enough server capacity to service up to two million global users before we need to expand our server capacity. From inception through June 30, 2011, our total cost of revenue was $281 thousand.</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28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w w:val="99"/>
              </w:rPr>
              <w:t>Research and Development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from inception to</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4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4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23"/>
        </w:trPr>
        <w:tc>
          <w:tcPr>
            <w:tcW w:w="2200" w:type="dxa"/>
            <w:vAlign w:val="bottom"/>
            <w:gridSpan w:val="2"/>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2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2680" w:type="dxa"/>
            <w:vAlign w:val="bottom"/>
            <w:gridSpan w:val="2"/>
            <w:shd w:val="clear" w:color="auto" w:fill="CCFFCC"/>
          </w:tcPr>
          <w:p>
            <w:pPr>
              <w:jc w:val="right"/>
              <w:ind w:right="650"/>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w w:val="88"/>
              </w:rPr>
              <w:t>460</w:t>
            </w:r>
          </w:p>
        </w:tc>
        <w:tc>
          <w:tcPr>
            <w:tcW w:w="156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14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12,305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2011, Compared to Three Months Ended June 30, 2010</w:t>
      </w:r>
    </w:p>
    <w:p>
      <w:pPr>
        <w:spacing w:after="0" w:line="256"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from $603 thousand to $460 thousand (-22%) during the three month period ended June 30, 2011, compared to the three month period ended June 30, 2010. The decrease was mainly due to lower salary and compensation expenses (a decrease of $50 thousand compared to the second quarter of 2010), and a decrease in development services provided by subcontractors (a decrease of $32 thousand compared to the second quarter of 2010), as part of the cost saving plan implemented by us.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2011, Compared to Six Months Ended June 30, 2010</w:t>
      </w:r>
    </w:p>
    <w:p>
      <w:pPr>
        <w:spacing w:after="0" w:line="256" w:lineRule="exact"/>
        <w:rPr>
          <w:sz w:val="20"/>
          <w:szCs w:val="20"/>
          <w:color w:val="auto"/>
        </w:rPr>
      </w:pPr>
    </w:p>
    <w:p>
      <w:pPr>
        <w:ind w:left="660" w:firstLine="4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from $1,180 thousand to $979 thousand (-17%) during the six month period ended June 30, 2011, compared to the six month period ended June 30, 2010. The decrease is due to lower salary and compensation expenses (a decrease of $170 thousand compared to the first half of 2010) mainly in connection with a separation agreement signed with one of our officers, as part of the cost saving plan implemented by us.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From Inception Through June 30, 2011</w:t>
      </w:r>
    </w:p>
    <w:p>
      <w:pPr>
        <w:spacing w:after="0" w:line="256" w:lineRule="exact"/>
        <w:rPr>
          <w:sz w:val="20"/>
          <w:szCs w:val="20"/>
          <w:color w:val="auto"/>
        </w:rPr>
      </w:pPr>
    </w:p>
    <w:p>
      <w:pPr>
        <w:ind w:left="660" w:right="280" w:firstLine="648"/>
        <w:spacing w:after="0" w:line="266" w:lineRule="auto"/>
        <w:rPr>
          <w:sz w:val="20"/>
          <w:szCs w:val="20"/>
          <w:color w:val="auto"/>
        </w:rPr>
      </w:pPr>
      <w:r>
        <w:rPr>
          <w:rFonts w:ascii="Times New Roman" w:cs="Times New Roman" w:eastAsia="Times New Roman" w:hAnsi="Times New Roman"/>
          <w:sz w:val="18"/>
          <w:szCs w:val="18"/>
          <w:color w:val="auto"/>
        </w:rPr>
        <w:t>From inception through June 30, 2011, research and development expenses amounted to approximately $12.3 million. Of this amount, approximately $8.3 million was attributed to salaries and related expenses, $1.8 million was attributed to sub-contracting and consulting services, $0.8 million was attributed to operating expenses, $0.6 was attributed to overhead and $0.8 million was attributed to patent expenses.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from inception to</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580" w:type="dxa"/>
            <w:vAlign w:val="bottom"/>
            <w:gridSpan w:val="7"/>
          </w:tcPr>
          <w:p>
            <w:pPr>
              <w:ind w:left="6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70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2010</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 in thousands)</w:t>
            </w:r>
          </w:p>
        </w:tc>
        <w:tc>
          <w:tcPr>
            <w:tcW w:w="1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17"/>
                <w:szCs w:val="17"/>
                <w:color w:val="auto"/>
              </w:rPr>
            </w:pP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Marketing</w:t>
            </w:r>
          </w:p>
        </w:tc>
        <w:tc>
          <w:tcPr>
            <w:tcW w:w="9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c>
          <w:tcPr>
            <w:tcW w:w="154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632</w:t>
            </w:r>
          </w:p>
        </w:tc>
        <w:tc>
          <w:tcPr>
            <w:tcW w:w="11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c>
          <w:tcPr>
            <w:tcW w:w="154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1,107</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13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10,605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2011, Compared to Three Months Ended June 30, 2010</w:t>
      </w:r>
    </w:p>
    <w:p>
      <w:pPr>
        <w:spacing w:after="0" w:line="256"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Marketing expenses increased from $632 thousand to $685 thousand (8%) during the three month period ended June 30, 2011, compared to the three month period ended June 30, 2010. The increase was mainly due to higher salary and compensation expenses partially because of higher share-based compensation expenses in 2011 and partially because of hiring of our President in the US, whose efforts are focused on marketing and business development.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2011, Compared to Six Months Ended June 30, 2010</w:t>
      </w:r>
    </w:p>
    <w:p>
      <w:pPr>
        <w:spacing w:after="0" w:line="256"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Marketing expenses increased from $1,107 thousand to $1,306 thousand (18%) during the six month period ended June 30, 2011, compared to the six month period ended June 30, 2010. The increase is mainly due to share-based compensation expense (an increase of $139 thousand compared to the first half of 2010), an increase in salary paid in the US which included hiring, of our President in the US (an increase of $18 thousand compared to the first half of 2010) and increase in labor cost due to exchange rate differences (an increase of $48 thousand compared to the first half of 2010).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From Inception Through June 30, 2011</w:t>
      </w:r>
    </w:p>
    <w:p>
      <w:pPr>
        <w:spacing w:after="0" w:line="256" w:lineRule="exact"/>
        <w:rPr>
          <w:sz w:val="20"/>
          <w:szCs w:val="20"/>
          <w:color w:val="auto"/>
        </w:rPr>
      </w:pPr>
    </w:p>
    <w:p>
      <w:pPr>
        <w:ind w:left="660" w:right="120" w:firstLine="648"/>
        <w:spacing w:after="0" w:line="261" w:lineRule="auto"/>
        <w:rPr>
          <w:sz w:val="20"/>
          <w:szCs w:val="20"/>
          <w:color w:val="auto"/>
        </w:rPr>
      </w:pPr>
      <w:r>
        <w:rPr>
          <w:rFonts w:ascii="Times New Roman" w:cs="Times New Roman" w:eastAsia="Times New Roman" w:hAnsi="Times New Roman"/>
          <w:sz w:val="18"/>
          <w:szCs w:val="18"/>
          <w:color w:val="auto"/>
        </w:rPr>
        <w:t>From inception through June 30, 2011, marketing expenses amounted to approximately $10.6 million. Of this amount, approximately $5.5 million was attributed to salaries and related expenses, $2.0 million was attributed to travel and tradeshows, $1.5 million was attributed to sub-contracting and consulting services, $0.9 million was attributed to public relations services and customer acquisition expenses and $0.7 was attributed to overhead expenses.</w:t>
      </w:r>
    </w:p>
    <w:p>
      <w:pPr>
        <w:spacing w:after="0" w:line="207"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marketing activity relates to the launching of services with our global partners and building a pipeline for further agreements. In addition, we conduct direct-to-consumer marketing activities in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28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i w:val="1"/>
                <w:iCs w:val="1"/>
                <w:color w:val="auto"/>
                <w:w w:val="98"/>
              </w:rPr>
              <w:t>General and Administrative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from inception to</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6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23"/>
        </w:trPr>
        <w:tc>
          <w:tcPr>
            <w:tcW w:w="2220" w:type="dxa"/>
            <w:vAlign w:val="bottom"/>
            <w:gridSpan w:val="2"/>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1480" w:type="dxa"/>
            <w:vAlign w:val="bottom"/>
            <w:tcBorders>
              <w:top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2010</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 in thousands)</w:t>
            </w:r>
          </w:p>
        </w:tc>
        <w:tc>
          <w:tcPr>
            <w:tcW w:w="2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vMerge w:val="restart"/>
          </w:tcPr>
          <w:p>
            <w:pPr>
              <w:spacing w:after="0"/>
              <w:rPr>
                <w:sz w:val="17"/>
                <w:szCs w:val="17"/>
                <w:color w:val="auto"/>
              </w:rPr>
            </w:pP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2680" w:type="dxa"/>
            <w:vAlign w:val="bottom"/>
            <w:gridSpan w:val="2"/>
            <w:shd w:val="clear" w:color="auto" w:fill="CCFFCC"/>
          </w:tcPr>
          <w:p>
            <w:pPr>
              <w:jc w:val="right"/>
              <w:ind w:right="630"/>
              <w:spacing w:after="0"/>
              <w:rPr>
                <w:sz w:val="20"/>
                <w:szCs w:val="20"/>
                <w:color w:val="auto"/>
              </w:rPr>
            </w:pPr>
            <w:r>
              <w:rPr>
                <w:rFonts w:ascii="Times New Roman" w:cs="Times New Roman" w:eastAsia="Times New Roman" w:hAnsi="Times New Roman"/>
                <w:sz w:val="18"/>
                <w:szCs w:val="18"/>
                <w:color w:val="auto"/>
                <w:w w:val="99"/>
              </w:rPr>
              <w:t>General and administrative</w:t>
            </w:r>
          </w:p>
        </w:tc>
        <w:tc>
          <w:tcPr>
            <w:tcW w:w="4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w w:val="96"/>
              </w:rPr>
              <w:t>690</w:t>
            </w:r>
          </w:p>
        </w:tc>
        <w:tc>
          <w:tcPr>
            <w:tcW w:w="14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7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2011, Compared to Three Months Ended June 30, 2010</w:t>
      </w:r>
    </w:p>
    <w:p>
      <w:pPr>
        <w:spacing w:after="0" w:line="256"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from $504 thousand to $690 thousand (37%) during the three month period ended June 30, 2011, compared to the three month period ended June 30, 2010. The increase was mainly due to higher professional fees connected to being a public company (an increase of $130 thousand compared to the second quarter of 2010) and due to increase in labor cost mainly due to exchange rate differences (an increase of $26 thousand compared to the first half of 2010).</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2011, Compared to Six Months Ended June 30, 2010</w:t>
      </w:r>
    </w:p>
    <w:p>
      <w:pPr>
        <w:spacing w:after="0" w:line="256" w:lineRule="exact"/>
        <w:rPr>
          <w:sz w:val="20"/>
          <w:szCs w:val="20"/>
          <w:color w:val="auto"/>
        </w:rPr>
      </w:pPr>
    </w:p>
    <w:p>
      <w:pPr>
        <w:ind w:left="660" w:right="1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from $714 thousand to $1,355 thousand (90%) during the six month period ended June 30, 2011, compared to the six month period ended June 30, 2010. The increase was mainly due to higher professional fees connected to being a public company (an increase of $332 thousand compared to the first half of 2010) and due to increased share-based compensation and increased cost of labor, mainly due to exchange rate differences (an increase of $286 thousand compared to the first half of 2010).</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From Inception Through June 30, 2011</w:t>
      </w:r>
    </w:p>
    <w:p>
      <w:pPr>
        <w:spacing w:after="0" w:line="256"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From inception through June 30, 2011, general and administrative expenses totaled approximately $6.6 million. Of this amount, approximately $3.1 million was attributed to salaries and related expenses, $1.1 was attributed to various office expenses, $1.8 million was attributed to professional fees and $0.6 million was attributed to depreciation and amortization.</w:t>
      </w:r>
    </w:p>
    <w:p>
      <w:pPr>
        <w:spacing w:after="0" w:line="203" w:lineRule="exact"/>
        <w:rPr>
          <w:sz w:val="20"/>
          <w:szCs w:val="20"/>
          <w:color w:val="auto"/>
        </w:rPr>
      </w:pPr>
    </w:p>
    <w:p>
      <w:pPr>
        <w:ind w:left="660" w:right="160"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remain stable as they reflect the costs of being a public company. These costs are reflected in increased accounting, legal and insurance costs as well as increased costs related to meeting our obligations under the Sarbanes-Oxley Act. In addition, our general and administrative expenses reflect costs related to merger and acquisition activity.</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60" w:type="dxa"/>
            <w:vAlign w:val="bottom"/>
            <w:gridSpan w:val="5"/>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5"/>
            <w:vMerge w:val="restart"/>
          </w:tcPr>
          <w:p>
            <w:pPr>
              <w:jc w:val="center"/>
              <w:ind w:left="888"/>
              <w:spacing w:after="0"/>
              <w:rPr>
                <w:sz w:val="20"/>
                <w:szCs w:val="20"/>
                <w:color w:val="auto"/>
              </w:rPr>
            </w:pPr>
            <w:r>
              <w:rPr>
                <w:rFonts w:ascii="Times New Roman" w:cs="Times New Roman" w:eastAsia="Times New Roman" w:hAnsi="Times New Roman"/>
                <w:sz w:val="14"/>
                <w:szCs w:val="14"/>
                <w:color w:val="auto"/>
              </w:rPr>
              <w:t>Six months Ended June 30,</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from inception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bottom w:val="single" w:sz="8" w:color="auto"/>
            </w:tcBorders>
            <w:gridSpan w:val="5"/>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56"/>
        </w:trPr>
        <w:tc>
          <w:tcPr>
            <w:tcW w:w="1960" w:type="dxa"/>
            <w:vAlign w:val="bottom"/>
            <w:gridSpan w:val="2"/>
          </w:tcPr>
          <w:p>
            <w:pPr>
              <w:spacing w:after="0"/>
              <w:rPr>
                <w:sz w:val="13"/>
                <w:szCs w:val="13"/>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3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2010</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 in thousands)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 in thousands)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80" w:type="dxa"/>
            <w:vAlign w:val="bottom"/>
            <w:gridSpan w:val="2"/>
            <w:shd w:val="clear" w:color="auto" w:fill="CCFFCC"/>
          </w:tcPr>
          <w:p>
            <w:pPr>
              <w:jc w:val="right"/>
              <w:ind w:right="1428"/>
              <w:spacing w:after="0" w:line="126" w:lineRule="exact"/>
              <w:rPr>
                <w:sz w:val="20"/>
                <w:szCs w:val="20"/>
                <w:color w:val="auto"/>
              </w:rPr>
            </w:pPr>
            <w:r>
              <w:rPr>
                <w:rFonts w:ascii="Times New Roman" w:cs="Times New Roman" w:eastAsia="Times New Roman" w:hAnsi="Times New Roman"/>
                <w:sz w:val="14"/>
                <w:szCs w:val="14"/>
                <w:color w:val="auto"/>
                <w:w w:val="99"/>
              </w:rPr>
              <w:t>Non-operating income</w:t>
            </w:r>
          </w:p>
        </w:tc>
        <w:tc>
          <w:tcPr>
            <w:tcW w:w="580" w:type="dxa"/>
            <w:vAlign w:val="bottom"/>
            <w:gridSpan w:val="2"/>
            <w:vMerge w:val="restart"/>
            <w:shd w:val="clear" w:color="auto" w:fill="CCFFCC"/>
          </w:tcPr>
          <w:p>
            <w:pPr>
              <w:jc w:val="right"/>
              <w:ind w:right="260"/>
              <w:spacing w:after="0"/>
              <w:rPr>
                <w:sz w:val="20"/>
                <w:szCs w:val="20"/>
                <w:color w:val="auto"/>
              </w:rPr>
            </w:pPr>
            <w:r>
              <w:rPr>
                <w:rFonts w:ascii="Times New Roman" w:cs="Times New Roman" w:eastAsia="Times New Roman" w:hAnsi="Times New Roman"/>
                <w:sz w:val="14"/>
                <w:szCs w:val="14"/>
                <w:color w:val="auto"/>
              </w:rPr>
              <w:t>175</w:t>
            </w:r>
          </w:p>
        </w:tc>
        <w:tc>
          <w:tcPr>
            <w:tcW w:w="1400" w:type="dxa"/>
            <w:vAlign w:val="bottom"/>
            <w:gridSpan w:val="2"/>
            <w:vMerge w:val="restart"/>
            <w:shd w:val="clear" w:color="auto" w:fill="CCFFCC"/>
          </w:tcPr>
          <w:p>
            <w:pPr>
              <w:jc w:val="right"/>
              <w:ind w:right="200"/>
              <w:spacing w:after="0"/>
              <w:rPr>
                <w:sz w:val="20"/>
                <w:szCs w:val="20"/>
                <w:color w:val="auto"/>
              </w:rPr>
            </w:pPr>
            <w:r>
              <w:rPr>
                <w:rFonts w:ascii="Times New Roman" w:cs="Times New Roman" w:eastAsia="Times New Roman" w:hAnsi="Times New Roman"/>
                <w:sz w:val="14"/>
                <w:szCs w:val="14"/>
                <w:color w:val="auto"/>
              </w:rPr>
              <w:t>(2,865)</w:t>
            </w:r>
          </w:p>
        </w:tc>
        <w:tc>
          <w:tcPr>
            <w:tcW w:w="180" w:type="dxa"/>
            <w:vAlign w:val="bottom"/>
            <w:shd w:val="clear" w:color="auto" w:fill="CCFFCC"/>
          </w:tcPr>
          <w:p>
            <w:pPr>
              <w:spacing w:after="0"/>
              <w:rPr>
                <w:sz w:val="10"/>
                <w:szCs w:val="10"/>
                <w:color w:val="auto"/>
              </w:rPr>
            </w:pPr>
          </w:p>
        </w:tc>
        <w:tc>
          <w:tcPr>
            <w:tcW w:w="1160" w:type="dxa"/>
            <w:vAlign w:val="bottom"/>
            <w:gridSpan w:val="2"/>
            <w:vMerge w:val="restart"/>
            <w:shd w:val="clear" w:color="auto" w:fill="CCFFCC"/>
          </w:tcPr>
          <w:p>
            <w:pPr>
              <w:jc w:val="right"/>
              <w:ind w:right="200"/>
              <w:spacing w:after="0"/>
              <w:rPr>
                <w:sz w:val="20"/>
                <w:szCs w:val="20"/>
                <w:color w:val="auto"/>
              </w:rPr>
            </w:pPr>
            <w:r>
              <w:rPr>
                <w:rFonts w:ascii="Times New Roman" w:cs="Times New Roman" w:eastAsia="Times New Roman" w:hAnsi="Times New Roman"/>
                <w:sz w:val="14"/>
                <w:szCs w:val="14"/>
                <w:color w:val="auto"/>
              </w:rPr>
              <w:t>3,040</w:t>
            </w:r>
          </w:p>
        </w:tc>
        <w:tc>
          <w:tcPr>
            <w:tcW w:w="1360" w:type="dxa"/>
            <w:vAlign w:val="bottom"/>
            <w:gridSpan w:val="2"/>
            <w:vMerge w:val="restart"/>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767</w:t>
            </w:r>
          </w:p>
        </w:tc>
        <w:tc>
          <w:tcPr>
            <w:tcW w:w="134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4"/>
                <w:szCs w:val="14"/>
                <w:color w:val="auto"/>
              </w:rPr>
              <w:t>(3,577)</w:t>
            </w:r>
          </w:p>
        </w:tc>
        <w:tc>
          <w:tcPr>
            <w:tcW w:w="180" w:type="dxa"/>
            <w:vAlign w:val="bottom"/>
            <w:shd w:val="clear" w:color="auto" w:fill="CCFFCC"/>
          </w:tcPr>
          <w:p>
            <w:pPr>
              <w:spacing w:after="0"/>
              <w:rPr>
                <w:sz w:val="10"/>
                <w:szCs w:val="10"/>
                <w:color w:val="auto"/>
              </w:rPr>
            </w:pPr>
          </w:p>
        </w:tc>
        <w:tc>
          <w:tcPr>
            <w:tcW w:w="1180" w:type="dxa"/>
            <w:vAlign w:val="bottom"/>
            <w:gridSpan w:val="2"/>
            <w:vMerge w:val="restart"/>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4,344</w:t>
            </w:r>
          </w:p>
        </w:tc>
        <w:tc>
          <w:tcPr>
            <w:tcW w:w="1240" w:type="dxa"/>
            <w:vAlign w:val="bottom"/>
            <w:gridSpan w:val="2"/>
            <w:vMerge w:val="restart"/>
            <w:shd w:val="clear" w:color="auto" w:fill="CCFFCC"/>
          </w:tcPr>
          <w:p>
            <w:pPr>
              <w:jc w:val="right"/>
              <w:ind w:right="60"/>
              <w:spacing w:after="0"/>
              <w:rPr>
                <w:sz w:val="20"/>
                <w:szCs w:val="20"/>
                <w:color w:val="auto"/>
              </w:rPr>
            </w:pPr>
            <w:r>
              <w:rPr>
                <w:rFonts w:ascii="Times New Roman" w:cs="Times New Roman" w:eastAsia="Times New Roman" w:hAnsi="Times New Roman"/>
                <w:sz w:val="14"/>
                <w:szCs w:val="14"/>
                <w:color w:val="auto"/>
              </w:rPr>
              <w:t>(3,427)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shd w:val="clear" w:color="auto" w:fill="CCFFCC"/>
          </w:tcPr>
          <w:p>
            <w:pPr>
              <w:jc w:val="right"/>
              <w:ind w:right="1748"/>
              <w:spacing w:after="0"/>
              <w:rPr>
                <w:sz w:val="20"/>
                <w:szCs w:val="20"/>
                <w:color w:val="auto"/>
              </w:rPr>
            </w:pPr>
            <w:r>
              <w:rPr>
                <w:rFonts w:ascii="Times New Roman" w:cs="Times New Roman" w:eastAsia="Times New Roman" w:hAnsi="Times New Roman"/>
                <w:sz w:val="14"/>
                <w:szCs w:val="14"/>
                <w:color w:val="auto"/>
              </w:rPr>
              <w:t>(expense), net</w:t>
            </w:r>
          </w:p>
        </w:tc>
        <w:tc>
          <w:tcPr>
            <w:tcW w:w="580" w:type="dxa"/>
            <w:vAlign w:val="bottom"/>
            <w:gridSpan w:val="2"/>
            <w:vMerge w:val="continue"/>
            <w:shd w:val="clear" w:color="auto" w:fill="CCFFCC"/>
          </w:tcPr>
          <w:p>
            <w:pPr>
              <w:spacing w:after="0"/>
              <w:rPr>
                <w:sz w:val="14"/>
                <w:szCs w:val="14"/>
                <w:color w:val="auto"/>
              </w:rPr>
            </w:pPr>
          </w:p>
        </w:tc>
        <w:tc>
          <w:tcPr>
            <w:tcW w:w="1400" w:type="dxa"/>
            <w:vAlign w:val="bottom"/>
            <w:gridSpan w:val="2"/>
            <w:vMerge w:val="continue"/>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160" w:type="dxa"/>
            <w:vAlign w:val="bottom"/>
            <w:gridSpan w:val="2"/>
            <w:vMerge w:val="continue"/>
            <w:shd w:val="clear" w:color="auto" w:fill="CCFFCC"/>
          </w:tcPr>
          <w:p>
            <w:pPr>
              <w:spacing w:after="0"/>
              <w:rPr>
                <w:sz w:val="14"/>
                <w:szCs w:val="14"/>
                <w:color w:val="auto"/>
              </w:rPr>
            </w:pPr>
          </w:p>
        </w:tc>
        <w:tc>
          <w:tcPr>
            <w:tcW w:w="1360" w:type="dxa"/>
            <w:vAlign w:val="bottom"/>
            <w:gridSpan w:val="2"/>
            <w:vMerge w:val="continue"/>
            <w:shd w:val="clear" w:color="auto" w:fill="CCFFCC"/>
          </w:tcPr>
          <w:p>
            <w:pPr>
              <w:spacing w:after="0"/>
              <w:rPr>
                <w:sz w:val="14"/>
                <w:szCs w:val="14"/>
                <w:color w:val="auto"/>
              </w:rPr>
            </w:pPr>
          </w:p>
        </w:tc>
        <w:tc>
          <w:tcPr>
            <w:tcW w:w="1340" w:type="dxa"/>
            <w:vAlign w:val="bottom"/>
            <w:gridSpan w:val="2"/>
            <w:vMerge w:val="continue"/>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180" w:type="dxa"/>
            <w:vAlign w:val="bottom"/>
            <w:gridSpan w:val="2"/>
            <w:vMerge w:val="continue"/>
            <w:shd w:val="clear" w:color="auto" w:fill="CCFFCC"/>
          </w:tcPr>
          <w:p>
            <w:pPr>
              <w:spacing w:after="0"/>
              <w:rPr>
                <w:sz w:val="14"/>
                <w:szCs w:val="14"/>
                <w:color w:val="auto"/>
              </w:rPr>
            </w:pPr>
          </w:p>
        </w:tc>
        <w:tc>
          <w:tcPr>
            <w:tcW w:w="124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2011, Compared to Three Months Ended June 30, 2010</w:t>
      </w:r>
    </w:p>
    <w:p>
      <w:pPr>
        <w:spacing w:after="0" w:line="256" w:lineRule="exact"/>
        <w:rPr>
          <w:sz w:val="20"/>
          <w:szCs w:val="20"/>
          <w:color w:val="auto"/>
        </w:rPr>
      </w:pPr>
    </w:p>
    <w:p>
      <w:pPr>
        <w:ind w:left="660" w:right="2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June 30, 2011, we recorded non-operating income in the amount of $0.2 million, compared to non-operating expense in the amount of $ 2.9 million recorded in the three month period ended June 30, 2010.</w:t>
      </w:r>
    </w:p>
    <w:p>
      <w:pPr>
        <w:spacing w:after="0" w:line="189"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 period ended June 30, 2011, we recorded $1.0 million income in connection with venture loan settlement agreement signed in June 2011. This income was offset by non-operating expenses related to the valuation of the Special Bridge Warrants and the Conversion Warrants, in the amount of $0.7 million. In addition, we recorded a non-operating expense in the total amount of approximately $0.1 million in connection with interest and discount amortization on venture loan.</w:t>
      </w:r>
    </w:p>
    <w:p>
      <w:pPr>
        <w:spacing w:after="0" w:line="207" w:lineRule="exact"/>
        <w:rPr>
          <w:sz w:val="20"/>
          <w:szCs w:val="20"/>
          <w:color w:val="auto"/>
        </w:rPr>
      </w:pPr>
    </w:p>
    <w:p>
      <w:pPr>
        <w:ind w:left="660" w:right="40"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 period ended June 30, 2010, non-operating expense, net, was primarily due to the recording of the Bridge Notes at their residual value at the closing of the Bridge Financing, pursuant to which we recorded additional interest costs for the Bridge Notes of $0.6 million for the three months ended June 30, 2010. In addition, as a result of the conversion of the Bridge Notes we recorded an additional interest expense of approximately $1.1 million on account of the beneficial conversion feature from the loan and an additional $0.1 million on account of the additional Special Bridge Warrants that were issued to investors in the Bridge Financing. Additional interest expense on account of the loan amortization of $0.1 million in addition to the interest expense recorded for the venture loan was also recorded in this period. In connection with the granting of the Lead Investor Warrants we recorded additional interest expense of $1.3 million. The rise in these expenses was partially offset by the recording of non-operating income of approximately $0.2 million from the adjustment of the fair value of the Special Bridge Warrants as of June 30 and a further $0.3 million adjustment of the fair value of the Conversion Warrants.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2011, Compared to Six Months Ended June 30, 2010</w:t>
      </w:r>
    </w:p>
    <w:p>
      <w:pPr>
        <w:spacing w:after="0" w:line="256" w:lineRule="exact"/>
        <w:rPr>
          <w:sz w:val="20"/>
          <w:szCs w:val="20"/>
          <w:color w:val="auto"/>
        </w:rPr>
      </w:pPr>
    </w:p>
    <w:p>
      <w:pPr>
        <w:ind w:left="660"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 period ended June 30, 2011, we recorded a non-operating income in the amount of $0.8 million, compared to a non-operating expense, in the total amount of $ 3.6 million, recorded in the six month period ended June 30, 2010.</w:t>
      </w:r>
    </w:p>
    <w:p>
      <w:pPr>
        <w:spacing w:after="0" w:line="189"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 period ended June 30, 2011, we recorded $1.0 million income in connection with the settlement of the venture loan. This income was offset by a non-operating expense in the total amount of approximately $0.2 million recorded in connection with interest on venture loan.</w:t>
      </w:r>
    </w:p>
    <w:p>
      <w:pPr>
        <w:spacing w:after="0" w:line="203"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During the first half of 2010, we recorded non-operating expense, net was due primarily to the recording of the Bridge Notes at their residual value at the closing of the Bridge Financing, pursuant to which we recorded additional interest costs for the Bridge Notes of $1.1 million. In addition, as a result of the conversion of the Bridge Notes we recorded an additional interest expense of approximately $1.1 million on account of the beneficial conversion feature from the loan and an additional $0.1 million on account of the additional Special Bridge Warrants that were issued to investors in the Bridge Financing, in addition to the original 795,200 such warrants issued upon the closing of the Bridge Financing. Additional interest expense on account of the loan amortization of $0.1 million in addition to the interest expense recorded for the venture loan was also recorded in this period. In connection with the granting of the lead investor warrants we recorded additional interest expense of $1.3 million. We also recorded approximately $0.1 million of interest expense for the Bridge Notes and approximately $0.2 million of interest expense for the venture loan. The increase in these expenses was partially offset by the recording of non-operating income of approximately $0.2 million from the adjustment of the fair value of the Special Bridge Warrants as of June 30, 2010 and a further $0.2 million adjustment of the fair value of the Conversion Warrants.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From Inception Through June 30, 2011</w:t>
      </w:r>
    </w:p>
    <w:p>
      <w:pPr>
        <w:spacing w:after="0" w:line="256" w:lineRule="exact"/>
        <w:rPr>
          <w:sz w:val="20"/>
          <w:szCs w:val="20"/>
          <w:color w:val="auto"/>
        </w:rPr>
      </w:pPr>
    </w:p>
    <w:p>
      <w:pPr>
        <w:ind w:left="660" w:right="40" w:firstLine="648"/>
        <w:spacing w:after="0" w:line="255" w:lineRule="auto"/>
        <w:rPr>
          <w:sz w:val="20"/>
          <w:szCs w:val="20"/>
          <w:color w:val="auto"/>
        </w:rPr>
      </w:pPr>
      <w:r>
        <w:rPr>
          <w:rFonts w:ascii="Times New Roman" w:cs="Times New Roman" w:eastAsia="Times New Roman" w:hAnsi="Times New Roman"/>
          <w:sz w:val="18"/>
          <w:szCs w:val="18"/>
          <w:color w:val="auto"/>
        </w:rPr>
        <w:t>From inception through June 30, 2011, non-operating expenses totaled approximately $3.4 million. Of this amount, we recorded income from interest on deposits of $0.2 million and interest expense on the venture loan of $1.6 million. In addition, we recorded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We also recorded an expense of $1.3 million as additional interest expense for the warrants granted to the lead investors of the Bridge Financing, $1.0 million income in connection with the settlement of the venture loan, and recorded non-operating income of $1.0 million for the adjustment of the fair value of the Special Bridge Warrants and the Conversion Warrants.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8" w:name="page29"/>
    <w:bookmarkEnd w:id="28"/>
    <w:p>
      <w:pPr>
        <w:ind w:left="660" w:right="860"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non-operating expenses in the future will be mainly affected by the adjustments to fair value of the derivative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i w:val="1"/>
                <w:iCs w:val="1"/>
                <w:color w:val="auto"/>
                <w:w w:val="98"/>
              </w:rPr>
              <w:t>Taxes on 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from inception to</w:t>
            </w: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23"/>
        </w:trPr>
        <w:tc>
          <w:tcPr>
            <w:tcW w:w="192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80" w:type="dxa"/>
            <w:vAlign w:val="bottom"/>
          </w:tcPr>
          <w:p>
            <w:pPr>
              <w:spacing w:after="0"/>
              <w:rPr>
                <w:sz w:val="19"/>
                <w:szCs w:val="19"/>
                <w:color w:val="auto"/>
              </w:rPr>
            </w:pPr>
          </w:p>
        </w:tc>
        <w:tc>
          <w:tcPr>
            <w:tcW w:w="14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2480" w:type="dxa"/>
            <w:vAlign w:val="bottom"/>
            <w:gridSpan w:val="2"/>
            <w:shd w:val="clear" w:color="auto" w:fill="CCFFCC"/>
          </w:tcPr>
          <w:p>
            <w:pPr>
              <w:jc w:val="right"/>
              <w:ind w:right="1170"/>
              <w:spacing w:after="0"/>
              <w:rPr>
                <w:sz w:val="20"/>
                <w:szCs w:val="20"/>
                <w:color w:val="auto"/>
              </w:rPr>
            </w:pPr>
            <w:r>
              <w:rPr>
                <w:rFonts w:ascii="Times New Roman" w:cs="Times New Roman" w:eastAsia="Times New Roman" w:hAnsi="Times New Roman"/>
                <w:sz w:val="18"/>
                <w:szCs w:val="18"/>
                <w:color w:val="auto"/>
                <w:w w:val="97"/>
              </w:rPr>
              <w:t>Taxes on income</w:t>
            </w:r>
          </w:p>
        </w:tc>
        <w:tc>
          <w:tcPr>
            <w:tcW w:w="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8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 period ended June 30, 2011, we recorded income tax expense in the total amount of $26 thousand, which reflects an increase of $8 thousand compared to tax expense of $18 thousand recorded in the three month period ended June 30, 2010. Taxes on income are mainly due to taxable profits generated by our subsidiary as a result of the intercompany cost plus agreement between us and the subsidiary, whereby the subsidiary performs development services for us and is reimbursed for its expenses plus 8%. In addition, during the three and six month period ended June 30, 2011, we recorded income tax expense of $8 thousand and $12 thousand, respectively, in connection with tax withheld at source by our partner in Malaysia.</w:t>
      </w:r>
    </w:p>
    <w:p>
      <w:pPr>
        <w:spacing w:after="0" w:line="21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expect tax expenses will increase as our subsidiary will continue to profit from the cost plus agreement. However, in the future,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2011, we had a cash balance of $0.4 million (excluding restricted cash equivalents of $1.1 million) and $0 million net working capital. The decrease of $5.0 million in our cash balance from December 31, 2010, was mainly due to cash used by us in our business operations ($ 2.9 million), venture loan repayment ($1 million) and the transfer of cash to a restricted account ($1.1 million). As of June 30, 2011, our total deficit in stockholders' equity was $1.8 million mainly due to continued operating deficits from inception to date, and partially due to the classification of the Special Bridge Warrants and the Conversion Warrants as derivative liabilities rather than equity securities.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8, 2011, we entered into a Settlement Agreement (the “Agreement”) with the lenders of the venture loan (the "Lenders"), pursuant to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agreed to accept less than the full amount owed to them by us. We immediately repaid $331 thousand to the Lenders, and placed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$1,051 thousand as collateral into a restricted account. As part of the Agreement, we issued the Lenders 250,000 shares of our common stock,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Senior Lender Warrants, which were cancelled. Subsequent to the balance sheet date, the remaining loan balance in the restricted account was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 in full using the funds set aside in the restricted account. As of June 30, 2011, a net gain on restructuring of debt, in the total amount of $963 thousand,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recorded in the statements of operations.</w:t>
      </w:r>
    </w:p>
    <w:p>
      <w:pPr>
        <w:spacing w:after="0" w:line="23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July 2011, we issued convertible notes in a private placement, in the aggregate amount of $2.5 million, primarily to two venture capital firms: Benchmark Capital and DAG Ventures. Following the intended acquisition with Zlango, these venture capital firms may participate in a subsequent financing round. Should the subsequent financing occur the convertible notes will automatically convert into the same securities as the ones issued in the subsequent financing, except that the conversion price for the convertible notes will be equal to the lower of: (i) the closing price of our common stock on the day the private placement was announced; or (ii) the closing price of our common stock on the date the funds were received; or (iii) a 10% discount to the securities issued in the subsequent financing. Should the subsequent financing not occur by January 1, 2012, then the principal and all accrued but unpaid interest thereon shall be repayable in full to the holders of the convertible note, unless the notes are converted prior to such time.</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a result of our private placement financing in July 2011, and the extinguishment of the venture loan, we believe we have sufficient cash to meet our planned operating needs into the first quarter of 2012, based on our current operating expense levels. Should the above mentioned $2.5 million of convertible notes be converted, and a subsequent financing occur, we believe we would have sufficient cash for operations through the end of 2012. Should the subsequent financing not occur, then the principal and all accrued but unpaid interest thereon relating to the recent private placement will be repayable in full to convertible note holders by January 1, 2012, and we would need additional financing, in order to meet our cash flow needs. To the extent that we raise additional funds by issuing equity securities, our stockholders may experience significant dilution. In estimating our expected cash flow, we have considered the current economic climate and our revenue estimations as discussed above.</w:t>
      </w:r>
    </w:p>
    <w:p>
      <w:pPr>
        <w:spacing w:after="0" w:line="2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we will continue to issue equity and/or debt securities as a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2011 and 2010</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6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from inception</w:t>
            </w:r>
          </w:p>
        </w:tc>
      </w:tr>
      <w:tr>
        <w:trPr>
          <w:trHeight w:val="245"/>
        </w:trPr>
        <w:tc>
          <w:tcPr>
            <w:tcW w:w="6080" w:type="dxa"/>
            <w:vAlign w:val="bottom"/>
          </w:tcPr>
          <w:p>
            <w:pPr>
              <w:spacing w:after="0"/>
              <w:rPr>
                <w:sz w:val="21"/>
                <w:szCs w:val="21"/>
                <w:color w:val="auto"/>
              </w:rPr>
            </w:pPr>
          </w:p>
        </w:tc>
        <w:tc>
          <w:tcPr>
            <w:tcW w:w="410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Six month period ended June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June 30,</w:t>
            </w:r>
          </w:p>
        </w:tc>
      </w:tr>
      <w:tr>
        <w:trPr>
          <w:trHeight w:val="223"/>
        </w:trPr>
        <w:tc>
          <w:tcPr>
            <w:tcW w:w="60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2011</w:t>
            </w:r>
          </w:p>
        </w:tc>
        <w:tc>
          <w:tcPr>
            <w:tcW w:w="100" w:type="dxa"/>
            <w:vAlign w:val="bottom"/>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(2,916)</w:t>
            </w:r>
          </w:p>
        </w:tc>
        <w:tc>
          <w:tcPr>
            <w:tcW w:w="13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(2,787)</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(26,839)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(1,059)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(1,659)</w:t>
            </w:r>
          </w:p>
        </w:tc>
      </w:tr>
      <w:tr>
        <w:trPr>
          <w:trHeight w:val="237"/>
        </w:trPr>
        <w:tc>
          <w:tcPr>
            <w:tcW w:w="6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(1,031)</w:t>
            </w:r>
          </w:p>
        </w:tc>
        <w:tc>
          <w:tcPr>
            <w:tcW w:w="13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9,186</w:t>
            </w:r>
          </w:p>
        </w:tc>
        <w:tc>
          <w:tcPr>
            <w:tcW w:w="13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(10,217)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28,931</w:t>
            </w:r>
          </w:p>
        </w:tc>
      </w:tr>
      <w:tr>
        <w:trPr>
          <w:trHeight w:val="20"/>
        </w:trPr>
        <w:tc>
          <w:tcPr>
            <w:tcW w:w="60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left="660" w:right="20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 period ended June 30, 2011, net cash used in operating activities totaled $2.9 million. During the six month period ended June 30, 2010, net cash used in operating activities totaled $2.8 million. The increase of $0.1 million used in operating activities was mainly due to higher professional fees connected to being a public company, offset by a reduction in workforce related costs in connection with the cost reduction plan implemented in the first quarter of 2011.</w:t>
      </w:r>
    </w:p>
    <w:p>
      <w:pPr>
        <w:spacing w:after="0" w:line="207"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We expect our net cash used in operating activities to remain steady due to costs related to being a public company. As we move towards greater revenue generation, we expect some of these amounts will be offset by revenue. Since we receive most of our revenues directly from carriers whose payment schedules are generally net 90 days or longer, and our suppliers' payment schedules are generally net 30 days, we do not expect the increase in revenue will initially increase our net cash from operating activities.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left="660"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 period ended June 30, 2011, net cash used in investing activities totaled $1.1 million. During the six month period ended June 30, 2010, net cash provided by investing activities totaled $2.5 million.</w:t>
      </w:r>
    </w:p>
    <w:p>
      <w:pPr>
        <w:spacing w:after="0" w:line="189" w:lineRule="exact"/>
        <w:rPr>
          <w:sz w:val="20"/>
          <w:szCs w:val="20"/>
          <w:color w:val="auto"/>
        </w:rPr>
      </w:pPr>
    </w:p>
    <w:p>
      <w:pPr>
        <w:jc w:val="both"/>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This decrease of $3.6 million provided by investing activities is primarily due to the release of proceeds in the total amount of $2.6 million from the Bridge Financing from escrow in the six month period ended June 20, 2010 and an investment in restricted short term account in the total amount of $1.1 million.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expect that net cash used in investing activities will increase as we intend to continue to upgrade our computers and software in 2011.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as our service continues to grow, we will need to increase our server capacity to meet the needs of our customers.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left="660"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 period ended June 30, 2011, net cash used by financing activities totaled $1.0 million, which relates to the repayment and settlement of the venture loan (refer to Liquidity and Capital Resources section above). During the six months ended June 30, 2010, net cash provided by financing activities totaled $9.2 million, which relates to the net proceeds received as a result of our Initial Public Offering, partially offset by the one-time payment of principal on the Venture Loan (prior to the moratorium on principal payments).Subsequent to quarter end, the remaining portion of the venture loan was repaid in full.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operations</w:t>
      </w:r>
    </w:p>
    <w:p>
      <w:pPr>
        <w:spacing w:after="0" w:line="256" w:lineRule="exact"/>
        <w:rPr>
          <w:sz w:val="20"/>
          <w:szCs w:val="20"/>
          <w:color w:val="auto"/>
        </w:rPr>
      </w:pPr>
    </w:p>
    <w:p>
      <w:pPr>
        <w:jc w:val="both"/>
        <w:ind w:left="660" w:right="20" w:firstLine="648"/>
        <w:spacing w:after="0" w:line="281" w:lineRule="auto"/>
        <w:rPr>
          <w:sz w:val="20"/>
          <w:szCs w:val="20"/>
          <w:color w:val="auto"/>
        </w:rPr>
      </w:pPr>
      <w:r>
        <w:rPr>
          <w:rFonts w:ascii="Times New Roman" w:cs="Times New Roman" w:eastAsia="Times New Roman" w:hAnsi="Times New Roman"/>
          <w:sz w:val="17"/>
          <w:szCs w:val="17"/>
          <w:color w:val="auto"/>
        </w:rPr>
        <w:t>We are considering acquisition opportunities at this time and there can be no assurance, however, that any such opportunities may arise, or that any such acquisitions may be consummated. As mentioned above, in July 2011, we signed an LOI to acquire and merge operations with Zlango. We intend to enter into an asset purchase agreement whereby we will acquire substantially all of the assets and assume practically all of the liabilities of Zlango (including assumption of a $3 million loan). Please refer to Note 8 (b) in our financial statements for the period ended June 30, 2011.</w:t>
      </w:r>
    </w:p>
    <w:p>
      <w:pPr>
        <w:spacing w:after="0" w:line="192" w:lineRule="exact"/>
        <w:rPr>
          <w:sz w:val="20"/>
          <w:szCs w:val="20"/>
          <w:color w:val="auto"/>
        </w:rPr>
      </w:pPr>
    </w:p>
    <w:p>
      <w:pPr>
        <w:ind w:left="660" w:right="120" w:firstLine="648"/>
        <w:spacing w:after="0" w:line="261" w:lineRule="auto"/>
        <w:rPr>
          <w:sz w:val="20"/>
          <w:szCs w:val="20"/>
          <w:color w:val="auto"/>
        </w:rPr>
      </w:pPr>
      <w:r>
        <w:rPr>
          <w:rFonts w:ascii="Times New Roman" w:cs="Times New Roman" w:eastAsia="Times New Roman" w:hAnsi="Times New Roman"/>
          <w:sz w:val="18"/>
          <w:szCs w:val="18"/>
          <w:color w:val="auto"/>
        </w:rPr>
        <w:t>We intend to leverage Zlango's rich media messaging services together with our strong portfolio of mobile social and video applications to create a new leader in the mobile social arena. Zlango's technology can effortlessly add icons, themes and images to standard text messages. Zlango provides a set of technology platforms through a managed services environment for enabling rich media messages over the existing mobile text infrastructure. It also offers a platform for premium and syndicated content, as well as user-generated content.</w:t>
      </w:r>
    </w:p>
    <w:p>
      <w:pPr>
        <w:spacing w:after="0" w:line="207"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The proposed transaction is subject to the satisfactory completion of due diligence by us, the execution of a definitive agreement, regulatory approval, and the approval of both the boards of directors and stockholders of Vringo and Zlango. The parties intend to complete the transaction as soon as practicable after receiving all necessary approvals.</w:t>
      </w:r>
    </w:p>
    <w:p>
      <w:pPr>
        <w:spacing w:after="0" w:line="203" w:lineRule="exact"/>
        <w:rPr>
          <w:sz w:val="20"/>
          <w:szCs w:val="20"/>
          <w:color w:val="auto"/>
        </w:rPr>
      </w:pPr>
    </w:p>
    <w:p>
      <w:pPr>
        <w:ind w:left="660" w:right="520" w:firstLine="648"/>
        <w:spacing w:after="0" w:line="261" w:lineRule="auto"/>
        <w:rPr>
          <w:sz w:val="20"/>
          <w:szCs w:val="20"/>
          <w:color w:val="auto"/>
        </w:rPr>
      </w:pPr>
      <w:r>
        <w:rPr>
          <w:rFonts w:ascii="Times New Roman" w:cs="Times New Roman" w:eastAsia="Times New Roman" w:hAnsi="Times New Roman"/>
          <w:sz w:val="18"/>
          <w:szCs w:val="18"/>
          <w:color w:val="auto"/>
        </w:rPr>
        <w:t>On June 10, 2011 we entered into a Strategic Cooperation Agreement with m-Wise, Inc., a technology expert in mobile content management and delivery. This Strategic Cooperation Agreement supersedes prior arrangements and proposed transactions including the non-binding Letter of Intent we entered into with m-Wise on March 8, 2011. Under the terms of the Strategic Cooperation Agreement, we agree to cooperate together on projects while retaining our respective intellectual property and independent operations.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256" w:lineRule="exact"/>
        <w:rPr>
          <w:sz w:val="20"/>
          <w:szCs w:val="20"/>
          <w:color w:val="auto"/>
        </w:rPr>
      </w:pPr>
    </w:p>
    <w:p>
      <w:pPr>
        <w:ind w:left="660"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future contractual obligations and commercial commitments as of June 30, 2011, for each of the next five years and thereafter: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Payments due by period (in thousands of dollars)</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0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1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leases (1)</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Auto leases (2)</w:t>
            </w:r>
          </w:p>
        </w:tc>
        <w:tc>
          <w:tcPr>
            <w:tcW w:w="142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shd w:val="clear" w:color="auto" w:fill="CCFFCC"/>
          </w:tcPr>
          <w:p>
            <w:pPr>
              <w:ind w:left="960"/>
              <w:spacing w:after="0"/>
              <w:rPr>
                <w:sz w:val="20"/>
                <w:szCs w:val="20"/>
                <w:color w:val="auto"/>
              </w:rPr>
            </w:pPr>
            <w:r>
              <w:rPr>
                <w:rFonts w:ascii="Times New Roman" w:cs="Times New Roman" w:eastAsia="Times New Roman" w:hAnsi="Times New Roman"/>
                <w:sz w:val="18"/>
                <w:szCs w:val="18"/>
                <w:color w:val="auto"/>
                <w:w w:val="88"/>
              </w:rPr>
              <w:t>23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Venture loan (3)</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1,161</w:t>
            </w: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1,138</w:t>
            </w:r>
          </w:p>
        </w:tc>
        <w:tc>
          <w:tcPr>
            <w:tcW w:w="1140" w:type="dxa"/>
            <w:vAlign w:val="bottom"/>
            <w:shd w:val="clear" w:color="auto" w:fill="CCFFCC"/>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23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FFCC"/>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25" w:lineRule="exact"/>
        <w:rPr>
          <w:sz w:val="20"/>
          <w:szCs w:val="20"/>
          <w:color w:val="auto"/>
        </w:rPr>
      </w:pPr>
    </w:p>
    <w:p>
      <w:pPr>
        <w:ind w:left="340" w:right="140" w:hanging="332"/>
        <w:spacing w:after="0" w:line="25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non-cancellable operating lease for our subsidiary's offices in Israel for which we pay approximately $6 thousand monthly. This commitment is for the period ending May 31, 2012. We have a non-cancellable operating lease for our offices in New York for which we pay approximately $3 thousand monthly. This commitment is for the period ending August 31, 2011.</w:t>
      </w:r>
    </w:p>
    <w:p>
      <w:pPr>
        <w:spacing w:after="0" w:line="1"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leases three motor vehicles for certain employees with variable commencement and expiration dates. All leases are for a total of 36 months whereby the final three months of the contract have been prepaid. Total monthly expenses for these leases amount to approximately $3 thousand. Expiration dates for the leases are on various dates from November 2013 through December 2013.</w:t>
      </w:r>
    </w:p>
    <w:p>
      <w:pPr>
        <w:spacing w:after="0" w:line="1"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future principal repayment which was settled in July 2011, after the balance sheet date, as per the venture loan settlement agreement. See Note 1 to these financial statements.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abovementioned venture loan, our long term GAAP liabilities include the derivative liabilities on account of warrants, in the total amount of $1,725 thousand and long term provision for severance pay, in the total amount of $181 thousand, made in connection with extended contractual compensation to be paid to our Chief Executive Officer upon the termination of his employment (dependent on certain circumstances), as described in Note 8 to our consolidated financial statements for the year ended December 31, 2010.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the notes to our audited consolidated financial statements for the year ended December 31, 2010, we believe the following accounting policies to be the most critical in understanding the judgments and estimates we use in preparing our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Times New Roman" w:cs="Times New Roman" w:eastAsia="Times New Roman" w:hAnsi="Times New Roman"/>
          <w:sz w:val="18"/>
          <w:szCs w:val="18"/>
          <w:i w:val="1"/>
          <w:iCs w:val="1"/>
          <w:color w:val="auto"/>
        </w:rPr>
        <w:t>Equity-Based Payments to Non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is applied. Under this pronouncement, the measurement date of the option occurs on the earlier of counterparty performance or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2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determine the fair value of stock options granted to employees, directors and consultants using the Black-Scholes-Merton and the Lattice (for out-of-money option grants)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based on historical stock volatility from comparable companies.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option pricing models utilize various inputs and assumptions, which are highly subjective. Had we used different assumptions, our results may have been significantly different. For further information on judgments and assessments used, please refer to Note 13 in our consolidated financial statements for the year ended December 31, 2010.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Instruments in Bridge Financing</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29, 2009, we consummated a Bridge Financing pursuant to which we issued 5% subordinated convertible promissory notes, ("Bridge Notes"), in the aggregate amount of $2.98 million in a private placement, as well as warrants to purchase 795,200 shares of common stock (the "Special Bridge Warrants")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The assumptions used in the initial calculation were 53% expected volatility, a risk-free interest rate of 1.6%, estimated life of 4.5 years and no dividend yield. The fair value of the common stock was estimated at $2.57. Upon the consummation of the IPO, we issued a further 69,132 Special Bridge Warrants to the holders of the Bridge Notes to reflect the final offering price of the IPO units. These warrants were valued on the date of the IPO by using the Black-Scholes-Merton model. The assumptions used in this calculation were 53% expected volatility, a risk-free interest rate of 1.9%, estimated life of 4.5 years and no dividend yield. The fair value of the common stock was estimated at $2.79. The additional warrants are then adjusted according to the fair value above at the end of each reporting period.</w:t>
      </w:r>
    </w:p>
    <w:p>
      <w:pPr>
        <w:spacing w:after="0" w:line="22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of June 30, 2011, the Special Bridge Warrants were 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85% probability of such protection being activated in the fourth quarter of 2011. We have estimated the value of the down-round protection using a Monte-Carlo simulation. The following assumptions were used: 47.47% expected volatility, a risk-free interest rate of 1.00%, estimated life of 3.5 years and no dividend yield. The fair value of the common stock was $1.22.</w:t>
      </w:r>
    </w:p>
    <w:p>
      <w:pPr>
        <w:spacing w:after="0" w:line="21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The Conversion Warrants have down-round protection clauses, which are not expected to have a material impact, and their fair value is calculated using the Black-Scholes-Merton model at every reporting period. The assumptions used in this calculation for the date of the IPO were 54% expected volatility, a risk-free interest rate of 2.1%, estimated life of 5 years and no dividend yield. The fair value of the common stock was estimated at $2.79.</w:t>
      </w:r>
    </w:p>
    <w:p>
      <w:pPr>
        <w:spacing w:after="0" w:line="2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June 30, 2011, the Conversion Warrants were 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85% probability of such protection being activated in the third quarter of 2011. We have estimated the value of the down-round protection using a Monte-Carlo simulation. The following assumptions were used: 47% expected volatility, a risk-free interest rate of 1.28%, estimated life of 3.98 years and no dividend yield. The fair value of the common stock was $1.22.</w:t>
      </w:r>
    </w:p>
    <w:p>
      <w:pPr>
        <w:spacing w:after="0" w:line="21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55,664 warrants granted to the placement agent in the Bridge Financing have been recorded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$2.58.</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2" w:name="page33"/>
    <w:bookmarkEnd w:id="32"/>
    <w:p>
      <w:pPr>
        <w:ind w:firstLine="648"/>
        <w:spacing w:after="0" w:line="261" w:lineRule="auto"/>
        <w:rPr>
          <w:sz w:val="20"/>
          <w:szCs w:val="20"/>
          <w:color w:val="auto"/>
        </w:rPr>
      </w:pPr>
      <w:r>
        <w:rPr>
          <w:rFonts w:ascii="Times New Roman" w:cs="Times New Roman" w:eastAsia="Times New Roman" w:hAnsi="Times New Roman"/>
          <w:sz w:val="18"/>
          <w:szCs w:val="18"/>
          <w:color w:val="auto"/>
        </w:rPr>
        <w:t>The 482,346 warrants granted to the lead investors in the Bridge Financing have been recorded as a non-operating expense at fair market value at the time of the IPO and calculated using the Black-Scholes-Merton model. The assumptions used in this calculation were 52.6% expected volatility, risk-free interest rate of 1.68%, estimated life of 4 years and no dividend yield. The fair value of the common stock was estimated at $2.79. The total non-operating expense recorded was approximately $1.3 million. All of these warrants were exercised during the fourth quarter of 2010 and the first quarter of 2011.</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June 30, 2011,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 Also, refer to Note 15 of our consolidated financial statements for the year ended December 31, 2010.</w:t>
      </w:r>
    </w:p>
    <w:p>
      <w:pPr>
        <w:spacing w:after="0" w:line="21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(formerly FASB Interpretation No. 48, "</w:t>
      </w:r>
      <w:r>
        <w:rPr>
          <w:rFonts w:ascii="Times New Roman" w:cs="Times New Roman" w:eastAsia="Times New Roman" w:hAnsi="Times New Roman"/>
          <w:sz w:val="18"/>
          <w:szCs w:val="18"/>
          <w:i w:val="1"/>
          <w:iCs w:val="1"/>
          <w:color w:val="auto"/>
        </w:rPr>
        <w:t>Accounting for Uncertainty in Income Taxes—an Interpretation of FASB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109</w:t>
      </w:r>
      <w:r>
        <w:rPr>
          <w:rFonts w:ascii="Times New Roman" w:cs="Times New Roman" w:eastAsia="Times New Roman" w:hAnsi="Times New Roman"/>
          <w:sz w:val="18"/>
          <w:szCs w:val="18"/>
          <w:color w:val="auto"/>
        </w:rPr>
        <w:t>"), prescribes how a company should recognize, measure, present and disclose in its financial statements uncertain tax positions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May 2011, the FASB issued guidance to amend the accounting and disclosure requirements on fair value measurements. The new guidance limits the highest-and-best-use measure to nonfinancial assets, permits certain financial assets and liabilities with offsetting positions in market or counterparty credit risks to be measured at a net basis, and provides guidance on the applicability of premiums and discounts. Additionally, the new guidance expands the disclosures on Level 3 inputs by requiring quantitative disclosure of the unobservable inputs and assumptions, as well as description of the valuation processes and the sensitivity of the fair value to changes in unobservable inputs. The new guidance will be effective for us beginning January 1, 2012. Other than requiring additional disclosures, we do not anticipate material impacts on our financial statements upon adoption.</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3" w:name="page34"/>
    <w:bookmarkEnd w:id="3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smaller reporting company and therefore, we are not required to provide information required by this Item of Form 10-Q.</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4T.</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our Chief Financial Officer (principal financial officer), evaluated the effectiveness of our disclosure controls and procedures as of June 30,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2011, our Principal Executive Officer and Principal Financial Officer concluded that, as of such date, our disclosure controls and procedures were not effective for the reasons set forth below.</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has identified a material weakness in our disclosure controls and procedures. The weakness primarily relates to insufficient controls and policies in connection with financial reporting and segregation of duties. We are in the process of remediating this material weakness by adopting additional policies and improving our internal controls.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quarter ended June 30, 2011 that have materially affected, or are reasonably likely to materially affect, our internal control over financial reporting.</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material legal proceedings.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and therefore, we are not required to provide information required by this Item of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45"/>
        </w:trPr>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260" w:type="dxa"/>
            <w:vAlign w:val="bottom"/>
            <w:tcBorders>
              <w:bottom w:val="single" w:sz="8" w:color="auto"/>
            </w:tcBorders>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Settlement Agreement, by and between the Company, Silicon Valley Bank, SVB Financial Group and Gold Hill Venture Lending 03, L.P.</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June 14, 2011).</w:t>
            </w:r>
          </w:p>
        </w:tc>
      </w:tr>
      <w:tr>
        <w:trPr>
          <w:trHeight w:val="414"/>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Pledge and Security Agreement, between the Company and Silicon Valley Bank. (incorporated by reference to Exhibit 10.2 to the Company's</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June 14, 2011).</w:t>
            </w:r>
          </w:p>
        </w:tc>
      </w:tr>
      <w:tr>
        <w:trPr>
          <w:trHeight w:val="414"/>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13-14(a) of the Securities Exchange Act of 1934, pursuant to Section 302 of the</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13-14(a) of the Securities Exchange Act of 1934, pursuant to Section 302 of the</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32"/>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pursuant to Section 906 of the Sarbanes-Oxley Act of 2002.</w:t>
            </w:r>
          </w:p>
        </w:tc>
      </w:tr>
      <w:tr>
        <w:trPr>
          <w:trHeight w:val="432"/>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pursuant to Section 906 of the Sarbanes-Oxley Act of 2002.</w:t>
            </w:r>
          </w:p>
        </w:tc>
      </w:tr>
      <w:tr>
        <w:trPr>
          <w:trHeight w:val="608"/>
        </w:trPr>
        <w:tc>
          <w:tcPr>
            <w:tcW w:w="1040" w:type="dxa"/>
            <w:vAlign w:val="bottom"/>
          </w:tcPr>
          <w:p>
            <w:pPr>
              <w:spacing w:after="0"/>
              <w:rPr>
                <w:sz w:val="24"/>
                <w:szCs w:val="24"/>
                <w:color w:val="auto"/>
              </w:rPr>
            </w:pPr>
          </w:p>
        </w:tc>
        <w:tc>
          <w:tcPr>
            <w:tcW w:w="1038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35</w:t>
            </w:r>
          </w:p>
        </w:tc>
      </w:tr>
      <w:tr>
        <w:trPr>
          <w:trHeight w:val="118"/>
        </w:trPr>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5" w:name="page36"/>
    <w:bookmarkEnd w:id="3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August, 2011.</w:t>
      </w:r>
    </w:p>
    <w:p>
      <w:pPr>
        <w:spacing w:after="0" w:line="28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LLEN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Ellen Cohl</w:t>
      </w:r>
    </w:p>
    <w:p>
      <w:pPr>
        <w:spacing w:after="0" w:line="31"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3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09"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Medved, certify that:</w:t>
      </w:r>
    </w:p>
    <w:p>
      <w:pPr>
        <w:spacing w:after="0" w:line="252"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Vringo, Inc.:</w:t>
      </w:r>
    </w:p>
    <w:p>
      <w:pPr>
        <w:spacing w:after="0" w:line="252" w:lineRule="exact"/>
        <w:rPr>
          <w:rFonts w:ascii="Times New Roman" w:cs="Times New Roman" w:eastAsia="Times New Roman" w:hAnsi="Times New Roman"/>
          <w:sz w:val="18"/>
          <w:szCs w:val="18"/>
          <w:color w:val="auto"/>
        </w:rPr>
      </w:pPr>
    </w:p>
    <w:p>
      <w:pPr>
        <w:ind w:right="60" w:firstLine="8"/>
        <w:spacing w:after="0" w:line="266"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rFonts w:ascii="Times New Roman" w:cs="Times New Roman" w:eastAsia="Times New Roman" w:hAnsi="Times New Roman"/>
          <w:sz w:val="18"/>
          <w:szCs w:val="18"/>
          <w:color w:val="auto"/>
        </w:rPr>
      </w:pPr>
    </w:p>
    <w:p>
      <w:pPr>
        <w:ind w:right="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1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w:t>
      </w:r>
    </w:p>
    <w:p>
      <w:pPr>
        <w:spacing w:after="0" w:line="189" w:lineRule="exact"/>
        <w:rPr>
          <w:sz w:val="20"/>
          <w:szCs w:val="20"/>
          <w:color w:val="auto"/>
        </w:rPr>
      </w:pPr>
    </w:p>
    <w:p>
      <w:pPr>
        <w:ind w:right="120" w:firstLine="8"/>
        <w:spacing w:after="0" w:line="266"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the transition period exemption for newly public companies]</w:t>
      </w:r>
    </w:p>
    <w:p>
      <w:pPr>
        <w:spacing w:after="0" w:line="252" w:lineRule="exact"/>
        <w:rPr>
          <w:rFonts w:ascii="Times New Roman" w:cs="Times New Roman" w:eastAsia="Times New Roman" w:hAnsi="Times New Roman"/>
          <w:sz w:val="18"/>
          <w:szCs w:val="18"/>
          <w:color w:val="auto"/>
        </w:rPr>
      </w:pPr>
    </w:p>
    <w:p>
      <w:pPr>
        <w:ind w:right="840" w:firstLine="8"/>
        <w:spacing w:after="0" w:line="282"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8" w:lineRule="exact"/>
        <w:rPr>
          <w:rFonts w:ascii="Times New Roman" w:cs="Times New Roman" w:eastAsia="Times New Roman" w:hAnsi="Times New Roman"/>
          <w:sz w:val="18"/>
          <w:szCs w:val="18"/>
          <w:color w:val="auto"/>
        </w:rPr>
      </w:pPr>
    </w:p>
    <w:p>
      <w:pPr>
        <w:ind w:right="160" w:firstLine="8"/>
        <w:spacing w:after="0" w:line="266" w:lineRule="auto"/>
        <w:tabs>
          <w:tab w:leader="none" w:pos="1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660" w:firstLine="8"/>
        <w:spacing w:after="0" w:line="282" w:lineRule="auto"/>
        <w:tabs>
          <w:tab w:leader="none" w:pos="1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280" w:firstLine="8"/>
        <w:spacing w:after="0" w:line="282" w:lineRule="auto"/>
        <w:tabs>
          <w:tab w:leader="none" w:pos="1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520" w:firstLine="8"/>
        <w:spacing w:after="0" w:line="282"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2011</w:t>
      </w:r>
    </w:p>
    <w:p>
      <w:pPr>
        <w:spacing w:after="0" w:line="200" w:lineRule="exact"/>
        <w:rPr>
          <w:sz w:val="20"/>
          <w:szCs w:val="20"/>
          <w:color w:val="auto"/>
        </w:rPr>
      </w:pPr>
    </w:p>
    <w:p>
      <w:pPr>
        <w:spacing w:after="0" w:line="295" w:lineRule="exact"/>
        <w:rPr>
          <w:sz w:val="20"/>
          <w:szCs w:val="20"/>
          <w:color w:val="auto"/>
        </w:rPr>
      </w:pPr>
    </w:p>
    <w:p>
      <w:pPr>
        <w:ind w:left="1340"/>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w:t>
      </w:r>
      <w:r>
        <w:rPr>
          <w:rFonts w:ascii="Times New Roman" w:cs="Times New Roman" w:eastAsia="Times New Roman" w:hAnsi="Times New Roman"/>
          <w:sz w:val="11"/>
          <w:szCs w:val="11"/>
          <w:color w:val="auto"/>
        </w:rPr>
        <w:t>ONATHAN</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1"/>
          <w:szCs w:val="11"/>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Ellen Cohl, certify that:</w:t>
      </w:r>
    </w:p>
    <w:p>
      <w:pPr>
        <w:spacing w:after="0" w:line="252"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Vringo, Inc.:</w:t>
      </w:r>
    </w:p>
    <w:p>
      <w:pPr>
        <w:spacing w:after="0" w:line="252" w:lineRule="exact"/>
        <w:rPr>
          <w:rFonts w:ascii="Times New Roman" w:cs="Times New Roman" w:eastAsia="Times New Roman" w:hAnsi="Times New Roman"/>
          <w:sz w:val="18"/>
          <w:szCs w:val="18"/>
          <w:color w:val="auto"/>
        </w:rPr>
      </w:pPr>
    </w:p>
    <w:p>
      <w:pPr>
        <w:ind w:right="60" w:firstLine="8"/>
        <w:spacing w:after="0" w:line="266"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3" w:lineRule="exact"/>
        <w:rPr>
          <w:rFonts w:ascii="Times New Roman" w:cs="Times New Roman" w:eastAsia="Times New Roman" w:hAnsi="Times New Roman"/>
          <w:sz w:val="18"/>
          <w:szCs w:val="18"/>
          <w:color w:val="auto"/>
        </w:rPr>
      </w:pPr>
    </w:p>
    <w:p>
      <w:pPr>
        <w:ind w:right="4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1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w:t>
      </w:r>
    </w:p>
    <w:p>
      <w:pPr>
        <w:spacing w:after="0" w:line="189" w:lineRule="exact"/>
        <w:rPr>
          <w:sz w:val="20"/>
          <w:szCs w:val="20"/>
          <w:color w:val="auto"/>
        </w:rPr>
      </w:pPr>
    </w:p>
    <w:p>
      <w:pPr>
        <w:ind w:right="120" w:firstLine="8"/>
        <w:spacing w:after="0" w:line="266"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the transition period exemption for newly public companies]</w:t>
      </w:r>
    </w:p>
    <w:p>
      <w:pPr>
        <w:spacing w:after="0" w:line="252" w:lineRule="exact"/>
        <w:rPr>
          <w:rFonts w:ascii="Times New Roman" w:cs="Times New Roman" w:eastAsia="Times New Roman" w:hAnsi="Times New Roman"/>
          <w:sz w:val="18"/>
          <w:szCs w:val="18"/>
          <w:color w:val="auto"/>
        </w:rPr>
      </w:pPr>
    </w:p>
    <w:p>
      <w:pPr>
        <w:ind w:right="840" w:firstLine="8"/>
        <w:spacing w:after="0" w:line="282"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8" w:lineRule="exact"/>
        <w:rPr>
          <w:rFonts w:ascii="Times New Roman" w:cs="Times New Roman" w:eastAsia="Times New Roman" w:hAnsi="Times New Roman"/>
          <w:sz w:val="18"/>
          <w:szCs w:val="18"/>
          <w:color w:val="auto"/>
        </w:rPr>
      </w:pPr>
    </w:p>
    <w:p>
      <w:pPr>
        <w:ind w:right="160" w:firstLine="8"/>
        <w:spacing w:after="0" w:line="266" w:lineRule="auto"/>
        <w:tabs>
          <w:tab w:leader="none" w:pos="1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660" w:firstLine="8"/>
        <w:spacing w:after="0" w:line="282" w:lineRule="auto"/>
        <w:tabs>
          <w:tab w:leader="none" w:pos="1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280" w:firstLine="8"/>
        <w:spacing w:after="0" w:line="282" w:lineRule="auto"/>
        <w:tabs>
          <w:tab w:leader="none" w:pos="1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520" w:firstLine="8"/>
        <w:spacing w:after="0" w:line="282" w:lineRule="auto"/>
        <w:tabs>
          <w:tab w:leader="none" w:pos="1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2011</w:t>
      </w:r>
    </w:p>
    <w:p>
      <w:pPr>
        <w:spacing w:after="0" w:line="200" w:lineRule="exact"/>
        <w:rPr>
          <w:sz w:val="20"/>
          <w:szCs w:val="20"/>
          <w:color w:val="auto"/>
        </w:rPr>
      </w:pPr>
    </w:p>
    <w:p>
      <w:pPr>
        <w:spacing w:after="0" w:line="268" w:lineRule="exact"/>
        <w:rPr>
          <w:sz w:val="20"/>
          <w:szCs w:val="20"/>
          <w:color w:val="auto"/>
        </w:rPr>
      </w:pPr>
    </w:p>
    <w:p>
      <w:pPr>
        <w:ind w:left="158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w:t>
      </w:r>
      <w:r>
        <w:rPr>
          <w:rFonts w:ascii="Times New Roman" w:cs="Times New Roman" w:eastAsia="Times New Roman" w:hAnsi="Times New Roman"/>
          <w:sz w:val="11"/>
          <w:szCs w:val="11"/>
          <w:color w:val="auto"/>
        </w:rPr>
        <w:t>LLEN</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Vringo, Inc. (the "Company") for the quarter ended June 30, 2011 as filed with the Securities and Exchange Commission on the date hereof (the "Report") I, Jonathan Medved, Chief Executive Officer of the Company, certify, pursuant to § 906 of the Sarbanes-Oxley Act of 2002, 18 U.S.C. § 1350, that to my knowledge:</w:t>
      </w:r>
    </w:p>
    <w:p>
      <w:pPr>
        <w:spacing w:after="0" w:line="203"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 (d)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right="720" w:firstLine="8"/>
        <w:spacing w:after="0" w:line="564" w:lineRule="auto"/>
        <w:tabs>
          <w:tab w:leader="none" w:pos="2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15, 2011</w:t>
      </w:r>
    </w:p>
    <w:p>
      <w:pPr>
        <w:spacing w:after="0" w:line="189" w:lineRule="exact"/>
        <w:rPr>
          <w:sz w:val="20"/>
          <w:szCs w:val="20"/>
          <w:color w:val="auto"/>
        </w:rPr>
      </w:pPr>
    </w:p>
    <w:p>
      <w:pPr>
        <w:ind w:left="1320"/>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2"/>
          <w:szCs w:val="12"/>
          <w:color w:val="auto"/>
        </w:rPr>
        <w:t>ONATHAN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Jonathan Medved</w:t>
      </w:r>
    </w:p>
    <w:p>
      <w:pPr>
        <w:spacing w:after="0" w:line="3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Vringo, Inc. (the "Company") for the quarter ended June 30, 2011 as filed with the Securities and Exchange Commission on the date hereof (the "Report") I, Ellen Cohl, Chief Financial Officer of the Company, certify, pursuant to § 906 of the Sarbanes-Oxley Act of 2002, 18 U.S.C. § 1350, that to my knowledge:</w:t>
      </w:r>
    </w:p>
    <w:p>
      <w:pPr>
        <w:spacing w:after="0" w:line="203"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right="720" w:firstLine="8"/>
        <w:spacing w:after="0" w:line="564" w:lineRule="auto"/>
        <w:tabs>
          <w:tab w:leader="none" w:pos="2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15, 2011</w:t>
      </w:r>
    </w:p>
    <w:p>
      <w:pPr>
        <w:spacing w:after="0" w:line="162" w:lineRule="exact"/>
        <w:rPr>
          <w:sz w:val="20"/>
          <w:szCs w:val="20"/>
          <w:color w:val="auto"/>
        </w:rPr>
      </w:pPr>
    </w:p>
    <w:p>
      <w:pPr>
        <w:ind w:left="1540"/>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tab/>
        <w:t>E</w:t>
      </w:r>
      <w:r>
        <w:rPr>
          <w:rFonts w:ascii="Times New Roman" w:cs="Times New Roman" w:eastAsia="Times New Roman" w:hAnsi="Times New Roman"/>
          <w:sz w:val="12"/>
          <w:szCs w:val="12"/>
          <w:color w:val="auto"/>
        </w:rPr>
        <w:t>LLEN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Ellen Cohl</w:t>
      </w:r>
    </w:p>
    <w:p>
      <w:pPr>
        <w:spacing w:after="0" w:line="3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Roman"/>
      <w:start w:val="4"/>
    </w:lvl>
  </w:abstractNum>
  <w:abstractNum w:abstractNumId="7">
    <w:nsid w:val="109CF92E"/>
    <w:multiLevelType w:val="hybridMultilevel"/>
    <w:lvl w:ilvl="0">
      <w:lvlJc w:val="left"/>
      <w:lvlText w:val="(%1)"/>
      <w:numFmt w:val="lowerRoman"/>
      <w:start w:val="4"/>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2019-12-15T16:55:11Z</dcterms:created>
  <dcterms:modified xsi:type="dcterms:W3CDTF">2019-12-15T16:55:11Z</dcterms:modified>
</cp:coreProperties>
</file>