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Arial" w:cs="Arial" w:eastAsia="Arial" w:hAnsi="Arial"/>
          <w:sz w:val="18"/>
          <w:szCs w:val="18"/>
          <w:b w:val="1"/>
          <w:bCs w:val="1"/>
          <w:color w:val="auto"/>
        </w:rPr>
        <w:t>As filed with the Securities and Exchange Commission on July 24, 2012</w:t>
      </w:r>
    </w:p>
    <w:p>
      <w:pPr>
        <w:spacing w:after="0" w:line="225" w:lineRule="exact"/>
        <w:rPr>
          <w:sz w:val="24"/>
          <w:szCs w:val="24"/>
          <w:color w:val="auto"/>
        </w:rPr>
      </w:pPr>
    </w:p>
    <w:p>
      <w:pPr>
        <w:ind w:left="8200"/>
        <w:spacing w:after="0"/>
        <w:rPr>
          <w:sz w:val="20"/>
          <w:szCs w:val="20"/>
          <w:color w:val="auto"/>
        </w:rPr>
      </w:pPr>
      <w:r>
        <w:rPr>
          <w:rFonts w:ascii="Arial" w:cs="Arial" w:eastAsia="Arial" w:hAnsi="Arial"/>
          <w:sz w:val="16"/>
          <w:szCs w:val="16"/>
          <w:b w:val="1"/>
          <w:bCs w:val="1"/>
          <w:color w:val="auto"/>
        </w:rPr>
        <w:t>Registration No. 333-180609</w:t>
      </w:r>
    </w:p>
    <w:p>
      <w:pPr>
        <w:spacing w:after="0" w:line="225" w:lineRule="exact"/>
        <w:rPr>
          <w:sz w:val="24"/>
          <w:szCs w:val="24"/>
          <w:color w:val="auto"/>
        </w:rPr>
      </w:pPr>
    </w:p>
    <w:p>
      <w:pPr>
        <w:jc w:val="center"/>
        <w:ind w:right="760"/>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POST-EFFECTIVE AMENDMENT NO. 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ON</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FORM S-3</w:t>
      </w: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760"/>
        <w:spacing w:after="0"/>
        <w:rPr>
          <w:sz w:val="20"/>
          <w:szCs w:val="20"/>
          <w:color w:val="auto"/>
        </w:rPr>
      </w:pPr>
      <w:r>
        <w:rPr>
          <w:rFonts w:ascii="Arial" w:cs="Arial" w:eastAsia="Arial" w:hAnsi="Arial"/>
          <w:sz w:val="32"/>
          <w:szCs w:val="32"/>
          <w:b w:val="1"/>
          <w:bCs w:val="1"/>
          <w:color w:val="auto"/>
        </w:rPr>
        <w:t>VRINGO, INC.</w:t>
      </w:r>
    </w:p>
    <w:p>
      <w:pPr>
        <w:spacing w:after="0" w:line="40"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(Address, including zip code, and telephone number, including area</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code, of registrant’s principal executive offices)</w:t>
      </w: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3860" w:right="2580" w:hanging="1401"/>
        <w:spacing w:after="0" w:line="261" w:lineRule="auto"/>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160020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Kenneth R. Koch, Esq.</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New York, New York 10017</w:t>
      </w:r>
    </w:p>
    <w:p>
      <w:pPr>
        <w:spacing w:after="0" w:line="6"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(212) 935-3000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-578485</wp:posOffset>
            </wp:positionH>
            <wp:positionV relativeFrom="paragraph">
              <wp:posOffset>407670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1160" w:top="445" w:right="379" w:bottom="1440" w:gutter="0" w:footer="0" w:header="0"/>
        </w:sectPr>
      </w:pPr>
    </w:p>
    <w:bookmarkStart w:id="1" w:name="page2"/>
    <w:bookmarkEnd w:id="1"/>
    <w:p>
      <w:pPr>
        <w:ind w:right="140" w:firstLine="405"/>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 as determined by the registrant.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48" w:lineRule="exact"/>
        <w:rPr>
          <w:sz w:val="20"/>
          <w:szCs w:val="20"/>
          <w:color w:val="auto"/>
        </w:rPr>
      </w:pPr>
    </w:p>
    <w:p>
      <w:pPr>
        <w:ind w:right="200" w:firstLine="252"/>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right="200" w:firstLine="252"/>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420" w:firstLine="252"/>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160" w:firstLine="252"/>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70" w:lineRule="exact"/>
        <w:rPr>
          <w:sz w:val="20"/>
          <w:szCs w:val="20"/>
          <w:color w:val="auto"/>
        </w:rPr>
      </w:pPr>
    </w:p>
    <w:p>
      <w:pPr>
        <w:ind w:right="320" w:firstLine="252"/>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904" w:right="27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0"/>
          <w:szCs w:val="20"/>
          <w:color w:val="auto"/>
        </w:rPr>
      </w:pPr>
    </w:p>
    <w:p>
      <w:pPr>
        <w:sectPr>
          <w:pgSz w:w="11900" w:h="16838" w:orient="portrait"/>
          <w:cols w:equalWidth="0" w:num="2">
            <w:col w:w="7240" w:space="720"/>
            <w:col w:w="3420"/>
          </w:cols>
          <w:pgMar w:left="240" w:top="904"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358775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6820" w:space="720"/>
            <w:col w:w="3840"/>
          </w:cols>
          <w:pgMar w:left="240" w:top="904" w:right="279" w:bottom="1440" w:gutter="0" w:footer="0" w:header="0"/>
          <w:type w:val="continuous"/>
        </w:sectPr>
      </w:pPr>
    </w:p>
    <w:p>
      <w:pPr>
        <w:spacing w:after="0" w:line="3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This Post-Effective Amendment No. 1 on Form S-3 relates to an aggregate of 15,959,838 shares of common stock of Vringo, Inc. (the “Company”) issuable upon the exercise of warrants that were issued on July 19, 2012 in connection with the merger of Innovate/Protect, Inc. with and into VIP Merger Sub, Inc., a wholly owned subsidiary of the Company. The warrants and the underlying shares were initially registered by the Company pursuant to a Registration Statement on Form S-4 (File No. 333-180609) that was declared effective by the Securities and Exchange Commission on June 20, 2012.</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Post-Effective Amendment on Form S-3 converts the Form S-4 Registration Statement to a Registration Statement on Form S-3 and relates to the continuous offering of up to 15,959,838 shares of common stock issuable upon the exercise of the warrants that were issued in the transactions. Pursuant to Rule 416 under the Securities Act of 1933, as amended, this registration statement also covers an indeterminate number of additional shares of common stock that may hereafter be offered or issued with respect to the shares registered hereby resulting from stock splits, stock dividends, recapitalizations or certain other capital adjustments.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filing fees payable in connection with the registration of these securities were previously paid by the registrant in connection with the filing of the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ind w:right="100"/>
        <w:spacing w:after="0" w:line="261"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JULY 24,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15,959,838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40" w:firstLine="441"/>
        <w:spacing w:after="0" w:line="264" w:lineRule="auto"/>
        <w:rPr>
          <w:sz w:val="20"/>
          <w:szCs w:val="20"/>
          <w:color w:val="auto"/>
        </w:rPr>
      </w:pPr>
      <w:r>
        <w:rPr>
          <w:rFonts w:ascii="Arial" w:cs="Arial" w:eastAsia="Arial" w:hAnsi="Arial"/>
          <w:sz w:val="18"/>
          <w:szCs w:val="18"/>
          <w:color w:val="auto"/>
        </w:rPr>
        <w:t>This prospectus relates to up to 15,959,838 shares of our common stock, par value $0.01 per share. The shares of common stock are issuable upon exercise of outstanding Series 1 and Series 2 warrants that were issued in connection with our acquisition of Innovate/Protect, Inc. (“Innovate/Protect”), which was consummated on July 19, 2012.</w:t>
      </w:r>
    </w:p>
    <w:p>
      <w:pPr>
        <w:spacing w:after="0" w:line="181"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Each warrant entitles its holder to acquire one share of common stock at an exercise price of $1.76 per share, subject to specified adjustments, at any time on or before July 19, 2017. The exercise price may be paid in cash or, under certain circumstances, by means of a “cashless exercise,” as described in “Description of the Warrants.”</w:t>
      </w:r>
    </w:p>
    <w:p>
      <w:pPr>
        <w:spacing w:after="0" w:line="18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To the extent any holder of our outstanding Series 1 and Series 2 Warrants determines to exercise its warrants, we will receive the payment of the exercise price in connection with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Our common stock is listed on the NYSE MKT under the symbol “VRNG.” On July 23, 2012, the last reported sale price of our common stock was $3.91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20" w:firstLine="661"/>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“Risk Factors” and the risk factors that are incorporated by reference in this prospectus from our filings made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2012.</w:t>
            </w:r>
          </w:p>
        </w:tc>
      </w:tr>
      <w:tr>
        <w:trPr>
          <w:trHeight w:val="648"/>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3"/>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4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22"/>
        </w:trPr>
        <w:tc>
          <w:tcPr>
            <w:tcW w:w="8860" w:type="dxa"/>
            <w:vAlign w:val="bottom"/>
            <w:gridSpan w:val="3"/>
          </w:tcPr>
          <w:p>
            <w:pPr>
              <w:spacing w:after="0"/>
              <w:rPr>
                <w:sz w:val="20"/>
                <w:szCs w:val="20"/>
                <w:color w:val="auto"/>
              </w:rPr>
            </w:pPr>
            <w:r>
              <w:rPr>
                <w:rFonts w:ascii="Arial" w:cs="Arial" w:eastAsia="Arial" w:hAnsi="Arial"/>
                <w:sz w:val="18"/>
                <w:szCs w:val="18"/>
                <w:color w:val="auto"/>
              </w:rPr>
              <w:t>ABOUT THIS PROSPECTUS</w:t>
            </w:r>
          </w:p>
        </w:tc>
        <w:tc>
          <w:tcPr>
            <w:tcW w:w="22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PROSPECTUS SUMMARY</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RISK FACTORS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SPECIAL NOTE REGARDING FORWARD-LOOKING STATEMENTS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DESCRIPTION OF WARRANTS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DESCRIPTION OF CAPITAL STOCK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LEGAL MATTERS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EXPERTS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WHERE YOU CAN FIND MORE INFORMATION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860" w:type="dxa"/>
            <w:vAlign w:val="bottom"/>
            <w:gridSpan w:val="3"/>
          </w:tcPr>
          <w:p>
            <w:pPr>
              <w:spacing w:after="0"/>
              <w:rPr>
                <w:sz w:val="20"/>
                <w:szCs w:val="20"/>
                <w:color w:val="auto"/>
              </w:rPr>
            </w:pPr>
            <w:r>
              <w:rPr>
                <w:rFonts w:ascii="Arial" w:cs="Arial" w:eastAsia="Arial" w:hAnsi="Arial"/>
                <w:sz w:val="18"/>
                <w:szCs w:val="18"/>
                <w:color w:val="auto"/>
              </w:rPr>
              <w:t>INCORPORATION OF INFORMATION BY REFERENCE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648"/>
        </w:trPr>
        <w:tc>
          <w:tcPr>
            <w:tcW w:w="47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661"/>
        <w:spacing w:after="0" w:line="293" w:lineRule="auto"/>
        <w:rPr>
          <w:sz w:val="20"/>
          <w:szCs w:val="20"/>
          <w:color w:val="auto"/>
        </w:rPr>
      </w:pPr>
      <w:r>
        <w:rPr>
          <w:rFonts w:ascii="Arial" w:cs="Arial" w:eastAsia="Arial" w:hAnsi="Arial"/>
          <w:sz w:val="16"/>
          <w:szCs w:val="16"/>
          <w:color w:val="auto"/>
        </w:rPr>
        <w:t>You should read this prospectus and the documents incorporated by reference carefully before you invest. Such documents contain important information you should consider when making your investment decision. See “Incorporation of Documents by Reference.” You should rely only on the information provided in this prospectus or documents incorporated by reference in this prospectus. We have not authorized anyone to provide you with different information. The information contained in this prospectus is accurate only as of the date of this prospectus and any information we have incorporated by reference is accurate only as of the date of the document incorporated by reference, regardless of the time of delivery of this prospectus or of any sale of our common stock. Our business, financial condition, results of operations and prospects may have changed since that date.</w:t>
      </w:r>
    </w:p>
    <w:p>
      <w:pPr>
        <w:spacing w:after="0" w:line="165" w:lineRule="exact"/>
        <w:rPr>
          <w:sz w:val="20"/>
          <w:szCs w:val="20"/>
          <w:color w:val="auto"/>
        </w:rPr>
      </w:pPr>
    </w:p>
    <w:p>
      <w:pPr>
        <w:jc w:val="both"/>
        <w:ind w:right="340" w:firstLine="661"/>
        <w:spacing w:after="0" w:line="286" w:lineRule="auto"/>
        <w:rPr>
          <w:sz w:val="20"/>
          <w:szCs w:val="20"/>
          <w:color w:val="auto"/>
        </w:rPr>
      </w:pPr>
      <w:r>
        <w:rPr>
          <w:rFonts w:ascii="Arial" w:cs="Arial" w:eastAsia="Arial" w:hAnsi="Arial"/>
          <w:sz w:val="17"/>
          <w:szCs w:val="17"/>
          <w:color w:val="auto"/>
        </w:rPr>
        <w:t>This prospectus is an offer to sell only the securities offered hereby, but only under circumstances and in jurisdictions where it is lawful to do so.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66"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both"/>
        <w:ind w:right="8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6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Information about the merger is included in our Current Report on Form 8-K filed with the Securities and Exchange Commission (“SEC” or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0" w:firstLine="661"/>
        <w:spacing w:after="0" w:line="273"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under the caption “Risk Factors” and in our most recent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580"/>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535"/>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Innovate/Protect’s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904"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spacing w:after="0" w:line="72" w:lineRule="exact"/>
        <w:rPr>
          <w:sz w:val="20"/>
          <w:szCs w:val="20"/>
          <w:color w:val="auto"/>
        </w:rPr>
      </w:pPr>
    </w:p>
    <w:p>
      <w:pPr>
        <w:ind w:right="160" w:firstLine="535"/>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40" w:firstLine="661"/>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30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video ringtones for mobile phones;</w:t>
      </w:r>
    </w:p>
    <w:p>
      <w:pPr>
        <w:spacing w:after="0" w:line="5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117"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53"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274" w:lineRule="exact"/>
        <w:rPr>
          <w:sz w:val="20"/>
          <w:szCs w:val="20"/>
          <w:color w:val="auto"/>
        </w:rPr>
      </w:pPr>
    </w:p>
    <w:p>
      <w:pPr>
        <w:ind w:right="560" w:firstLine="661"/>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20" w:firstLine="580"/>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40" w:firstLine="535"/>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180" w:firstLine="387"/>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20" w:firstLine="535"/>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ectPr>
          <w:pgSz w:w="11900" w:h="16911" w:orient="portrait"/>
          <w:cols w:equalWidth="0" w:num="1">
            <w:col w:w="11420"/>
          </w:cols>
          <w:pgMar w:left="240" w:top="908" w:right="239" w:bottom="0" w:gutter="0" w:footer="0" w:header="0"/>
        </w:sectPr>
      </w:pPr>
    </w:p>
    <w:bookmarkStart w:id="9" w:name="page10"/>
    <w:bookmarkEnd w:id="9"/>
    <w:p>
      <w:pPr>
        <w:ind w:firstLine="535"/>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360" w:firstLine="387"/>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 w:name="page11"/>
    <w:bookmarkEnd w:id="10"/>
    <w:p>
      <w:pPr>
        <w:ind w:right="240" w:firstLine="387"/>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right="120" w:firstLine="387"/>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387"/>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100" w:firstLine="387"/>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jc w:val="both"/>
        <w:ind w:right="500" w:firstLine="387"/>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firstLine="387"/>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firstLine="661"/>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6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11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110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117"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42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117"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279" w:lineRule="exact"/>
        <w:rPr>
          <w:sz w:val="20"/>
          <w:szCs w:val="20"/>
          <w:color w:val="auto"/>
        </w:rPr>
      </w:pPr>
    </w:p>
    <w:p>
      <w:pPr>
        <w:ind w:left="500" w:right="4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100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8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183" w:lineRule="exact"/>
        <w:rPr>
          <w:sz w:val="20"/>
          <w:szCs w:val="20"/>
          <w:color w:val="auto"/>
        </w:rPr>
      </w:pPr>
    </w:p>
    <w:p>
      <w:pPr>
        <w:ind w:right="1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600" w:firstLine="270"/>
        <w:spacing w:after="0" w:line="347" w:lineRule="auto"/>
        <w:rPr>
          <w:sz w:val="20"/>
          <w:szCs w:val="20"/>
          <w:color w:val="auto"/>
        </w:rPr>
      </w:pPr>
      <w:r>
        <w:rPr>
          <w:rFonts w:ascii="Arial" w:cs="Arial" w:eastAsia="Arial" w:hAnsi="Arial"/>
          <w:sz w:val="16"/>
          <w:szCs w:val="16"/>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2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61" w:lineRule="exact"/>
        <w:rPr>
          <w:sz w:val="20"/>
          <w:szCs w:val="20"/>
          <w:color w:val="auto"/>
        </w:rPr>
      </w:pPr>
    </w:p>
    <w:p>
      <w:pPr>
        <w:jc w:val="both"/>
        <w:ind w:right="8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00" w:firstLine="270"/>
        <w:spacing w:after="0" w:line="347" w:lineRule="auto"/>
        <w:rPr>
          <w:sz w:val="20"/>
          <w:szCs w:val="20"/>
          <w:color w:val="auto"/>
        </w:rPr>
      </w:pPr>
      <w:r>
        <w:rPr>
          <w:rFonts w:ascii="Arial" w:cs="Arial" w:eastAsia="Arial" w:hAnsi="Arial"/>
          <w:sz w:val="16"/>
          <w:szCs w:val="16"/>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20"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74"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4" w:name="page15"/>
    <w:bookmarkEnd w:id="14"/>
    <w:p>
      <w:pPr>
        <w:ind w:right="40"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67"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5" w:name="page16"/>
    <w:bookmarkEnd w:id="15"/>
    <w:p>
      <w:pPr>
        <w:ind w:firstLine="270"/>
        <w:spacing w:after="0" w:line="267" w:lineRule="auto"/>
        <w:rPr>
          <w:sz w:val="20"/>
          <w:szCs w:val="20"/>
          <w:color w:val="auto"/>
        </w:rPr>
      </w:pPr>
      <w:r>
        <w:rPr>
          <w:rFonts w:ascii="Arial" w:cs="Arial" w:eastAsia="Arial" w:hAnsi="Arial"/>
          <w:sz w:val="17"/>
          <w:szCs w:val="17"/>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jc w:val="both"/>
        <w:ind w:right="140" w:firstLine="270"/>
        <w:spacing w:after="0" w:line="257" w:lineRule="auto"/>
        <w:rPr>
          <w:sz w:val="20"/>
          <w:szCs w:val="20"/>
          <w:color w:val="auto"/>
        </w:rPr>
      </w:pPr>
      <w:r>
        <w:rPr>
          <w:rFonts w:ascii="Arial" w:cs="Arial" w:eastAsia="Arial" w:hAnsi="Arial"/>
          <w:sz w:val="18"/>
          <w:szCs w:val="18"/>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84"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right="640" w:firstLine="270"/>
        <w:spacing w:after="0" w:line="342" w:lineRule="auto"/>
        <w:rPr>
          <w:sz w:val="20"/>
          <w:szCs w:val="20"/>
          <w:color w:val="auto"/>
        </w:rPr>
      </w:pPr>
      <w:r>
        <w:rPr>
          <w:rFonts w:ascii="Arial" w:cs="Arial" w:eastAsia="Arial" w:hAnsi="Arial"/>
          <w:sz w:val="16"/>
          <w:szCs w:val="16"/>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20" w:lineRule="exact"/>
        <w:rPr>
          <w:sz w:val="20"/>
          <w:szCs w:val="20"/>
          <w:color w:val="auto"/>
        </w:rPr>
      </w:pPr>
    </w:p>
    <w:p>
      <w:pPr>
        <w:ind w:right="66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560" w:hanging="32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pacing w:after="0" w:line="221" w:lineRule="exact"/>
        <w:rPr>
          <w:sz w:val="20"/>
          <w:szCs w:val="20"/>
          <w:color w:val="auto"/>
        </w:rPr>
      </w:pPr>
    </w:p>
    <w:p>
      <w:pPr>
        <w:ind w:right="2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1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4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0"/>
          </w:cols>
          <w:pgMar w:left="740" w:top="904" w:right="639" w:bottom="1440" w:gutter="0" w:footer="0" w:header="0"/>
        </w:sectPr>
      </w:pPr>
    </w:p>
    <w:bookmarkStart w:id="17" w:name="page18"/>
    <w:bookmarkEnd w:id="17"/>
    <w:p>
      <w:pPr>
        <w:ind w:right="100" w:firstLine="270"/>
        <w:spacing w:after="0" w:line="272" w:lineRule="auto"/>
        <w:rPr>
          <w:sz w:val="20"/>
          <w:szCs w:val="20"/>
          <w:color w:val="auto"/>
        </w:rPr>
      </w:pPr>
      <w:r>
        <w:rPr>
          <w:rFonts w:ascii="Arial" w:cs="Arial" w:eastAsia="Arial" w:hAnsi="Arial"/>
          <w:sz w:val="17"/>
          <w:szCs w:val="17"/>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178"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65" w:lineRule="exact"/>
        <w:rPr>
          <w:sz w:val="20"/>
          <w:szCs w:val="20"/>
          <w:color w:val="auto"/>
        </w:rPr>
      </w:pPr>
    </w:p>
    <w:p>
      <w:pPr>
        <w:ind w:right="80" w:firstLine="270"/>
        <w:spacing w:after="0" w:line="295" w:lineRule="auto"/>
        <w:rPr>
          <w:sz w:val="20"/>
          <w:szCs w:val="20"/>
          <w:color w:val="auto"/>
        </w:rPr>
      </w:pPr>
      <w:r>
        <w:rPr>
          <w:rFonts w:ascii="Arial" w:cs="Arial" w:eastAsia="Arial" w:hAnsi="Arial"/>
          <w:sz w:val="16"/>
          <w:szCs w:val="16"/>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60"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78"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0"/>
          </w:cols>
          <w:pgMar w:left="740" w:top="908" w:right="639" w:bottom="1440" w:gutter="0" w:footer="0" w:header="0"/>
        </w:sectPr>
      </w:pPr>
    </w:p>
    <w:bookmarkStart w:id="18" w:name="page19"/>
    <w:bookmarkEnd w:id="18"/>
    <w:p>
      <w:pPr>
        <w:jc w:val="both"/>
        <w:ind w:right="86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50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72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560" w:right="440" w:hanging="323"/>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70"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225" w:lineRule="exact"/>
        <w:rPr>
          <w:rFonts w:ascii="Arial" w:cs="Arial" w:eastAsia="Arial" w:hAnsi="Arial"/>
          <w:sz w:val="18"/>
          <w:szCs w:val="18"/>
          <w:color w:val="auto"/>
        </w:rPr>
      </w:pPr>
    </w:p>
    <w:p>
      <w:pPr>
        <w:ind w:left="560" w:hanging="323"/>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170"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25" w:lineRule="exact"/>
        <w:rPr>
          <w:sz w:val="20"/>
          <w:szCs w:val="20"/>
          <w:color w:val="auto"/>
        </w:rPr>
      </w:pPr>
    </w:p>
    <w:p>
      <w:pPr>
        <w:ind w:right="400" w:firstLine="270"/>
        <w:spacing w:after="0" w:line="269"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83" w:lineRule="exact"/>
        <w:rPr>
          <w:sz w:val="20"/>
          <w:szCs w:val="20"/>
          <w:color w:val="auto"/>
        </w:rPr>
      </w:pPr>
    </w:p>
    <w:p>
      <w:pPr>
        <w:ind w:right="460"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right="940" w:firstLine="270"/>
        <w:spacing w:after="0" w:line="282"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166" w:lineRule="exact"/>
        <w:rPr>
          <w:sz w:val="20"/>
          <w:szCs w:val="20"/>
          <w:color w:val="auto"/>
        </w:rPr>
      </w:pPr>
    </w:p>
    <w:p>
      <w:pPr>
        <w:ind w:right="46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right="420"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32" w:gutter="0" w:footer="0" w:header="0"/>
        </w:sectPr>
      </w:pPr>
    </w:p>
    <w:bookmarkStart w:id="19" w:name="page20"/>
    <w:bookmarkEnd w:id="19"/>
    <w:p>
      <w:pPr>
        <w:ind w:right="8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04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8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180" w:firstLine="270"/>
        <w:spacing w:after="0" w:line="313" w:lineRule="auto"/>
        <w:rPr>
          <w:sz w:val="20"/>
          <w:szCs w:val="20"/>
          <w:color w:val="auto"/>
        </w:rPr>
      </w:pPr>
      <w:r>
        <w:rPr>
          <w:rFonts w:ascii="Arial" w:cs="Arial" w:eastAsia="Arial" w:hAnsi="Arial"/>
          <w:sz w:val="17"/>
          <w:szCs w:val="17"/>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4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73"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20" w:name="page21"/>
    <w:bookmarkEnd w:id="20"/>
    <w:p>
      <w:pPr>
        <w:ind w:right="440" w:firstLine="270"/>
        <w:spacing w:after="0" w:line="277"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170" w:lineRule="exact"/>
        <w:rPr>
          <w:sz w:val="20"/>
          <w:szCs w:val="20"/>
          <w:color w:val="auto"/>
        </w:rPr>
      </w:pPr>
    </w:p>
    <w:p>
      <w:pPr>
        <w:ind w:left="560" w:hanging="32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248" w:lineRule="exact"/>
        <w:rPr>
          <w:rFonts w:ascii="Arial" w:cs="Arial" w:eastAsia="Arial" w:hAnsi="Arial"/>
          <w:sz w:val="16"/>
          <w:szCs w:val="16"/>
          <w:color w:val="auto"/>
        </w:rPr>
      </w:pPr>
    </w:p>
    <w:p>
      <w:pPr>
        <w:ind w:left="560" w:right="34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170" w:lineRule="exact"/>
        <w:rPr>
          <w:rFonts w:ascii="Arial" w:cs="Arial" w:eastAsia="Arial" w:hAnsi="Arial"/>
          <w:sz w:val="18"/>
          <w:szCs w:val="18"/>
          <w:color w:val="auto"/>
        </w:rPr>
      </w:pPr>
    </w:p>
    <w:p>
      <w:pPr>
        <w:ind w:left="560" w:right="18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170" w:lineRule="exact"/>
        <w:rPr>
          <w:rFonts w:ascii="Arial" w:cs="Arial" w:eastAsia="Arial" w:hAnsi="Arial"/>
          <w:sz w:val="18"/>
          <w:szCs w:val="18"/>
          <w:color w:val="auto"/>
        </w:rPr>
      </w:pPr>
    </w:p>
    <w:p>
      <w:pPr>
        <w:ind w:left="560" w:hanging="323"/>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70" w:lineRule="exact"/>
        <w:rPr>
          <w:sz w:val="20"/>
          <w:szCs w:val="20"/>
          <w:color w:val="auto"/>
        </w:rPr>
      </w:pPr>
    </w:p>
    <w:p>
      <w:pPr>
        <w:ind w:right="400" w:firstLine="270"/>
        <w:spacing w:after="0" w:line="312" w:lineRule="auto"/>
        <w:rPr>
          <w:sz w:val="20"/>
          <w:szCs w:val="20"/>
          <w:color w:val="auto"/>
        </w:rPr>
      </w:pPr>
      <w:r>
        <w:rPr>
          <w:rFonts w:ascii="Arial" w:cs="Arial" w:eastAsia="Arial" w:hAnsi="Arial"/>
          <w:sz w:val="16"/>
          <w:szCs w:val="16"/>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43" w:lineRule="exact"/>
        <w:rPr>
          <w:sz w:val="20"/>
          <w:szCs w:val="20"/>
          <w:color w:val="auto"/>
        </w:rPr>
      </w:pPr>
    </w:p>
    <w:p>
      <w:pPr>
        <w:ind w:right="78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740" w:top="90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166"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4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68" w:lineRule="exact"/>
        <w:rPr>
          <w:sz w:val="20"/>
          <w:szCs w:val="20"/>
          <w:color w:val="auto"/>
        </w:rPr>
      </w:pPr>
    </w:p>
    <w:p>
      <w:pPr>
        <w:ind w:right="28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740" w:top="1121" w:right="65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73" w:lineRule="exact"/>
        <w:rPr>
          <w:sz w:val="20"/>
          <w:szCs w:val="20"/>
          <w:color w:val="auto"/>
        </w:rPr>
      </w:pPr>
    </w:p>
    <w:p>
      <w:pPr>
        <w:ind w:right="400" w:firstLine="270"/>
        <w:spacing w:after="0" w:line="293" w:lineRule="auto"/>
        <w:rPr>
          <w:sz w:val="20"/>
          <w:szCs w:val="20"/>
          <w:color w:val="auto"/>
        </w:rPr>
      </w:pPr>
      <w:r>
        <w:rPr>
          <w:rFonts w:ascii="Arial" w:cs="Arial" w:eastAsia="Arial" w:hAnsi="Arial"/>
          <w:sz w:val="16"/>
          <w:szCs w:val="16"/>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61"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61" w:lineRule="exact"/>
        <w:rPr>
          <w:sz w:val="20"/>
          <w:szCs w:val="20"/>
          <w:color w:val="auto"/>
        </w:rPr>
      </w:pPr>
    </w:p>
    <w:p>
      <w:pPr>
        <w:ind w:right="6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88"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113" w:gutter="0" w:footer="0" w:header="0"/>
        </w:sectPr>
      </w:pPr>
    </w:p>
    <w:bookmarkStart w:id="23" w:name="page24"/>
    <w:bookmarkEnd w:id="23"/>
    <w:p>
      <w:pPr>
        <w:ind w:right="4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6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aforementioned 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devices users. Currently, over 96% of 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65"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12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4" w:lineRule="exact"/>
        <w:rPr>
          <w:sz w:val="20"/>
          <w:szCs w:val="20"/>
          <w:color w:val="auto"/>
        </w:rPr>
      </w:pPr>
    </w:p>
    <w:p>
      <w:pPr>
        <w:ind w:right="160" w:firstLine="270"/>
        <w:spacing w:after="0" w:line="268" w:lineRule="auto"/>
        <w:rPr>
          <w:sz w:val="20"/>
          <w:szCs w:val="20"/>
          <w:color w:val="auto"/>
        </w:rPr>
      </w:pPr>
      <w:r>
        <w:rPr>
          <w:rFonts w:ascii="Arial" w:cs="Arial" w:eastAsia="Arial" w:hAnsi="Arial"/>
          <w:sz w:val="16"/>
          <w:szCs w:val="16"/>
          <w:color w:val="auto"/>
        </w:rPr>
        <w:t xml:space="preserve">In February 2012, Vringo entered into an agreement with Facebook, Inc., an online social network, relating to the use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300" w:firstLine="270"/>
        <w:spacing w:after="0" w:line="286" w:lineRule="auto"/>
        <w:rPr>
          <w:sz w:val="20"/>
          <w:szCs w:val="20"/>
          <w:color w:val="auto"/>
        </w:rPr>
      </w:pPr>
      <w:r>
        <w:rPr>
          <w:rFonts w:ascii="Arial" w:cs="Arial" w:eastAsia="Arial" w:hAnsi="Arial"/>
          <w:sz w:val="16"/>
          <w:szCs w:val="16"/>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300" w:firstLine="270"/>
        <w:spacing w:after="0" w:line="273" w:lineRule="auto"/>
        <w:rPr>
          <w:sz w:val="20"/>
          <w:szCs w:val="20"/>
          <w:color w:val="auto"/>
        </w:rPr>
      </w:pPr>
      <w:r>
        <w:rPr>
          <w:rFonts w:ascii="Arial" w:cs="Arial" w:eastAsia="Arial" w:hAnsi="Arial"/>
          <w:sz w:val="17"/>
          <w:szCs w:val="17"/>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225" w:lineRule="exact"/>
        <w:rPr>
          <w:rFonts w:ascii="Arial" w:cs="Arial" w:eastAsia="Arial" w:hAnsi="Arial"/>
          <w:sz w:val="18"/>
          <w:szCs w:val="18"/>
          <w:color w:val="auto"/>
        </w:rPr>
      </w:pPr>
    </w:p>
    <w:p>
      <w:pPr>
        <w:ind w:left="560" w:hanging="323"/>
        <w:spacing w:after="0" w:line="308" w:lineRule="auto"/>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146" w:lineRule="exact"/>
        <w:rPr>
          <w:rFonts w:ascii="Arial" w:cs="Arial" w:eastAsia="Arial" w:hAnsi="Arial"/>
          <w:sz w:val="17"/>
          <w:szCs w:val="17"/>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560" w:hanging="32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96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66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right="460" w:firstLine="270"/>
        <w:spacing w:after="0" w:line="297" w:lineRule="auto"/>
        <w:rPr>
          <w:sz w:val="20"/>
          <w:szCs w:val="20"/>
          <w:color w:val="auto"/>
        </w:rPr>
      </w:pPr>
      <w:r>
        <w:rPr>
          <w:rFonts w:ascii="Arial" w:cs="Arial" w:eastAsia="Arial" w:hAnsi="Arial"/>
          <w:sz w:val="16"/>
          <w:szCs w:val="16"/>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740" w:top="904" w:right="339" w:bottom="1440" w:gutter="0" w:footer="0" w:header="0"/>
        </w:sectPr>
      </w:pPr>
    </w:p>
    <w:bookmarkStart w:id="26" w:name="page27"/>
    <w:bookmarkEnd w:id="26"/>
    <w:p>
      <w:pPr>
        <w:ind w:left="500" w:right="380" w:firstLine="270"/>
        <w:spacing w:after="0" w:line="293" w:lineRule="auto"/>
        <w:rPr>
          <w:sz w:val="20"/>
          <w:szCs w:val="20"/>
          <w:color w:val="auto"/>
        </w:rPr>
      </w:pPr>
      <w:r>
        <w:rPr>
          <w:rFonts w:ascii="Arial" w:cs="Arial" w:eastAsia="Arial" w:hAnsi="Arial"/>
          <w:sz w:val="16"/>
          <w:szCs w:val="16"/>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161" w:lineRule="exact"/>
        <w:rPr>
          <w:sz w:val="20"/>
          <w:szCs w:val="20"/>
          <w:color w:val="auto"/>
        </w:rPr>
      </w:pPr>
    </w:p>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ind w:left="500" w:right="360" w:firstLine="270"/>
        <w:spacing w:after="0" w:line="290"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62" w:lineRule="exact"/>
        <w:rPr>
          <w:sz w:val="20"/>
          <w:szCs w:val="20"/>
          <w:color w:val="auto"/>
        </w:rPr>
      </w:pPr>
    </w:p>
    <w:p>
      <w:pPr>
        <w:ind w:left="500" w:right="1040" w:firstLine="270"/>
        <w:spacing w:after="0" w:line="313" w:lineRule="auto"/>
        <w:rPr>
          <w:sz w:val="20"/>
          <w:szCs w:val="20"/>
          <w:color w:val="auto"/>
        </w:rPr>
      </w:pPr>
      <w:r>
        <w:rPr>
          <w:rFonts w:ascii="Arial" w:cs="Arial" w:eastAsia="Arial" w:hAnsi="Arial"/>
          <w:sz w:val="17"/>
          <w:szCs w:val="17"/>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42" w:lineRule="exact"/>
        <w:rPr>
          <w:sz w:val="20"/>
          <w:szCs w:val="20"/>
          <w:color w:val="auto"/>
        </w:rPr>
      </w:pPr>
    </w:p>
    <w:p>
      <w:pPr>
        <w:ind w:left="500" w:right="420" w:firstLine="270"/>
        <w:spacing w:after="0" w:line="255"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warrant entitles its holder to acquire one share of common stock at an exercise price of $1.76 per share, subject to specified adjustments, at any time before July 19, 2017. Warrants may be exercised by paying the exercise price in cash or, in certain circumstances, pursuant to a “cashless exercise.” See “Description of Warrants” for further information.</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will receive all of the proceeds from any cash exercise of the warrants. If all of the warrants were exercised in full for cash, we would receive gross proceeds of approximately $28.1 million. However, there can be no assurance that any warrants will be exercised, or if warrants are exercised, how many will be exercised for cash.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any proceeds from cash exercises of warrants for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Pursuant to the terms of the warrants, shares of our common stock will be issued to those warrant holders who, directly or through their broker, banker, trustee or other nominee, exercise their warrants and provide payment of the exercise price, or, if applicable, select the cashless exercise option. See “Description of Warrants.” We do not know if or when any warrants will be exercised. We also do not know whether or in what manner any of the shares of common stock acquired upon exercise will be sold.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will bear all costs, expenses and fees in connection with the registration and issuance of the common stock issuable upon exercise of the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not bear any of the brokerage commissions, selling expenses or similar costs related to any resales of the common stock.</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July 20, 2012, there were warrants to purchase 22,695,411 shares of Vringo common stock outstanding at a weighted-average exercise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$2.45 per share, including 4,784,000 public warrants. The public warrants were issued in our initial public offering and are exercisable for five years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at an exercise price of $5.06 per share. In connection with the Merger with Innovate/Protect, we issued an aggregate of 15,959,838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shares of Vringo common stock with an exercise price of $1.76 per share, including Series 1 Warrants and Series 2 Warrants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8,299,116 and 7,660,722 shares of our common stock, respectively.</w:t>
      </w:r>
    </w:p>
    <w:p>
      <w:pPr>
        <w:spacing w:after="0" w:line="21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Each Series 1 Warrant and Series 2 Warrant (collectively, the “Warrants”) has an exercise price of $1.76 per share and is exercisable at any time after the date of issuance (the “Issuance Date”) until July 19, 2017 (the “Expiration Date”), in whole or in part, by paying the exercise price to us in cash or by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w:t>
      </w:r>
    </w:p>
    <w:p>
      <w:pPr>
        <w:spacing w:after="0" w:line="173"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No holder of either Warrant may exercise such Warrant if such exercise would result in the holder beneficially owning in excess of 4.99% of the number of shares of our common stock outstanding immediately after giving effect to the issuance of shares of common stock upon exercise of such Warrant (the “Beneficial Ownership Limitation”). The Beneficial Ownership Limitation may be waived by the holder upon not less than 61 days’ prior notice to us to change the beneficial ownership limitation to 9.99%. If the Beneficial Ownership Limitation is increased to 9.99% it may not be further waived.</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us,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w:t>
      </w:r>
    </w:p>
    <w:p>
      <w:pPr>
        <w:spacing w:after="0" w:line="19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Warrants are redeemable, at our option, at any time after they become exercisable and prior to their expiration, upon notice to the registered holders, at the price of $0.01 per share in the event that (i) the last closing sale price of our common stock has been equal to or greater than $5.00 per share (subject to adjustments for splits, dividends, recapitalizations and similar events) on each of 20 trading days within any 30-day trading period ending on the third business day prior to the date on which notice of redemption is given to the holder, and (ii) during each day of the foregoing 20-day trading period and through the date we exercises our redemption rights, we must have an effective registration statement with a current prospectus pursuant to which the underlying common stock may be sold. The Series 1 Warrant provides that from the Issuance Date through December 31, 2014, in the event we issue or sell a warrant to purchase shares of common stock with an exercise price below $1.76 per share or which contains terms that, taken as a whole, are more favorable then the terms of the Series 1 Warrant (a “Superior Warrant”), as determined in good faith by our board of directors, in connection with a financing or a material transaction, then we are required to amend the terms of the Series 1 Warrant to give the holder the benefit of the more favorable terms or conditions of the Superior Warrant (excluding the expiration date of the Superior Warrant). All other material terms of the Series 1 Warrant and the Series 2 Warrant are identical.</w:t>
      </w:r>
    </w:p>
    <w:p>
      <w:pPr>
        <w:spacing w:after="0" w:line="18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For a complete description, please see the Series 1 Warrant and the Series 2 Warrant, which are filed with the Securities and Exchange Commission as exhibits to the registration statement of which this prospectus forms a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8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left="1620" w:right="100" w:hanging="315"/>
        <w:spacing w:after="0" w:line="297"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for trading on the NYSE MKT under the symbol “VRNG.”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common stock issuable upon the exercise of the warrants.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ind w:left="1620" w:right="100" w:hanging="315"/>
        <w:spacing w:after="0" w:line="30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40" w:hanging="315"/>
        <w:spacing w:after="0" w:line="31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43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37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Miscellaneous</w:t>
            </w:r>
          </w:p>
        </w:tc>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59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w:t>
            </w:r>
          </w:p>
        </w:tc>
        <w:tc>
          <w:tcPr>
            <w:tcW w:w="434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w:t>
            </w:r>
          </w:p>
        </w:tc>
        <w:tc>
          <w:tcPr>
            <w:tcW w:w="374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 Previously paid</w:t>
            </w:r>
          </w:p>
        </w:tc>
        <w:tc>
          <w:tcPr>
            <w:tcW w:w="3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right="20" w:firstLine="648"/>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carry insurance policies insuring our directors and officers against certain liabilities that they may incur in their capacity as directors and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entered into indemnification agreements with our directors and officers.</w:t>
      </w:r>
    </w:p>
    <w:p>
      <w:pPr>
        <w:spacing w:after="0" w:line="211"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 of 1933, as amended.</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discussion of our certificate of incorporation, bylaws, indemnification agreements, and Delaware law is not intended to be exhaustive and is qualified in its entirety by such certificate of incorporation, bylaws, indemnification agreements, or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to this registration statement, which Exhibit Index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333" w:lineRule="exact"/>
        <w:rPr>
          <w:rFonts w:ascii="Arial" w:cs="Arial" w:eastAsia="Arial" w:hAnsi="Arial"/>
          <w:sz w:val="18"/>
          <w:szCs w:val="18"/>
          <w:color w:val="auto"/>
        </w:rPr>
      </w:pPr>
    </w:p>
    <w:p>
      <w:pPr>
        <w:ind w:left="1520" w:hanging="215"/>
        <w:spacing w:after="0"/>
        <w:tabs>
          <w:tab w:leader="none" w:pos="15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960" w:right="60" w:hanging="655"/>
        <w:spacing w:after="0" w:line="285" w:lineRule="auto"/>
        <w:tabs>
          <w:tab w:leader="none" w:pos="19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2" w:lineRule="exact"/>
        <w:rPr>
          <w:rFonts w:ascii="Arial" w:cs="Arial" w:eastAsia="Arial" w:hAnsi="Arial"/>
          <w:sz w:val="16"/>
          <w:szCs w:val="16"/>
          <w:color w:val="auto"/>
        </w:rPr>
      </w:pPr>
    </w:p>
    <w:p>
      <w:pPr>
        <w:ind w:left="1960" w:right="80"/>
        <w:spacing w:after="0" w:line="290" w:lineRule="auto"/>
        <w:rPr>
          <w:rFonts w:ascii="Arial" w:cs="Arial" w:eastAsia="Arial" w:hAnsi="Arial"/>
          <w:sz w:val="16"/>
          <w:szCs w:val="16"/>
          <w:color w:val="auto"/>
        </w:rPr>
      </w:pPr>
      <w:r>
        <w:rPr>
          <w:rFonts w:ascii="Arial" w:cs="Arial" w:eastAsia="Arial" w:hAnsi="Arial"/>
          <w:sz w:val="17"/>
          <w:szCs w:val="17"/>
          <w:color w:val="auto"/>
        </w:rPr>
        <w:t>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left="1960" w:right="40" w:hanging="655"/>
        <w:spacing w:after="0" w:line="277" w:lineRule="auto"/>
        <w:tabs>
          <w:tab w:leader="none" w:pos="19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300" w:right="20" w:hanging="320"/>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8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78"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333" w:lineRule="exact"/>
        <w:rPr>
          <w:rFonts w:ascii="Arial" w:cs="Arial" w:eastAsia="Arial" w:hAnsi="Arial"/>
          <w:sz w:val="18"/>
          <w:szCs w:val="18"/>
          <w:color w:val="auto"/>
        </w:rPr>
      </w:pPr>
    </w:p>
    <w:p>
      <w:pPr>
        <w:ind w:left="1960" w:right="8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60" w:right="20" w:hanging="655"/>
        <w:spacing w:after="0" w:line="287" w:lineRule="auto"/>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35" w:name="page36"/>
    <w:bookmarkEnd w:id="35"/>
    <w:p>
      <w:pPr>
        <w:jc w:val="both"/>
        <w:ind w:left="644" w:hanging="320"/>
        <w:spacing w:after="0" w:line="257" w:lineRule="auto"/>
        <w:tabs>
          <w:tab w:leader="none" w:pos="6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96" w:lineRule="exact"/>
        <w:rPr>
          <w:rFonts w:ascii="Arial" w:cs="Arial" w:eastAsia="Arial" w:hAnsi="Arial"/>
          <w:sz w:val="18"/>
          <w:szCs w:val="18"/>
          <w:color w:val="auto"/>
        </w:rPr>
      </w:pPr>
    </w:p>
    <w:p>
      <w:pPr>
        <w:ind w:left="1304" w:right="400" w:hanging="655"/>
        <w:spacing w:after="0" w:line="277" w:lineRule="auto"/>
        <w:tabs>
          <w:tab w:leader="none" w:pos="13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304" w:right="80" w:hanging="655"/>
        <w:spacing w:after="0" w:line="277" w:lineRule="auto"/>
        <w:tabs>
          <w:tab w:leader="none" w:pos="13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4" w:right="360" w:hanging="655"/>
        <w:spacing w:after="0" w:line="277" w:lineRule="auto"/>
        <w:tabs>
          <w:tab w:leader="none" w:pos="13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644" w:right="60" w:hanging="644"/>
        <w:spacing w:after="0" w:line="276" w:lineRule="auto"/>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2" w:lineRule="exact"/>
        <w:rPr>
          <w:rFonts w:ascii="Arial" w:cs="Arial" w:eastAsia="Arial" w:hAnsi="Arial"/>
          <w:sz w:val="17"/>
          <w:szCs w:val="17"/>
          <w:color w:val="auto"/>
        </w:rPr>
      </w:pPr>
    </w:p>
    <w:p>
      <w:pPr>
        <w:ind w:left="644" w:right="40" w:hanging="644"/>
        <w:spacing w:after="0" w:line="271" w:lineRule="auto"/>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New York, New York, on July 24, 2012.</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6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the undersigned officers and directors of Vringo, Inc., hereby severally constitute and appoint Andrew D. Perlman and Ellen Cohl,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Signature</w:t>
            </w:r>
          </w:p>
        </w:tc>
        <w:tc>
          <w:tcPr>
            <w:tcW w:w="90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55"/>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Perlman</w:t>
            </w:r>
          </w:p>
        </w:tc>
        <w:tc>
          <w:tcPr>
            <w:tcW w:w="900" w:type="dxa"/>
            <w:vAlign w:val="bottom"/>
          </w:tcPr>
          <w:p>
            <w:pPr>
              <w:spacing w:after="0"/>
              <w:rPr>
                <w:sz w:val="19"/>
                <w:szCs w:val="19"/>
                <w:color w:val="auto"/>
              </w:rPr>
            </w:pPr>
          </w:p>
        </w:tc>
        <w:tc>
          <w:tcPr>
            <w:tcW w:w="49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Ellen Cohl</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 (principal</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Ellen Cohl</w:t>
            </w:r>
          </w:p>
        </w:tc>
        <w:tc>
          <w:tcPr>
            <w:tcW w:w="900" w:type="dxa"/>
            <w:vAlign w:val="bottom"/>
          </w:tcPr>
          <w:p>
            <w:pPr>
              <w:spacing w:after="0"/>
              <w:rPr>
                <w:sz w:val="19"/>
                <w:szCs w:val="19"/>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financial and accounting officer)</w:t>
            </w: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Seth M. Siegel</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Seth M. Siegel</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Andrew Kennedy Lang</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Technology Officer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Kennedy Lang</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Alexander R. Berger</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Operating Officer, Secretary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Alexander R. Berger</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John Engelman</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Donald E. Stout</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Donald E. Stout</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H. Van Sinclair</w:t>
            </w: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2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H. Van Sinclair</w:t>
            </w:r>
          </w:p>
        </w:tc>
        <w:tc>
          <w:tcPr>
            <w:tcW w:w="9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648"/>
        </w:trPr>
        <w:tc>
          <w:tcPr>
            <w:tcW w:w="2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II-4</w:t>
            </w: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Agreement and Plan of Merger by and among Vringo, Inc., VIP Merger Sub, Inc. and Innovate/Protect, Inc., dated as of March 12, 2012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Exhibit 2.1 to the Company’s Current Report on Form 8-K filed with the SEC on March 14,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our Registration Statement on Form S-1 filed on May 18,</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Registrant’s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with the SEC on July 20,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Designations, Preferences and Rights of Series A Convertible Preferred Stock (incorporated by reference to Exhibit 3.2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Current Report on Form 8-K, filed with the SEC on July 20,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Amended and Restated Bylaws (incorporated by reference to our Registration Statement on Form S-1 filed on January 29,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Specimen Common Stock Certificate (incorporated by reference to Exhibit 4.2 of Amendment No. 3 to the Registrant’s Registration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on Form S-1, filed with the SEC on May 18,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Series 1 Warrant (incorporated by reference to Annex F to the Company’s Registration Statement on Form S-4 (File No. 333-180609)</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Series 2 Warrant (incorporated by reference to Annex G to the Company’s Registration Statement on Form S-4 (File No. 333-</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180609) originally filed with the SEC on April 6,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Opinion of Mintz, Levin, Cohn, Ferris, Glovsky and Popeo, P.C. with respect to the legality of the securities being registered (previously filed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with Vringo’s Amendment No. 3 to Registration Statement on Form S-4 (File No. 333-180609) filed on June 12,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Mintz, Levin, Cohn, Ferris, Glovsky and Popeo, P.C. (included in the opinion filed as Exhibit 5.1).</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Exhibit 23.1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consent to the use of our report dated March 30, 2012, with respect to the consolidated balance sheets of Vringo, Inc. and Subsidiary (a Development Stage Company) (“the Company”)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by reference and to the reference to our firm under the heading "Experts" in the prospectus.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issued our report dated March 2, 2012 with respect to the consolidated financial statements of Innovate/Protect Inc. included in the Current Report on Form 8-K, dated July 20, 2012, of Vringo Inc., which is incorporated by reference in this Registration Statement. We consent to the incorporation by reference in the Registration Statement of the aforementioned report, and to the use of our name as it appears under the caption "Experts.”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City,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25E45D32"/>
    <w:multiLevelType w:val="hybridMultilevel"/>
    <w:lvl w:ilvl="0">
      <w:lvlJc w:val="left"/>
      <w:lvlText w:val="(%1)"/>
      <w:numFmt w:val="decimal"/>
      <w:start w:val="2"/>
    </w:lvl>
    <w:lvl w:ilvl="1">
      <w:lvlJc w:val="left"/>
      <w:lvlText w:val="(%2)"/>
      <w:numFmt w:val="lowerRoman"/>
      <w:start w:val="1"/>
    </w:lvl>
  </w:abstractNum>
  <w:abstractNum w:abstractNumId="16">
    <w:nsid w:val="519B500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7">
    <w:nsid w:val="431BD7B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2019-12-09T19:14:37Z</dcterms:created>
  <dcterms:modified xsi:type="dcterms:W3CDTF">2019-12-09T19:14:37Z</dcterms:modified>
</cp:coreProperties>
</file>