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spacing w:after="0" w:line="324" w:lineRule="exact"/>
        <w:rPr>
          <w:sz w:val="24"/>
          <w:szCs w:val="24"/>
          <w:color w:val="auto"/>
        </w:rPr>
      </w:pPr>
    </w:p>
    <w:tbl>
      <w:tblPr>
        <w:tblLayout w:type="fixed"/>
        <w:tblInd w:w="80" w:type="dxa"/>
        <w:tblCellMar>
          <w:top w:w="0" w:type="dxa"/>
          <w:left w:w="0" w:type="dxa"/>
          <w:bottom w:w="0" w:type="dxa"/>
          <w:right w:w="0" w:type="dxa"/>
        </w:tblCellMar>
      </w:tblPr>
      <w:tr>
        <w:trPr>
          <w:trHeight w:val="222"/>
        </w:trPr>
        <w:tc>
          <w:tcPr>
            <w:tcW w:w="3140" w:type="dxa"/>
            <w:vAlign w:val="bottom"/>
          </w:tcPr>
          <w:p>
            <w:pPr>
              <w:spacing w:after="0"/>
              <w:rPr>
                <w:sz w:val="20"/>
                <w:szCs w:val="20"/>
                <w:color w:val="auto"/>
              </w:rPr>
            </w:pPr>
            <w:r>
              <w:rPr>
                <w:rFonts w:ascii="Arial" w:cs="Arial" w:eastAsia="Arial" w:hAnsi="Arial"/>
                <w:sz w:val="18"/>
                <w:szCs w:val="18"/>
                <w:color w:val="0000FF"/>
                <w:w w:val="92"/>
              </w:rPr>
              <w:t>Common Stock, $0.01 par value per share</w:t>
            </w:r>
          </w:p>
        </w:tc>
        <w:tc>
          <w:tcPr>
            <w:tcW w:w="980" w:type="dxa"/>
            <w:vAlign w:val="bottom"/>
          </w:tcPr>
          <w:p>
            <w:pPr>
              <w:jc w:val="right"/>
              <w:spacing w:after="0"/>
              <w:rPr>
                <w:sz w:val="20"/>
                <w:szCs w:val="20"/>
                <w:color w:val="auto"/>
              </w:rPr>
            </w:pPr>
            <w:r>
              <w:rPr>
                <w:rFonts w:ascii="Arial" w:cs="Arial" w:eastAsia="Arial" w:hAnsi="Arial"/>
                <w:sz w:val="18"/>
                <w:szCs w:val="18"/>
                <w:color w:val="0000FF"/>
              </w:rPr>
              <w:t>10/31/2012</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20"/>
                <w:szCs w:val="20"/>
                <w:color w:val="auto"/>
              </w:rPr>
            </w:pPr>
            <w:r>
              <w:rPr>
                <w:rFonts w:ascii="Arial" w:cs="Arial" w:eastAsia="Arial" w:hAnsi="Arial"/>
                <w:sz w:val="14"/>
                <w:szCs w:val="14"/>
                <w:color w:val="0000FF"/>
              </w:rPr>
              <w:t>S</w:t>
            </w:r>
          </w:p>
        </w:tc>
        <w:tc>
          <w:tcPr>
            <w:tcW w:w="960" w:type="dxa"/>
            <w:vAlign w:val="bottom"/>
            <w:vMerge w:val="restart"/>
          </w:tcPr>
          <w:p>
            <w:pPr>
              <w:jc w:val="right"/>
              <w:ind w:right="112"/>
              <w:spacing w:after="0"/>
              <w:rPr>
                <w:sz w:val="20"/>
                <w:szCs w:val="20"/>
                <w:color w:val="auto"/>
              </w:rPr>
            </w:pPr>
            <w:r>
              <w:rPr>
                <w:rFonts w:ascii="Arial" w:cs="Arial" w:eastAsia="Arial" w:hAnsi="Arial"/>
                <w:sz w:val="18"/>
                <w:szCs w:val="18"/>
                <w:color w:val="0000FF"/>
              </w:rPr>
              <w:t>4,058</w:t>
            </w:r>
          </w:p>
        </w:tc>
        <w:tc>
          <w:tcPr>
            <w:tcW w:w="46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4.3377</w:t>
            </w:r>
          </w:p>
        </w:tc>
        <w:tc>
          <w:tcPr>
            <w:tcW w:w="1180" w:type="dxa"/>
            <w:vAlign w:val="bottom"/>
            <w:vMerge w:val="restart"/>
          </w:tcPr>
          <w:p>
            <w:pPr>
              <w:jc w:val="right"/>
              <w:ind w:right="252"/>
              <w:spacing w:after="0"/>
              <w:rPr>
                <w:sz w:val="20"/>
                <w:szCs w:val="20"/>
                <w:color w:val="auto"/>
              </w:rPr>
            </w:pPr>
            <w:r>
              <w:rPr>
                <w:rFonts w:ascii="Arial" w:cs="Arial" w:eastAsia="Arial" w:hAnsi="Arial"/>
                <w:sz w:val="18"/>
                <w:szCs w:val="18"/>
                <w:color w:val="0000FF"/>
              </w:rPr>
              <w:t>2,955,310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00" w:type="dxa"/>
            <w:vAlign w:val="bottom"/>
          </w:tcPr>
          <w:p>
            <w:pPr>
              <w:ind w:left="240"/>
              <w:spacing w:after="0"/>
              <w:rPr>
                <w:sz w:val="20"/>
                <w:szCs w:val="20"/>
                <w:color w:val="auto"/>
              </w:rPr>
            </w:pPr>
            <w:r>
              <w:rPr>
                <w:rFonts w:ascii="Arial" w:cs="Arial" w:eastAsia="Arial" w:hAnsi="Arial"/>
                <w:sz w:val="18"/>
                <w:szCs w:val="18"/>
                <w:color w:val="0000FF"/>
                <w:w w:val="89"/>
              </w:rPr>
              <w:t>Innovation</w:t>
            </w:r>
          </w:p>
        </w:tc>
        <w:tc>
          <w:tcPr>
            <w:tcW w:w="0" w:type="dxa"/>
            <w:vAlign w:val="bottom"/>
          </w:tcPr>
          <w:p>
            <w:pPr>
              <w:spacing w:after="0"/>
              <w:rPr>
                <w:sz w:val="1"/>
                <w:szCs w:val="1"/>
                <w:color w:val="auto"/>
              </w:rPr>
            </w:pPr>
          </w:p>
        </w:tc>
      </w:tr>
      <w:tr>
        <w:trPr>
          <w:trHeight w:val="114"/>
        </w:trPr>
        <w:tc>
          <w:tcPr>
            <w:tcW w:w="4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48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p>
      <w:pPr>
        <w:spacing w:after="0" w:line="92" w:lineRule="exact"/>
        <w:rPr>
          <w:sz w:val="24"/>
          <w:szCs w:val="24"/>
          <w:color w:val="auto"/>
        </w:rPr>
      </w:pPr>
    </w:p>
    <w:p>
      <w:pPr>
        <w:sectPr>
          <w:pgSz w:w="11900" w:h="16838" w:orient="portrait"/>
          <w:cols w:equalWidth="0" w:num="2">
            <w:col w:w="4980" w:space="720"/>
            <w:col w:w="572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8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 per share</w:t>
            </w: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2,765,400</w:t>
            </w:r>
            <w:r>
              <w:rPr>
                <w:rFonts w:ascii="Arial" w:cs="Arial" w:eastAsia="Arial" w:hAnsi="Arial"/>
                <w:sz w:val="22"/>
                <w:szCs w:val="22"/>
                <w:color w:val="008000"/>
                <w:vertAlign w:val="superscript"/>
              </w:rPr>
              <w:t>(1)</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8"/>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6"/>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125,000 shares of common stock that are represented by restricted stock units which vest over a four-year period, with 1/8 of the restricted stock units vesting on January 26, 2013 and 1/16 of the restricted stock units vesting ratably on a quarterly basis thereafter.</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The transactions reported in this Form 4 were effected pursuant to a Rule 10b5-1 trading plan adopted by the reporting person on August 31, 2012.</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11/02/2012</w:t>
            </w:r>
          </w:p>
        </w:tc>
      </w:tr>
      <w:tr>
        <w:trPr>
          <w:trHeight w:val="20"/>
        </w:trPr>
        <w:tc>
          <w:tcPr>
            <w:tcW w:w="68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2019-12-17T07:26:19Z</dcterms:created>
  <dcterms:modified xsi:type="dcterms:W3CDTF">2019-12-17T07:26:19Z</dcterms:modified>
</cp:coreProperties>
</file>