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Section 15(d) of the Securities Exchange Act of 1934</w:t>
      </w: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February 14, 2012 (February 8,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203835</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w:t>
      </w:r>
    </w:p>
    <w:p>
      <w:pPr>
        <w:spacing w:after="0" w:line="12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186690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p>
      <w:pPr>
        <w:spacing w:after="0" w:line="200" w:lineRule="exact"/>
        <w:rPr>
          <w:sz w:val="24"/>
          <w:szCs w:val="24"/>
          <w:color w:val="auto"/>
        </w:rPr>
      </w:pPr>
    </w:p>
    <w:p>
      <w:pPr>
        <w:spacing w:after="0" w:line="372" w:lineRule="exact"/>
        <w:rPr>
          <w:sz w:val="24"/>
          <w:szCs w:val="24"/>
          <w:color w:val="auto"/>
        </w:rPr>
      </w:pPr>
    </w:p>
    <w:p>
      <w:pPr>
        <w:ind w:left="17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1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5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1-34785</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860" w:space="720"/>
            <w:col w:w="2680" w:space="720"/>
            <w:col w:w="2440"/>
          </w:cols>
          <w:pgMar w:left="240" w:top="229" w:right="239" w:bottom="1440" w:gutter="0" w:footer="0" w:header="0"/>
          <w:type w:val="continuous"/>
        </w:sectPr>
      </w:pPr>
    </w:p>
    <w:p>
      <w:pPr>
        <w:spacing w:after="0" w:line="227"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44 W. 28</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Street</w:t>
      </w:r>
    </w:p>
    <w:p>
      <w:pPr>
        <w:spacing w:after="0" w:line="64"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0"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10001</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229" w:right="239" w:bottom="1440" w:gutter="0" w:footer="0" w:header="0"/>
          <w:type w:val="continuous"/>
        </w:sectPr>
      </w:pP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525-4319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189230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[_] Written communications pursuant to Rule 425 under the Securities Act (17 CFR 230.425)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[_] 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00" w:lineRule="exact"/>
        <w:rPr>
          <w:sz w:val="20"/>
          <w:szCs w:val="20"/>
          <w:color w:val="auto"/>
        </w:rPr>
      </w:pPr>
    </w:p>
    <w:p>
      <w:pPr>
        <w:spacing w:after="0" w:line="241" w:lineRule="exact"/>
        <w:rPr>
          <w:sz w:val="20"/>
          <w:szCs w:val="20"/>
          <w:color w:val="auto"/>
        </w:rPr>
      </w:pPr>
    </w:p>
    <w:p>
      <w:pPr>
        <w:ind w:right="60" w:firstLine="486"/>
        <w:spacing w:after="0" w:line="261" w:lineRule="auto"/>
        <w:rPr>
          <w:sz w:val="20"/>
          <w:szCs w:val="20"/>
          <w:color w:val="auto"/>
        </w:rPr>
      </w:pPr>
      <w:r>
        <w:rPr>
          <w:rFonts w:ascii="Arial" w:cs="Arial" w:eastAsia="Arial" w:hAnsi="Arial"/>
          <w:sz w:val="18"/>
          <w:szCs w:val="18"/>
          <w:color w:val="auto"/>
        </w:rPr>
        <w:t>Between February 6 and February 14, 2012, Vringo, Inc. (the “</w:t>
      </w:r>
      <w:r>
        <w:rPr>
          <w:rFonts w:ascii="Arial" w:cs="Arial" w:eastAsia="Arial" w:hAnsi="Arial"/>
          <w:sz w:val="18"/>
          <w:szCs w:val="18"/>
          <w:b w:val="1"/>
          <w:bCs w:val="1"/>
          <w:color w:val="auto"/>
        </w:rPr>
        <w:t>Company</w:t>
      </w:r>
      <w:r>
        <w:rPr>
          <w:rFonts w:ascii="Arial" w:cs="Arial" w:eastAsia="Arial" w:hAnsi="Arial"/>
          <w:sz w:val="18"/>
          <w:szCs w:val="18"/>
          <w:color w:val="auto"/>
        </w:rPr>
        <w:t>”) entered into agreements with holders of certain of its outstanding warrants (the “</w:t>
      </w:r>
      <w:r>
        <w:rPr>
          <w:rFonts w:ascii="Arial" w:cs="Arial" w:eastAsia="Arial" w:hAnsi="Arial"/>
          <w:sz w:val="18"/>
          <w:szCs w:val="18"/>
          <w:b w:val="1"/>
          <w:bCs w:val="1"/>
          <w:color w:val="auto"/>
        </w:rPr>
        <w:t>Holders</w:t>
      </w:r>
      <w:r>
        <w:rPr>
          <w:rFonts w:ascii="Arial" w:cs="Arial" w:eastAsia="Arial" w:hAnsi="Arial"/>
          <w:sz w:val="18"/>
          <w:szCs w:val="18"/>
          <w:color w:val="auto"/>
        </w:rPr>
        <w:t>”), pursuant to which the Holders exercised warrants to purchase 3,828,993 shares of the Company's common stock for aggregate proceeds to the Company of $3.6 million. The Company issued new warrants to purchase an aggregate of 2,505,922 shares of common stock at an exercise price of $1.76 per share in consideration for the immediate exercise of the warrants.</w:t>
      </w:r>
    </w:p>
    <w:p>
      <w:pPr>
        <w:spacing w:after="0" w:line="184"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The foregoing paragraph includes (i) the warrant exercises and issuances set forth in the Current Report on Form 8-K filed by the Company on February 7, 2012, and (ii) additional warrant exercises to purchase 1,384,127 shares of the Company’s common stock (the “</w:t>
      </w:r>
      <w:r>
        <w:rPr>
          <w:rFonts w:ascii="Arial" w:cs="Arial" w:eastAsia="Arial" w:hAnsi="Arial"/>
          <w:sz w:val="17"/>
          <w:szCs w:val="17"/>
          <w:b w:val="1"/>
          <w:bCs w:val="1"/>
          <w:color w:val="auto"/>
        </w:rPr>
        <w:t>Original Warrants</w:t>
      </w:r>
      <w:r>
        <w:rPr>
          <w:rFonts w:ascii="Arial" w:cs="Arial" w:eastAsia="Arial" w:hAnsi="Arial"/>
          <w:sz w:val="17"/>
          <w:szCs w:val="17"/>
          <w:color w:val="auto"/>
        </w:rPr>
        <w:t>”) between February 8, 2012 and February 14, 2012. The additional aggregate proceeds received by the Company upon the exercise of the Original Warrants equaled approximately $1.3 million. In consideration for the immediate exercise of the Original Warrants by the holders, the Company issued the holders new five-year warrants to purchase an aggregate of 721,213 shares of common stock (the “</w:t>
      </w:r>
      <w:r>
        <w:rPr>
          <w:rFonts w:ascii="Arial" w:cs="Arial" w:eastAsia="Arial" w:hAnsi="Arial"/>
          <w:sz w:val="17"/>
          <w:szCs w:val="17"/>
          <w:b w:val="1"/>
          <w:bCs w:val="1"/>
          <w:color w:val="auto"/>
        </w:rPr>
        <w:t>New Warrants</w:t>
      </w:r>
      <w:r>
        <w:rPr>
          <w:rFonts w:ascii="Arial" w:cs="Arial" w:eastAsia="Arial" w:hAnsi="Arial"/>
          <w:sz w:val="17"/>
          <w:szCs w:val="17"/>
          <w:color w:val="auto"/>
        </w:rPr>
        <w:t>”). The New Warrants have an exercise price of $1.76 per share and are redeemable by the Company in the event its common stock exceeds $5.00 for twenty of thirty trading days. The New Warrants were offered and sold to accredited investors pursuant to an exemption from the registration requirements under Section 4(2) of the Securities Act of 1933, as amended, and Rule 506 of Regulation D promulgated thereunder.</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February 14, 2012, the Company issued a press release announcing the warrant exercises. A copy of this press release is attached hereto as Exhibit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99.1.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 copy of a slide presentation that the Company uses at investor conferences is attached to this Current Report on Form 8-K as Exhibit 99.2 and is incorporated herein solely for purposes of this Item 7.01 disclosure. Additionally, the Company has posted the slide presentation on its website at www.vringoinc.com in the investor relations section.</w:t>
      </w:r>
    </w:p>
    <w:p>
      <w:pPr>
        <w:spacing w:after="0" w:line="181"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information contained in this Current Report on Form 8-K, including Exhibit 99.2, shall not be deemed “filed” for purposes of Section 18 of the Securities Exchange Act of 1934, as amended (the “Exchange Act”), and shall not be deemed to be incorporated by reference into any filings under the Securities Act of 1933, as amended, or the Exchange Act, except to the extent the Company specifically incorporates the information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0"/>
                <w:szCs w:val="20"/>
                <w:color w:val="auto"/>
              </w:rPr>
            </w:pPr>
          </w:p>
        </w:tc>
        <w:tc>
          <w:tcPr>
            <w:tcW w:w="10040" w:type="dxa"/>
            <w:vAlign w:val="bottom"/>
            <w:tcBorders>
              <w:bottom w:val="single" w:sz="8" w:color="auto"/>
            </w:tcBorders>
          </w:tcPr>
          <w:p>
            <w:pPr>
              <w:ind w:left="458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1260" w:type="dxa"/>
            <w:vAlign w:val="bottom"/>
          </w:tcPr>
          <w:p>
            <w:pPr>
              <w:spacing w:after="0" w:line="201"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7"/>
                <w:szCs w:val="17"/>
                <w:color w:val="auto"/>
              </w:rPr>
            </w:pPr>
          </w:p>
        </w:tc>
        <w:tc>
          <w:tcPr>
            <w:tcW w:w="10040" w:type="dxa"/>
            <w:vAlign w:val="bottom"/>
          </w:tcPr>
          <w:p>
            <w:pPr>
              <w:spacing w:after="0" w:line="201" w:lineRule="exact"/>
              <w:rPr>
                <w:sz w:val="20"/>
                <w:szCs w:val="20"/>
                <w:color w:val="auto"/>
              </w:rPr>
            </w:pPr>
            <w:r>
              <w:rPr>
                <w:rFonts w:ascii="Arial" w:cs="Arial" w:eastAsia="Arial" w:hAnsi="Arial"/>
                <w:sz w:val="18"/>
                <w:szCs w:val="18"/>
                <w:color w:val="auto"/>
              </w:rPr>
              <w:t>Press Release issued by the Company on February 14, 2012</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PowerPoint Slide Presentation</w:t>
            </w:r>
          </w:p>
        </w:tc>
      </w:tr>
      <w:tr>
        <w:trPr>
          <w:trHeight w:val="648"/>
        </w:trPr>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p>
      <w:pPr>
        <w:ind w:left="60"/>
        <w:spacing w:after="0"/>
        <w:tabs>
          <w:tab w:leader="none" w:pos="5700" w:val="left"/>
        </w:tabs>
        <w:rPr>
          <w:sz w:val="20"/>
          <w:szCs w:val="20"/>
          <w:color w:val="auto"/>
        </w:rPr>
      </w:pPr>
      <w:r>
        <w:rPr>
          <w:rFonts w:ascii="Arial" w:cs="Arial" w:eastAsia="Arial" w:hAnsi="Arial"/>
          <w:sz w:val="18"/>
          <w:szCs w:val="18"/>
          <w:color w:val="auto"/>
        </w:rPr>
        <w:t>Dated: February 14, 2012</w:t>
      </w:r>
      <w:r>
        <w:rPr>
          <w:sz w:val="20"/>
          <w:szCs w:val="20"/>
          <w:color w:val="auto"/>
        </w:rPr>
        <w:tab/>
      </w:r>
      <w:r>
        <w:rPr>
          <w:rFonts w:ascii="Arial" w:cs="Arial" w:eastAsia="Arial" w:hAnsi="Arial"/>
          <w:sz w:val="18"/>
          <w:szCs w:val="18"/>
          <w:b w:val="1"/>
          <w:bCs w:val="1"/>
          <w:color w:val="auto"/>
        </w:rPr>
        <w:t>VRINGO, INC.</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Ellen Cohl</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Ellen Cohl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Financial Officer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2335530</wp:posOffset>
            </wp:positionH>
            <wp:positionV relativeFrom="page">
              <wp:posOffset>88900</wp:posOffset>
            </wp:positionV>
            <wp:extent cx="2898775" cy="1037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898775" cy="10375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Vringo Announces Warrant Exercises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Receives $3.6 Million in Proceeds to Support its Ongoing Strategic Growth Initiatives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NEW YORK </w:t>
      </w:r>
      <w:r>
        <w:rPr>
          <w:rFonts w:ascii="Arial" w:cs="Arial" w:eastAsia="Arial" w:hAnsi="Arial"/>
          <w:sz w:val="18"/>
          <w:szCs w:val="18"/>
          <w:color w:val="181818"/>
        </w:rPr>
        <w:t>— February</w:t>
      </w:r>
      <w:r>
        <w:rPr>
          <w:rFonts w:ascii="Arial" w:cs="Arial" w:eastAsia="Arial" w:hAnsi="Arial"/>
          <w:sz w:val="18"/>
          <w:szCs w:val="18"/>
          <w:color w:val="auto"/>
        </w:rPr>
        <w:t xml:space="preserve"> 14, 2012 </w:t>
      </w:r>
      <w:r>
        <w:rPr>
          <w:rFonts w:ascii="Arial" w:cs="Arial" w:eastAsia="Arial" w:hAnsi="Arial"/>
          <w:sz w:val="18"/>
          <w:szCs w:val="18"/>
          <w:color w:val="181818"/>
        </w:rPr>
        <w:t>— Vringo, Inc. (NYSE Amex: VRNG), a provider of software platforms for mobile social and video applications, today</w:t>
      </w:r>
      <w:r>
        <w:rPr>
          <w:rFonts w:ascii="Arial" w:cs="Arial" w:eastAsia="Arial" w:hAnsi="Arial"/>
          <w:sz w:val="18"/>
          <w:szCs w:val="18"/>
          <w:color w:val="auto"/>
        </w:rPr>
        <w:t xml:space="preserve"> </w:t>
      </w:r>
      <w:r>
        <w:rPr>
          <w:rFonts w:ascii="Arial" w:cs="Arial" w:eastAsia="Arial" w:hAnsi="Arial"/>
          <w:sz w:val="18"/>
          <w:szCs w:val="18"/>
          <w:color w:val="181818"/>
        </w:rPr>
        <w:t>announced that it has received approximately $3.6 million in cash proceeds from the exercise of warrants to purchase approximately 3.8 million shares of common stock.</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81818"/>
        </w:rPr>
        <w:t>"We are extremely pleased at the level of confidence in us demonstrated by our investors by exercising their warrants," said Andrew Perlman, President of Vringo. "Vringo has made improvements in its financial performance and we believe it is well- positioned to continue to benefit from improving efficiencies. These warrant exercises further strengthen both the cash position of the company as well as its capital structure. We currently have no debt, a streamlined organizational structure and increasing downloads of our products. We believe the proceeds from the warrant exercises will enable us to support our ongoing strategic growth initiatives."</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181818"/>
        </w:rPr>
        <w:t>In connection with the warrant exercises, the Company issued warrants holders new warrants to purchase 2,505,922 shares of common stock with an exercise price of $1.76 per share.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181818"/>
        </w:rPr>
        <w:t>About Vringo</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181818"/>
        </w:rPr>
        <w:t xml:space="preserve">Vringo (NYSE Amex: VRNG) is a provider of software platforms for mobile social and video applications. With its award-winning video ringtone application and other mobile software platforms - including Facetones™, Video Remix and Fan Loyalty - Vringo transforms the basic act of making and receiving mobile phone calls into a highly visual, social experience. Vringo’s video ringtone service enables users to create or take video, images and slideshows from virtually anywhere and turn it into their visual call signature. In a first for the mobile industry, Vringo has introduced its patented VringForward technology, which allows users to share video clips with friends with a simple call. Vringo’s Facetones™ application creates an automated video slideshow using friends’ photos from social media web sites, which is played each time a user communicates with a friend using a mobile device. Vringo’s Video ReMix application, in partnership with music artists and brands, allows users to create their own music video by tapping on a Smartphone or tablet. Lastly, Fan Loyalty is a platform that lets users interact, vote and communicate with contestants in reality TV series that it partners with, as well as downloading and setting clips from such shows as video ringtones. Vringo’s video ringtone application has been heralded by The New York Times as "the next big thing in ringtones" and USA Today said it has "to be seen to be believed." For more information, visit: </w:t>
      </w:r>
      <w:r>
        <w:rPr>
          <w:rFonts w:ascii="Arial" w:cs="Arial" w:eastAsia="Arial" w:hAnsi="Arial"/>
          <w:sz w:val="16"/>
          <w:szCs w:val="16"/>
          <w:color w:val="000000"/>
        </w:rPr>
        <w:t>www.vringo.com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391160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color w:val="181818"/>
        </w:rPr>
        <w:t xml:space="preserve">For comprehensive investor relations material, including fact sheets, white papers, conference calls and video regarding Vringo and its applications, please follow the appropriate link: </w:t>
      </w:r>
      <w:r>
        <w:rPr>
          <w:rFonts w:ascii="Arial" w:cs="Arial" w:eastAsia="Arial" w:hAnsi="Arial"/>
          <w:sz w:val="18"/>
          <w:szCs w:val="18"/>
          <w:color w:val="000000"/>
        </w:rPr>
        <w:t>Investor Portal</w:t>
      </w:r>
      <w:r>
        <w:rPr>
          <w:rFonts w:ascii="Arial" w:cs="Arial" w:eastAsia="Arial" w:hAnsi="Arial"/>
          <w:sz w:val="18"/>
          <w:szCs w:val="18"/>
          <w:color w:val="181818"/>
        </w:rPr>
        <w:t xml:space="preserve">, </w:t>
      </w:r>
      <w:r>
        <w:rPr>
          <w:rFonts w:ascii="Arial" w:cs="Arial" w:eastAsia="Arial" w:hAnsi="Arial"/>
          <w:sz w:val="18"/>
          <w:szCs w:val="18"/>
          <w:color w:val="000000"/>
        </w:rPr>
        <w:t>White Paper</w:t>
      </w:r>
      <w:r>
        <w:rPr>
          <w:rFonts w:ascii="Arial" w:cs="Arial" w:eastAsia="Arial" w:hAnsi="Arial"/>
          <w:sz w:val="18"/>
          <w:szCs w:val="18"/>
          <w:color w:val="181818"/>
        </w:rPr>
        <w:t xml:space="preserve">, </w:t>
      </w:r>
      <w:r>
        <w:rPr>
          <w:rFonts w:ascii="Arial" w:cs="Arial" w:eastAsia="Arial" w:hAnsi="Arial"/>
          <w:sz w:val="18"/>
          <w:szCs w:val="18"/>
          <w:color w:val="000000"/>
        </w:rPr>
        <w:t>Overview Video</w:t>
      </w:r>
      <w:r>
        <w:rPr>
          <w:rFonts w:ascii="Arial" w:cs="Arial" w:eastAsia="Arial" w:hAnsi="Arial"/>
          <w:sz w:val="18"/>
          <w:szCs w:val="18"/>
          <w:color w:val="181818"/>
        </w:rPr>
        <w:t xml:space="preserve"> and </w:t>
      </w:r>
      <w:r>
        <w:rPr>
          <w:rFonts w:ascii="Arial" w:cs="Arial" w:eastAsia="Arial" w:hAnsi="Arial"/>
          <w:sz w:val="18"/>
          <w:szCs w:val="18"/>
          <w:color w:val="000000"/>
        </w:rPr>
        <w:t>Facetones™ Video</w:t>
      </w:r>
      <w:r>
        <w:rPr>
          <w:rFonts w:ascii="Arial" w:cs="Arial" w:eastAsia="Arial" w:hAnsi="Arial"/>
          <w:sz w:val="18"/>
          <w:szCs w:val="18"/>
          <w:color w:val="181818"/>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181818"/>
        </w:rPr>
        <w:t>Forward-Looking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181818"/>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ability to raise capital to fund our operations, the continued listing of our securities on the NYSE Amex, market acceptance of our products, our ability to protect our intellectual property rights, competition from other providers and products and other factors discussed from time to time in our filings with the Securities and Exchange Commission. Vringo expressly disclaims any obligation to publicly update any forward-looking statements contained herein, whether as a result of new information, future events or otherwise, except as required by law.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181818"/>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181818"/>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81818"/>
        </w:rPr>
        <w:t>Cliff Weinstein, VP Corporate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81818"/>
        </w:rPr>
        <w:t>646-794-4226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cliff@vringo.com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181818"/>
        </w:rPr>
        <w:t>Media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181818"/>
        </w:rPr>
        <w:t>The Hodges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81818"/>
        </w:rPr>
        <w:t>Caroline Platt &amp; Stacey Brucia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81818"/>
        </w:rPr>
        <w:t>804-788-1414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VringoPR@hodgespart.com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74740" cy="46310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174740" cy="46310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174740" cy="46310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174740" cy="4631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174740" cy="46310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174740" cy="46310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174740" cy="46310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174740" cy="46310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174740" cy="46310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174740" cy="46310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174740" cy="46310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174740" cy="46310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174740" cy="46310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174740" cy="46310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174740" cy="46310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174740" cy="46310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174740" cy="46310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174740" cy="46310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174740" cy="46310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174740" cy="46310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174740" cy="46310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174740" cy="46310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174740" cy="46310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174740" cy="46310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174740" cy="46310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174740" cy="46310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174740" cy="46310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174740" cy="46310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174740" cy="46310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2019-12-09T18:56:58Z</dcterms:created>
  <dcterms:modified xsi:type="dcterms:W3CDTF">2019-12-09T18:56:58Z</dcterms:modified>
</cp:coreProperties>
</file>