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6,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001-34785</w:t>
            </w:r>
          </w:p>
        </w:tc>
        <w:tc>
          <w:tcPr>
            <w:tcW w:w="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6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65"/>
        </w:trPr>
        <w:tc>
          <w:tcPr>
            <w:tcW w:w="65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2"/>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August 6, 2021, the Board of Directors of XpresSpa Group, Inc. (the “Company”) approved an amendment of the Company’s Bylaws (the “Bylaws”) to change the quorum for stockholder meetings to equal one-third (33.33%) of the shares issued and outstanding and entitled to vote on the matters at the meeting. The change to the quorum requirement for stockholder meetings was made to improve the Company’s ability to hold stockholder meetings when called.</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text of the Amendment No. 1 to the Company’s Bylaws, which is filed as Exhibit 3.1 to this Current Report on Form 8-K and is incorporated by reference herein.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180" w:hanging="52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103" w:lineRule="exact"/>
        <w:rPr>
          <w:sz w:val="20"/>
          <w:szCs w:val="20"/>
          <w:color w:val="auto"/>
        </w:rPr>
      </w:pPr>
    </w:p>
    <w:p>
      <w:pPr>
        <w:ind w:left="100"/>
        <w:spacing w:after="0"/>
        <w:tabs>
          <w:tab w:leader="none" w:pos="9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Amendment to Bylaws of XpresSpa Group,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5160" w:type="dxa"/>
            <w:vAlign w:val="bottom"/>
            <w:gridSpan w:val="2"/>
          </w:tcPr>
          <w:p>
            <w:pPr>
              <w:ind w:left="2040"/>
              <w:spacing w:after="0"/>
              <w:rPr>
                <w:sz w:val="20"/>
                <w:szCs w:val="20"/>
                <w:color w:val="auto"/>
              </w:rPr>
            </w:pPr>
            <w:r>
              <w:rPr>
                <w:rFonts w:ascii="Arial" w:cs="Arial" w:eastAsia="Arial" w:hAnsi="Arial"/>
                <w:sz w:val="18"/>
                <w:szCs w:val="18"/>
                <w:b w:val="1"/>
                <w:bCs w:val="1"/>
                <w:color w:val="auto"/>
              </w:rPr>
              <w:t>XpresSpa Group, Inc.</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6, 2021</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2560" w:type="dxa"/>
            <w:vAlign w:val="bottom"/>
          </w:tcPr>
          <w:p>
            <w:pPr>
              <w:spacing w:after="0"/>
              <w:rPr>
                <w:sz w:val="20"/>
                <w:szCs w:val="20"/>
                <w:color w:val="auto"/>
              </w:rPr>
            </w:pPr>
            <w:r>
              <w:rPr>
                <w:rFonts w:ascii="Arial" w:cs="Arial" w:eastAsia="Arial" w:hAnsi="Arial"/>
                <w:sz w:val="18"/>
                <w:szCs w:val="18"/>
                <w:i w:val="1"/>
                <w:iCs w:val="1"/>
                <w:color w:val="auto"/>
              </w:rPr>
              <w:t>/s/ Douglas Satzman</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0" w:type="dxa"/>
            <w:vAlign w:val="bottom"/>
            <w:vMerge w:val="restart"/>
          </w:tcPr>
          <w:p>
            <w:pPr>
              <w:ind w:left="2040"/>
              <w:spacing w:after="0"/>
              <w:rPr>
                <w:sz w:val="20"/>
                <w:szCs w:val="20"/>
                <w:color w:val="auto"/>
              </w:rPr>
            </w:pPr>
            <w:r>
              <w:rPr>
                <w:rFonts w:ascii="Arial" w:cs="Arial" w:eastAsia="Arial" w:hAnsi="Arial"/>
                <w:sz w:val="18"/>
                <w:szCs w:val="18"/>
                <w:color w:val="auto"/>
              </w:rPr>
              <w:t>Name:</w:t>
            </w:r>
          </w:p>
        </w:tc>
        <w:tc>
          <w:tcPr>
            <w:tcW w:w="256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2560" w:type="dxa"/>
            <w:vAlign w:val="bottom"/>
          </w:tcPr>
          <w:p>
            <w:pPr>
              <w:ind w:left="40"/>
              <w:spacing w:after="0" w:line="195" w:lineRule="exact"/>
              <w:rPr>
                <w:sz w:val="20"/>
                <w:szCs w:val="20"/>
                <w:color w:val="auto"/>
              </w:rPr>
            </w:pPr>
            <w:r>
              <w:rPr>
                <w:rFonts w:ascii="Arial" w:cs="Arial" w:eastAsia="Arial" w:hAnsi="Arial"/>
                <w:sz w:val="18"/>
                <w:szCs w:val="18"/>
                <w:color w:val="auto"/>
              </w:rPr>
              <w:t>Douglas Satzman</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25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Section 1.5 of Article I of the Amended and Restated Bylaws of the Corporation (the “Bylaws”), is hereby amended and restated in its entirety as follows: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xml:space="preserve">. Except as otherwise provided by law, the certificate of incorporation or these bylaws, at each meeting of stockholders the presence in person or by proxy of the holders of shares of stock having one-third (33.33%)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8"/>
          <w:szCs w:val="18"/>
          <w:b w:val="1"/>
          <w:bCs w:val="1"/>
          <w:color w:val="auto"/>
        </w:rPr>
        <w:t>section 1.6</w:t>
      </w:r>
      <w:r>
        <w:rPr>
          <w:rFonts w:ascii="Arial" w:cs="Arial" w:eastAsia="Arial" w:hAnsi="Arial"/>
          <w:sz w:val="18"/>
          <w:szCs w:val="18"/>
          <w:color w:val="auto"/>
        </w:rPr>
        <w:t>, until a quorum is present or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2021-08-06T17:05:27Z</dcterms:created>
  <dcterms:modified xsi:type="dcterms:W3CDTF">2021-08-06T17:05:27Z</dcterms:modified>
</cp:coreProperties>
</file>