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26,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Arial" w:cs="Arial" w:eastAsia="Arial" w:hAnsi="Arial"/>
                <w:sz w:val="18"/>
                <w:szCs w:val="18"/>
                <w:color w:val="auto"/>
                <w:w w:val="94"/>
              </w:rPr>
              <w:t>(IRS Employer Identification No.)</w:t>
            </w:r>
          </w:p>
        </w:tc>
      </w:tr>
      <w:tr>
        <w:trPr>
          <w:trHeight w:val="458"/>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24"/>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Tuesday, September 26, 2023, XWELL, Inc. (the “Company”) filed a Certificate of Amendment to the Amended and Restated Certificate of Incorporation of the Company (the “Amendment”), to implement a one-for-twenty reverse split of its common stock, par value $0.01 (the “Reverse Split”). The ratio for the Reverse Split was determined by the Company’s Board of Directors (the “Board”) pursuant to the approval of the stockholders at the Company’s 2023 Annual Meeting held on August 22, 2023, authorizing the Board to effect a reverse split within a range of one-for-eight to one-for-twenty shares of the Company’s common stock. The Reverse Split will be effective as of 5:00 p.m. ET on Wednesday, September 27, 2023, and shares of the Company’s common stock are expected to begin trading on the Nasdaq Capital Market on a post-split basis when market open on Thursday, September 28, 2023. The Company’s trading symbol will remain unchanged, but the CUSIP number for the Company’s registered common stock will be changed to 98420U 802.</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Reverse Split, each twenty shares of the Company’s issued and outstanding common stock will be automatically combined and converted into one issued and outstanding share of common stock, par value $0.01 per share. The Reverse Split will affect all issued and outstanding shares of the Company’s common stock, as well as common stock underlying stock options, restricted stock units, and warrants outstanding immediately prior to the effectiveness of the Reverse Split. The Reverse Split will reduce the number of shares of the Company’s common stock currently outstanding from approximately 83.5 million to approximately 4.17 million. The Reverse Split did not alter the number of authorized shares or par value of the Company's common stock, or modify any voting rights or other terms of the Company’s common stock.</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 xml:space="preserve">The foregoing description of the </w:t>
      </w:r>
      <w:r>
        <w:rPr>
          <w:rFonts w:ascii="Arial" w:cs="Arial" w:eastAsia="Arial" w:hAnsi="Arial"/>
          <w:sz w:val="18"/>
          <w:szCs w:val="18"/>
          <w:color w:val="000000"/>
        </w:rPr>
        <w:t>Amendment</w:t>
      </w:r>
      <w:r>
        <w:rPr>
          <w:rFonts w:ascii="Arial" w:cs="Arial" w:eastAsia="Arial" w:hAnsi="Arial"/>
          <w:sz w:val="18"/>
          <w:szCs w:val="18"/>
          <w:color w:val="212529"/>
        </w:rPr>
        <w:t xml:space="preserve"> does not purport to be complete and is qualified in its entirety by reference to the full text of the </w:t>
      </w:r>
      <w:r>
        <w:rPr>
          <w:rFonts w:ascii="Arial" w:cs="Arial" w:eastAsia="Arial" w:hAnsi="Arial"/>
          <w:sz w:val="18"/>
          <w:szCs w:val="18"/>
          <w:color w:val="000000"/>
        </w:rPr>
        <w:t>Certificate of</w:t>
      </w:r>
      <w:r>
        <w:rPr>
          <w:rFonts w:ascii="Arial" w:cs="Arial" w:eastAsia="Arial" w:hAnsi="Arial"/>
          <w:sz w:val="18"/>
          <w:szCs w:val="18"/>
          <w:color w:val="212529"/>
        </w:rPr>
        <w:t xml:space="preserve"> </w:t>
      </w:r>
      <w:r>
        <w:rPr>
          <w:rFonts w:ascii="Arial" w:cs="Arial" w:eastAsia="Arial" w:hAnsi="Arial"/>
          <w:sz w:val="18"/>
          <w:szCs w:val="18"/>
          <w:color w:val="000000"/>
        </w:rPr>
        <w:t>Amendment to the Company’s Amended and Restated Certificate of Incorporation, which is filed herewith as Exhibit 3.1 and is incorporated herein by reference. On September 27, 2023, the Company issued a press release announcing the Reverse Split. A copy of the press release is attached hereto as Exhibit 99.1.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6"/>
          </w:tcPr>
          <w:p>
            <w:pPr>
              <w:spacing w:after="0"/>
              <w:rPr>
                <w:sz w:val="20"/>
                <w:szCs w:val="20"/>
                <w:color w:val="auto"/>
              </w:rPr>
            </w:pPr>
            <w:r>
              <w:rPr>
                <w:rFonts w:ascii="Arial" w:cs="Arial" w:eastAsia="Arial" w:hAnsi="Arial"/>
                <w:sz w:val="18"/>
                <w:szCs w:val="18"/>
                <w:b w:val="1"/>
                <w:bCs w:val="1"/>
                <w:color w:val="auto"/>
              </w:rPr>
              <w:t>Item 9.01</w:t>
            </w:r>
          </w:p>
        </w:tc>
        <w:tc>
          <w:tcPr>
            <w:tcW w:w="1000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240" w:type="dxa"/>
            <w:vAlign w:val="bottom"/>
            <w:gridSpan w:val="6"/>
          </w:tcPr>
          <w:p>
            <w:pPr>
              <w:spacing w:after="0"/>
              <w:rPr>
                <w:sz w:val="20"/>
                <w:szCs w:val="20"/>
                <w:color w:val="auto"/>
              </w:rPr>
            </w:pPr>
            <w:r>
              <w:rPr>
                <w:rFonts w:ascii="Arial" w:cs="Arial" w:eastAsia="Arial" w:hAnsi="Arial"/>
                <w:sz w:val="18"/>
                <w:szCs w:val="18"/>
                <w:b w:val="1"/>
                <w:bCs w:val="1"/>
                <w:color w:val="auto"/>
              </w:rPr>
              <w:t>(d) Exhibits.</w:t>
            </w:r>
          </w:p>
        </w:tc>
        <w:tc>
          <w:tcPr>
            <w:tcW w:w="29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32"/>
        </w:trPr>
        <w:tc>
          <w:tcPr>
            <w:tcW w:w="1240" w:type="dxa"/>
            <w:vAlign w:val="bottom"/>
            <w:gridSpan w:val="6"/>
          </w:tcPr>
          <w:p>
            <w:pPr>
              <w:ind w:left="160"/>
              <w:spacing w:after="0"/>
              <w:rPr>
                <w:sz w:val="20"/>
                <w:szCs w:val="20"/>
                <w:color w:val="auto"/>
              </w:rPr>
            </w:pPr>
            <w:r>
              <w:rPr>
                <w:rFonts w:ascii="Arial" w:cs="Arial" w:eastAsia="Arial" w:hAnsi="Arial"/>
                <w:sz w:val="18"/>
                <w:szCs w:val="18"/>
                <w:color w:val="auto"/>
              </w:rPr>
              <w:t>Exhibit No.</w:t>
            </w:r>
          </w:p>
        </w:tc>
        <w:tc>
          <w:tcPr>
            <w:tcW w:w="2920" w:type="dxa"/>
            <w:vAlign w:val="bottom"/>
          </w:tcPr>
          <w:p>
            <w:pPr>
              <w:spacing w:after="0"/>
              <w:rPr>
                <w:sz w:val="24"/>
                <w:szCs w:val="24"/>
                <w:color w:val="auto"/>
              </w:rPr>
            </w:pPr>
          </w:p>
        </w:tc>
        <w:tc>
          <w:tcPr>
            <w:tcW w:w="7080" w:type="dxa"/>
            <w:vAlign w:val="bottom"/>
            <w:gridSpan w:val="2"/>
          </w:tcPr>
          <w:p>
            <w:pPr>
              <w:ind w:left="1280"/>
              <w:spacing w:after="0"/>
              <w:rPr>
                <w:sz w:val="20"/>
                <w:szCs w:val="20"/>
                <w:color w:val="auto"/>
              </w:rPr>
            </w:pPr>
            <w:r>
              <w:rPr>
                <w:rFonts w:ascii="Arial" w:cs="Arial" w:eastAsia="Arial" w:hAnsi="Arial"/>
                <w:sz w:val="18"/>
                <w:szCs w:val="18"/>
                <w:color w:val="auto"/>
              </w:rPr>
              <w:t>Description of Exhibit</w:t>
            </w:r>
          </w:p>
        </w:tc>
      </w:tr>
      <w:tr>
        <w:trPr>
          <w:trHeight w:val="169"/>
        </w:trPr>
        <w:tc>
          <w:tcPr>
            <w:tcW w:w="460" w:type="dxa"/>
            <w:vAlign w:val="bottom"/>
            <w:tcBorders>
              <w:top w:val="single" w:sz="8" w:color="auto"/>
            </w:tcBorders>
            <w:gridSpan w:val="2"/>
          </w:tcPr>
          <w:p>
            <w:pPr>
              <w:spacing w:after="0"/>
              <w:rPr>
                <w:sz w:val="14"/>
                <w:szCs w:val="14"/>
                <w:color w:val="auto"/>
              </w:rPr>
            </w:pPr>
          </w:p>
        </w:tc>
        <w:tc>
          <w:tcPr>
            <w:tcW w:w="2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p>
        </w:tc>
        <w:tc>
          <w:tcPr>
            <w:tcW w:w="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8"/>
                <w:szCs w:val="18"/>
                <w:color w:val="0000EE"/>
              </w:rPr>
              <w:t>Certificate of Amendment to the Amended and Restated Certificate of Incorporation</w:t>
            </w: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196"/>
        </w:trPr>
        <w:tc>
          <w:tcPr>
            <w:tcW w:w="1140" w:type="dxa"/>
            <w:vAlign w:val="bottom"/>
            <w:gridSpan w:val="5"/>
          </w:tcPr>
          <w:p>
            <w:pPr>
              <w:jc w:val="center"/>
              <w:ind w:right="380"/>
              <w:spacing w:after="0" w:line="19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00" w:type="dxa"/>
            <w:vAlign w:val="bottom"/>
          </w:tcPr>
          <w:p>
            <w:pPr>
              <w:spacing w:after="0"/>
              <w:rPr>
                <w:sz w:val="17"/>
                <w:szCs w:val="17"/>
                <w:color w:val="auto"/>
              </w:rPr>
            </w:pPr>
          </w:p>
        </w:tc>
        <w:tc>
          <w:tcPr>
            <w:tcW w:w="10000" w:type="dxa"/>
            <w:vAlign w:val="bottom"/>
            <w:gridSpan w:val="3"/>
          </w:tcPr>
          <w:p>
            <w:pPr>
              <w:ind w:left="20"/>
              <w:spacing w:after="0" w:line="196" w:lineRule="exact"/>
              <w:rPr>
                <w:sz w:val="20"/>
                <w:szCs w:val="20"/>
                <w:color w:val="auto"/>
              </w:rPr>
            </w:pPr>
            <w:r>
              <w:rPr>
                <w:rFonts w:ascii="Arial" w:cs="Arial" w:eastAsia="Arial" w:hAnsi="Arial"/>
                <w:sz w:val="18"/>
                <w:szCs w:val="18"/>
                <w:color w:val="0000EE"/>
              </w:rPr>
              <w:t>Press Release dated September 27, 2023</w:t>
            </w:r>
          </w:p>
        </w:tc>
      </w:tr>
      <w:tr>
        <w:trPr>
          <w:trHeight w:val="20"/>
        </w:trPr>
        <w:tc>
          <w:tcPr>
            <w:tcW w:w="4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104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3"/>
          </w:tcPr>
          <w:p>
            <w:pPr>
              <w:ind w:left="20"/>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r>
        <w:trPr>
          <w:trHeight w:val="675"/>
        </w:trPr>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XWELL,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September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Scott R. Milford</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240"/>
        <w:spacing w:after="0"/>
        <w:rPr>
          <w:sz w:val="20"/>
          <w:szCs w:val="20"/>
          <w:color w:val="auto"/>
        </w:rPr>
      </w:pPr>
      <w:r>
        <w:rPr>
          <w:rFonts w:ascii="Arial" w:cs="Arial" w:eastAsia="Arial" w:hAnsi="Arial"/>
          <w:sz w:val="19"/>
          <w:szCs w:val="19"/>
          <w:b w:val="1"/>
          <w:bCs w:val="1"/>
          <w:color w:val="auto"/>
        </w:rPr>
        <w:t>Exhibit 3.1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CERTIFICATE OF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XWELL, INC.</w:t>
      </w:r>
    </w:p>
    <w:p>
      <w:pPr>
        <w:spacing w:after="0" w:line="211" w:lineRule="exact"/>
        <w:rPr>
          <w:sz w:val="20"/>
          <w:szCs w:val="20"/>
          <w:color w:val="auto"/>
        </w:rPr>
      </w:pPr>
    </w:p>
    <w:p>
      <w:pPr>
        <w:ind w:right="20" w:firstLine="359"/>
        <w:spacing w:after="0" w:line="277" w:lineRule="auto"/>
        <w:rPr>
          <w:sz w:val="20"/>
          <w:szCs w:val="20"/>
          <w:color w:val="auto"/>
        </w:rPr>
      </w:pPr>
      <w:r>
        <w:rPr>
          <w:rFonts w:ascii="Arial" w:cs="Arial" w:eastAsia="Arial" w:hAnsi="Arial"/>
          <w:sz w:val="18"/>
          <w:szCs w:val="18"/>
          <w:color w:val="231F20"/>
        </w:rPr>
        <w:t>Pursuant to Section 242 of the General Corporation Law of the State of Delaware, XWELL, Inc., a corporation organized and existing under the laws of the State of Delaware (the “Corporation”), does hereby certify as follows:</w:t>
      </w:r>
    </w:p>
    <w:p>
      <w:pPr>
        <w:spacing w:after="0" w:line="170" w:lineRule="exact"/>
        <w:rPr>
          <w:sz w:val="20"/>
          <w:szCs w:val="20"/>
          <w:color w:val="auto"/>
        </w:rPr>
      </w:pPr>
    </w:p>
    <w:p>
      <w:pPr>
        <w:jc w:val="both"/>
        <w:ind w:firstLine="413"/>
        <w:spacing w:after="0" w:line="255" w:lineRule="auto"/>
        <w:tabs>
          <w:tab w:leader="none" w:pos="585"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The name of the Corporation is XWELL,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5, 2016. The name of the Corporation was changed to XpresSpa Group, Inc. by filing a Certificate of Amendment to the Certificate of Incorporation with the Secretary of State of the State of Delaware on January 5, 2018. The name of the Corporation was changed to XWELL, Inc. by filing an Amended and Restated Certificate of Incorporation with the Secretary of State of the State of Delaware on October 24, 2022.</w:t>
      </w:r>
    </w:p>
    <w:p>
      <w:pPr>
        <w:spacing w:after="0" w:line="192" w:lineRule="exact"/>
        <w:rPr>
          <w:rFonts w:ascii="Arial" w:cs="Arial" w:eastAsia="Arial" w:hAnsi="Arial"/>
          <w:sz w:val="18"/>
          <w:szCs w:val="18"/>
          <w:color w:val="231F20"/>
        </w:rPr>
      </w:pPr>
    </w:p>
    <w:p>
      <w:pPr>
        <w:jc w:val="both"/>
        <w:ind w:firstLine="413"/>
        <w:spacing w:after="0" w:line="257" w:lineRule="auto"/>
        <w:tabs>
          <w:tab w:leader="none" w:pos="938"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88" w:lineRule="exact"/>
        <w:rPr>
          <w:sz w:val="20"/>
          <w:szCs w:val="20"/>
          <w:color w:val="auto"/>
        </w:rPr>
      </w:pPr>
    </w:p>
    <w:p>
      <w:pPr>
        <w:jc w:val="both"/>
        <w:ind w:firstLine="359"/>
        <w:spacing w:after="0" w:line="277" w:lineRule="auto"/>
        <w:rPr>
          <w:sz w:val="20"/>
          <w:szCs w:val="20"/>
          <w:color w:val="auto"/>
        </w:rPr>
      </w:pPr>
      <w:r>
        <w:rPr>
          <w:rFonts w:ascii="Arial" w:cs="Arial" w:eastAsia="Arial" w:hAnsi="Arial"/>
          <w:sz w:val="18"/>
          <w:szCs w:val="18"/>
          <w:color w:val="231F20"/>
        </w:rPr>
        <w:t>Article IV of the Corporation’s Amended and Restated Certificate of Incorporation is hereby amended by adding the following Sections 4 and 5 thereto:</w:t>
      </w:r>
    </w:p>
    <w:p>
      <w:pPr>
        <w:spacing w:after="0" w:line="170"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231F20"/>
        </w:rPr>
        <w:t>“4. 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 the treasury of the Corporation immediately prior to the Effective Time shall be reclassified as, and shall be combined and changed into, a smaller number of shares such that each eight (8) to twenty (20) shares of issued Common Stock immediately prior to the Effective Time shall be reclassified into and become one share of Common Stock, the exact reverse split ratio within such 8-to-20 range to be determined by the Board of Directors of the Corporation and publicly announced by the Corporation prior to the Effective Time.</w:t>
      </w:r>
    </w:p>
    <w:p>
      <w:pPr>
        <w:spacing w:after="0" w:line="192" w:lineRule="exact"/>
        <w:rPr>
          <w:sz w:val="20"/>
          <w:szCs w:val="20"/>
          <w:color w:val="auto"/>
        </w:rPr>
      </w:pPr>
    </w:p>
    <w:p>
      <w:pPr>
        <w:jc w:val="both"/>
        <w:ind w:firstLine="359"/>
        <w:spacing w:after="0" w:line="290" w:lineRule="auto"/>
        <w:rPr>
          <w:sz w:val="20"/>
          <w:szCs w:val="20"/>
          <w:color w:val="auto"/>
        </w:rPr>
      </w:pPr>
      <w:r>
        <w:rPr>
          <w:rFonts w:ascii="Arial" w:cs="Arial" w:eastAsia="Arial" w:hAnsi="Arial"/>
          <w:sz w:val="16"/>
          <w:szCs w:val="16"/>
          <w:color w:val="231F20"/>
        </w:rPr>
        <w:t>Notwithstanding the immediately preceding sentence, no fractional shares shall be issued as a result of the reverse stock split. Instead, any stockholder who would otherwise be entitled to a fractional share of Common Stock as a result of the reclassification shall be entitled to receive a cash payment equal to the product of such resulting fractional interest in one share of Common Stock multiplied by the closing trading price of Common Stock on the Nasdaq Capital Market on the trading day immediately following the Effective Time.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jc w:val="both"/>
        <w:ind w:firstLine="367"/>
        <w:spacing w:after="0" w:line="271" w:lineRule="auto"/>
        <w:tabs>
          <w:tab w:leader="none" w:pos="574" w:val="left"/>
        </w:tabs>
        <w:numPr>
          <w:ilvl w:val="0"/>
          <w:numId w:val="3"/>
        </w:numPr>
        <w:rPr>
          <w:rFonts w:ascii="Arial" w:cs="Arial" w:eastAsia="Arial" w:hAnsi="Arial"/>
          <w:sz w:val="17"/>
          <w:szCs w:val="17"/>
          <w:color w:val="231F20"/>
        </w:rPr>
      </w:pPr>
      <w:r>
        <w:rPr>
          <w:rFonts w:ascii="Arial" w:cs="Arial" w:eastAsia="Arial" w:hAnsi="Arial"/>
          <w:sz w:val="17"/>
          <w:szCs w:val="17"/>
          <w:color w:val="231F20"/>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231F20"/>
        </w:rPr>
        <w:t>This Certificate of Amendment shall be effective on September 27, 2023 at 5:00 Eastern Time.</w:t>
      </w:r>
    </w:p>
    <w:p>
      <w:pPr>
        <w:spacing w:after="0" w:line="229" w:lineRule="exact"/>
        <w:rPr>
          <w:sz w:val="20"/>
          <w:szCs w:val="20"/>
          <w:color w:val="auto"/>
        </w:rPr>
      </w:pPr>
    </w:p>
    <w:p>
      <w:pPr>
        <w:ind w:firstLine="359"/>
        <w:spacing w:after="0" w:line="214" w:lineRule="auto"/>
        <w:rPr>
          <w:sz w:val="20"/>
          <w:szCs w:val="20"/>
          <w:color w:val="auto"/>
        </w:rPr>
      </w:pPr>
      <w:r>
        <w:rPr>
          <w:rFonts w:ascii="Arial" w:cs="Arial" w:eastAsia="Arial" w:hAnsi="Arial"/>
          <w:sz w:val="18"/>
          <w:szCs w:val="18"/>
          <w:b w:val="1"/>
          <w:bCs w:val="1"/>
          <w:color w:val="231F20"/>
        </w:rPr>
        <w:t>IN WITNESS WHEREOF</w:t>
      </w:r>
      <w:r>
        <w:rPr>
          <w:rFonts w:ascii="Arial" w:cs="Arial" w:eastAsia="Arial" w:hAnsi="Arial"/>
          <w:sz w:val="18"/>
          <w:szCs w:val="18"/>
          <w:color w:val="231F20"/>
        </w:rPr>
        <w:t>, the Corporation has caused this Certificate of Amendment to be signed by its Chief Executive Officer on this 26</w:t>
      </w:r>
      <w:r>
        <w:rPr>
          <w:rFonts w:ascii="Arial" w:cs="Arial" w:eastAsia="Arial" w:hAnsi="Arial"/>
          <w:sz w:val="29"/>
          <w:szCs w:val="29"/>
          <w:color w:val="231F20"/>
          <w:vertAlign w:val="superscript"/>
        </w:rPr>
        <w:t>th</w:t>
      </w:r>
      <w:r>
        <w:rPr>
          <w:rFonts w:ascii="Arial" w:cs="Arial" w:eastAsia="Arial" w:hAnsi="Arial"/>
          <w:sz w:val="18"/>
          <w:szCs w:val="18"/>
          <w:b w:val="1"/>
          <w:bCs w:val="1"/>
          <w:color w:val="231F20"/>
        </w:rPr>
        <w:t xml:space="preserve"> </w:t>
      </w:r>
      <w:r>
        <w:rPr>
          <w:rFonts w:ascii="Arial" w:cs="Arial" w:eastAsia="Arial" w:hAnsi="Arial"/>
          <w:sz w:val="18"/>
          <w:szCs w:val="18"/>
          <w:color w:val="231F20"/>
        </w:rPr>
        <w:t>day of</w:t>
      </w:r>
      <w:r>
        <w:rPr>
          <w:rFonts w:ascii="Arial" w:cs="Arial" w:eastAsia="Arial" w:hAnsi="Arial"/>
          <w:sz w:val="18"/>
          <w:szCs w:val="18"/>
          <w:b w:val="1"/>
          <w:bCs w:val="1"/>
          <w:color w:val="231F20"/>
        </w:rPr>
        <w:t xml:space="preserve"> </w:t>
      </w:r>
      <w:r>
        <w:rPr>
          <w:rFonts w:ascii="Arial" w:cs="Arial" w:eastAsia="Arial" w:hAnsi="Arial"/>
          <w:sz w:val="18"/>
          <w:szCs w:val="18"/>
          <w:color w:val="231F20"/>
        </w:rPr>
        <w:t>September, 2023.</w:t>
      </w:r>
    </w:p>
    <w:p>
      <w:pPr>
        <w:spacing w:after="0" w:line="19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XWELL,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R. Milford</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165100</wp:posOffset>
            </wp:positionV>
            <wp:extent cx="3934460"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3446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XWELL, Inc. Announces 1-for-20 Reverse Stock Split</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YORK, September 27, 2023 -- XWELL, Inc. (Nasdaq: XWEL), announced today that it will effect a 1-for-20 reverse stock split of its common stock effective at 5:00 pm Eastern Time on Wednesday, September 27, 2023. Shares of XWELL’s common stock are expected to begin trading on a split-adjusted basis when markets open on Thursday, September 28, 2023.</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approval by XWELL’s stockholders of an amendment to the company’s Amended and Restated Certificate of Incorporation to effect a reverse stock split of its common stock and authorizing the XWELL Board of Directors to determine the ratio (within a range of 1-for-8 to 1-for-20) and the effective date of the reverse stock split, XWELL’s Board of Directors determined the 1-for-20 ratio to be appropriate to meet XWELL’s goal to raise the per share trading price of XWELL’s common stock to regain compliance with the $1.00 per share minimum bid price requirement for continued listing on The Nasdaq Capital Market, as well as improving the marketability and liquidity of its common stock and minimizing the risk of future noncompliance. However, there can be no assurance this desired effect will occur or be maintained.</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reverse stock split will reduce the number of shares of XWELL’s common stock currently outstanding from approximately 83.5 million shares to approximately 4.17 million shares. Proportionate adjustments will be made to the number of shares to be issued under XWELL’s Equity Incentive Plan.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XWELL’s common stock will continue to trade on the Nasdaq under the symbol “XWEL.” A new CUSIP number of 98420U 802 has been assigned to the common stock in connection with the reverse stock split.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for Stockholders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Upon the effectiveness of the reverse stock split, each twenty (20) shares of XWELL's common stock issued and outstanding will be automatically combined and converted into one (1) share of common stock, par value $0.01 per share. No fractional shares will be issued in connection with the reverse stock split. Stockholders who would otherwise hold a fractional share of the Company’s Common Stock will receive payment in cash in lieu of any such resulting fractional shares of Common Stock as the post-reverse split amounts of Common Stock will be rounded down to the nearest full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Page 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XWELL’s transfer agent, Equiniti Trust Company, LLC ("EQ"), is acting as the exchange agent for the reverse stock split. American Stock Transfer &amp;</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Trust Company, regarding their share ownership following the reverse stock split and any payments in cash in lieu of fractional shares, if applicable.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Registered holders are encouraged to contact EQ and beneficial holders are encouraged to contact their bank, broker or other nominee with any questions.</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information about the reverse stock split can be found in XWELL's definitive proxy statement filed with the Securities and Exchange Commission on July 24, 2023, a copy of which is available at www.sec.gov and at www.XWELL.com in the “SEC Filings” section of the “Investors” section.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XWELL, Inc.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XWELL, Inc. (Nasdaq: XWEL) is a leading global health and wellness holding company operating four brands: XpresSpa®, Treat, XpresCheck® and HyperPointe™</w:t>
      </w:r>
    </w:p>
    <w:p>
      <w:pPr>
        <w:spacing w:after="0" w:line="1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XpresSpa is a leading airport retailer of wellness services and related products, with 35 locations in 15 airports globally.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Treat is a travel health and wellness brand and a fully integrated concept blending technology with traditional brick and mortar offerings to provide a holistic approach to physical and mental well-being for travelers.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HyperPointe is a leading digital healthcare and data analytics relationship company serving the global healthcare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Page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E101A"/>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Heather Tidwell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htidwell@mww.com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2023-09-27T07:10:19Z</dcterms:created>
  <dcterms:modified xsi:type="dcterms:W3CDTF">2023-09-27T07:10:19Z</dcterms:modified>
</cp:coreProperties>
</file>