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xwel-20240331x10q.htm"/>
        <w:bookmarkStart w:id="1" w:name="ksxwel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02313cf_c340_488f_bd5c_c5afe9a3da0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XWELL,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Mvy00UmANUCZzAFhfJWY4A_5_2"/>
      <w:bookmarkStart w:id="4" w:name="Tc_rNcGdwu1JE-znOp19yyeKw_5_0"/>
      <w:bookmarkStart w:id="5" w:name="Tc_O_l9a9awh0ivoF_Hye5dig_4_0"/>
      <w:bookmarkStart w:id="6" w:name="Tc_QBrS98OyJEG5fnZgk_maOw_2_2"/>
      <w:bookmarkStart w:id="7" w:name="Tc_D18Tfo2MRUyWSnKME1j_AQ_2_0"/>
      <w:bookmarkStart w:id="8" w:name="_1670dc7f_3967_438e_b623_59a3f2a41dfd"/>
      <w:bookmarkStart w:id="9" w:name="Tc_Mvy00UmANUCZzAFhfJWY4A_5_2"/>
      <w:bookmarkStart w:id="10" w:name="Tc_rNcGdwu1JE-znOp19yyeKw_5_0"/>
      <w:bookmarkStart w:id="11" w:name="Tc_O_l9a9awh0ivoF_Hye5dig_4_0"/>
      <w:bookmarkStart w:id="12" w:name="Tc_QBrS98OyJEG5fnZgk_maOw_2_2"/>
      <w:bookmarkStart w:id="13" w:name="Tc_D18Tfo2MRUyWSnKME1j_AQ_2_0"/>
      <w:bookmarkStart w:id="14" w:name="_1670dc7f_3967_438e_b623_59a3f2a41dfd"/>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Spo2J6z1XECE_ASHmfF9dg_2_4"/>
      <w:bookmarkStart w:id="16" w:name="Tc_WfyOEpu9-k6edOhcrgKbUQ_1_4"/>
      <w:bookmarkStart w:id="17" w:name="Tc_xBeC2xAvJEG75urGu8SsIA_1_2"/>
      <w:bookmarkStart w:id="18" w:name="Tc_-2PeQg1mQUS84maAo3KWdA_1_0"/>
      <w:bookmarkStart w:id="19" w:name="_2b7c7af7_3bda_434d_a88c_b37f3b56b004"/>
      <w:bookmarkStart w:id="20" w:name="Tc_Spo2J6z1XECE_ASHmfF9dg_2_4"/>
      <w:bookmarkStart w:id="21" w:name="Tc_WfyOEpu9-k6edOhcrgKbUQ_1_4"/>
      <w:bookmarkStart w:id="22" w:name="Tc_xBeC2xAvJEG75urGu8SsIA_1_2"/>
      <w:bookmarkStart w:id="23" w:name="Tc_-2PeQg1mQUS84maAo3KWdA_1_0"/>
      <w:bookmarkStart w:id="24" w:name="_2b7c7af7_3bda_434d_a88c_b37f3b56b004"/>
      <w:bookmarkEnd w:id="2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696"/>
        <w:gridCol w:w="32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2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yb5kUXS-9km5D01sl8PmxQ_2_2"/>
      <w:bookmarkStart w:id="26" w:name="Tc_6X-u1T1BdEylAoI05ZMERQ_1_2"/>
      <w:bookmarkStart w:id="27" w:name="Tc_G5oGBD5b1EeO3C4SA7QlDQ_1_1"/>
      <w:bookmarkStart w:id="28" w:name="Tc_XpVfgx-QW0GHKOXL5S4bXA_0_3"/>
      <w:bookmarkStart w:id="29" w:name="Tc_TPV4fxnm9kOYHCty3XN18Q_0_2"/>
      <w:bookmarkStart w:id="30" w:name="Tc_77BtwGkLBkiL1iJvnxMfkg_0_1"/>
      <w:bookmarkStart w:id="31" w:name="Tc_PM-AwN8amk6wQwrwaPD0YQ_0_0"/>
      <w:bookmarkStart w:id="32" w:name="_856ccd18_83af_422a_8199_4e911668d10e"/>
      <w:bookmarkStart w:id="33" w:name="Tc_yb5kUXS-9km5D01sl8PmxQ_2_2"/>
      <w:bookmarkStart w:id="34" w:name="Tc_6X-u1T1BdEylAoI05ZMERQ_1_2"/>
      <w:bookmarkStart w:id="35" w:name="Tc_G5oGBD5b1EeO3C4SA7QlDQ_1_1"/>
      <w:bookmarkStart w:id="36" w:name="Tc_XpVfgx-QW0GHKOXL5S4bXA_0_3"/>
      <w:bookmarkStart w:id="37" w:name="Tc_TPV4fxnm9kOYHCty3XN18Q_0_2"/>
      <w:bookmarkStart w:id="38" w:name="Tc_77BtwGkLBkiL1iJvnxMfkg_0_1"/>
      <w:bookmarkStart w:id="39" w:name="Tc_PM-AwN8amk6wQwrwaPD0YQ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18"/>
        </w:rPr>
      </w:pPr>
      <w:r>
        <w:rPr>
          <w:rFonts w:ascii="Times New Roman;Times;serif" w:hAnsi="Times New Roman;Times;serif"/>
          <w:sz w:val="20"/>
        </w:rPr>
        <w:t>As of May 14, 2024, 4,183,435</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1" w:name="_21d47c20_c9ff_4928_8fc3_59544404d56a"/>
      <w:bookmarkEnd w:id="41"/>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014" w:type="dxa"/>
        <w:jc w:val="left"/>
        <w:tblInd w:w="0" w:type="dxa"/>
        <w:tblLayout w:type="fixed"/>
        <w:tblCellMar>
          <w:top w:w="0" w:type="dxa"/>
          <w:left w:w="0" w:type="dxa"/>
          <w:bottom w:w="0" w:type="dxa"/>
          <w:right w:w="0" w:type="dxa"/>
        </w:tblCellMar>
      </w:tblPr>
      <w:tblGrid>
        <w:gridCol w:w="811"/>
        <w:gridCol w:w="7366"/>
        <w:gridCol w:w="32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PARTIFINANCIALINFORMATION_936580"/>
      <w:bookmarkStart w:id="44" w:name="_4239625c_c7ca_4b13_91eb_11d6a49ea431"/>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ConsolidatedCondensedFinancialState"/>
      <w:bookmarkEnd w:id="45"/>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46" w:name="Tc_JjP5HvyiVUa4yHyLoWv8Nw_39_5"/>
      <w:bookmarkStart w:id="47" w:name="Tc_BLZgpl279kiV4fag-hmtTQ_39_2"/>
      <w:bookmarkStart w:id="48" w:name="Tc_endnCK0cbE2IAvdK5Jg6sw_39_0"/>
      <w:bookmarkStart w:id="49" w:name="Tc_qsXUqLWg4EG4E5vB1tYH9A_38_0"/>
      <w:bookmarkStart w:id="50" w:name="Tc_SeSvvQfsIUG2SvFyQ9RWOA_37_0"/>
      <w:bookmarkStart w:id="51" w:name="Tc_VLHOAPz0EUG9AYtqKDKB_g_36_0"/>
      <w:bookmarkStart w:id="52" w:name="Tc_EDVfNlcJMEih7gI6VcBIZA_35_0"/>
      <w:bookmarkStart w:id="53" w:name="Tc_Dv7Ou37PaUeI_hbEPXwZVg_34_0"/>
      <w:bookmarkStart w:id="54" w:name="Tc_0AX8wxa96Uu3XF9sCQx_CQ_33_0"/>
      <w:bookmarkStart w:id="55" w:name="Tc_msJLcxQ70UKsmn8wwrwcUw_32_0"/>
      <w:bookmarkStart w:id="56" w:name="Tc_PC8JMyGbL0almy_8plqtQQ_31_0"/>
      <w:bookmarkStart w:id="57" w:name="Tc_WXp5roEYykqewAYuCleROQ_29_0"/>
      <w:bookmarkStart w:id="58" w:name="Tc_CUy_4AUYr0ee_irU82X1gg_28_0"/>
      <w:bookmarkStart w:id="59" w:name="Tc_pbUoLq8Vp0KC4-mrgLUPrw_27_0"/>
      <w:bookmarkStart w:id="60" w:name="Tc_ViozH66g80-JXn_AoMWhPQ_26_0"/>
      <w:bookmarkStart w:id="61" w:name="Tc_b36q_ud3jEeOZncPOIDmHA_24_0"/>
      <w:bookmarkStart w:id="62" w:name="Tc_0G7ZcKwuOUWFJClLZCdTLw_23_0"/>
      <w:bookmarkStart w:id="63" w:name="Tc_eT_DrYPE30-hqM2aFlqWXw_22_0"/>
      <w:bookmarkStart w:id="64" w:name="Tc_ZOYWGXsad0mB5yeFoKe1Hg_21_0"/>
      <w:bookmarkStart w:id="65" w:name="Tc_3JK7MslDmEK9Ome29iQHkQ_20_5"/>
      <w:bookmarkStart w:id="66" w:name="Tc_Vp770VqJwE2Tnfs2xYXGCg_20_2"/>
      <w:bookmarkStart w:id="67" w:name="Tc_e5qlt2XeBEulUcRKETQdYA_20_0"/>
      <w:bookmarkStart w:id="68" w:name="Tc_x8oL_XSU3EWSskZVMUnoyw_19_0"/>
      <w:bookmarkStart w:id="69" w:name="Tc_xVO-hu7Jh0i9nfiGVv1ZYg_17_5"/>
      <w:bookmarkStart w:id="70" w:name="Tc_nnqTO-OZ5k2JId4sSc7cUQ_17_2"/>
      <w:bookmarkStart w:id="71" w:name="Tc_FEhhn-1LV02ebeiB1yVD6A_17_0"/>
      <w:bookmarkStart w:id="72" w:name="Tc_DPEul7FFFkOrMZs_lyioig_16_0"/>
      <w:bookmarkStart w:id="73" w:name="Tc_F5uDNU_5S0-Z0lrkzlXr3Q_15_0"/>
      <w:bookmarkStart w:id="74" w:name="Tc_4iRIE7TkmEyluTwMLrFvnA_14_0"/>
      <w:bookmarkStart w:id="75" w:name="Tc_QkUlzfT3FEC8LnDtpX081A_13_0"/>
      <w:bookmarkStart w:id="76" w:name="Tc_xLLf4nT11Ua63GKkupU9hQ_12_0"/>
      <w:bookmarkStart w:id="77" w:name="Tc_tiONcTqjxEKFh1nK-QFuzA_11_0"/>
      <w:bookmarkStart w:id="78" w:name="Tc_tehFb828CUiyxSambE_1dg_9_0"/>
      <w:bookmarkStart w:id="79" w:name="Tc_c4qKHCoo-Ee7lhHRH1-QBw_8_0"/>
      <w:bookmarkStart w:id="80" w:name="Tc_FtjQ8cIlmk2-pvg_5RceOw_7_0"/>
      <w:bookmarkStart w:id="81" w:name="Tc_HMn0JaZlFkOaAWYpB-gAJQ_6_0"/>
      <w:bookmarkStart w:id="82" w:name="Tc_LhyC09W4EUaTrD7vNUZnPA_5_0"/>
      <w:bookmarkStart w:id="83" w:name="Tc_5V8z-OXWWk6ujErTT0msnw_4_5"/>
      <w:bookmarkStart w:id="84" w:name="Tc_j_VFaUjyDkqABMFI1Its0g_4_2"/>
      <w:bookmarkStart w:id="85" w:name="Tc__osYebSL6kOYMkAmjlXccg_4_0"/>
      <w:bookmarkStart w:id="86" w:name="Tc_YQ90yfmqHEiQeq-pmFSJ0Q_3_0"/>
      <w:bookmarkStart w:id="87" w:name="Tc__SplJXepP0iD1Vq35FNUkg_2_5"/>
      <w:bookmarkStart w:id="88" w:name="Tc_d1XLEekEX0mIGJSnleCE4A_2_2"/>
      <w:bookmarkStart w:id="89" w:name="Tc_av_SvDFYtE21MUKXxYleGA_1_5"/>
      <w:bookmarkStart w:id="90" w:name="Tc_UHi5Bq9xM0W08H8uq5R4bg_1_2"/>
      <w:bookmarkStart w:id="91" w:name="_1b64d133_a76f_429e_bc3a_50d5ab4644a0"/>
      <w:bookmarkStart w:id="92" w:name="Tc_JjP5HvyiVUa4yHyLoWv8Nw_39_5"/>
      <w:bookmarkStart w:id="93" w:name="Tc_BLZgpl279kiV4fag-hmtTQ_39_2"/>
      <w:bookmarkStart w:id="94" w:name="Tc_endnCK0cbE2IAvdK5Jg6sw_39_0"/>
      <w:bookmarkStart w:id="95" w:name="Tc_qsXUqLWg4EG4E5vB1tYH9A_38_0"/>
      <w:bookmarkStart w:id="96" w:name="Tc_SeSvvQfsIUG2SvFyQ9RWOA_37_0"/>
      <w:bookmarkStart w:id="97" w:name="Tc_VLHOAPz0EUG9AYtqKDKB_g_36_0"/>
      <w:bookmarkStart w:id="98" w:name="Tc_EDVfNlcJMEih7gI6VcBIZA_35_0"/>
      <w:bookmarkStart w:id="99" w:name="Tc_Dv7Ou37PaUeI_hbEPXwZVg_34_0"/>
      <w:bookmarkStart w:id="100" w:name="Tc_0AX8wxa96Uu3XF9sCQx_CQ_33_0"/>
      <w:bookmarkStart w:id="101" w:name="Tc_msJLcxQ70UKsmn8wwrwcUw_32_0"/>
      <w:bookmarkStart w:id="102" w:name="Tc_PC8JMyGbL0almy_8plqtQQ_31_0"/>
      <w:bookmarkStart w:id="103" w:name="Tc_WXp5roEYykqewAYuCleROQ_29_0"/>
      <w:bookmarkStart w:id="104" w:name="Tc_CUy_4AUYr0ee_irU82X1gg_28_0"/>
      <w:bookmarkStart w:id="105" w:name="Tc_pbUoLq8Vp0KC4-mrgLUPrw_27_0"/>
      <w:bookmarkStart w:id="106" w:name="Tc_ViozH66g80-JXn_AoMWhPQ_26_0"/>
      <w:bookmarkStart w:id="107" w:name="Tc_b36q_ud3jEeOZncPOIDmHA_24_0"/>
      <w:bookmarkStart w:id="108" w:name="Tc_0G7ZcKwuOUWFJClLZCdTLw_23_0"/>
      <w:bookmarkStart w:id="109" w:name="Tc_eT_DrYPE30-hqM2aFlqWXw_22_0"/>
      <w:bookmarkStart w:id="110" w:name="Tc_ZOYWGXsad0mB5yeFoKe1Hg_21_0"/>
      <w:bookmarkStart w:id="111" w:name="Tc_3JK7MslDmEK9Ome29iQHkQ_20_5"/>
      <w:bookmarkStart w:id="112" w:name="Tc_Vp770VqJwE2Tnfs2xYXGCg_20_2"/>
      <w:bookmarkStart w:id="113" w:name="Tc_e5qlt2XeBEulUcRKETQdYA_20_0"/>
      <w:bookmarkStart w:id="114" w:name="Tc_x8oL_XSU3EWSskZVMUnoyw_19_0"/>
      <w:bookmarkStart w:id="115" w:name="Tc_xVO-hu7Jh0i9nfiGVv1ZYg_17_5"/>
      <w:bookmarkStart w:id="116" w:name="Tc_nnqTO-OZ5k2JId4sSc7cUQ_17_2"/>
      <w:bookmarkStart w:id="117" w:name="Tc_FEhhn-1LV02ebeiB1yVD6A_17_0"/>
      <w:bookmarkStart w:id="118" w:name="Tc_DPEul7FFFkOrMZs_lyioig_16_0"/>
      <w:bookmarkStart w:id="119" w:name="Tc_F5uDNU_5S0-Z0lrkzlXr3Q_15_0"/>
      <w:bookmarkStart w:id="120" w:name="Tc_4iRIE7TkmEyluTwMLrFvnA_14_0"/>
      <w:bookmarkStart w:id="121" w:name="Tc_QkUlzfT3FEC8LnDtpX081A_13_0"/>
      <w:bookmarkStart w:id="122" w:name="Tc_xLLf4nT11Ua63GKkupU9hQ_12_0"/>
      <w:bookmarkStart w:id="123" w:name="Tc_tiONcTqjxEKFh1nK-QFuzA_11_0"/>
      <w:bookmarkStart w:id="124" w:name="Tc_tehFb828CUiyxSambE_1dg_9_0"/>
      <w:bookmarkStart w:id="125" w:name="Tc_c4qKHCoo-Ee7lhHRH1-QBw_8_0"/>
      <w:bookmarkStart w:id="126" w:name="Tc_FtjQ8cIlmk2-pvg_5RceOw_7_0"/>
      <w:bookmarkStart w:id="127" w:name="Tc_HMn0JaZlFkOaAWYpB-gAJQ_6_0"/>
      <w:bookmarkStart w:id="128" w:name="Tc_LhyC09W4EUaTrD7vNUZnPA_5_0"/>
      <w:bookmarkStart w:id="129" w:name="Tc_5V8z-OXWWk6ujErTT0msnw_4_5"/>
      <w:bookmarkStart w:id="130" w:name="Tc_j_VFaUjyDkqABMFI1Its0g_4_2"/>
      <w:bookmarkStart w:id="131" w:name="Tc__osYebSL6kOYMkAmjlXccg_4_0"/>
      <w:bookmarkStart w:id="132" w:name="Tc_YQ90yfmqHEiQeq-pmFSJ0Q_3_0"/>
      <w:bookmarkStart w:id="133" w:name="Tc__SplJXepP0iD1Vq35FNUkg_2_5"/>
      <w:bookmarkStart w:id="134" w:name="Tc_d1XLEekEX0mIGJSnleCE4A_2_2"/>
      <w:bookmarkStart w:id="135" w:name="Tc_av_SvDFYtE21MUKXxYleGA_1_5"/>
      <w:bookmarkStart w:id="136" w:name="Tc_UHi5Bq9xM0W08H8uq5R4bg_1_2"/>
      <w:bookmarkStart w:id="137" w:name="_1b64d133_a76f_429e_bc3a_50d5ab4644a0"/>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7434"/>
        <w:gridCol w:w="326"/>
        <w:gridCol w:w="196"/>
        <w:gridCol w:w="781"/>
        <w:gridCol w:w="326"/>
        <w:gridCol w:w="224"/>
        <w:gridCol w:w="918"/>
      </w:tblGrid>
      <w:tr>
        <w:trPr/>
        <w:tc>
          <w:tcPr>
            <w:tcW w:w="7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20590" cy="175260"/>
                      <wp:effectExtent l="0" t="0" r="0" b="0"/>
                      <wp:wrapNone/>
                      <wp:docPr id="1" name="Frame1"/>
                      <a:graphic xmlns:a="http://schemas.openxmlformats.org/drawingml/2006/main">
                        <a:graphicData uri="http://schemas.microsoft.com/office/word/2010/wordprocessingShape">
                          <wps:wsp>
                            <wps:cNvSpPr txBox="1"/>
                            <wps:spPr>
                              <a:xfrm>
                                <a:off x="0" y="0"/>
                                <a:ext cx="472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240" cy="175260"/>
                      <wp:effectExtent l="0" t="0" r="0" b="0"/>
                      <wp:wrapNone/>
                      <wp:docPr id="6" name="Frame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82930" cy="175260"/>
                      <wp:effectExtent l="0" t="0" r="0" b="0"/>
                      <wp:wrapNone/>
                      <wp:docPr id="7" name="Frame7"/>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8,437</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14,784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14,613</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1,667</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1,621</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949</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24,456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26,566</w:t>
            </w:r>
          </w:p>
        </w:tc>
      </w:tr>
      <w:tr>
        <w:trPr/>
        <w:tc>
          <w:tcPr>
            <w:tcW w:w="74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2,454</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5,651</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4,656</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1,785</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37,477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38,993</w:t>
            </w:r>
          </w:p>
        </w:tc>
      </w:tr>
      <w:tr>
        <w:trPr/>
        <w:tc>
          <w:tcPr>
            <w:tcW w:w="74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4,968</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9,330</w:t>
            </w:r>
          </w:p>
        </w:tc>
      </w:tr>
      <w:tr>
        <w:trPr/>
        <w:tc>
          <w:tcPr>
            <w:tcW w:w="74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lef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9,525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8,692</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18,712</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18,022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4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lef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pPr>
            <w:r>
              <w:rPr/>
              <w:t>  </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per share, 150,000,000</w:t>
            </w:r>
            <w:r>
              <w:rPr>
                <w:rFonts w:ascii="Times New Roman;Times;serif" w:hAnsi="Times New Roman;Times;serif"/>
                <w:sz w:val="20"/>
              </w:rPr>
              <w:t xml:space="preserve"> </w:t>
            </w:r>
            <w:r>
              <w:rPr>
                <w:rFonts w:ascii="Times New Roman;Times;serif" w:hAnsi="Times New Roman;Times;serif"/>
                <w:sz w:val="16"/>
              </w:rPr>
              <w:t>shares authorized; 4,182,617</w:t>
            </w:r>
            <w:r>
              <w:rPr>
                <w:rFonts w:ascii="Times New Roman;Times;serif" w:hAnsi="Times New Roman;Times;serif"/>
                <w:sz w:val="20"/>
              </w:rPr>
              <w:t xml:space="preserve"> </w:t>
            </w:r>
            <w:r>
              <w:rPr>
                <w:rFonts w:ascii="Times New Roman;Times;serif" w:hAnsi="Times New Roman;Times;serif"/>
                <w:sz w:val="16"/>
              </w:rPr>
              <w:t>and 4,179,631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as of March 31, 2024 and December 31, 2023, respectively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470,996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470,737</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(458,365)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(455,853)</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(1,924)</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 attributable to XWELL, Inc.</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10,574</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13,002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8,191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7,969</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18,765</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20,971</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37,477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8" w:type="dxa"/>
            <w:tcBorders>
              <w:bottom w:val="double" w:sz="6" w:space="0" w:color="000000"/>
            </w:tcBorders>
            <w:shd w:fill="CCEEFF" w:val="clear"/>
            <w:tcMar>
              <w:bottom w:w="28" w:type="dxa"/>
            </w:tcMar>
            <w:vAlign w:val="center"/>
          </w:tcPr>
          <w:p>
            <w:pPr>
              <w:pStyle w:val="TableContents"/>
              <w:bidi w:val="0"/>
              <w:spacing w:before="0" w:after="1"/>
              <w:ind w:left="0" w:right="55" w:hanging="0"/>
              <w:jc w:val="right"/>
              <w:rPr>
                <w:rFonts w:ascii="Times New Roman;Times;serif" w:hAnsi="Times New Roman;Times;serif"/>
                <w:sz w:val="16"/>
              </w:rPr>
            </w:pPr>
            <w:r>
              <w:rPr>
                <w:rFonts w:ascii="Times New Roman;Times;serif" w:hAnsi="Times New Roman;Times;serif"/>
                <w:sz w:val="16"/>
              </w:rPr>
              <w:t>38,993</w:t>
            </w:r>
          </w:p>
        </w:tc>
      </w:tr>
    </w:tbl>
    <w:p>
      <w:pPr>
        <w:pStyle w:val="TextBody"/>
        <w:bidi w:val="0"/>
        <w:spacing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 w:name="_e856486a_8f25_4e22_9282_267ebd6b535b"/>
      <w:bookmarkEnd w:id="138"/>
      <w:r>
        <w:rPr>
          <w:rFonts w:ascii="Times New Roman;Times;serif" w:hAnsi="Times New Roman;Times;serif"/>
          <w:b/>
          <w:sz w:val="20"/>
        </w:rPr>
        <w:t>XWELL, Inc. and Subsidiaries</w:t>
      </w:r>
    </w:p>
    <w:p>
      <w:pPr>
        <w:pStyle w:val="TextBody"/>
        <w:bidi w:val="0"/>
        <w:spacing w:before="0" w:after="0"/>
        <w:ind w:left="720" w:right="0" w:hanging="0"/>
        <w:jc w:val="center"/>
        <w:rPr>
          <w:rFonts w:ascii="Times New Roman;Times;serif" w:hAnsi="Times New Roman;Times;serif"/>
          <w:b/>
          <w:sz w:val="18"/>
        </w:rPr>
      </w:pPr>
      <w:r>
        <w:rPr>
          <w:rFonts w:ascii="Times New Roman;Times;serif" w:hAnsi="Times New Roman;Times;serif"/>
          <w:b/>
          <w:sz w:val="18"/>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(Unaudited) </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 except share and per share data)</w:t>
      </w:r>
    </w:p>
    <w:p>
      <w:pPr>
        <w:pStyle w:val="Normal"/>
        <w:bidi w:val="0"/>
        <w:spacing w:before="0" w:after="0"/>
        <w:jc w:val="left"/>
        <w:rPr>
          <w:sz w:val="4"/>
          <w:szCs w:val="4"/>
        </w:rPr>
      </w:pPr>
      <w:r>
        <w:rPr>
          <w:sz w:val="4"/>
          <w:szCs w:val="4"/>
        </w:rPr>
      </w:r>
      <w:bookmarkStart w:id="139" w:name="Tc_k222qeInaUaP_xzkcHKbcg_40_0"/>
      <w:bookmarkStart w:id="140" w:name="Tc_samNyxwBxEKl-QlhfUmVmg_39_0"/>
      <w:bookmarkStart w:id="141" w:name="Tc_w4ImmtpC1EiqDDkKM4tkKA_38_0"/>
      <w:bookmarkStart w:id="142" w:name="Tc_7itl7oV5Z0a8CmZE6cgt2w_37_6"/>
      <w:bookmarkStart w:id="143" w:name="Tc_d6UZTRS4gkqWB7NtIV78uQ_37_3"/>
      <w:bookmarkStart w:id="144" w:name="Tc_ig7XdlO2U0Cp2Y__Y1qF8g_37_0"/>
      <w:bookmarkStart w:id="145" w:name="Tc_Cv2pvnp0s0ujhQuXcSS64w_36_0"/>
      <w:bookmarkStart w:id="146" w:name="Tc_btYTB-4SV06K0MNOdgzQig_35_6"/>
      <w:bookmarkStart w:id="147" w:name="Tc_MROoE4Yomka85G6TzCFrVw_35_3"/>
      <w:bookmarkStart w:id="148" w:name="Tc_wOB3RCS1PUqGfqB6d9PMZw_35_0"/>
      <w:bookmarkStart w:id="149" w:name="Tc_40MWMzfSlk63WPQMRxofyw_34_0"/>
      <w:bookmarkStart w:id="150" w:name="Tc_7-83v15FgUWrv798-Mw2KQ_33_6"/>
      <w:bookmarkStart w:id="151" w:name="Tc_JBy_6hXstkKr7aqMlLLawQ_33_3"/>
      <w:bookmarkStart w:id="152" w:name="Tc_YPjocPB4eE6OabHXHc4SMQ_33_0"/>
      <w:bookmarkStart w:id="153" w:name="Tc_-wco6OFqC0-CVtUOaqMg4w_31_6"/>
      <w:bookmarkStart w:id="154" w:name="Tc_obWQFqLPU0axEfIlD9t8cg_31_3"/>
      <w:bookmarkStart w:id="155" w:name="Tc_Bm2bE1PCt0GKt8Qy55x-5g_31_0"/>
      <w:bookmarkStart w:id="156" w:name="Tc_c0JnzlXolE28NAReolVrJg_30_0"/>
      <w:bookmarkStart w:id="157" w:name="Tc_a7wGo4WDaUCMvAkQSATDpg_29_0"/>
      <w:bookmarkStart w:id="158" w:name="Tc_A2Itp1JPQEyqssNgUm_b_Q_28_7"/>
      <w:bookmarkStart w:id="159" w:name="Tc_wBmWf7vs4Uq03v_D6QpzeA_28_4"/>
      <w:bookmarkStart w:id="160" w:name="Tc_3hwIDhksNkSFbjJxk4PZAg_28_0"/>
      <w:bookmarkStart w:id="161" w:name="Tc_ZzYRwWhRjECM57oSP1ILFQ_27_0"/>
      <w:bookmarkStart w:id="162" w:name="Tc_1fB2cQeWV0uYYr_wwXUvvQ_26_0"/>
      <w:bookmarkStart w:id="163" w:name="Tc__5SCVI2Kq0mmt8wzfE4o3A_25_0"/>
      <w:bookmarkStart w:id="164" w:name="Tc_Ie4OXR6qgUuy4v5pfdYptA_24_0"/>
      <w:bookmarkStart w:id="165" w:name="Tc_g1TmKyA01kGm4yB757fvqg_23_0"/>
      <w:bookmarkStart w:id="166" w:name="Tc_5WYQ4LrMTUSmtqFUrjYE3g_22_0"/>
      <w:bookmarkStart w:id="167" w:name="Tc_bHEv6E2Lh0Cc1BRAqSXktA_21_0"/>
      <w:bookmarkStart w:id="168" w:name="Tc_JJQGjDt0YUOr5nNlJygRug_20_0"/>
      <w:bookmarkStart w:id="169" w:name="Tc_rqVr1wPp_0av_debVLGmrg_19_0"/>
      <w:bookmarkStart w:id="170" w:name="Tc_0qLzpFSJw0CPf6qrWA8eTQ_18_4"/>
      <w:bookmarkStart w:id="171" w:name="Tc_A0diom9RU0OgCZdIpCLp3A_18_0"/>
      <w:bookmarkStart w:id="172" w:name="Tc_YLTWRN21Vk6GBzPB387ajQ_17_7"/>
      <w:bookmarkStart w:id="173" w:name="Tc_UWadQCaYVEWULq9j9tqNFA_17_0"/>
      <w:bookmarkStart w:id="174" w:name="Tc_DxwbsQaUD0ylge5p9iNZpg_16_0"/>
      <w:bookmarkStart w:id="175" w:name="Tc_yKQTQLGhQUiEoeHTSBr1rA_14_6"/>
      <w:bookmarkStart w:id="176" w:name="Tc_TZWbO9Ys5UuGquAMqOpmyQ_14_3"/>
      <w:bookmarkStart w:id="177" w:name="Tc_pIvvhTGEF0Su01StBOt5Mg_14_0"/>
      <w:bookmarkStart w:id="178" w:name="Tc_ngiMDINQgUeGo9r1J-I-mw_12_0"/>
      <w:bookmarkStart w:id="179" w:name="Tc_QbUWghCf3EygmOHNGo8m_A_11_0"/>
      <w:bookmarkStart w:id="180" w:name="Tc__TYUe5au5kK3KnS8pbGqTQ_10_0"/>
      <w:bookmarkStart w:id="181" w:name="Tc_LmAGPG5p9EuKtFlbKQhWvg_9_0"/>
      <w:bookmarkStart w:id="182" w:name="Tc_KTSxsOp7qkOM4fBBc5G-zA_8_0"/>
      <w:bookmarkStart w:id="183" w:name="Tc_j96YQNjDAUWMK9JOjXY4vg_7_0"/>
      <w:bookmarkStart w:id="184" w:name="Tc_dm1E3yIgOk-owtOm_y18mA_6_0"/>
      <w:bookmarkStart w:id="185" w:name="Tc_J9qQnbmyg0KGC59-AboxXA_5_0"/>
      <w:bookmarkStart w:id="186" w:name="Tc_nUPnqZr9r0qQ0wvAtniQgQ_4_0"/>
      <w:bookmarkStart w:id="187" w:name="Tc_KcCqDMLSG0SJyQkH0_FljQ_2_6"/>
      <w:bookmarkStart w:id="188" w:name="Tc_xef9bYAH6UWeb588XD_0gg_2_3"/>
      <w:bookmarkStart w:id="189" w:name="Tc_ZzWuD5LqFUWjDDCFcGSfcQ_1_3"/>
      <w:bookmarkStart w:id="190" w:name="_d5f39e76_ffda_42ea_b98d_935cecdc7e45"/>
      <w:bookmarkStart w:id="191" w:name="_69cb15e0_d624_4eb0_82ff_d270bfdfbb5a"/>
      <w:bookmarkStart w:id="192" w:name="Tc_k222qeInaUaP_xzkcHKbcg_40_0"/>
      <w:bookmarkStart w:id="193" w:name="Tc_samNyxwBxEKl-QlhfUmVmg_39_0"/>
      <w:bookmarkStart w:id="194" w:name="Tc_w4ImmtpC1EiqDDkKM4tkKA_38_0"/>
      <w:bookmarkStart w:id="195" w:name="Tc_7itl7oV5Z0a8CmZE6cgt2w_37_6"/>
      <w:bookmarkStart w:id="196" w:name="Tc_d6UZTRS4gkqWB7NtIV78uQ_37_3"/>
      <w:bookmarkStart w:id="197" w:name="Tc_ig7XdlO2U0Cp2Y__Y1qF8g_37_0"/>
      <w:bookmarkStart w:id="198" w:name="Tc_Cv2pvnp0s0ujhQuXcSS64w_36_0"/>
      <w:bookmarkStart w:id="199" w:name="Tc_btYTB-4SV06K0MNOdgzQig_35_6"/>
      <w:bookmarkStart w:id="200" w:name="Tc_MROoE4Yomka85G6TzCFrVw_35_3"/>
      <w:bookmarkStart w:id="201" w:name="Tc_wOB3RCS1PUqGfqB6d9PMZw_35_0"/>
      <w:bookmarkStart w:id="202" w:name="Tc_40MWMzfSlk63WPQMRxofyw_34_0"/>
      <w:bookmarkStart w:id="203" w:name="Tc_7-83v15FgUWrv798-Mw2KQ_33_6"/>
      <w:bookmarkStart w:id="204" w:name="Tc_JBy_6hXstkKr7aqMlLLawQ_33_3"/>
      <w:bookmarkStart w:id="205" w:name="Tc_YPjocPB4eE6OabHXHc4SMQ_33_0"/>
      <w:bookmarkStart w:id="206" w:name="Tc_-wco6OFqC0-CVtUOaqMg4w_31_6"/>
      <w:bookmarkStart w:id="207" w:name="Tc_obWQFqLPU0axEfIlD9t8cg_31_3"/>
      <w:bookmarkStart w:id="208" w:name="Tc_Bm2bE1PCt0GKt8Qy55x-5g_31_0"/>
      <w:bookmarkStart w:id="209" w:name="Tc_c0JnzlXolE28NAReolVrJg_30_0"/>
      <w:bookmarkStart w:id="210" w:name="Tc_a7wGo4WDaUCMvAkQSATDpg_29_0"/>
      <w:bookmarkStart w:id="211" w:name="Tc_A2Itp1JPQEyqssNgUm_b_Q_28_7"/>
      <w:bookmarkStart w:id="212" w:name="Tc_wBmWf7vs4Uq03v_D6QpzeA_28_4"/>
      <w:bookmarkStart w:id="213" w:name="Tc_3hwIDhksNkSFbjJxk4PZAg_28_0"/>
      <w:bookmarkStart w:id="214" w:name="Tc_ZzYRwWhRjECM57oSP1ILFQ_27_0"/>
      <w:bookmarkStart w:id="215" w:name="Tc_1fB2cQeWV0uYYr_wwXUvvQ_26_0"/>
      <w:bookmarkStart w:id="216" w:name="Tc__5SCVI2Kq0mmt8wzfE4o3A_25_0"/>
      <w:bookmarkStart w:id="217" w:name="Tc_Ie4OXR6qgUuy4v5pfdYptA_24_0"/>
      <w:bookmarkStart w:id="218" w:name="Tc_g1TmKyA01kGm4yB757fvqg_23_0"/>
      <w:bookmarkStart w:id="219" w:name="Tc_5WYQ4LrMTUSmtqFUrjYE3g_22_0"/>
      <w:bookmarkStart w:id="220" w:name="Tc_bHEv6E2Lh0Cc1BRAqSXktA_21_0"/>
      <w:bookmarkStart w:id="221" w:name="Tc_JJQGjDt0YUOr5nNlJygRug_20_0"/>
      <w:bookmarkStart w:id="222" w:name="Tc_rqVr1wPp_0av_debVLGmrg_19_0"/>
      <w:bookmarkStart w:id="223" w:name="Tc_0qLzpFSJw0CPf6qrWA8eTQ_18_4"/>
      <w:bookmarkStart w:id="224" w:name="Tc_A0diom9RU0OgCZdIpCLp3A_18_0"/>
      <w:bookmarkStart w:id="225" w:name="Tc_YLTWRN21Vk6GBzPB387ajQ_17_7"/>
      <w:bookmarkStart w:id="226" w:name="Tc_UWadQCaYVEWULq9j9tqNFA_17_0"/>
      <w:bookmarkStart w:id="227" w:name="Tc_DxwbsQaUD0ylge5p9iNZpg_16_0"/>
      <w:bookmarkStart w:id="228" w:name="Tc_yKQTQLGhQUiEoeHTSBr1rA_14_6"/>
      <w:bookmarkStart w:id="229" w:name="Tc_TZWbO9Ys5UuGquAMqOpmyQ_14_3"/>
      <w:bookmarkStart w:id="230" w:name="Tc_pIvvhTGEF0Su01StBOt5Mg_14_0"/>
      <w:bookmarkStart w:id="231" w:name="Tc_ngiMDINQgUeGo9r1J-I-mw_12_0"/>
      <w:bookmarkStart w:id="232" w:name="Tc_QbUWghCf3EygmOHNGo8m_A_11_0"/>
      <w:bookmarkStart w:id="233" w:name="Tc__TYUe5au5kK3KnS8pbGqTQ_10_0"/>
      <w:bookmarkStart w:id="234" w:name="Tc_LmAGPG5p9EuKtFlbKQhWvg_9_0"/>
      <w:bookmarkStart w:id="235" w:name="Tc_KTSxsOp7qkOM4fBBc5G-zA_8_0"/>
      <w:bookmarkStart w:id="236" w:name="Tc_j96YQNjDAUWMK9JOjXY4vg_7_0"/>
      <w:bookmarkStart w:id="237" w:name="Tc_dm1E3yIgOk-owtOm_y18mA_6_0"/>
      <w:bookmarkStart w:id="238" w:name="Tc_J9qQnbmyg0KGC59-AboxXA_5_0"/>
      <w:bookmarkStart w:id="239" w:name="Tc_nUPnqZr9r0qQ0wvAtniQgQ_4_0"/>
      <w:bookmarkStart w:id="240" w:name="Tc_KcCqDMLSG0SJyQkH0_FljQ_2_6"/>
      <w:bookmarkStart w:id="241" w:name="Tc_xef9bYAH6UWeb588XD_0gg_2_3"/>
      <w:bookmarkStart w:id="242" w:name="Tc_ZzWuD5LqFUWjDDCFcGSfcQ_1_3"/>
      <w:bookmarkStart w:id="243" w:name="_d5f39e76_ffda_42ea_b98d_935cecdc7e45"/>
      <w:bookmarkStart w:id="244" w:name="_69cb15e0_d624_4eb0_82ff_d270bfdfbb5a"/>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8943" w:type="dxa"/>
        <w:jc w:val="left"/>
        <w:tblInd w:w="0" w:type="dxa"/>
        <w:tblLayout w:type="fixed"/>
        <w:tblCellMar>
          <w:top w:w="0" w:type="dxa"/>
          <w:left w:w="0" w:type="dxa"/>
          <w:bottom w:w="0" w:type="dxa"/>
          <w:right w:w="0" w:type="dxa"/>
        </w:tblCellMar>
      </w:tblPr>
      <w:tblGrid>
        <w:gridCol w:w="5356"/>
        <w:gridCol w:w="326"/>
        <w:gridCol w:w="326"/>
        <w:gridCol w:w="212"/>
        <w:gridCol w:w="894"/>
        <w:gridCol w:w="352"/>
        <w:gridCol w:w="212"/>
        <w:gridCol w:w="894"/>
        <w:gridCol w:w="371"/>
      </w:tblGrid>
      <w:tr>
        <w:trPr/>
        <w:tc>
          <w:tcPr>
            <w:tcW w:w="5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01060" cy="175260"/>
                      <wp:effectExtent l="0" t="0" r="0" b="0"/>
                      <wp:wrapNone/>
                      <wp:docPr id="8" name="Frame8"/>
                      <a:graphic xmlns:a="http://schemas.openxmlformats.org/drawingml/2006/main">
                        <a:graphicData uri="http://schemas.microsoft.com/office/word/2010/wordprocessingShape">
                          <wps:wsp>
                            <wps:cNvSpPr txBox="1"/>
                            <wps:spPr>
                              <a:xfrm>
                                <a:off x="0" y="0"/>
                                <a:ext cx="340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4620" cy="175260"/>
                      <wp:effectExtent l="0" t="0" r="0" b="0"/>
                      <wp:wrapNone/>
                      <wp:docPr id="11" name="Frame1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7690" cy="175260"/>
                      <wp:effectExtent l="0" t="0" r="0" b="0"/>
                      <wp:wrapNone/>
                      <wp:docPr id="12" name="Frame12"/>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3520" cy="175260"/>
                      <wp:effectExtent l="0" t="0" r="0" b="0"/>
                      <wp:wrapNone/>
                      <wp:docPr id="13" name="Frame1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4620" cy="175260"/>
                      <wp:effectExtent l="0" t="0" r="0" b="0"/>
                      <wp:wrapNone/>
                      <wp:docPr id="14" name="Frame1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7690" cy="175260"/>
                      <wp:effectExtent l="0" t="0" r="0" b="0"/>
                      <wp:wrapNone/>
                      <wp:docPr id="15" name="Frame15"/>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35585" cy="175260"/>
                      <wp:effectExtent l="0" t="0" r="0" b="0"/>
                      <wp:wrapNone/>
                      <wp:docPr id="16" name="Frame1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371" w:type="dxa"/>
            <w:tcBorders/>
            <w:vAlign w:val="center"/>
          </w:tcPr>
          <w:p>
            <w:pPr>
              <w:pStyle w:val="TableContents"/>
              <w:bidi w:val="0"/>
              <w:spacing w:before="0" w:after="1"/>
              <w:ind w:left="0" w:right="0" w:hanging="0"/>
              <w:jc w:val="center"/>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52" w:type="dxa"/>
            <w:tcBorders/>
            <w:vAlign w:val="center"/>
          </w:tcPr>
          <w:p>
            <w:pPr>
              <w:pStyle w:val="TableContents"/>
              <w:bidi w:val="0"/>
              <w:spacing w:before="0" w:after="1"/>
              <w:ind w:left="0" w:right="0" w:hanging="0"/>
              <w:jc w:val="center"/>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71" w:type="dxa"/>
            <w:tcBorders/>
            <w:vAlign w:val="center"/>
          </w:tcPr>
          <w:p>
            <w:pPr>
              <w:pStyle w:val="TableContents"/>
              <w:bidi w:val="0"/>
              <w:spacing w:before="0" w:after="1"/>
              <w:ind w:left="0" w:right="0" w:hanging="0"/>
              <w:jc w:val="center"/>
              <w:rPr/>
            </w:pPr>
            <w:r>
              <w:rPr/>
              <w:t>    </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color w:val="FF0000"/>
              </w:rPr>
            </w:pPr>
            <w:r>
              <w:rPr>
                <w:color w:val="FF0000"/>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8,035</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6,467</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691</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8,726</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7,063</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Labor</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4,149</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4,378</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942</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1,213</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964</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950</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6,055</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6,541</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2,671</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disposal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2,092</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3,966</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Salaries and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2,081</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5,050</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6,810</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(2,379)</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(6,288)</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Investments, realized and unrealized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exchange gain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71" w:type="dxa"/>
            <w:tcBorders/>
            <w:vAlign w:val="center"/>
          </w:tcPr>
          <w:p>
            <w:pPr>
              <w:pStyle w:val="TableContents"/>
              <w:bidi w:val="0"/>
              <w:spacing w:before="0" w:after="1"/>
              <w:ind w:left="0" w:right="0" w:hanging="0"/>
              <w:jc w:val="left"/>
              <w:rPr/>
            </w:pPr>
            <w:r>
              <w:rPr/>
              <w:t> </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(5,509)</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(2,358)</w:t>
            </w:r>
          </w:p>
        </w:tc>
        <w:tc>
          <w:tcPr>
            <w:tcW w:w="352"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(2,533)</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(5,959)</w:t>
            </w:r>
          </w:p>
        </w:tc>
        <w:tc>
          <w:tcPr>
            <w:tcW w:w="371" w:type="dxa"/>
            <w:tcBorders/>
            <w:vAlign w:val="center"/>
          </w:tcPr>
          <w:p>
            <w:pPr>
              <w:pStyle w:val="TableContents"/>
              <w:bidi w:val="0"/>
              <w:spacing w:before="0" w:after="1"/>
              <w:ind w:left="0" w:right="0" w:hanging="0"/>
              <w:jc w:val="left"/>
              <w:rPr/>
            </w:pPr>
            <w:r>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(0.60)</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71" w:type="dxa"/>
            <w:tcBorders/>
            <w:vAlign w:val="center"/>
          </w:tcPr>
          <w:p>
            <w:pPr>
              <w:pStyle w:val="TableContents"/>
              <w:bidi w:val="0"/>
              <w:spacing w:before="0" w:after="1"/>
              <w:ind w:left="0" w:right="0" w:hanging="0"/>
              <w:jc w:val="left"/>
              <w:rPr>
                <w:color w:val="FF0000"/>
              </w:rPr>
            </w:pPr>
            <w:r>
              <w:rPr>
                <w:color w:val="FF0000"/>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894"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4,182,617</w:t>
            </w:r>
          </w:p>
        </w:tc>
        <w:tc>
          <w:tcPr>
            <w:tcW w:w="352"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4,167,295</w:t>
            </w:r>
          </w:p>
        </w:tc>
        <w:tc>
          <w:tcPr>
            <w:tcW w:w="371" w:type="dxa"/>
            <w:tcBorders/>
            <w:vAlign w:val="center"/>
          </w:tcPr>
          <w:p>
            <w:pPr>
              <w:pStyle w:val="TableContents"/>
              <w:bidi w:val="0"/>
              <w:spacing w:before="0" w:after="1"/>
              <w:ind w:left="0" w:right="0" w:hanging="0"/>
              <w:jc w:val="left"/>
              <w:rPr>
                <w:color w:val="FF0000"/>
              </w:rPr>
            </w:pPr>
            <w:r>
              <w:rPr>
                <w:color w:val="FF0000"/>
              </w:rPr>
              <w:t>​</w:t>
            </w:r>
          </w:p>
        </w:tc>
      </w:tr>
      <w:tr>
        <w:trPr/>
        <w:tc>
          <w:tcPr>
            <w:tcW w:w="5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4,182,617</w:t>
            </w:r>
          </w:p>
        </w:tc>
        <w:tc>
          <w:tcPr>
            <w:tcW w:w="352"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4,167,295</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*Adjusted to reflect the impact of the 1:20 reverse stock split that became effective on September 28, 2023.</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5" w:name="_796cc17d_972d_4dd4_b186_1bc691c832d4"/>
      <w:bookmarkEnd w:id="245"/>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Normal"/>
        <w:bidi w:val="0"/>
        <w:spacing w:before="0" w:after="0"/>
        <w:jc w:val="left"/>
        <w:rPr>
          <w:sz w:val="4"/>
          <w:szCs w:val="4"/>
        </w:rPr>
      </w:pPr>
      <w:r>
        <w:rPr>
          <w:sz w:val="4"/>
          <w:szCs w:val="4"/>
        </w:rPr>
      </w:r>
      <w:bookmarkStart w:id="246" w:name="Tc_aHuQXhdWlU20gHXNcSG4WQ_10_22"/>
      <w:bookmarkStart w:id="247" w:name="Tc_x678ouS2YkG2tb9t9x1b5w_10_19"/>
      <w:bookmarkStart w:id="248" w:name="Tc_-goQtrmYcU6AtFALNVoDQw_10_16"/>
      <w:bookmarkStart w:id="249" w:name="Tc_xANwXiX5f0-Oug-xw3YLYA_10_13"/>
      <w:bookmarkStart w:id="250" w:name="Tc_9tDmcvN4DUapvtk_CrwrRg_10_10"/>
      <w:bookmarkStart w:id="251" w:name="Tc_L-MRUcMfzkWtPz3870qo4w_10_7"/>
      <w:bookmarkStart w:id="252" w:name="Tc_hE-yt5whAEKnyW_YSVW39Q_10_4"/>
      <w:bookmarkStart w:id="253" w:name="Tc_IuzmRIaavkWgfG2LT39Ntg_10_0"/>
      <w:bookmarkStart w:id="254" w:name="Tc_745qrQZNFUCyrUVh6dM6zQ_9_11"/>
      <w:bookmarkStart w:id="255" w:name="Tc_kqhgCqd_JEenuNFmB7D7Sw_9_8"/>
      <w:bookmarkStart w:id="256" w:name="Tc_Cj_vfl6BUk6geJXObQB1rw_9_5"/>
      <w:bookmarkStart w:id="257" w:name="Tc_WKpZWFG1lUqhdL-IP9bCbg_9_2"/>
      <w:bookmarkStart w:id="258" w:name="Tc_iDyLh2RRnEqkyp2QN4FGVg_9_0"/>
      <w:bookmarkStart w:id="259" w:name="Tc_xOxYAOwQEE2vu0KHa1DDhg_8_14"/>
      <w:bookmarkStart w:id="260" w:name="Tc_dvu1YL_FV0SPd9-V0e_mjQ_8_8"/>
      <w:bookmarkStart w:id="261" w:name="Tc_gYgv466g-EWavabE41CybA_8_5"/>
      <w:bookmarkStart w:id="262" w:name="Tc_ugi0XLTxG0qt68zyYd8zSw_8_2"/>
      <w:bookmarkStart w:id="263" w:name="Tc_2MB76F6vtEGoT4sLX-Tmew_8_0"/>
      <w:bookmarkStart w:id="264" w:name="Tc_RfdNE5a9AUe_N-s2ZTFhrQ_7_14"/>
      <w:bookmarkStart w:id="265" w:name="Tc_cGyZ_gQ3akiLWb6HP53bIw_7_11"/>
      <w:bookmarkStart w:id="266" w:name="Tc_uHpJXcBoo0G6tJ50UBRcxQ_7_5"/>
      <w:bookmarkStart w:id="267" w:name="Tc_MSxCFTgbnUK3N9FXpgZxxQ_7_2"/>
      <w:bookmarkStart w:id="268" w:name="Tc_MMqqMgGToE69U5VuiUGwpg_7_0"/>
      <w:bookmarkStart w:id="269" w:name="Tc_PEWdvsw1BUC2B4bDsZN-sA_6_23"/>
      <w:bookmarkStart w:id="270" w:name="Tc_oDIzIXTeMUmSz95Ya2JG-w_6_20"/>
      <w:bookmarkStart w:id="271" w:name="Tc_v_P6-DdvqUiFFY-in4e8Eg_6_17"/>
      <w:bookmarkStart w:id="272" w:name="Tc_44Mb4nofKk-tf-lgODHs8w_6_14"/>
      <w:bookmarkStart w:id="273" w:name="Tc_KlXbhVwPWUqT0NrDX6XRvQ_6_11"/>
      <w:bookmarkStart w:id="274" w:name="Tc_f8muKufDsEeeaPyzbvWc6w_6_8"/>
      <w:bookmarkStart w:id="275" w:name="Tc_rZ3A_cJNwUaRTpSFwSH3YA_6_5"/>
      <w:bookmarkStart w:id="276" w:name="Tc_HKocweaBDEWl2i2t127jrw_6_0"/>
      <w:bookmarkStart w:id="277" w:name="Tc_hLbbYkHm_UG1tU-OvYZBtw_5_22"/>
      <w:bookmarkStart w:id="278" w:name="Tc_AbR9VZsslE6ZHHIoVbNJgA_5_19"/>
      <w:bookmarkStart w:id="279" w:name="Tc_fp1z1NbjY0aoQm2AViVbwg_5_16"/>
      <w:bookmarkStart w:id="280" w:name="Tc_DY_p7gxuqEeyUYLg6JAM_Q_5_13"/>
      <w:bookmarkStart w:id="281" w:name="Tc_OriFxes7d0O0On5UVeAO_g_5_10"/>
      <w:bookmarkStart w:id="282" w:name="Tc_GXXniZZZN0iF_X-Oq993YQ_5_7"/>
      <w:bookmarkStart w:id="283" w:name="Tc_y7Q81cb-7EeS6IUnoNzuBw_5_4"/>
      <w:bookmarkStart w:id="284" w:name="Tc_DwFZhnNPNkiLPRTkTwAEMQ_5_0"/>
      <w:bookmarkStart w:id="285" w:name="Tc_L_4JD9xZzUa4QyPz16hsrQ_4_22"/>
      <w:bookmarkStart w:id="286" w:name="Tc_WpQGbrYcGkegKFBu1OFQdw_4_19"/>
      <w:bookmarkStart w:id="287" w:name="Tc_F5wvSNEoBU2P8oxI3AYedw_4_16"/>
      <w:bookmarkStart w:id="288" w:name="Tc_Ld61P2nZGUaCkSX7bwG-jQ_4_13"/>
      <w:bookmarkStart w:id="289" w:name="Tc_6VQ_usaG7kG3c3umSJmSmw_4_10"/>
      <w:bookmarkStart w:id="290" w:name="Tc_x64qoOXTskmyYEZWx3an3Q_4_7"/>
      <w:bookmarkStart w:id="291" w:name="Tc_2F3gDtYxgUuYc_GjDoZ2rw_4_4"/>
      <w:bookmarkStart w:id="292" w:name="Tc_f_tE3xxmjkiIn2in5oie4w_4_2"/>
      <w:bookmarkStart w:id="293" w:name="Tc_C-Pe7R7XYEacvX9_Jbb3hA_3_22"/>
      <w:bookmarkStart w:id="294" w:name="Tc_O9ZzxkgCgECxR3wIXj11Jg_3_19"/>
      <w:bookmarkStart w:id="295" w:name="Tc_hMFNkUfm2U-VgvO9zJ_9Jw_3_16"/>
      <w:bookmarkStart w:id="296" w:name="Tc_X-7PJVS4ZkmnBShUtlMtEw_3_13"/>
      <w:bookmarkStart w:id="297" w:name="Tc_jf7oexx06UikXNmpSazDOQ_3_10"/>
      <w:bookmarkStart w:id="298" w:name="Tc_afKTe_zWIkiRiPaVwMQH6Q_3_7"/>
      <w:bookmarkStart w:id="299" w:name="Tc_xi1P8La95kOW0ppjweKnKg_3_2"/>
      <w:bookmarkStart w:id="300" w:name="Tc_ijMjXb--7kSdeYW9kPaRuA_2_19"/>
      <w:bookmarkStart w:id="301" w:name="Tc_laG1JP4bJ02B5Bs0ULqq2A_2_16"/>
      <w:bookmarkStart w:id="302" w:name="Tc_zNUS7shvlESX7sEknxFvlA_2_13"/>
      <w:bookmarkStart w:id="303" w:name="Tc_kHr2_5ZFyEmKZJ0NJmQ0uQ_2_7"/>
      <w:bookmarkStart w:id="304" w:name="Tc_2X7Q4wej1kS2Yi7Na5wpcA_1_13"/>
      <w:bookmarkStart w:id="305" w:name="_f6823afe_b4bf_4a34_93b9_9f3c1f348013"/>
      <w:bookmarkStart w:id="306" w:name="Tc_aHuQXhdWlU20gHXNcSG4WQ_10_22"/>
      <w:bookmarkStart w:id="307" w:name="Tc_x678ouS2YkG2tb9t9x1b5w_10_19"/>
      <w:bookmarkStart w:id="308" w:name="Tc_-goQtrmYcU6AtFALNVoDQw_10_16"/>
      <w:bookmarkStart w:id="309" w:name="Tc_xANwXiX5f0-Oug-xw3YLYA_10_13"/>
      <w:bookmarkStart w:id="310" w:name="Tc_9tDmcvN4DUapvtk_CrwrRg_10_10"/>
      <w:bookmarkStart w:id="311" w:name="Tc_L-MRUcMfzkWtPz3870qo4w_10_7"/>
      <w:bookmarkStart w:id="312" w:name="Tc_hE-yt5whAEKnyW_YSVW39Q_10_4"/>
      <w:bookmarkStart w:id="313" w:name="Tc_IuzmRIaavkWgfG2LT39Ntg_10_0"/>
      <w:bookmarkStart w:id="314" w:name="Tc_745qrQZNFUCyrUVh6dM6zQ_9_11"/>
      <w:bookmarkStart w:id="315" w:name="Tc_kqhgCqd_JEenuNFmB7D7Sw_9_8"/>
      <w:bookmarkStart w:id="316" w:name="Tc_Cj_vfl6BUk6geJXObQB1rw_9_5"/>
      <w:bookmarkStart w:id="317" w:name="Tc_WKpZWFG1lUqhdL-IP9bCbg_9_2"/>
      <w:bookmarkStart w:id="318" w:name="Tc_iDyLh2RRnEqkyp2QN4FGVg_9_0"/>
      <w:bookmarkStart w:id="319" w:name="Tc_xOxYAOwQEE2vu0KHa1DDhg_8_14"/>
      <w:bookmarkStart w:id="320" w:name="Tc_dvu1YL_FV0SPd9-V0e_mjQ_8_8"/>
      <w:bookmarkStart w:id="321" w:name="Tc_gYgv466g-EWavabE41CybA_8_5"/>
      <w:bookmarkStart w:id="322" w:name="Tc_ugi0XLTxG0qt68zyYd8zSw_8_2"/>
      <w:bookmarkStart w:id="323" w:name="Tc_2MB76F6vtEGoT4sLX-Tmew_8_0"/>
      <w:bookmarkStart w:id="324" w:name="Tc_RfdNE5a9AUe_N-s2ZTFhrQ_7_14"/>
      <w:bookmarkStart w:id="325" w:name="Tc_cGyZ_gQ3akiLWb6HP53bIw_7_11"/>
      <w:bookmarkStart w:id="326" w:name="Tc_uHpJXcBoo0G6tJ50UBRcxQ_7_5"/>
      <w:bookmarkStart w:id="327" w:name="Tc_MSxCFTgbnUK3N9FXpgZxxQ_7_2"/>
      <w:bookmarkStart w:id="328" w:name="Tc_MMqqMgGToE69U5VuiUGwpg_7_0"/>
      <w:bookmarkStart w:id="329" w:name="Tc_PEWdvsw1BUC2B4bDsZN-sA_6_23"/>
      <w:bookmarkStart w:id="330" w:name="Tc_oDIzIXTeMUmSz95Ya2JG-w_6_20"/>
      <w:bookmarkStart w:id="331" w:name="Tc_v_P6-DdvqUiFFY-in4e8Eg_6_17"/>
      <w:bookmarkStart w:id="332" w:name="Tc_44Mb4nofKk-tf-lgODHs8w_6_14"/>
      <w:bookmarkStart w:id="333" w:name="Tc_KlXbhVwPWUqT0NrDX6XRvQ_6_11"/>
      <w:bookmarkStart w:id="334" w:name="Tc_f8muKufDsEeeaPyzbvWc6w_6_8"/>
      <w:bookmarkStart w:id="335" w:name="Tc_rZ3A_cJNwUaRTpSFwSH3YA_6_5"/>
      <w:bookmarkStart w:id="336" w:name="Tc_HKocweaBDEWl2i2t127jrw_6_0"/>
      <w:bookmarkStart w:id="337" w:name="Tc_hLbbYkHm_UG1tU-OvYZBtw_5_22"/>
      <w:bookmarkStart w:id="338" w:name="Tc_AbR9VZsslE6ZHHIoVbNJgA_5_19"/>
      <w:bookmarkStart w:id="339" w:name="Tc_fp1z1NbjY0aoQm2AViVbwg_5_16"/>
      <w:bookmarkStart w:id="340" w:name="Tc_DY_p7gxuqEeyUYLg6JAM_Q_5_13"/>
      <w:bookmarkStart w:id="341" w:name="Tc_OriFxes7d0O0On5UVeAO_g_5_10"/>
      <w:bookmarkStart w:id="342" w:name="Tc_GXXniZZZN0iF_X-Oq993YQ_5_7"/>
      <w:bookmarkStart w:id="343" w:name="Tc_y7Q81cb-7EeS6IUnoNzuBw_5_4"/>
      <w:bookmarkStart w:id="344" w:name="Tc_DwFZhnNPNkiLPRTkTwAEMQ_5_0"/>
      <w:bookmarkStart w:id="345" w:name="Tc_L_4JD9xZzUa4QyPz16hsrQ_4_22"/>
      <w:bookmarkStart w:id="346" w:name="Tc_WpQGbrYcGkegKFBu1OFQdw_4_19"/>
      <w:bookmarkStart w:id="347" w:name="Tc_F5wvSNEoBU2P8oxI3AYedw_4_16"/>
      <w:bookmarkStart w:id="348" w:name="Tc_Ld61P2nZGUaCkSX7bwG-jQ_4_13"/>
      <w:bookmarkStart w:id="349" w:name="Tc_6VQ_usaG7kG3c3umSJmSmw_4_10"/>
      <w:bookmarkStart w:id="350" w:name="Tc_x64qoOXTskmyYEZWx3an3Q_4_7"/>
      <w:bookmarkStart w:id="351" w:name="Tc_2F3gDtYxgUuYc_GjDoZ2rw_4_4"/>
      <w:bookmarkStart w:id="352" w:name="Tc_f_tE3xxmjkiIn2in5oie4w_4_2"/>
      <w:bookmarkStart w:id="353" w:name="Tc_C-Pe7R7XYEacvX9_Jbb3hA_3_22"/>
      <w:bookmarkStart w:id="354" w:name="Tc_O9ZzxkgCgECxR3wIXj11Jg_3_19"/>
      <w:bookmarkStart w:id="355" w:name="Tc_hMFNkUfm2U-VgvO9zJ_9Jw_3_16"/>
      <w:bookmarkStart w:id="356" w:name="Tc_X-7PJVS4ZkmnBShUtlMtEw_3_13"/>
      <w:bookmarkStart w:id="357" w:name="Tc_jf7oexx06UikXNmpSazDOQ_3_10"/>
      <w:bookmarkStart w:id="358" w:name="Tc_afKTe_zWIkiRiPaVwMQH6Q_3_7"/>
      <w:bookmarkStart w:id="359" w:name="Tc_xi1P8La95kOW0ppjweKnKg_3_2"/>
      <w:bookmarkStart w:id="360" w:name="Tc_ijMjXb--7kSdeYW9kPaRuA_2_19"/>
      <w:bookmarkStart w:id="361" w:name="Tc_laG1JP4bJ02B5Bs0ULqq2A_2_16"/>
      <w:bookmarkStart w:id="362" w:name="Tc_zNUS7shvlESX7sEknxFvlA_2_13"/>
      <w:bookmarkStart w:id="363" w:name="Tc_kHr2_5ZFyEmKZJ0NJmQ0uQ_2_7"/>
      <w:bookmarkStart w:id="364" w:name="Tc_2X7Q4wej1kS2Yi7Na5wpcA_1_13"/>
      <w:bookmarkStart w:id="365" w:name="_f6823afe_b4bf_4a34_93b9_9f3c1f348013"/>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tbl>
      <w:tblPr>
        <w:tblW w:w="10707" w:type="dxa"/>
        <w:jc w:val="left"/>
        <w:tblInd w:w="0" w:type="dxa"/>
        <w:tblLayout w:type="fixed"/>
        <w:tblCellMar>
          <w:top w:w="0" w:type="dxa"/>
          <w:left w:w="0" w:type="dxa"/>
          <w:bottom w:w="0" w:type="dxa"/>
          <w:right w:w="0" w:type="dxa"/>
        </w:tblCellMar>
      </w:tblPr>
      <w:tblGrid>
        <w:gridCol w:w="1081"/>
        <w:gridCol w:w="326"/>
        <w:gridCol w:w="826"/>
        <w:gridCol w:w="326"/>
        <w:gridCol w:w="249"/>
        <w:gridCol w:w="442"/>
        <w:gridCol w:w="109"/>
        <w:gridCol w:w="196"/>
        <w:gridCol w:w="691"/>
        <w:gridCol w:w="326"/>
        <w:gridCol w:w="217"/>
        <w:gridCol w:w="834"/>
        <w:gridCol w:w="326"/>
        <w:gridCol w:w="298"/>
        <w:gridCol w:w="873"/>
        <w:gridCol w:w="326"/>
        <w:gridCol w:w="196"/>
        <w:gridCol w:w="615"/>
        <w:gridCol w:w="326"/>
        <w:gridCol w:w="249"/>
        <w:gridCol w:w="652"/>
        <w:gridCol w:w="326"/>
        <w:gridCol w:w="196"/>
        <w:gridCol w:w="7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86435" cy="175260"/>
                      <wp:effectExtent l="0" t="0" r="0" b="0"/>
                      <wp:wrapNone/>
                      <wp:docPr id="17" name="Frame1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8115" cy="175260"/>
                      <wp:effectExtent l="0" t="0" r="0" b="0"/>
                      <wp:wrapNone/>
                      <wp:docPr id="21" name="Frame2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80670" cy="175260"/>
                      <wp:effectExtent l="0" t="0" r="0" b="0"/>
                      <wp:wrapNone/>
                      <wp:docPr id="22" name="Frame2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785" cy="175260"/>
                      <wp:effectExtent l="0" t="0" r="0" b="0"/>
                      <wp:wrapNone/>
                      <wp:docPr id="25" name="Frame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7795" cy="175260"/>
                      <wp:effectExtent l="0" t="0" r="0" b="0"/>
                      <wp:wrapNone/>
                      <wp:docPr id="27" name="Frame2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9590" cy="175260"/>
                      <wp:effectExtent l="0" t="0" r="0" b="0"/>
                      <wp:wrapNone/>
                      <wp:docPr id="28" name="Frame28"/>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89230" cy="175260"/>
                      <wp:effectExtent l="0" t="0" r="0" b="0"/>
                      <wp:wrapNone/>
                      <wp:docPr id="30" name="Frame3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54355" cy="175260"/>
                      <wp:effectExtent l="0" t="0" r="0" b="0"/>
                      <wp:wrapNone/>
                      <wp:docPr id="31" name="Frame3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90525" cy="175260"/>
                      <wp:effectExtent l="0" t="0" r="0" b="0"/>
                      <wp:wrapNone/>
                      <wp:docPr id="34" name="Frame34"/>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4020" cy="175260"/>
                      <wp:effectExtent l="0" t="0" r="0" b="0"/>
                      <wp:wrapNone/>
                      <wp:docPr id="37" name="Frame3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45135" cy="175260"/>
                      <wp:effectExtent l="0" t="0" r="0" b="0"/>
                      <wp:wrapNone/>
                      <wp:docPr id="40" name="Frame4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826"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9" w:type="dxa"/>
            <w:tcBorders/>
            <w:shd w:fill="FFFFFF" w:val="clear"/>
            <w:vAlign w:val="center"/>
          </w:tcPr>
          <w:p>
            <w:pPr>
              <w:pStyle w:val="TableContents"/>
              <w:bidi w:val="0"/>
              <w:spacing w:before="0" w:after="0"/>
              <w:ind w:left="0" w:right="0" w:hanging="0"/>
              <w:jc w:val="left"/>
              <w:rPr/>
            </w:pPr>
            <w:r>
              <w:rPr/>
              <w:t>​</w:t>
            </w:r>
          </w:p>
        </w:tc>
        <w:tc>
          <w:tcPr>
            <w:tcW w:w="44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217" w:type="dxa"/>
            <w:tcBorders/>
            <w:shd w:fill="FFFFFF" w:val="clear"/>
            <w:vAlign w:val="center"/>
          </w:tcPr>
          <w:p>
            <w:pPr>
              <w:pStyle w:val="TableContents"/>
              <w:bidi w:val="0"/>
              <w:spacing w:before="0" w:after="0"/>
              <w:ind w:left="0" w:right="0" w:hanging="0"/>
              <w:jc w:val="left"/>
              <w:rPr/>
            </w:pPr>
            <w:r>
              <w:rPr/>
              <w:t>​</w:t>
            </w:r>
          </w:p>
        </w:tc>
        <w:tc>
          <w:tcPr>
            <w:tcW w:w="8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0"/>
              <w:ind w:left="0" w:right="0" w:hanging="0"/>
              <w:jc w:val="left"/>
              <w:rPr/>
            </w:pPr>
            <w:r>
              <w:rPr/>
              <w:t>    </w:t>
            </w:r>
          </w:p>
        </w:tc>
        <w:tc>
          <w:tcPr>
            <w:tcW w:w="811" w:type="dxa"/>
            <w:gridSpan w:val="2"/>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w:t>
            </w:r>
          </w:p>
        </w:tc>
        <w:tc>
          <w:tcPr>
            <w:tcW w:w="652"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w:t>
            </w:r>
          </w:p>
        </w:tc>
        <w:tc>
          <w:tcPr>
            <w:tcW w:w="701" w:type="dxa"/>
            <w:tcBorders/>
            <w:shd w:fill="FFFFFF" w:val="clear"/>
            <w:vAlign w:val="center"/>
          </w:tcPr>
          <w:p>
            <w:pPr>
              <w:pStyle w:val="TableContents"/>
              <w:bidi w:val="0"/>
              <w:spacing w:before="0" w:after="0"/>
              <w:ind w:left="0" w:right="0" w:hanging="0"/>
              <w:jc w:val="center"/>
              <w:rPr/>
            </w:pPr>
            <w:r>
              <w:rPr/>
              <w:t>​</w:t>
            </w:r>
          </w:p>
        </w:tc>
      </w:tr>
      <w:tr>
        <w:trPr/>
        <w:tc>
          <w:tcPr>
            <w:tcW w:w="108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8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9" w:type="dxa"/>
            <w:tcBorders/>
            <w:shd w:fill="FFFFFF" w:val="clear"/>
            <w:vAlign w:val="center"/>
          </w:tcPr>
          <w:p>
            <w:pPr>
              <w:pStyle w:val="TableContents"/>
              <w:bidi w:val="0"/>
              <w:spacing w:before="0" w:after="0"/>
              <w:ind w:left="0" w:right="0" w:hanging="0"/>
              <w:jc w:val="left"/>
              <w:rPr/>
            </w:pPr>
            <w:r>
              <w:rPr/>
              <w:t>​</w:t>
            </w:r>
          </w:p>
        </w:tc>
        <w:tc>
          <w:tcPr>
            <w:tcW w:w="442"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8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8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FFFFFF" w:val="clear"/>
            <w:vAlign w:val="center"/>
          </w:tcPr>
          <w:p>
            <w:pPr>
              <w:pStyle w:val="TableContents"/>
              <w:bidi w:val="0"/>
              <w:spacing w:before="0" w:after="0"/>
              <w:ind w:left="0" w:right="0" w:hanging="0"/>
              <w:jc w:val="left"/>
              <w:rPr/>
            </w:pPr>
            <w:r>
              <w:rPr/>
              <w:t>​</w:t>
            </w:r>
          </w:p>
        </w:tc>
        <w:tc>
          <w:tcPr>
            <w:tcW w:w="81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FFFFFF" w:val="clear"/>
            <w:vAlign w:val="center"/>
          </w:tcPr>
          <w:p>
            <w:pPr>
              <w:pStyle w:val="TableContents"/>
              <w:bidi w:val="0"/>
              <w:spacing w:before="0" w:after="0"/>
              <w:ind w:left="0" w:right="0" w:hanging="0"/>
              <w:jc w:val="left"/>
              <w:rPr/>
            </w:pPr>
            <w:r>
              <w:rPr/>
              <w:t>​</w:t>
            </w:r>
          </w:p>
        </w:tc>
        <w:tc>
          <w:tcPr>
            <w:tcW w:w="90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701" w:type="dxa"/>
            <w:tcBorders/>
            <w:shd w:fill="FFFFFF" w:val="clear"/>
            <w:vAlign w:val="center"/>
          </w:tcPr>
          <w:p>
            <w:pPr>
              <w:pStyle w:val="TableContents"/>
              <w:bidi w:val="0"/>
              <w:spacing w:before="0" w:after="0"/>
              <w:ind w:left="0" w:right="0" w:hanging="0"/>
              <w:jc w:val="center"/>
              <w:rPr/>
            </w:pPr>
            <w:r>
              <w:rPr/>
              <w:t>​</w:t>
            </w:r>
          </w:p>
        </w:tc>
      </w:tr>
      <w:tr>
        <w:trPr/>
        <w:tc>
          <w:tcPr>
            <w:tcW w:w="108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843"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shd w:fill="FFFFFF" w:val="clear"/>
            <w:vAlign w:val="center"/>
          </w:tcPr>
          <w:p>
            <w:pPr>
              <w:pStyle w:val="TableContents"/>
              <w:bidi w:val="0"/>
              <w:spacing w:before="0" w:after="0"/>
              <w:ind w:left="0" w:right="0" w:hanging="0"/>
              <w:jc w:val="left"/>
              <w:rPr/>
            </w:pPr>
            <w:r>
              <w:rPr/>
              <w:t>​</w:t>
            </w:r>
          </w:p>
        </w:tc>
        <w:tc>
          <w:tcPr>
            <w:tcW w:w="8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w:t>
            </w:r>
          </w:p>
        </w:tc>
        <w:tc>
          <w:tcPr>
            <w:tcW w:w="326" w:type="dxa"/>
            <w:tcBorders/>
            <w:shd w:fill="FFFFFF" w:val="clear"/>
            <w:vAlign w:val="center"/>
          </w:tcPr>
          <w:p>
            <w:pPr>
              <w:pStyle w:val="TableContents"/>
              <w:bidi w:val="0"/>
              <w:spacing w:before="0" w:after="0"/>
              <w:ind w:left="0" w:right="0" w:hanging="0"/>
              <w:jc w:val="left"/>
              <w:rPr/>
            </w:pPr>
            <w:r>
              <w:rPr/>
              <w:t>​</w:t>
            </w:r>
          </w:p>
        </w:tc>
        <w:tc>
          <w:tcPr>
            <w:tcW w:w="10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0"/>
              <w:ind w:left="0" w:right="0" w:hanging="0"/>
              <w:jc w:val="left"/>
              <w:rPr/>
            </w:pPr>
            <w:r>
              <w:rPr/>
              <w:t>​</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FFFFFF" w:val="clear"/>
            <w:vAlign w:val="center"/>
          </w:tcPr>
          <w:p>
            <w:pPr>
              <w:pStyle w:val="TableContents"/>
              <w:bidi w:val="0"/>
              <w:spacing w:before="0" w:after="0"/>
              <w:ind w:left="0" w:right="0" w:hanging="0"/>
              <w:jc w:val="left"/>
              <w:rPr/>
            </w:pPr>
            <w:r>
              <w:rPr/>
              <w:t>​</w:t>
            </w:r>
          </w:p>
        </w:tc>
        <w:tc>
          <w:tcPr>
            <w:tcW w:w="81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26" w:type="dxa"/>
            <w:tcBorders/>
            <w:shd w:fill="FFFFFF" w:val="clear"/>
            <w:vAlign w:val="center"/>
          </w:tcPr>
          <w:p>
            <w:pPr>
              <w:pStyle w:val="TableContents"/>
              <w:bidi w:val="0"/>
              <w:spacing w:before="0" w:after="0"/>
              <w:ind w:left="0" w:right="0" w:hanging="0"/>
              <w:jc w:val="left"/>
              <w:rPr/>
            </w:pPr>
            <w:r>
              <w:rPr/>
              <w:t>​</w:t>
            </w:r>
          </w:p>
        </w:tc>
        <w:tc>
          <w:tcPr>
            <w:tcW w:w="90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FFFFFF" w:val="clear"/>
            <w:vAlign w:val="center"/>
          </w:tcPr>
          <w:p>
            <w:pPr>
              <w:pStyle w:val="TableContents"/>
              <w:bidi w:val="0"/>
              <w:spacing w:before="0" w:after="0"/>
              <w:ind w:left="0" w:right="0" w:hanging="0"/>
              <w:jc w:val="left"/>
              <w:rPr/>
            </w:pPr>
            <w:r>
              <w:rPr/>
              <w:t>​</w:t>
            </w:r>
          </w:p>
        </w:tc>
        <w:tc>
          <w:tcPr>
            <w:tcW w:w="89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FFFFFF" w:val="clear"/>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FFFFFF" w:val="clear"/>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FFFFFF" w:val="clear"/>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FFFFFF" w:val="clear"/>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FFFFFF" w:val="clear"/>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shd w:fill="FFFFFF" w:val="cle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FFFFFF" w:val="clear"/>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4,179,631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470,737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(455,853)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4,182,617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470,996</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(458,365)</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10,574</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tcMar>
              <w:bottom w:w="28" w:type="dxa"/>
            </w:tcMar>
            <w:vAlign w:val="center"/>
          </w:tcPr>
          <w:p>
            <w:pPr>
              <w:pStyle w:val="TableContents"/>
              <w:bidi w:val="0"/>
              <w:spacing w:before="0" w:after="0"/>
              <w:ind w:left="0" w:right="55" w:hanging="0"/>
              <w:jc w:val="right"/>
              <w:rPr>
                <w:rFonts w:ascii="Times New Roman;Times;serif" w:hAnsi="Times New Roman;Times;serif"/>
                <w:sz w:val="16"/>
              </w:rPr>
            </w:pPr>
            <w:r>
              <w:rPr>
                <w:rFonts w:ascii="Times New Roman;Times;serif" w:hAnsi="Times New Roman;Times;serif"/>
                <w:sz w:val="16"/>
              </w:rPr>
              <w:t>18,765</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(DEFICIT)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66" w:name="Tc_Z1WnrIgzVkC0LLyZOWZIlw_11_22"/>
      <w:bookmarkStart w:id="367" w:name="Tc_uhpZJZSh30atP33B26eCww_11_19"/>
      <w:bookmarkStart w:id="368" w:name="Tc_QjLJTfg8S0mb_dJrZyBu6A_11_16"/>
      <w:bookmarkStart w:id="369" w:name="Tc_yL1ep0_C7UWVeYhG7yt9RQ_11_13"/>
      <w:bookmarkStart w:id="370" w:name="Tc_Q6-n_FG5xkSrUF2Wq6OLvA_11_10"/>
      <w:bookmarkStart w:id="371" w:name="Tc_Z8eNAjxkhkK0d_A1W3KkUQ_11_7"/>
      <w:bookmarkStart w:id="372" w:name="Tc_-x7rpBOWdEyFWjWGInVDzA_11_4"/>
      <w:bookmarkStart w:id="373" w:name="Tc_cUXV0t0m4EmPGfB9oFq-7w_11_0"/>
      <w:bookmarkStart w:id="374" w:name="Tc_LMa6eh-TZUisYiHP6V_ZSA_10_11"/>
      <w:bookmarkStart w:id="375" w:name="Tc_z2Wt7MrHakeVT5fLm4G_lg_10_8"/>
      <w:bookmarkStart w:id="376" w:name="Tc_jDZnKY3o50eBPxZzEg0W8A_10_5"/>
      <w:bookmarkStart w:id="377" w:name="Tc_ZcDreJLXnU-hqnGMx8c49Q_10_2"/>
      <w:bookmarkStart w:id="378" w:name="Tc_CiZ32-l2CUehHnJZiUqOxA_10_0"/>
      <w:bookmarkStart w:id="379" w:name="Tc_fCsC_G2xh0ySY7AMVGsI0w_9_14"/>
      <w:bookmarkStart w:id="380" w:name="Tc_FmKTrPUN6ka6YD4WIBePLg_9_8"/>
      <w:bookmarkStart w:id="381" w:name="Tc_j7YFX0rjLEGqDvSit1e2lQ_9_5"/>
      <w:bookmarkStart w:id="382" w:name="Tc_aeKlgZNmRk-HJN06jSOwEw_9_2"/>
      <w:bookmarkStart w:id="383" w:name="Tc_J_aOI35ls0i-Go90dWH2rA_9_0"/>
      <w:bookmarkStart w:id="384" w:name="Tc_eo6Si_RdF02-IVN1ijw4Bg_8_14"/>
      <w:bookmarkStart w:id="385" w:name="Tc_dGI6Hl1_jkS3h1AL32ec0w_8_11"/>
      <w:bookmarkStart w:id="386" w:name="Tc_G7FsMumQ30WZOh81PBln3A_8_5"/>
      <w:bookmarkStart w:id="387" w:name="Tc_FaGY3hFMME2rn0Fv72O3fg_8_2"/>
      <w:bookmarkStart w:id="388" w:name="Tc_a8gHnYJLIUm3n5QHjEUZ0w_8_0"/>
      <w:bookmarkStart w:id="389" w:name="Tc_CLiVu-j5Hki3LrA8A4FrBQ_7_20"/>
      <w:bookmarkStart w:id="390" w:name="Tc_T4ML96W9t0e1TvT-x_AALw_7_14"/>
      <w:bookmarkStart w:id="391" w:name="Tc_JI9R95Ot7UKHaADi6XgZyQ_7_11"/>
      <w:bookmarkStart w:id="392" w:name="Tc_8rhUjYfGlUyj8Et-M9sW9A_7_5"/>
      <w:bookmarkStart w:id="393" w:name="Tc_V1bDWXJhq0O90_80HyNAOQ_7_2"/>
      <w:bookmarkStart w:id="394" w:name="Tc_kv1-dYgQWkOpUoOpdqe2qg_7_0"/>
      <w:bookmarkStart w:id="395" w:name="Tc_Ji-cIG2DykqaX2lL0BSpNA_6_23"/>
      <w:bookmarkStart w:id="396" w:name="Tc_fMoNdQrfREuDfHdvveVJOQ_6_20"/>
      <w:bookmarkStart w:id="397" w:name="Tc_UdaeAibvEk2dxx0DdPYhsQ_6_17"/>
      <w:bookmarkStart w:id="398" w:name="Tc_vGAsrgyRyEuCybaX2Es-iw_6_16"/>
      <w:bookmarkStart w:id="399" w:name="Tc_KatvvocrFEGP2QAk5J4jlg_6_14"/>
      <w:bookmarkStart w:id="400" w:name="Tc_J2GHXzK-kUeUgyCwrlKa3w_6_11"/>
      <w:bookmarkStart w:id="401" w:name="Tc_lopPnHnX0kK36v9fqCuQpg_6_8"/>
      <w:bookmarkStart w:id="402" w:name="Tc_CnfVZf7B40SS3_tuqhf-mQ_6_5"/>
      <w:bookmarkStart w:id="403" w:name="Tc_54TyBPyhEkuKwNuj3Whntw_6_0"/>
      <w:bookmarkStart w:id="404" w:name="Tc_9vUJnxtVSkuYkDRl2DWN7w_5_22"/>
      <w:bookmarkStart w:id="405" w:name="Tc_UEGCuHiLrEewpA4pyOqD7A_5_19"/>
      <w:bookmarkStart w:id="406" w:name="Tc_JaRCb0NbPEO6OSMl0cJbkw_5_16"/>
      <w:bookmarkStart w:id="407" w:name="Tc_3njSq1yJIkaneeVGnwSvUw_5_13"/>
      <w:bookmarkStart w:id="408" w:name="Tc_JiPB_umwI0quki1-uxNuhw_5_10"/>
      <w:bookmarkStart w:id="409" w:name="Tc_vSNmorEnVU2vQMjLgk8e2Q_5_7"/>
      <w:bookmarkStart w:id="410" w:name="Tc_HjXU1svzaEC8QIUmALtG3g_5_4"/>
      <w:bookmarkStart w:id="411" w:name="Tc_zoijRZ10xky2rtVsISNkjw_5_0"/>
      <w:bookmarkStart w:id="412" w:name="Tc_f_pA-XYV5kOEesWljcf0jA_4_22"/>
      <w:bookmarkStart w:id="413" w:name="Tc_qypPmK4UJkq2gvw6_h8puQ_4_19"/>
      <w:bookmarkStart w:id="414" w:name="Tc_yueBRSI5GUC5pW0GyKApvw_4_16"/>
      <w:bookmarkStart w:id="415" w:name="Tc_7MtxJXLn3kuplDsTmyEiaA_4_13"/>
      <w:bookmarkStart w:id="416" w:name="Tc_I7YP7kDd1k2M6G6STZxs8A_4_10"/>
      <w:bookmarkStart w:id="417" w:name="Tc__NgWHu6_vUi7igm-iZ-bqA_4_7"/>
      <w:bookmarkStart w:id="418" w:name="Tc_a4faLFA1OkmX0inlUV451A_4_4"/>
      <w:bookmarkStart w:id="419" w:name="Tc_j9rKNAvO3UaI9W_hW31Dag_4_2"/>
      <w:bookmarkStart w:id="420" w:name="Tc_BOgNwejM3EWpxnWZPdQqOw_3_22"/>
      <w:bookmarkStart w:id="421" w:name="Tc_uGAXxAuWo0-oXf9UJSMzyQ_3_19"/>
      <w:bookmarkStart w:id="422" w:name="Tc_h3flYA2ygEaFTVV2TEYWGQ_3_16"/>
      <w:bookmarkStart w:id="423" w:name="Tc_7gU9YZXHJ0ijYaZTtdG_dA_3_13"/>
      <w:bookmarkStart w:id="424" w:name="Tc_uO6sw5QsGEeIXswre-ZFJw_3_10"/>
      <w:bookmarkStart w:id="425" w:name="Tc_G0T_c_EDCUOPF4kzvOH_-g_3_7"/>
      <w:bookmarkStart w:id="426" w:name="Tc_uNEJjDg61UmBjwy40l6JRg_3_2"/>
      <w:bookmarkStart w:id="427" w:name="Tc_Jfdp6RJ1p0O8n96QnYarpQ_2_19"/>
      <w:bookmarkStart w:id="428" w:name="Tc_fqPka138O0qBDVGUvYJ8jA_2_16"/>
      <w:bookmarkStart w:id="429" w:name="Tc_uCEslLICr0Kar1_ydzQJkA_2_13"/>
      <w:bookmarkStart w:id="430" w:name="Tc_kYL7jcoMbEOlrrMwnhBpbQ_2_7"/>
      <w:bookmarkStart w:id="431" w:name="Tc_bcbgZ8R-m0GbpjddWrE3Og_1_13"/>
      <w:bookmarkStart w:id="432" w:name="_f6bcd1b7_993e_43a8_ada2_6899ce54a447"/>
      <w:bookmarkStart w:id="433" w:name="Tc_Z1WnrIgzVkC0LLyZOWZIlw_11_22"/>
      <w:bookmarkStart w:id="434" w:name="Tc_uhpZJZSh30atP33B26eCww_11_19"/>
      <w:bookmarkStart w:id="435" w:name="Tc_QjLJTfg8S0mb_dJrZyBu6A_11_16"/>
      <w:bookmarkStart w:id="436" w:name="Tc_yL1ep0_C7UWVeYhG7yt9RQ_11_13"/>
      <w:bookmarkStart w:id="437" w:name="Tc_Q6-n_FG5xkSrUF2Wq6OLvA_11_10"/>
      <w:bookmarkStart w:id="438" w:name="Tc_Z8eNAjxkhkK0d_A1W3KkUQ_11_7"/>
      <w:bookmarkStart w:id="439" w:name="Tc_-x7rpBOWdEyFWjWGInVDzA_11_4"/>
      <w:bookmarkStart w:id="440" w:name="Tc_cUXV0t0m4EmPGfB9oFq-7w_11_0"/>
      <w:bookmarkStart w:id="441" w:name="Tc_LMa6eh-TZUisYiHP6V_ZSA_10_11"/>
      <w:bookmarkStart w:id="442" w:name="Tc_z2Wt7MrHakeVT5fLm4G_lg_10_8"/>
      <w:bookmarkStart w:id="443" w:name="Tc_jDZnKY3o50eBPxZzEg0W8A_10_5"/>
      <w:bookmarkStart w:id="444" w:name="Tc_ZcDreJLXnU-hqnGMx8c49Q_10_2"/>
      <w:bookmarkStart w:id="445" w:name="Tc_CiZ32-l2CUehHnJZiUqOxA_10_0"/>
      <w:bookmarkStart w:id="446" w:name="Tc_fCsC_G2xh0ySY7AMVGsI0w_9_14"/>
      <w:bookmarkStart w:id="447" w:name="Tc_FmKTrPUN6ka6YD4WIBePLg_9_8"/>
      <w:bookmarkStart w:id="448" w:name="Tc_j7YFX0rjLEGqDvSit1e2lQ_9_5"/>
      <w:bookmarkStart w:id="449" w:name="Tc_aeKlgZNmRk-HJN06jSOwEw_9_2"/>
      <w:bookmarkStart w:id="450" w:name="Tc_J_aOI35ls0i-Go90dWH2rA_9_0"/>
      <w:bookmarkStart w:id="451" w:name="Tc_eo6Si_RdF02-IVN1ijw4Bg_8_14"/>
      <w:bookmarkStart w:id="452" w:name="Tc_dGI6Hl1_jkS3h1AL32ec0w_8_11"/>
      <w:bookmarkStart w:id="453" w:name="Tc_G7FsMumQ30WZOh81PBln3A_8_5"/>
      <w:bookmarkStart w:id="454" w:name="Tc_FaGY3hFMME2rn0Fv72O3fg_8_2"/>
      <w:bookmarkStart w:id="455" w:name="Tc_a8gHnYJLIUm3n5QHjEUZ0w_8_0"/>
      <w:bookmarkStart w:id="456" w:name="Tc_CLiVu-j5Hki3LrA8A4FrBQ_7_20"/>
      <w:bookmarkStart w:id="457" w:name="Tc_T4ML96W9t0e1TvT-x_AALw_7_14"/>
      <w:bookmarkStart w:id="458" w:name="Tc_JI9R95Ot7UKHaADi6XgZyQ_7_11"/>
      <w:bookmarkStart w:id="459" w:name="Tc_8rhUjYfGlUyj8Et-M9sW9A_7_5"/>
      <w:bookmarkStart w:id="460" w:name="Tc_V1bDWXJhq0O90_80HyNAOQ_7_2"/>
      <w:bookmarkStart w:id="461" w:name="Tc_kv1-dYgQWkOpUoOpdqe2qg_7_0"/>
      <w:bookmarkStart w:id="462" w:name="Tc_Ji-cIG2DykqaX2lL0BSpNA_6_23"/>
      <w:bookmarkStart w:id="463" w:name="Tc_fMoNdQrfREuDfHdvveVJOQ_6_20"/>
      <w:bookmarkStart w:id="464" w:name="Tc_UdaeAibvEk2dxx0DdPYhsQ_6_17"/>
      <w:bookmarkStart w:id="465" w:name="Tc_vGAsrgyRyEuCybaX2Es-iw_6_16"/>
      <w:bookmarkStart w:id="466" w:name="Tc_KatvvocrFEGP2QAk5J4jlg_6_14"/>
      <w:bookmarkStart w:id="467" w:name="Tc_J2GHXzK-kUeUgyCwrlKa3w_6_11"/>
      <w:bookmarkStart w:id="468" w:name="Tc_lopPnHnX0kK36v9fqCuQpg_6_8"/>
      <w:bookmarkStart w:id="469" w:name="Tc_CnfVZf7B40SS3_tuqhf-mQ_6_5"/>
      <w:bookmarkStart w:id="470" w:name="Tc_54TyBPyhEkuKwNuj3Whntw_6_0"/>
      <w:bookmarkStart w:id="471" w:name="Tc_9vUJnxtVSkuYkDRl2DWN7w_5_22"/>
      <w:bookmarkStart w:id="472" w:name="Tc_UEGCuHiLrEewpA4pyOqD7A_5_19"/>
      <w:bookmarkStart w:id="473" w:name="Tc_JaRCb0NbPEO6OSMl0cJbkw_5_16"/>
      <w:bookmarkStart w:id="474" w:name="Tc_3njSq1yJIkaneeVGnwSvUw_5_13"/>
      <w:bookmarkStart w:id="475" w:name="Tc_JiPB_umwI0quki1-uxNuhw_5_10"/>
      <w:bookmarkStart w:id="476" w:name="Tc_vSNmorEnVU2vQMjLgk8e2Q_5_7"/>
      <w:bookmarkStart w:id="477" w:name="Tc_HjXU1svzaEC8QIUmALtG3g_5_4"/>
      <w:bookmarkStart w:id="478" w:name="Tc_zoijRZ10xky2rtVsISNkjw_5_0"/>
      <w:bookmarkStart w:id="479" w:name="Tc_f_pA-XYV5kOEesWljcf0jA_4_22"/>
      <w:bookmarkStart w:id="480" w:name="Tc_qypPmK4UJkq2gvw6_h8puQ_4_19"/>
      <w:bookmarkStart w:id="481" w:name="Tc_yueBRSI5GUC5pW0GyKApvw_4_16"/>
      <w:bookmarkStart w:id="482" w:name="Tc_7MtxJXLn3kuplDsTmyEiaA_4_13"/>
      <w:bookmarkStart w:id="483" w:name="Tc_I7YP7kDd1k2M6G6STZxs8A_4_10"/>
      <w:bookmarkStart w:id="484" w:name="Tc__NgWHu6_vUi7igm-iZ-bqA_4_7"/>
      <w:bookmarkStart w:id="485" w:name="Tc_a4faLFA1OkmX0inlUV451A_4_4"/>
      <w:bookmarkStart w:id="486" w:name="Tc_j9rKNAvO3UaI9W_hW31Dag_4_2"/>
      <w:bookmarkStart w:id="487" w:name="Tc_BOgNwejM3EWpxnWZPdQqOw_3_22"/>
      <w:bookmarkStart w:id="488" w:name="Tc_uGAXxAuWo0-oXf9UJSMzyQ_3_19"/>
      <w:bookmarkStart w:id="489" w:name="Tc_h3flYA2ygEaFTVV2TEYWGQ_3_16"/>
      <w:bookmarkStart w:id="490" w:name="Tc_7gU9YZXHJ0ijYaZTtdG_dA_3_13"/>
      <w:bookmarkStart w:id="491" w:name="Tc_uO6sw5QsGEeIXswre-ZFJw_3_10"/>
      <w:bookmarkStart w:id="492" w:name="Tc_G0T_c_EDCUOPF4kzvOH_-g_3_7"/>
      <w:bookmarkStart w:id="493" w:name="Tc_uNEJjDg61UmBjwy40l6JRg_3_2"/>
      <w:bookmarkStart w:id="494" w:name="Tc_Jfdp6RJ1p0O8n96QnYarpQ_2_19"/>
      <w:bookmarkStart w:id="495" w:name="Tc_fqPka138O0qBDVGUvYJ8jA_2_16"/>
      <w:bookmarkStart w:id="496" w:name="Tc_uCEslLICr0Kar1_ydzQJkA_2_13"/>
      <w:bookmarkStart w:id="497" w:name="Tc_kYL7jcoMbEOlrrMwnhBpbQ_2_7"/>
      <w:bookmarkStart w:id="498" w:name="Tc_bcbgZ8R-m0GbpjddWrE3Og_1_13"/>
      <w:bookmarkStart w:id="499" w:name="_f6bcd1b7_993e_43a8_ada2_6899ce54a447"/>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tbl>
      <w:tblPr>
        <w:tblW w:w="11359" w:type="dxa"/>
        <w:jc w:val="left"/>
        <w:tblInd w:w="0" w:type="dxa"/>
        <w:tblLayout w:type="fixed"/>
        <w:tblCellMar>
          <w:top w:w="0" w:type="dxa"/>
          <w:left w:w="0" w:type="dxa"/>
          <w:bottom w:w="0" w:type="dxa"/>
          <w:right w:w="0" w:type="dxa"/>
        </w:tblCellMar>
      </w:tblPr>
      <w:tblGrid>
        <w:gridCol w:w="1516"/>
        <w:gridCol w:w="326"/>
        <w:gridCol w:w="826"/>
        <w:gridCol w:w="326"/>
        <w:gridCol w:w="249"/>
        <w:gridCol w:w="442"/>
        <w:gridCol w:w="326"/>
        <w:gridCol w:w="196"/>
        <w:gridCol w:w="691"/>
        <w:gridCol w:w="326"/>
        <w:gridCol w:w="217"/>
        <w:gridCol w:w="834"/>
        <w:gridCol w:w="326"/>
        <w:gridCol w:w="362"/>
        <w:gridCol w:w="809"/>
        <w:gridCol w:w="326"/>
        <w:gridCol w:w="196"/>
        <w:gridCol w:w="615"/>
        <w:gridCol w:w="326"/>
        <w:gridCol w:w="249"/>
        <w:gridCol w:w="652"/>
        <w:gridCol w:w="326"/>
        <w:gridCol w:w="196"/>
        <w:gridCol w:w="70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62660" cy="175260"/>
                      <wp:effectExtent l="0" t="0" r="0" b="0"/>
                      <wp:wrapNone/>
                      <wp:docPr id="41" name="Frame4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4510" cy="175260"/>
                      <wp:effectExtent l="0" t="0" r="0" b="0"/>
                      <wp:wrapNone/>
                      <wp:docPr id="43" name="Frame4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8115" cy="175260"/>
                      <wp:effectExtent l="0" t="0" r="0" b="0"/>
                      <wp:wrapNone/>
                      <wp:docPr id="45" name="Frame4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0670" cy="175260"/>
                      <wp:effectExtent l="0" t="0" r="0" b="0"/>
                      <wp:wrapNone/>
                      <wp:docPr id="46" name="Frame4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8785" cy="175260"/>
                      <wp:effectExtent l="0" t="0" r="0" b="0"/>
                      <wp:wrapNone/>
                      <wp:docPr id="49" name="Frame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7795" cy="175260"/>
                      <wp:effectExtent l="0" t="0" r="0" b="0"/>
                      <wp:wrapNone/>
                      <wp:docPr id="51" name="Frame5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9590" cy="175260"/>
                      <wp:effectExtent l="0" t="0" r="0" b="0"/>
                      <wp:wrapNone/>
                      <wp:docPr id="52" name="Frame5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29870" cy="175260"/>
                      <wp:effectExtent l="0" t="0" r="0" b="0"/>
                      <wp:wrapNone/>
                      <wp:docPr id="54" name="Frame5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13715" cy="175260"/>
                      <wp:effectExtent l="0" t="0" r="0" b="0"/>
                      <wp:wrapNone/>
                      <wp:docPr id="55" name="Frame55"/>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90525" cy="175260"/>
                      <wp:effectExtent l="0" t="0" r="0" b="0"/>
                      <wp:wrapNone/>
                      <wp:docPr id="58" name="Frame5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8115" cy="175260"/>
                      <wp:effectExtent l="0" t="0" r="0" b="0"/>
                      <wp:wrapNone/>
                      <wp:docPr id="60" name="Frame6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14020" cy="175260"/>
                      <wp:effectExtent l="0" t="0" r="0" b="0"/>
                      <wp:wrapNone/>
                      <wp:docPr id="61" name="Frame61"/>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45135" cy="175260"/>
                      <wp:effectExtent l="0" t="0" r="0" b="0"/>
                      <wp:wrapNone/>
                      <wp:docPr id="64" name="Frame64"/>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9" w:type="dxa"/>
            <w:tcBorders/>
            <w:shd w:fill="FFFFFF" w:val="clear"/>
            <w:vAlign w:val="center"/>
          </w:tcPr>
          <w:p>
            <w:pPr>
              <w:pStyle w:val="TableContents"/>
              <w:bidi w:val="0"/>
              <w:spacing w:before="0" w:after="0"/>
              <w:ind w:left="0" w:right="0" w:hanging="0"/>
              <w:jc w:val="left"/>
              <w:rPr/>
            </w:pPr>
            <w:r>
              <w:rPr/>
              <w:t>​</w:t>
            </w:r>
          </w:p>
        </w:tc>
        <w:tc>
          <w:tcPr>
            <w:tcW w:w="442"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w:t>
            </w:r>
          </w:p>
        </w:tc>
        <w:tc>
          <w:tcPr>
            <w:tcW w:w="69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217" w:type="dxa"/>
            <w:tcBorders/>
            <w:shd w:fill="FFFFFF" w:val="clear"/>
            <w:vAlign w:val="center"/>
          </w:tcPr>
          <w:p>
            <w:pPr>
              <w:pStyle w:val="TableContents"/>
              <w:bidi w:val="0"/>
              <w:spacing w:before="0" w:after="0"/>
              <w:ind w:left="0" w:right="0" w:hanging="0"/>
              <w:jc w:val="left"/>
              <w:rPr/>
            </w:pPr>
            <w:r>
              <w:rPr/>
              <w:t>​</w:t>
            </w:r>
          </w:p>
        </w:tc>
        <w:tc>
          <w:tcPr>
            <w:tcW w:w="8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0"/>
              <w:ind w:left="0" w:right="0" w:hanging="0"/>
              <w:jc w:val="left"/>
              <w:rPr/>
            </w:pPr>
            <w:r>
              <w:rPr/>
              <w:t>    </w:t>
            </w:r>
          </w:p>
        </w:tc>
        <w:tc>
          <w:tcPr>
            <w:tcW w:w="811" w:type="dxa"/>
            <w:gridSpan w:val="2"/>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w:t>
            </w:r>
          </w:p>
        </w:tc>
        <w:tc>
          <w:tcPr>
            <w:tcW w:w="652"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w:t>
            </w:r>
          </w:p>
        </w:tc>
        <w:tc>
          <w:tcPr>
            <w:tcW w:w="701" w:type="dxa"/>
            <w:tcBorders/>
            <w:shd w:fill="FFFFFF" w:val="clear"/>
            <w:vAlign w:val="center"/>
          </w:tcPr>
          <w:p>
            <w:pPr>
              <w:pStyle w:val="TableContents"/>
              <w:bidi w:val="0"/>
              <w:spacing w:before="0" w:after="0"/>
              <w:ind w:left="0" w:right="0" w:hanging="0"/>
              <w:jc w:val="center"/>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49" w:type="dxa"/>
            <w:tcBorders/>
            <w:shd w:fill="FFFFFF" w:val="clear"/>
            <w:vAlign w:val="center"/>
          </w:tcPr>
          <w:p>
            <w:pPr>
              <w:pStyle w:val="TableContents"/>
              <w:bidi w:val="0"/>
              <w:spacing w:before="0" w:after="0"/>
              <w:ind w:left="0" w:right="0" w:hanging="0"/>
              <w:jc w:val="left"/>
              <w:rPr/>
            </w:pPr>
            <w:r>
              <w:rPr/>
              <w:t>​</w:t>
            </w:r>
          </w:p>
        </w:tc>
        <w:tc>
          <w:tcPr>
            <w:tcW w:w="442"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8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8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FFFFFF" w:val="clear"/>
            <w:vAlign w:val="center"/>
          </w:tcPr>
          <w:p>
            <w:pPr>
              <w:pStyle w:val="TableContents"/>
              <w:bidi w:val="0"/>
              <w:spacing w:before="0" w:after="0"/>
              <w:ind w:left="0" w:right="0" w:hanging="0"/>
              <w:jc w:val="left"/>
              <w:rPr/>
            </w:pPr>
            <w:r>
              <w:rPr/>
              <w:t>​</w:t>
            </w:r>
          </w:p>
        </w:tc>
        <w:tc>
          <w:tcPr>
            <w:tcW w:w="81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FFFFFF" w:val="clear"/>
            <w:vAlign w:val="center"/>
          </w:tcPr>
          <w:p>
            <w:pPr>
              <w:pStyle w:val="TableContents"/>
              <w:bidi w:val="0"/>
              <w:spacing w:before="0" w:after="0"/>
              <w:ind w:left="0" w:right="0" w:hanging="0"/>
              <w:jc w:val="left"/>
              <w:rPr/>
            </w:pPr>
            <w:r>
              <w:rPr/>
              <w:t>​</w:t>
            </w:r>
          </w:p>
        </w:tc>
        <w:tc>
          <w:tcPr>
            <w:tcW w:w="90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701" w:type="dxa"/>
            <w:tcBorders/>
            <w:shd w:fill="FFFFFF" w:val="clear"/>
            <w:vAlign w:val="center"/>
          </w:tcPr>
          <w:p>
            <w:pPr>
              <w:pStyle w:val="TableContents"/>
              <w:bidi w:val="0"/>
              <w:spacing w:before="0" w:after="0"/>
              <w:ind w:left="0" w:right="0" w:hanging="0"/>
              <w:jc w:val="center"/>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3"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FFFFFF" w:val="clear"/>
            <w:vAlign w:val="center"/>
          </w:tcPr>
          <w:p>
            <w:pPr>
              <w:pStyle w:val="TableContents"/>
              <w:bidi w:val="0"/>
              <w:spacing w:before="0" w:after="0"/>
              <w:ind w:left="0" w:right="0" w:hanging="0"/>
              <w:jc w:val="left"/>
              <w:rPr/>
            </w:pPr>
            <w:r>
              <w:rPr/>
              <w:t>​</w:t>
            </w:r>
          </w:p>
        </w:tc>
        <w:tc>
          <w:tcPr>
            <w:tcW w:w="88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w:t>
            </w:r>
          </w:p>
        </w:tc>
        <w:tc>
          <w:tcPr>
            <w:tcW w:w="326" w:type="dxa"/>
            <w:tcBorders/>
            <w:shd w:fill="FFFFFF" w:val="clear"/>
            <w:vAlign w:val="center"/>
          </w:tcPr>
          <w:p>
            <w:pPr>
              <w:pStyle w:val="TableContents"/>
              <w:bidi w:val="0"/>
              <w:spacing w:before="0" w:after="0"/>
              <w:ind w:left="0" w:right="0" w:hanging="0"/>
              <w:jc w:val="left"/>
              <w:rPr/>
            </w:pPr>
            <w:r>
              <w:rPr/>
              <w:t>​</w:t>
            </w:r>
          </w:p>
        </w:tc>
        <w:tc>
          <w:tcPr>
            <w:tcW w:w="105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0"/>
              <w:ind w:left="0" w:right="0" w:hanging="0"/>
              <w:jc w:val="left"/>
              <w:rPr/>
            </w:pPr>
            <w:r>
              <w:rPr/>
              <w:t>​</w:t>
            </w:r>
          </w:p>
        </w:tc>
        <w:tc>
          <w:tcPr>
            <w:tcW w:w="11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FFFFFF" w:val="clear"/>
            <w:vAlign w:val="center"/>
          </w:tcPr>
          <w:p>
            <w:pPr>
              <w:pStyle w:val="TableContents"/>
              <w:bidi w:val="0"/>
              <w:spacing w:before="0" w:after="0"/>
              <w:ind w:left="0" w:right="0" w:hanging="0"/>
              <w:jc w:val="left"/>
              <w:rPr/>
            </w:pPr>
            <w:r>
              <w:rPr/>
              <w:t>​</w:t>
            </w:r>
          </w:p>
        </w:tc>
        <w:tc>
          <w:tcPr>
            <w:tcW w:w="81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26" w:type="dxa"/>
            <w:tcBorders/>
            <w:shd w:fill="FFFFFF" w:val="clear"/>
            <w:vAlign w:val="center"/>
          </w:tcPr>
          <w:p>
            <w:pPr>
              <w:pStyle w:val="TableContents"/>
              <w:bidi w:val="0"/>
              <w:spacing w:before="0" w:after="0"/>
              <w:ind w:left="0" w:right="0" w:hanging="0"/>
              <w:jc w:val="left"/>
              <w:rPr/>
            </w:pPr>
            <w:r>
              <w:rPr/>
              <w:t>​</w:t>
            </w:r>
          </w:p>
        </w:tc>
        <w:tc>
          <w:tcPr>
            <w:tcW w:w="90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FFFFFF" w:val="clear"/>
            <w:vAlign w:val="center"/>
          </w:tcPr>
          <w:p>
            <w:pPr>
              <w:pStyle w:val="TableContents"/>
              <w:bidi w:val="0"/>
              <w:spacing w:before="0" w:after="0"/>
              <w:ind w:left="0" w:right="0" w:hanging="0"/>
              <w:jc w:val="left"/>
              <w:rPr/>
            </w:pPr>
            <w:r>
              <w:rPr/>
              <w:t>​</w:t>
            </w:r>
          </w:p>
        </w:tc>
        <w:tc>
          <w:tcPr>
            <w:tcW w:w="897"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FFFFFF" w:val="clear"/>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FFFFFF" w:val="clear"/>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FFFFFF" w:val="clear"/>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FFFFFF" w:val="clear"/>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FFFFFF" w:val="clear"/>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shd w:fill="FFFFFF" w:val="clear"/>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FFFFFF" w:val="clear"/>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4,161,613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468,530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(428,112)</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39,926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47,949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stock</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6,015</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Value of shares withheld to fund payroll taxes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4,167,628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469,097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(433,621)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34,854</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before="0" w:after="0"/>
              <w:ind w:left="0" w:right="55" w:hanging="0"/>
              <w:jc w:val="right"/>
              <w:rPr>
                <w:rFonts w:ascii="Times New Roman;Times;serif" w:hAnsi="Times New Roman;Times;serif"/>
                <w:sz w:val="16"/>
              </w:rPr>
            </w:pPr>
            <w:r>
              <w:rPr>
                <w:rFonts w:ascii="Times New Roman;Times;serif" w:hAnsi="Times New Roman;Times;serif"/>
                <w:sz w:val="16"/>
              </w:rPr>
              <w:t>42,591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*Adjusted to reflect the impact of the 1:20 reverse stock split that became effective on September 28, 2023.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0" w:name="_f3c3224c_7d0a_4a99_a3b6_81e8aab2621d"/>
      <w:bookmarkEnd w:id="500"/>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1" w:name="Tc_eoCmRZhQNEyu8didlTHCQQ_38_5"/>
      <w:bookmarkStart w:id="502" w:name="Tc_hbApbZu4zka_FUlDdTi2vA_38_2"/>
      <w:bookmarkStart w:id="503" w:name="Tc_XYhTYswuIkWbj5W-hEpX4Q_38_0"/>
      <w:bookmarkStart w:id="504" w:name="Tc_7K8_AtX17UON5-x-InokBw_37_0"/>
      <w:bookmarkStart w:id="505" w:name="Tc_0-evG3aTTESg_INYGDTbdw_36_6"/>
      <w:bookmarkStart w:id="506" w:name="Tc_QQ8KphJUwkac7Wj3GdLUPg_36_5"/>
      <w:bookmarkStart w:id="507" w:name="Tc_URDmEZLs5k2EDakxZmwAgw_36_3"/>
      <w:bookmarkStart w:id="508" w:name="Tc_zF4v_okhF0u4VS38DEdPTQ_36_0"/>
      <w:bookmarkStart w:id="509" w:name="Tc_k4k3b8TPpk-7S-CWegu_Fg_35_6"/>
      <w:bookmarkStart w:id="510" w:name="Tc_ZpcCOb-cRkandpq9NK702w_35_5"/>
      <w:bookmarkStart w:id="511" w:name="Tc_tSKGoVHcxU22TSHPqmjb5w_35_3"/>
      <w:bookmarkStart w:id="512" w:name="Tc_WT1bAgO_90aSBrftOb7-5w_35_2"/>
      <w:bookmarkStart w:id="513" w:name="Tc_BC19J5BK9k2Vd77h_bofBQ_35_0"/>
      <w:bookmarkStart w:id="514" w:name="Tc_lXImtd5GMU6EMwsgdxX8TA_34_0"/>
      <w:bookmarkStart w:id="515" w:name="Tc_FRjgsUdabEW3A8NFeZiUEg_33_5"/>
      <w:bookmarkStart w:id="516" w:name="Tc_X3oJ9RFM4EO94BUUjE7NUA_33_2"/>
      <w:bookmarkStart w:id="517" w:name="Tc_Tw2ttkREeEq_CMiChi85rw_33_0"/>
      <w:bookmarkStart w:id="518" w:name="Tc_iBLrdcM7RUOoQ7TrW0lcAg_32_0"/>
      <w:bookmarkStart w:id="519" w:name="Tc_dO_iVIswwEiolMS4edxfag_31_0"/>
      <w:bookmarkStart w:id="520" w:name="Tc_144SiXLpX0usTaI0F32TIw_30_0"/>
      <w:bookmarkStart w:id="521" w:name="Tc_jxK5GDaFZEui_gSOo6E0GA_29_3"/>
      <w:bookmarkStart w:id="522" w:name="Tc_hPauzbpd1EKARzuebJD4iw_29_0"/>
      <w:bookmarkStart w:id="523" w:name="Tc_-FWWrM3GDECwQ_EMkWvCIA_28_3"/>
      <w:bookmarkStart w:id="524" w:name="Tc_Lo7mJdmhL06aM1XGCDtHSQ_28_0"/>
      <w:bookmarkStart w:id="525" w:name="Tc_-QOch_HG2k-Mwj9uzreMsg_27_0"/>
      <w:bookmarkStart w:id="526" w:name="Tc_OLIoTmQP2U-05VbBLRCM6Q_26_0"/>
      <w:bookmarkStart w:id="527" w:name="Tc_G68xKf-oPUOy6NC_nNw5zA_25_3"/>
      <w:bookmarkStart w:id="528" w:name="Tc_5xxGnKgrTUKyiSxR6jg3VQ_25_0"/>
      <w:bookmarkStart w:id="529" w:name="Tc_Bse0iWWE-kGH5DrMRLLKGA_24_0"/>
      <w:bookmarkStart w:id="530" w:name="Tc_rWUJgzVN4kOIFLAxYQZe2Q_23_0"/>
      <w:bookmarkStart w:id="531" w:name="Tc_FB4CpzAWw0-0C62VRsSfxw_22_0"/>
      <w:bookmarkStart w:id="532" w:name="Tc_xMoqPgoBuEi5t0gv8oQIgQ_21_0"/>
      <w:bookmarkStart w:id="533" w:name="Tc_ZndAzpRnJUG5ExDSbexYjQ_20_0"/>
      <w:bookmarkStart w:id="534" w:name="Tc_76bJCVpQbE6C-XK9EPoYog_19_0"/>
      <w:bookmarkStart w:id="535" w:name="Tc_e-VwVDLUN0O-C9S8T9ydpg_18_0"/>
      <w:bookmarkStart w:id="536" w:name="Tc_r7csak5CUUikcnQS-KRcqg_17_0"/>
      <w:bookmarkStart w:id="537" w:name="Tc_OBEsyZIi_UOVVDKSNle0zw_16_0"/>
      <w:bookmarkStart w:id="538" w:name="Tc_5ms14Ox9jkqomyZWsG_zIw_15_0"/>
      <w:bookmarkStart w:id="539" w:name="Tc_y6s38zGdkEy_BtgHLfaP8w_14_0"/>
      <w:bookmarkStart w:id="540" w:name="Tc_p2AQcRAJgkKgIJS9lSHVDA_13_0"/>
      <w:bookmarkStart w:id="541" w:name="Tc_wclkZTXKyUyk6Cq-5z2ttg_12_0"/>
      <w:bookmarkStart w:id="542" w:name="Tc_4rfzmapGYk2oj9U5-ZNcaA_11_0"/>
      <w:bookmarkStart w:id="543" w:name="Tc_TKLz0yh_80a4cygIuGFvsA_10_0"/>
      <w:bookmarkStart w:id="544" w:name="Tc_3VQrvrdhh0qgHazTEP2MEg_9_0"/>
      <w:bookmarkStart w:id="545" w:name="Tc_y1nIr7eLhUevcZO3aQrhYA_8_6"/>
      <w:bookmarkStart w:id="546" w:name="Tc_it1exjYPVkqDWrwpkOY9Xw_8_0"/>
      <w:bookmarkStart w:id="547" w:name="Tc_JEkWd-qx20uagfORapSCgw_7_6"/>
      <w:bookmarkStart w:id="548" w:name="Tc_tQMRCtJ_1ECPi80mHeCBRA_7_0"/>
      <w:bookmarkStart w:id="549" w:name="Tc_doGckp475E61k2IQW2t5WQ_6_0"/>
      <w:bookmarkStart w:id="550" w:name="Tc_UnPgyhMGJ0Gjc1jAkxppQw_5_0"/>
      <w:bookmarkStart w:id="551" w:name="Tc_SGaFZiDKxUugBo-4DytAUQ_4_5"/>
      <w:bookmarkStart w:id="552" w:name="Tc_q99w3rCrRkuLqrczv1_VJA_4_2"/>
      <w:bookmarkStart w:id="553" w:name="Tc_d9KQb5itPECcQq_FJyQu-Q_4_0"/>
      <w:bookmarkStart w:id="554" w:name="Tc_FlY3X4n62E6W-lxmaYy_Gg_3_0"/>
      <w:bookmarkStart w:id="555" w:name="Tc_jCvcPulAU0mI11trU3Ftvw_2_5"/>
      <w:bookmarkStart w:id="556" w:name="Tc_5VUXXBFznkKpQRFFwMF1vA_2_2"/>
      <w:bookmarkStart w:id="557" w:name="Tc_7Ty9C3jjEEaIoOCU2oyv9Q_1_2"/>
      <w:bookmarkStart w:id="558" w:name="_6ec89fd5_220b_46f1_bbb5_940bcca20957"/>
      <w:bookmarkStart w:id="559" w:name="Tc_eoCmRZhQNEyu8didlTHCQQ_38_5"/>
      <w:bookmarkStart w:id="560" w:name="Tc_hbApbZu4zka_FUlDdTi2vA_38_2"/>
      <w:bookmarkStart w:id="561" w:name="Tc_XYhTYswuIkWbj5W-hEpX4Q_38_0"/>
      <w:bookmarkStart w:id="562" w:name="Tc_7K8_AtX17UON5-x-InokBw_37_0"/>
      <w:bookmarkStart w:id="563" w:name="Tc_0-evG3aTTESg_INYGDTbdw_36_6"/>
      <w:bookmarkStart w:id="564" w:name="Tc_QQ8KphJUwkac7Wj3GdLUPg_36_5"/>
      <w:bookmarkStart w:id="565" w:name="Tc_URDmEZLs5k2EDakxZmwAgw_36_3"/>
      <w:bookmarkStart w:id="566" w:name="Tc_zF4v_okhF0u4VS38DEdPTQ_36_0"/>
      <w:bookmarkStart w:id="567" w:name="Tc_k4k3b8TPpk-7S-CWegu_Fg_35_6"/>
      <w:bookmarkStart w:id="568" w:name="Tc_ZpcCOb-cRkandpq9NK702w_35_5"/>
      <w:bookmarkStart w:id="569" w:name="Tc_tSKGoVHcxU22TSHPqmjb5w_35_3"/>
      <w:bookmarkStart w:id="570" w:name="Tc_WT1bAgO_90aSBrftOb7-5w_35_2"/>
      <w:bookmarkStart w:id="571" w:name="Tc_BC19J5BK9k2Vd77h_bofBQ_35_0"/>
      <w:bookmarkStart w:id="572" w:name="Tc_lXImtd5GMU6EMwsgdxX8TA_34_0"/>
      <w:bookmarkStart w:id="573" w:name="Tc_FRjgsUdabEW3A8NFeZiUEg_33_5"/>
      <w:bookmarkStart w:id="574" w:name="Tc_X3oJ9RFM4EO94BUUjE7NUA_33_2"/>
      <w:bookmarkStart w:id="575" w:name="Tc_Tw2ttkREeEq_CMiChi85rw_33_0"/>
      <w:bookmarkStart w:id="576" w:name="Tc_iBLrdcM7RUOoQ7TrW0lcAg_32_0"/>
      <w:bookmarkStart w:id="577" w:name="Tc_dO_iVIswwEiolMS4edxfag_31_0"/>
      <w:bookmarkStart w:id="578" w:name="Tc_144SiXLpX0usTaI0F32TIw_30_0"/>
      <w:bookmarkStart w:id="579" w:name="Tc_jxK5GDaFZEui_gSOo6E0GA_29_3"/>
      <w:bookmarkStart w:id="580" w:name="Tc_hPauzbpd1EKARzuebJD4iw_29_0"/>
      <w:bookmarkStart w:id="581" w:name="Tc_-FWWrM3GDECwQ_EMkWvCIA_28_3"/>
      <w:bookmarkStart w:id="582" w:name="Tc_Lo7mJdmhL06aM1XGCDtHSQ_28_0"/>
      <w:bookmarkStart w:id="583" w:name="Tc_-QOch_HG2k-Mwj9uzreMsg_27_0"/>
      <w:bookmarkStart w:id="584" w:name="Tc_OLIoTmQP2U-05VbBLRCM6Q_26_0"/>
      <w:bookmarkStart w:id="585" w:name="Tc_G68xKf-oPUOy6NC_nNw5zA_25_3"/>
      <w:bookmarkStart w:id="586" w:name="Tc_5xxGnKgrTUKyiSxR6jg3VQ_25_0"/>
      <w:bookmarkStart w:id="587" w:name="Tc_Bse0iWWE-kGH5DrMRLLKGA_24_0"/>
      <w:bookmarkStart w:id="588" w:name="Tc_rWUJgzVN4kOIFLAxYQZe2Q_23_0"/>
      <w:bookmarkStart w:id="589" w:name="Tc_FB4CpzAWw0-0C62VRsSfxw_22_0"/>
      <w:bookmarkStart w:id="590" w:name="Tc_xMoqPgoBuEi5t0gv8oQIgQ_21_0"/>
      <w:bookmarkStart w:id="591" w:name="Tc_ZndAzpRnJUG5ExDSbexYjQ_20_0"/>
      <w:bookmarkStart w:id="592" w:name="Tc_76bJCVpQbE6C-XK9EPoYog_19_0"/>
      <w:bookmarkStart w:id="593" w:name="Tc_e-VwVDLUN0O-C9S8T9ydpg_18_0"/>
      <w:bookmarkStart w:id="594" w:name="Tc_r7csak5CUUikcnQS-KRcqg_17_0"/>
      <w:bookmarkStart w:id="595" w:name="Tc_OBEsyZIi_UOVVDKSNle0zw_16_0"/>
      <w:bookmarkStart w:id="596" w:name="Tc_5ms14Ox9jkqomyZWsG_zIw_15_0"/>
      <w:bookmarkStart w:id="597" w:name="Tc_y6s38zGdkEy_BtgHLfaP8w_14_0"/>
      <w:bookmarkStart w:id="598" w:name="Tc_p2AQcRAJgkKgIJS9lSHVDA_13_0"/>
      <w:bookmarkStart w:id="599" w:name="Tc_wclkZTXKyUyk6Cq-5z2ttg_12_0"/>
      <w:bookmarkStart w:id="600" w:name="Tc_4rfzmapGYk2oj9U5-ZNcaA_11_0"/>
      <w:bookmarkStart w:id="601" w:name="Tc_TKLz0yh_80a4cygIuGFvsA_10_0"/>
      <w:bookmarkStart w:id="602" w:name="Tc_3VQrvrdhh0qgHazTEP2MEg_9_0"/>
      <w:bookmarkStart w:id="603" w:name="Tc_y1nIr7eLhUevcZO3aQrhYA_8_6"/>
      <w:bookmarkStart w:id="604" w:name="Tc_it1exjYPVkqDWrwpkOY9Xw_8_0"/>
      <w:bookmarkStart w:id="605" w:name="Tc_JEkWd-qx20uagfORapSCgw_7_6"/>
      <w:bookmarkStart w:id="606" w:name="Tc_tQMRCtJ_1ECPi80mHeCBRA_7_0"/>
      <w:bookmarkStart w:id="607" w:name="Tc_doGckp475E61k2IQW2t5WQ_6_0"/>
      <w:bookmarkStart w:id="608" w:name="Tc_UnPgyhMGJ0Gjc1jAkxppQw_5_0"/>
      <w:bookmarkStart w:id="609" w:name="Tc_SGaFZiDKxUugBo-4DytAUQ_4_5"/>
      <w:bookmarkStart w:id="610" w:name="Tc_q99w3rCrRkuLqrczv1_VJA_4_2"/>
      <w:bookmarkStart w:id="611" w:name="Tc_d9KQb5itPECcQq_FJyQu-Q_4_0"/>
      <w:bookmarkStart w:id="612" w:name="Tc_FlY3X4n62E6W-lxmaYy_Gg_3_0"/>
      <w:bookmarkStart w:id="613" w:name="Tc_jCvcPulAU0mI11trU3Ftvw_2_5"/>
      <w:bookmarkStart w:id="614" w:name="Tc_5VUXXBFznkKpQRFFwMF1vA_2_2"/>
      <w:bookmarkStart w:id="615" w:name="Tc_7Ty9C3jjEEaIoOCU2oyv9Q_1_2"/>
      <w:bookmarkStart w:id="616" w:name="_6ec89fd5_220b_46f1_bbb5_940bcca20957"/>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tbl>
      <w:tblPr>
        <w:tblW w:w="9595" w:type="dxa"/>
        <w:jc w:val="left"/>
        <w:tblInd w:w="0" w:type="dxa"/>
        <w:tblLayout w:type="fixed"/>
        <w:tblCellMar>
          <w:top w:w="0" w:type="dxa"/>
          <w:left w:w="0" w:type="dxa"/>
          <w:bottom w:w="0" w:type="dxa"/>
          <w:right w:w="0" w:type="dxa"/>
        </w:tblCellMar>
      </w:tblPr>
      <w:tblGrid>
        <w:gridCol w:w="6826"/>
        <w:gridCol w:w="326"/>
        <w:gridCol w:w="236"/>
        <w:gridCol w:w="762"/>
        <w:gridCol w:w="393"/>
        <w:gridCol w:w="236"/>
        <w:gridCol w:w="816"/>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34510" cy="175260"/>
                      <wp:effectExtent l="0" t="0" r="0" b="0"/>
                      <wp:wrapNone/>
                      <wp:docPr id="65" name="Frame65"/>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9860" cy="175260"/>
                      <wp:effectExtent l="0" t="0" r="0" b="0"/>
                      <wp:wrapNone/>
                      <wp:docPr id="67" name="Frame6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83870" cy="175260"/>
                      <wp:effectExtent l="0" t="0" r="0" b="0"/>
                      <wp:wrapNone/>
                      <wp:docPr id="68" name="Frame68"/>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9555" cy="175260"/>
                      <wp:effectExtent l="0" t="0" r="0" b="0"/>
                      <wp:wrapNone/>
                      <wp:docPr id="69" name="Frame6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9860" cy="175260"/>
                      <wp:effectExtent l="0" t="0" r="0" b="0"/>
                      <wp:wrapNone/>
                      <wp:docPr id="70" name="Frame7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8160" cy="175260"/>
                      <wp:effectExtent l="0" t="0" r="0" b="0"/>
                      <wp:wrapNone/>
                      <wp:docPr id="71" name="Frame7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3"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 </w:t>
            </w:r>
          </w:p>
        </w:tc>
        <w:tc>
          <w:tcPr>
            <w:tcW w:w="236"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(2,358)</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operating lease right-of-use assets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remeasurement loss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loss on equity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accounts receivable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(1,223)</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843</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other assets, current and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deferred revenue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other liabilities, current and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(1,987)</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(2,567)</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accounts payable</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c>
          <w:tcPr>
            <w:tcW w:w="393"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w:t>
            </w:r>
          </w:p>
        </w:tc>
        <w:tc>
          <w:tcPr>
            <w:tcW w:w="3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(3,290)</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shares withheld on vesting</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93"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(4,120)</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(9,169)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9,188</w:t>
            </w:r>
          </w:p>
        </w:tc>
        <w:tc>
          <w:tcPr>
            <w:tcW w:w="393"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19,789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5,068</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10,620</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for</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2"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93"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vAlign w:val="center"/>
          </w:tcPr>
          <w:p>
            <w:pPr>
              <w:pStyle w:val="TableContents"/>
              <w:bidi w:val="0"/>
              <w:spacing w:before="0" w:after="1"/>
              <w:ind w:left="0" w:right="55" w:hanging="0"/>
              <w:jc w:val="right"/>
              <w:rPr>
                <w:rFonts w:ascii="Times New Roman;Times;serif" w:hAnsi="Times New Roman;Times;serif"/>
                <w:sz w:val="16"/>
              </w:rPr>
            </w:pPr>
            <w:r>
              <w:rPr>
                <w:rFonts w:ascii="Times New Roman;Times;serif" w:hAnsi="Times New Roman;Times;serif"/>
                <w:sz w:val="16"/>
              </w:rPr>
              <w:t>38</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17" w:name="_8f8a0e7b_581d_4e32_b12c_c7a28aad7936"/>
      <w:bookmarkEnd w:id="617"/>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Basis of Presentation and Liquidity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2024, there were 21 domestic XpresSpa locations in total, 19 Company-owned locations and two franchises. The Company also had 11 international locations operating as of March 31, 2024, including two XpresSpa locations in Dubai International Airport in the United Arab Emirates, one XpresSpa location in Zayad International Airport in Abu Dhabi, UAE, three XpresSpa locations in Schiphol Amsterdam Airport in the Netherlands and five XpresSpa locations in the Istanbul Airport in Turkey.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in June of 2020, through its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locations, the Company closed XpresCheck Wellness Centers. As of December 31, 2023, we have closed all XpresCheck locations.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XpresTest, Inc (“XpresTest”) began conducting bio surveillance monitoring with the Centers for Disease Control and Prevention (CDC) in collaboration with Concentric by Ginkgo BioWorks in 2021. The program was extended in January 2022 and renewed in August of 2022 and 2023. In March 2024, the program funding and scope were expanded.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HyperPointe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reporting purposes, the former HyperPointe segment has been consolidated into the XpresTest segment.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Treat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 which is operating through XWELL’s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Naples Wax Center, LLC, which was acquired on September 12, 2023, for a purchase price of $1,624 operates three high-performing locations with core products and service offerings from face and body waxing to a range of skincare and cosmetic products. The acquisition of Naples Wax Center is intended to enable the Company to move beyond its airport client base with a business that can be adapted to a larger wellness platform while also growing its retail footprint to serve long-term financial goals.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TreatStudios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Q4 of 2023, the Company began plans to open its first TreatStudios location in Jacksonville, Florida in 2024.  TreatStudios is an out-of-airport concept providing leased space to established wellness service providers.  Revenue will be derived from both lease payments received from the wellness practitioners and the sale of retail at the wellness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these strategic imperatives will be accomplished through development of an infrastructure specifically focused on enabling scalable and efficient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2023, as amended. The consolidated balance sheet as of December 31, 2023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months ended March 31, 2024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28, 2023, the Company effected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 reverse stock split, (the “Reverse Stock Split”) whereby every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shares of its Common Stock were reduced 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its Common Stock and the price per share of its Common Stock was multiplied by 20. All references to shares and per share amounts have been adjusted to reflect the reverse stock split.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the Company had cash and cash equivalents of $4,317 (excluding restricted cash), $14,784 in marketable securities, and total current assets of $24,456. The Company’s total current liabilities balance, which includes accounts payable, deferred revenue, accrued expenses, and operating lease liabilities was $9,187 as of March 31, 2024 and $9,330 as of December 31, 2023. The working capital surplus was $15,269 as of March 31, 2024, compared to a working capital surplus of $17,236 as of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significantly reduced operating and overhead expenses in the second half of 2023, while it continues to focus on returning to overall profitability.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taken actions to improve its overall cash position, right sizing its corporate structure and streamlining its operations. The Company is pursuing strategic partnerships that the Company expects will further strengthen the long-term profitability of the business.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 Policy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 Treat and 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2022, XpresTest, in partnership with Ginkgo BioWorks in continuation of their support to the CDC’s traveler-based SARS-CoV-2 genomic surveillance program was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the Company is entitled to $10,674 for the sample collection (passenger and aircraft wastewater) and $370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We recognized the revenue for the traveler enrollment initiative performance obligation in the second quarter of 2023. The Company recognizes revenue ratably (straight line basis) over the term of the contract (one year). The Company recorded $3,306 and $1,670, in revenue for the three months ended March 31, 2024 and 2023, respectively, related to sample collection performance obligations because the Company’s efforts towards satisfying each of the performance obligations are expended evenly throughout the period of performance.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HyperPointe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HyperPointe business provides a broad range of service and support options for HyperPointe’s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Revenues billed in advance are treated as deferred revenue, which was $87 and $72 as of March 31, 2024 and December 31, 2023,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excludes all sales taxes assessed to our customers from revenue. Sales taxes assessed on revenues are included in Accrued expenses and other current liabilities on the Company’s condensed consolidated balance sheets until remitted to state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Gift cards, customer rewards and prepaid packages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offers no-fee, non-expiring gift cards to its customers. No revenue is recognized upon the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costs associated with gift cards and reward points are accrued as the rewards are earned by the cardholder and are included in Accrued expenses and other current liabilities in the condensed consolidated balance sheets until used.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as of March 31, 2024 was $794 and for the year ended December 31, 2023 deferred revenue was $778.</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Translation into United States dollars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condensed consolidated statements of operations and comprehensive loss.  During the three months ended March 2024, the Company recorded $166 in exchange losses occurring from the remeasurement of monetary balance sheet items denominated in non-dollar currencies. During the three months ended March 2023, the Company recorded $85 in exchange gain.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of the foreign subsidiaries of XpresSpa are translated into United States dollars. Assets and liabilities have been translated primarily at period end exchange rates and revenues and expenses have been translated at average monthly rates for the three months ended March 31, 2024. The translation adjustments arising from the use of different exchange rates are included as foreign currency translation within the condensed consolidated statements of operations and comprehensive income (loss) and condensed consolidated statements of changes in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condensed consolidated statements of operations.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information obtained from the acquired companies and are inherently uncertain. Estimates in valuing certain of the intangible assets the Company has acquired include future expected cash flows, and discount rates.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 During the quarter ended March 31, 2024, the Company did not record any goodwill impairment loss.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Reclassification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balances in the unaudited condensed consolidated financial statements for the three months ended March 31, 2023 have been reclassified to conform to the presentation in the unaudited condensed consolidated financial statements for the three months ended March 31, 2024, primarily the presentation of revenue, general and administrative expense, foreign currency exchange gain, and the realized and unrealized gain on investments and other operating expenses. The above separation affected revenue classifications, general and administrative expenses, foreign currency exchange gain, and the realized and unrealized gain on investments and other operating expenses in the comparative 2023 financial statements. Such reclassifications did not have a material impact on the unaudited condensed consolidated financial statements.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Impairment of Long-Lived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Long-lived assets are tested for impairment at the lowest level at which there are identifiable operating cash flows.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flows are calculated based on forecasts over the estimated remaining useful life of the asset group, which for each of the Company’s locations, is the remaining term of the operating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the Company recorded impairment of  long-lived assets of $652 compared with $0 impairment of long-lived assets in March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ASU No. 2023-07, Segment Reporting (Topic 280): Improvements to Reportable Segment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November 2023, the Financial Accounting Standards Board (FASB) issued ASU No. 2023-07, Segment Reporting (Topic 280): Improvements to Reportable Segment Disclosures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segment expense disclosures related to its annual report for fiscal year 2024.</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ASU No. 2023-09, Income Taxes (Topic 740): Improvements to Income Tax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for fiscal year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18" w:name="Tc_F75cnj9JU0SHNzXFdOMNag_14_0"/>
      <w:bookmarkStart w:id="619" w:name="Tc_PLWSxEWyCUicPKdqIWDOSQ_13_3"/>
      <w:bookmarkStart w:id="620" w:name="Tc_uyxynI63-0We7LP5od4o2g_13_0"/>
      <w:bookmarkStart w:id="621" w:name="Tc_0YpKQ2PTpEK0lYdoSa3aKg_12_0"/>
      <w:bookmarkStart w:id="622" w:name="Tc_QbVHBGlxVU-XUg8QvKXmLg_11_0"/>
      <w:bookmarkStart w:id="623" w:name="Tc_sSYaaGv3FUOk52U_WH6RuA_10_0"/>
      <w:bookmarkStart w:id="624" w:name="Tc_zzecrNtUrUeXqrfrP1PNyg_8_5"/>
      <w:bookmarkStart w:id="625" w:name="Tc_THghY4ZGyk-5q46LXCAspQ_8_2"/>
      <w:bookmarkStart w:id="626" w:name="Tc_kgeR9bwUgU2FRuT4myVgsg_8_0"/>
      <w:bookmarkStart w:id="627" w:name="Tc_EPYlQ-gcnE-2A0j0clBxTA_7_0"/>
      <w:bookmarkStart w:id="628" w:name="Tc_yMpziJlnAk-vqaEQ3aFcnw_6_0"/>
      <w:bookmarkStart w:id="629" w:name="Tc_1wkPJUtQzEGNqNspVRupYg_5_5"/>
      <w:bookmarkStart w:id="630" w:name="Tc_n5-IY630EEOTp5quyoL9ZQ_5_2"/>
      <w:bookmarkStart w:id="631" w:name="Tc_rQ68h3uRmkOcn7Iq_Bfzwg_5_0"/>
      <w:bookmarkStart w:id="632" w:name="Tc_c9F4R3xYx0iyg2fZn93-kA_4_0"/>
      <w:bookmarkStart w:id="633" w:name="Tc_JqPTfTD4NkO5NDEH3pAedA_3_5"/>
      <w:bookmarkStart w:id="634" w:name="Tc_6GLw-A7N9Ee1m7Vfm6wLww_3_2"/>
      <w:bookmarkStart w:id="635" w:name="Tc_XUr0Qi0DZE2NX7UOY4r8rg_2_2"/>
      <w:bookmarkStart w:id="636" w:name="Tc_Hu3X4MeS_U-5VXnEf3lWmw_1_2"/>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rPr>
          <w:rFonts w:ascii="Times New Roman;Times;serif" w:hAnsi="Times New Roman;Times;serif"/>
          <w:b/>
          <w:sz w:val="20"/>
        </w:rPr>
        <w:t>Note 3. Potentially Dilutive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computation of basic and diluted net loss per share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24"/>
        <w:gridCol w:w="326"/>
        <w:gridCol w:w="211"/>
        <w:gridCol w:w="931"/>
        <w:gridCol w:w="326"/>
        <w:gridCol w:w="211"/>
        <w:gridCol w:w="976"/>
      </w:tblGrid>
      <w:tr>
        <w:trPr/>
        <w:tc>
          <w:tcPr>
            <w:tcW w:w="7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587240" cy="175260"/>
                      <wp:effectExtent l="0" t="0" r="0" b="0"/>
                      <wp:wrapNone/>
                      <wp:docPr id="72" name="Frame72"/>
                      <a:graphic xmlns:a="http://schemas.openxmlformats.org/drawingml/2006/main">
                        <a:graphicData uri="http://schemas.microsoft.com/office/word/2010/wordprocessingShape">
                          <wps:wsp>
                            <wps:cNvSpPr txBox="1"/>
                            <wps:spPr>
                              <a:xfrm>
                                <a:off x="0" y="0"/>
                                <a:ext cx="458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5" name="Frame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19760" cy="175260"/>
                      <wp:effectExtent l="0" t="0" r="0" b="0"/>
                      <wp:wrapNone/>
                      <wp:docPr id="78" name="Frame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(5,509)</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4,182,617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4,167,295</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72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income, the following potentially dilutive securities, having an anti-dilutive impact, in case of 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452,474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384,719</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16,319</w:t>
            </w:r>
          </w:p>
        </w:tc>
      </w:tr>
      <w:tr>
        <w:trPr/>
        <w:tc>
          <w:tcPr>
            <w:tcW w:w="7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an equal number of shares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72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earnings/(loss) per share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401,238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28, 2023, the Company effected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 reverse stock split, (the “Reverse Stock Split”) whereby every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shares of its Common Stock were reduced 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its Common Stock and the price per share of its Common Stock was multiplied by 20. All references to shares and per share amounts have been adjusted to reflect the reverse stock split.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637" w:name="Tc_3hy6hBAQDkyKRntVlnK3Xw_6_5"/>
      <w:bookmarkStart w:id="638" w:name="Tc_zE5R913hzkmXurE2tQyEjA_6_2"/>
      <w:bookmarkStart w:id="639" w:name="Tc_1glMLpErJ0SKRZxtittrZQ_6_0"/>
      <w:bookmarkStart w:id="640" w:name="Tc_UcT8ZQDp3EaXshW3JlQDuw_5_0"/>
      <w:bookmarkStart w:id="641" w:name="Tc_j_idU3LkXECexpspZYncRw_4_0"/>
      <w:bookmarkStart w:id="642" w:name="Tc_cFnxyDygvE6CTBlIp9VlDA_3_0"/>
      <w:bookmarkStart w:id="643" w:name="Tc_n2jADAebE0q6nBxfE4JJ7w_2_5"/>
      <w:bookmarkStart w:id="644" w:name="Tc_IQeORHxoXkmSEVhlW-JvVQ_2_2"/>
      <w:bookmarkStart w:id="645" w:name="Tc_bS9VPU0QKEK9ZlDQsUdKhw_2_0"/>
      <w:bookmarkStart w:id="646" w:name="Tc_afwh3VVasUqfKQFLETkRew_1_5"/>
      <w:bookmarkStart w:id="647" w:name="Tc_SQ72__4X_kap-0m3zMO4oQ_1_2"/>
      <w:bookmarkEnd w:id="637"/>
      <w:bookmarkEnd w:id="638"/>
      <w:bookmarkEnd w:id="639"/>
      <w:bookmarkEnd w:id="640"/>
      <w:bookmarkEnd w:id="641"/>
      <w:bookmarkEnd w:id="642"/>
      <w:bookmarkEnd w:id="643"/>
      <w:bookmarkEnd w:id="644"/>
      <w:bookmarkEnd w:id="645"/>
      <w:bookmarkEnd w:id="646"/>
      <w:bookmarkEnd w:id="647"/>
      <w:r>
        <w:rPr>
          <w:rFonts w:ascii="Times New Roman;Times;serif" w:hAnsi="Times New Roman;Times;serif"/>
          <w:b/>
          <w:sz w:val="20"/>
        </w:rPr>
        <w:t xml:space="preserve">Note 4. Cash, Cash Equivalents, and Restricted Cash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Company’s cash and cash equivalents in the Unaudited Condensed Consolidated Balance Sheets to cash, cash equivalents and restricted cash in the Unaudited Condensed Consolidated Statements of Cash Flows as of March 31, 2024 and December 31, 2023 is as follows:</w:t>
      </w:r>
    </w:p>
    <w:p>
      <w:pPr>
        <w:pStyle w:val="TextBody"/>
        <w:bidi w:val="0"/>
        <w:spacing w:before="0" w:after="0"/>
        <w:ind w:left="0" w:right="0" w:hanging="0"/>
        <w:jc w:val="left"/>
        <w:rPr/>
      </w:pPr>
      <w:r>
        <w:rPr/>
        <w:t>​</w:t>
      </w:r>
    </w:p>
    <w:tbl>
      <w:tblPr>
        <w:tblW w:w="9055" w:type="dxa"/>
        <w:jc w:val="left"/>
        <w:tblInd w:w="0" w:type="dxa"/>
        <w:tblLayout w:type="fixed"/>
        <w:tblCellMar>
          <w:top w:w="0" w:type="dxa"/>
          <w:left w:w="0" w:type="dxa"/>
          <w:bottom w:w="0" w:type="dxa"/>
          <w:right w:w="0" w:type="dxa"/>
        </w:tblCellMar>
      </w:tblPr>
      <w:tblGrid>
        <w:gridCol w:w="5191"/>
        <w:gridCol w:w="326"/>
        <w:gridCol w:w="388"/>
        <w:gridCol w:w="1053"/>
        <w:gridCol w:w="326"/>
        <w:gridCol w:w="418"/>
        <w:gridCol w:w="1353"/>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96285" cy="175260"/>
                      <wp:effectExtent l="0" t="0" r="0" b="0"/>
                      <wp:wrapNone/>
                      <wp:docPr id="79" name="Frame79"/>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46380" cy="175260"/>
                      <wp:effectExtent l="0" t="0" r="0" b="0"/>
                      <wp:wrapNone/>
                      <wp:docPr id="81" name="Frame8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8655" cy="175260"/>
                      <wp:effectExtent l="0" t="0" r="0" b="0"/>
                      <wp:wrapNone/>
                      <wp:docPr id="82" name="Frame82"/>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65430" cy="175260"/>
                      <wp:effectExtent l="0" t="0" r="0" b="0"/>
                      <wp:wrapNone/>
                      <wp:docPr id="84" name="Frame84"/>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59155" cy="175260"/>
                      <wp:effectExtent l="0" t="0" r="0" b="0"/>
                      <wp:wrapNone/>
                      <wp:docPr id="85" name="Frame85"/>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1"/>
              <w:ind w:left="0" w:right="0" w:hanging="0"/>
              <w:jc w:val="left"/>
              <w:rPr/>
            </w:pPr>
            <w:r>
              <w:rPr/>
              <w:t>​</w:t>
            </w:r>
          </w:p>
        </w:tc>
        <w:tc>
          <w:tcPr>
            <w:tcW w:w="4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5,068</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9,188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places its cash and temporary cash investments with credit quality institutions. At times, such cash denominated in United States dollars may be in excess of the Federal Deposit Insurance Corporation (“FDIC”) insurance limit. As of March 31, 2024, and December 31, 2023, deposits in excess of FDIC limits were $932 and $4,195, respectively. As of March 31, 2024, and December 31, 2023, the Company held cash balances in overseas accounts, totaling $2,155 and $2,395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8" w:name="Tc_ilNWP64FxEiODzp5wpiwmA_4_5"/>
      <w:bookmarkStart w:id="649" w:name="Tc_2oxXNIV5rEOlPSELYvfqnA_4_2"/>
      <w:bookmarkStart w:id="650" w:name="Tc_VYQa-Nvyx0SciMj4ArhR2g_4_0"/>
      <w:bookmarkStart w:id="651" w:name="Tc_RumC37YdQUayZxky8FCkjQ_3_0"/>
      <w:bookmarkStart w:id="652" w:name="Tc_l27APXP7Mku8epgv-2Re_Q_2_5"/>
      <w:bookmarkStart w:id="653" w:name="Tc_13-90W5aRkOayrAnigYI5A_2_2"/>
      <w:bookmarkStart w:id="654" w:name="Tc_J2f5yrv3ckaXad6nyzUP_A_2_0"/>
      <w:bookmarkStart w:id="655" w:name="Tc_VEcDfOFd20KqVekyXMBb4A_1_5"/>
      <w:bookmarkStart w:id="656" w:name="Tc_0JOHdyYLdEKehJCK2PPJcQ_1_2"/>
      <w:bookmarkEnd w:id="648"/>
      <w:bookmarkEnd w:id="649"/>
      <w:bookmarkEnd w:id="650"/>
      <w:bookmarkEnd w:id="651"/>
      <w:bookmarkEnd w:id="652"/>
      <w:bookmarkEnd w:id="653"/>
      <w:bookmarkEnd w:id="654"/>
      <w:bookmarkEnd w:id="655"/>
      <w:bookmarkEnd w:id="656"/>
      <w:r>
        <w:rPr>
          <w:rFonts w:ascii="Times New Roman;Times;serif" w:hAnsi="Times New Roman;Times;serif"/>
          <w:b/>
          <w:sz w:val="20"/>
        </w:rPr>
        <w:t>Note 5.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and December 31, 2023, other current assets consisted of the following:</w:t>
      </w:r>
    </w:p>
    <w:p>
      <w:pPr>
        <w:pStyle w:val="TextBody"/>
        <w:bidi w:val="0"/>
        <w:spacing w:before="0" w:after="0"/>
        <w:ind w:left="0" w:right="0" w:hanging="0"/>
        <w:jc w:val="left"/>
        <w:rPr/>
      </w:pPr>
      <w:r>
        <w:rPr/>
        <w:t>​</w:t>
      </w:r>
    </w:p>
    <w:tbl>
      <w:tblPr>
        <w:tblW w:w="5576" w:type="dxa"/>
        <w:jc w:val="left"/>
        <w:tblInd w:w="0" w:type="dxa"/>
        <w:tblLayout w:type="fixed"/>
        <w:tblCellMar>
          <w:top w:w="0" w:type="dxa"/>
          <w:left w:w="0" w:type="dxa"/>
          <w:bottom w:w="0" w:type="dxa"/>
          <w:right w:w="0" w:type="dxa"/>
        </w:tblCellMar>
      </w:tblPr>
      <w:tblGrid>
        <w:gridCol w:w="2146"/>
        <w:gridCol w:w="109"/>
        <w:gridCol w:w="388"/>
        <w:gridCol w:w="1053"/>
        <w:gridCol w:w="109"/>
        <w:gridCol w:w="503"/>
        <w:gridCol w:w="1268"/>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62710" cy="175260"/>
                      <wp:effectExtent l="0" t="0" r="0" b="0"/>
                      <wp:wrapNone/>
                      <wp:docPr id="86" name="Frame8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6380" cy="175260"/>
                      <wp:effectExtent l="0" t="0" r="0" b="0"/>
                      <wp:wrapNone/>
                      <wp:docPr id="88" name="Frame8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8655" cy="175260"/>
                      <wp:effectExtent l="0" t="0" r="0" b="0"/>
                      <wp:wrapNone/>
                      <wp:docPr id="89" name="Frame89"/>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19405" cy="175260"/>
                      <wp:effectExtent l="0" t="0" r="0" b="0"/>
                      <wp:wrapNone/>
                      <wp:docPr id="91" name="Frame91"/>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05180" cy="175260"/>
                      <wp:effectExtent l="0" t="0" r="0" b="0"/>
                      <wp:wrapNone/>
                      <wp:docPr id="92" name="Frame92"/>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109" w:type="dxa"/>
            <w:tcBorders/>
            <w:shd w:fill="CCEEFF" w:val="clear"/>
            <w:vAlign w:val="center"/>
          </w:tcPr>
          <w:p>
            <w:pPr>
              <w:pStyle w:val="TableContents"/>
              <w:bidi w:val="0"/>
              <w:spacing w:before="0" w:after="0"/>
              <w:ind w:left="0" w:right="0" w:hanging="0"/>
              <w:jc w:val="center"/>
              <w:rPr/>
            </w:pPr>
            <w:r>
              <w:rPr/>
              <w:t>​</w:t>
            </w:r>
          </w:p>
        </w:tc>
        <w:tc>
          <w:tcPr>
            <w:tcW w:w="5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109" w:type="dxa"/>
            <w:tcBorders/>
            <w:shd w:fill="CCEEFF" w:val="clear"/>
            <w:vAlign w:val="center"/>
          </w:tcPr>
          <w:p>
            <w:pPr>
              <w:pStyle w:val="TableContents"/>
              <w:bidi w:val="0"/>
              <w:spacing w:before="0" w:after="0"/>
              <w:ind w:left="0" w:right="0" w:hanging="0"/>
              <w:jc w:val="left"/>
              <w:rPr/>
            </w:pPr>
            <w:r>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65" w:hanging="0"/>
              <w:jc w:val="right"/>
              <w:rPr>
                <w:rFonts w:ascii="Times New Roman;Times;serif" w:hAnsi="Times New Roman;Times;serif"/>
                <w:sz w:val="20"/>
              </w:rPr>
            </w:pPr>
            <w:r>
              <w:rPr>
                <w:rFonts w:ascii="Times New Roman;Times;serif" w:hAnsi="Times New Roman;Times;serif"/>
                <w:sz w:val="20"/>
              </w:rPr>
              <w:t>949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57" w:name="Tc_DU2pHw8obEugpqO3adkgwA_8_2"/>
      <w:bookmarkStart w:id="658" w:name="Tc_wUjfZNAPcEqJBAGTQ4YWaQ_8_0"/>
      <w:bookmarkStart w:id="659" w:name="Tc_xOwdLlbGXkmWOPKlVNWy7Q_7_0"/>
      <w:bookmarkStart w:id="660" w:name="Tc_dfGny0raNEmbXGsNEx6Bkg_6_0"/>
      <w:bookmarkStart w:id="661" w:name="Tc_7_cqDmc6fEqs9WCWTBQJNg_5_0"/>
      <w:bookmarkStart w:id="662" w:name="Tc_UyiR6ocz6k6vs4EbdYhKCA_4_0"/>
      <w:bookmarkStart w:id="663" w:name="Tc_g5xIWnKAQE21YuhgBaO4-Q_3_0"/>
      <w:bookmarkStart w:id="664" w:name="Tc_zW3KduxTH0-yU3dClUzWCg_2_2"/>
      <w:bookmarkStart w:id="665" w:name="Tc_odsEMVPDu02Mkd4H3Vp3aA_2_0"/>
      <w:bookmarkStart w:id="666" w:name="Tc_aftw73FxpkmFGjb5pJjOfQ_1_2"/>
      <w:bookmarkStart w:id="667" w:name="Tc_UCW4G-ZQNkyuO1Y_8fg21Q_1_0"/>
      <w:bookmarkStart w:id="668" w:name="Tc_O3epXLkAA0yre0XKJ7yFaw_9_17"/>
      <w:bookmarkStart w:id="669" w:name="Tc_8k2DzWzWJU-vfivs7zq9eA_9_14"/>
      <w:bookmarkStart w:id="670" w:name="Tc_zjXTz4IedkCxb5oft1OhYw_9_11"/>
      <w:bookmarkStart w:id="671" w:name="Tc_FI3PMY9ZQESixYw7abHOPw_9_8"/>
      <w:bookmarkStart w:id="672" w:name="Tc_6srJT0hlRkSopJpbvxyFNg_9_5"/>
      <w:bookmarkStart w:id="673" w:name="Tc_0JVMqg5_w0OYwirCT3_7bA_9_2"/>
      <w:bookmarkStart w:id="674" w:name="Tc_rzGo-Hw8yEm07fGhde38Vg_9_0"/>
      <w:bookmarkStart w:id="675" w:name="Tc_YfHcoMbLM0eFmfy7Ilf74A_8_0"/>
      <w:bookmarkStart w:id="676" w:name="Tc_tnwN3tk8WEuFNW4HaJTmcQ_7_0"/>
      <w:bookmarkStart w:id="677" w:name="Tc_L4PZZF2C706dBuNDlB6vGA_6_0"/>
      <w:bookmarkStart w:id="678" w:name="Tc_n85eJW2uCEmBDTLcM4Yx4Q_5_17"/>
      <w:bookmarkStart w:id="679" w:name="Tc_4bUjrwBoWkCShLpf6cFCFQ_5_14"/>
      <w:bookmarkStart w:id="680" w:name="Tc_cfSL1OeNAUGnXzQZHnSYaQ_5_11"/>
      <w:bookmarkStart w:id="681" w:name="Tc_14P4oEn5kUe2glFsWVcTfw_5_8"/>
      <w:bookmarkStart w:id="682" w:name="Tc_zW9m758TdEWJS_Igo6rWVw_5_5"/>
      <w:bookmarkStart w:id="683" w:name="Tc_M9hAr5k7VE6NsGRbx1AtgQ_5_2"/>
      <w:bookmarkStart w:id="684" w:name="Tc_5-pGHoZ9r0Cj0Gm9DOmn9Q_5_0"/>
      <w:bookmarkStart w:id="685" w:name="Tc_AwAVjWaSeUGdBsa96Gd4kQ_4_17"/>
      <w:bookmarkStart w:id="686" w:name="Tc_m6KC6Q_dIk2oKDLrmA5ehA_4_14"/>
      <w:bookmarkStart w:id="687" w:name="Tc_cAG3N2W6k0qKu7w5WrWbtA_4_11"/>
      <w:bookmarkStart w:id="688" w:name="Tc_LqWqUrozPEC8tib2rlQOTA_4_8"/>
      <w:bookmarkStart w:id="689" w:name="Tc_wmYb3DcXE0yCJXNTgH3hZA_4_5"/>
      <w:bookmarkStart w:id="690" w:name="Tc_MEPgev5-tk6osomYFbWt9A_4_2"/>
      <w:bookmarkStart w:id="691" w:name="Tc_nvJ2V-TXykedskJTQmzLnA_3_17"/>
      <w:bookmarkStart w:id="692" w:name="Tc_OlCPEuXjh0ys5GMjEfoOww_3_14"/>
      <w:bookmarkStart w:id="693" w:name="Tc_8MCR9Upyak65HnzEGYeM_g_3_11"/>
      <w:bookmarkStart w:id="694" w:name="Tc_RaYamjKGRkCUNFJdC_gUcw_3_8"/>
      <w:bookmarkStart w:id="695" w:name="Tc_X0blveBln0eUdHWaNSNh3Q_3_5"/>
      <w:bookmarkStart w:id="696" w:name="Tc_2oZ-GHPTeUODAUtzfT0obA_3_2"/>
      <w:bookmarkStart w:id="697" w:name="Tc__6vycqtG6US2AZpxrSkAdQ_2_17"/>
      <w:bookmarkStart w:id="698" w:name="Tc_igEL-ER2XE2S0T6Q5YvdZg_2_11"/>
      <w:bookmarkStart w:id="699" w:name="Tc_h-c7zuQdOEGAglthpdxK7Q_2_8"/>
      <w:bookmarkStart w:id="700" w:name="Tc_HcfbZ-owf0ub9npcmW-TUQ_2_2"/>
      <w:bookmarkStart w:id="701" w:name="Tc_DJvzNlpl9kCqk-am8-MUmA_1_11"/>
      <w:bookmarkStart w:id="702" w:name="Tc_m_GBKYjHyE2Xhj-4LZcMbQ_1_2"/>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b/>
          <w:sz w:val="20"/>
        </w:rPr>
        <w:t>Note 6. Intangible Assets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provides information regarding the Company’s intangible assets subject to amortization, which consist of the following:</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1996"/>
        <w:gridCol w:w="326"/>
        <w:gridCol w:w="243"/>
        <w:gridCol w:w="658"/>
        <w:gridCol w:w="326"/>
        <w:gridCol w:w="311"/>
        <w:gridCol w:w="935"/>
        <w:gridCol w:w="326"/>
        <w:gridCol w:w="243"/>
        <w:gridCol w:w="658"/>
        <w:gridCol w:w="326"/>
        <w:gridCol w:w="243"/>
        <w:gridCol w:w="658"/>
        <w:gridCol w:w="326"/>
        <w:gridCol w:w="311"/>
        <w:gridCol w:w="935"/>
        <w:gridCol w:w="326"/>
        <w:gridCol w:w="223"/>
        <w:gridCol w:w="723"/>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67460" cy="175260"/>
                      <wp:effectExtent l="0" t="0" r="0" b="0"/>
                      <wp:wrapNone/>
                      <wp:docPr id="93" name="Frame93"/>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4305" cy="175260"/>
                      <wp:effectExtent l="0" t="0" r="0" b="0"/>
                      <wp:wrapNone/>
                      <wp:docPr id="95" name="Frame9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17830" cy="175260"/>
                      <wp:effectExtent l="0" t="0" r="0" b="0"/>
                      <wp:wrapNone/>
                      <wp:docPr id="96" name="Frame9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7485" cy="175260"/>
                      <wp:effectExtent l="0" t="0" r="0" b="0"/>
                      <wp:wrapNone/>
                      <wp:docPr id="98" name="Frame9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3725" cy="175260"/>
                      <wp:effectExtent l="0" t="0" r="0" b="0"/>
                      <wp:wrapNone/>
                      <wp:docPr id="99" name="Frame99"/>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4305" cy="175260"/>
                      <wp:effectExtent l="0" t="0" r="0" b="0"/>
                      <wp:wrapNone/>
                      <wp:docPr id="101" name="Frame10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17830" cy="175260"/>
                      <wp:effectExtent l="0" t="0" r="0" b="0"/>
                      <wp:wrapNone/>
                      <wp:docPr id="102" name="Frame10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4305" cy="175260"/>
                      <wp:effectExtent l="0" t="0" r="0" b="0"/>
                      <wp:wrapNone/>
                      <wp:docPr id="104" name="Frame10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17830" cy="175260"/>
                      <wp:effectExtent l="0" t="0" r="0" b="0"/>
                      <wp:wrapNone/>
                      <wp:docPr id="105" name="Frame10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7485" cy="175260"/>
                      <wp:effectExtent l="0" t="0" r="0" b="0"/>
                      <wp:wrapNone/>
                      <wp:docPr id="107" name="Frame107"/>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3725" cy="175260"/>
                      <wp:effectExtent l="0" t="0" r="0" b="0"/>
                      <wp:wrapNone/>
                      <wp:docPr id="108" name="Frame10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1605" cy="175260"/>
                      <wp:effectExtent l="0" t="0" r="0" b="0"/>
                      <wp:wrapNone/>
                      <wp:docPr id="110" name="Frame11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59105" cy="175260"/>
                      <wp:effectExtent l="0" t="0" r="0" b="0"/>
                      <wp:wrapNone/>
                      <wp:docPr id="111" name="Frame111"/>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1"/>
              <w:ind w:left="0" w:right="0" w:hanging="0"/>
              <w:jc w:val="center"/>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Licenses</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1,353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amortized over their expected useful lives. The Company recorded amortization expense of $84 and $382 during the three months ended March 31, 2024 and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intangible assets balance as of March 31, 2024, the estimated amortization expense for the remainder of the calendar year and each of the succeeding calendar years is as follows:</w:t>
      </w:r>
    </w:p>
    <w:p>
      <w:pPr>
        <w:pStyle w:val="TextBody"/>
        <w:bidi w:val="0"/>
        <w:spacing w:before="0" w:after="0"/>
        <w:ind w:left="0" w:right="0" w:hanging="0"/>
        <w:jc w:val="left"/>
        <w:rPr/>
      </w:pPr>
      <w:r>
        <w:rPr/>
        <w:t>​</w:t>
      </w:r>
    </w:p>
    <w:tbl>
      <w:tblPr>
        <w:tblW w:w="4534" w:type="dxa"/>
        <w:jc w:val="left"/>
        <w:tblInd w:w="0" w:type="dxa"/>
        <w:tblLayout w:type="fixed"/>
        <w:tblCellMar>
          <w:top w:w="0" w:type="dxa"/>
          <w:left w:w="0" w:type="dxa"/>
          <w:bottom w:w="0" w:type="dxa"/>
          <w:right w:w="0" w:type="dxa"/>
        </w:tblCellMar>
      </w:tblPr>
      <w:tblGrid>
        <w:gridCol w:w="3316"/>
        <w:gridCol w:w="326"/>
        <w:gridCol w:w="211"/>
        <w:gridCol w:w="68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05660" cy="175260"/>
                      <wp:effectExtent l="0" t="0" r="0" b="0"/>
                      <wp:wrapNone/>
                      <wp:docPr id="112" name="Frame11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2435" cy="175260"/>
                      <wp:effectExtent l="0" t="0" r="0" b="0"/>
                      <wp:wrapNone/>
                      <wp:docPr id="115" name="Frame11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center"/>
              <w:rPr/>
            </w:pPr>
            <w:r>
              <w:rPr/>
              <w:t>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1,264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3" w:name="Tc_tOou2IOuz0Osb8YrVW8ipQ_11_7"/>
      <w:bookmarkStart w:id="704" w:name="Tc_k8-dSf8F_kuNVGuF24alRw_11_2"/>
      <w:bookmarkStart w:id="705" w:name="Tc_ACk22Zjl9UOh-dmiT3LliA_11_0"/>
      <w:bookmarkStart w:id="706" w:name="Tc_IuQMWSf50UCIDZo-lRPE-Q_10_0"/>
      <w:bookmarkStart w:id="707" w:name="Tc_EkRS8gFH70urhZwXP_ymKQ_9_0"/>
      <w:bookmarkStart w:id="708" w:name="Tc_vDA4GPQgpk6YPJ2JlOkT0Q_8_0"/>
      <w:bookmarkStart w:id="709" w:name="Tc_OpUzD7ulx0ivJmp-5ez8_g_7_0"/>
      <w:bookmarkStart w:id="710" w:name="Tc_o-M3Ga2yR02GADlXWJZbXg_6_0"/>
      <w:bookmarkStart w:id="711" w:name="Tc_JgCc4_l3Jku-q5CxeQkHLg_5_0"/>
      <w:bookmarkStart w:id="712" w:name="Tc_VU50XdbSbUaWmWmjpVY2Gg_4_0"/>
      <w:bookmarkStart w:id="713" w:name="Tc_hVAvM52PVUGtMcTsJH9SAA_3_7"/>
      <w:bookmarkStart w:id="714" w:name="Tc_dGwxxIlgHky5KcmR7boZug_3_2"/>
      <w:bookmarkStart w:id="715" w:name="Tc_IVTWhHbrQUWOxmEEhQOydA_3_0"/>
      <w:bookmarkStart w:id="716" w:name="Tc_YPSpzT8zZEeEaJEx3Cz9pw_2_7"/>
      <w:bookmarkStart w:id="717" w:name="Tc_cgaR0244Q0Sif2KHu55OSw_2_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b/>
          <w:sz w:val="20"/>
        </w:rPr>
        <w:t>Note 7. Accrued expenses and other current liabilities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 of March 31, 2024 and December 31, 2023, accrued expenses and other current liabilities consisted of the following:</w:t>
      </w:r>
    </w:p>
    <w:p>
      <w:pPr>
        <w:pStyle w:val="TextBody"/>
        <w:bidi w:val="0"/>
        <w:spacing w:before="0" w:after="0"/>
        <w:ind w:left="0" w:right="0" w:hanging="0"/>
        <w:jc w:val="left"/>
        <w:rPr/>
      </w:pPr>
      <w:r>
        <w:rPr/>
        <w:t>​</w:t>
      </w:r>
    </w:p>
    <w:tbl>
      <w:tblPr>
        <w:tblW w:w="8126" w:type="dxa"/>
        <w:jc w:val="left"/>
        <w:tblInd w:w="0" w:type="dxa"/>
        <w:tblLayout w:type="fixed"/>
        <w:tblCellMar>
          <w:top w:w="0" w:type="dxa"/>
          <w:left w:w="0" w:type="dxa"/>
          <w:bottom w:w="0" w:type="dxa"/>
          <w:right w:w="0" w:type="dxa"/>
        </w:tblCellMar>
      </w:tblPr>
      <w:tblGrid>
        <w:gridCol w:w="4261"/>
        <w:gridCol w:w="326"/>
        <w:gridCol w:w="388"/>
        <w:gridCol w:w="1053"/>
        <w:gridCol w:w="109"/>
        <w:gridCol w:w="109"/>
        <w:gridCol w:w="109"/>
        <w:gridCol w:w="418"/>
        <w:gridCol w:w="1353"/>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705735" cy="175260"/>
                      <wp:effectExtent l="0" t="0" r="0" b="0"/>
                      <wp:wrapNone/>
                      <wp:docPr id="116" name="Frame116"/>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6380" cy="175260"/>
                      <wp:effectExtent l="0" t="0" r="0" b="0"/>
                      <wp:wrapNone/>
                      <wp:docPr id="118" name="Frame11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8655" cy="175260"/>
                      <wp:effectExtent l="0" t="0" r="0" b="0"/>
                      <wp:wrapNone/>
                      <wp:docPr id="119" name="Frame119"/>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65430" cy="175260"/>
                      <wp:effectExtent l="0" t="0" r="0" b="0"/>
                      <wp:wrapNone/>
                      <wp:docPr id="123" name="Frame123"/>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59155" cy="175260"/>
                      <wp:effectExtent l="0" t="0" r="0" b="0"/>
                      <wp:wrapNone/>
                      <wp:docPr id="124" name="Frame124"/>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8"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w:t>
            </w:r>
          </w:p>
        </w:tc>
        <w:tc>
          <w:tcPr>
            <w:tcW w:w="1353"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accrual</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Tax-related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 </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Gift certificates</w:t>
            </w:r>
          </w:p>
        </w:tc>
        <w:tc>
          <w:tcPr>
            <w:tcW w:w="326" w:type="dxa"/>
            <w:tcBorders/>
            <w:vAlign w:val="center"/>
          </w:tcPr>
          <w:p>
            <w:pPr>
              <w:pStyle w:val="TableContents"/>
              <w:bidi w:val="0"/>
              <w:spacing w:before="0" w:after="1"/>
              <w:ind w:left="0" w:right="0" w:hanging="0"/>
              <w:jc w:val="left"/>
              <w:rPr/>
            </w:pPr>
            <w:r>
              <w:rPr/>
              <w:t>​</w:t>
            </w:r>
          </w:p>
        </w:tc>
        <w:tc>
          <w:tcPr>
            <w:tcW w:w="388" w:type="dxa"/>
            <w:tcBorders/>
            <w:vAlign w:val="center"/>
          </w:tcPr>
          <w:p>
            <w:pPr>
              <w:pStyle w:val="TableContents"/>
              <w:bidi w:val="0"/>
              <w:spacing w:before="0" w:after="1"/>
              <w:ind w:left="0" w:right="0" w:hanging="0"/>
              <w:jc w:val="left"/>
              <w:rPr/>
            </w:pPr>
            <w:r>
              <w:rPr/>
              <w:t> </w:t>
            </w:r>
          </w:p>
        </w:tc>
        <w:tc>
          <w:tcPr>
            <w:tcW w:w="10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13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card processing fees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13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3,695</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4,968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bookmarkStart w:id="718" w:name="_692211"/>
      <w:bookmarkEnd w:id="718"/>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 Acquisition of Naples Wax, LLC</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12, 2023, the Company acquired all of the equity interests in Naples Wax, LLC, d/b/a Naples Wax Centers, a Florida limited liability company (“Naples Wax”), for an aggregate purchase price of $1,624, of which $1,574 was paid in cash at closing. The remaining $50 was held for six months as a holdback to cover any potential indemnification claims. $14 was paid in the quarter ended March 31, 2024. The remaining $36 was offset by operating expenses.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As of March 31, 2024, no impairment of the Company’s goodwill was required. The purchase accounting for the acquisition remains incomplete as management continues to gather and evaluate information about circumstances that existed as of the acquisition date. Upon the conclusion of the measurement period or final determination of the values of the assets acquired or liabilities assumed, whichever comes first, any subsequent adjustments are recorded in the condensed consolidated statements of operations.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income tax purposes, this acquisition of 100% of the units is treated as an asset acquisition. As a result of the acquisition of Naples Wax, the company generated tax deductible goodwill of $1,371.</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leases spa and clinic locations at various domestic and international airports. Additionally, the Company leases its corporate office in New York City and other off airport locations in various US cities. Certain leases entered into by the Company are accounted for in accordance with ASC 842. The Company determines if an arrangement is a lease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19" w:name="Tc_osotIiBxlk6qv98JL3LDrA_2_4"/>
      <w:bookmarkStart w:id="720" w:name="Tc_A7H9xHkv8E2RdV_6-Se_xw_2_0"/>
      <w:bookmarkStart w:id="721" w:name="Tc_TMm64ISYoEit0p_5S8x75Q_1_4"/>
      <w:bookmarkStart w:id="722" w:name="Tc_7BlHVSoBfkyZJQyvv91mDQ_1_0"/>
      <w:bookmarkStart w:id="723" w:name="Tc_Nykhlh-0CUqe-u9q5Hs6bw_11_2"/>
      <w:bookmarkStart w:id="724" w:name="Tc_8E6K5MkSQk6JcH8anbSn1g_11_0"/>
      <w:bookmarkStart w:id="725" w:name="Tc_HKCdBeSVgUiY-ogitT-vtA_10_0"/>
      <w:bookmarkStart w:id="726" w:name="Tc_kgdaFS556Ey3Q43JhqOMcw_9_0"/>
      <w:bookmarkStart w:id="727" w:name="Tc_fmNJdwhIr0Ceq-tmrbykeQ_8_0"/>
      <w:bookmarkStart w:id="728" w:name="Tc_u3wC_GnoU02U2mvyI6Mh8w_7_0"/>
      <w:bookmarkStart w:id="729" w:name="Tc_ohY_3-pGEUS6vQ0_wxeCcA_6_0"/>
      <w:bookmarkStart w:id="730" w:name="Tc_jK_CD-UX1ECDjAbYV0d7GQ_5_0"/>
      <w:bookmarkStart w:id="731" w:name="Tc_8EJND2RmU0uMcJJsMPHgnQ_4_0"/>
      <w:bookmarkStart w:id="732" w:name="Tc_LqoQIoibo0aToS84_h_xiw_3_0"/>
      <w:bookmarkStart w:id="733" w:name="Tc_6OBXvAS4A0qBIWnsd3l9uA_2_2"/>
      <w:bookmarkStart w:id="734" w:name="Tc_hLNoUAhGPECLBgxavdQqEw_2_0"/>
      <w:bookmarkStart w:id="735" w:name="Tc_2XoYMB7MLUK1XR_JJgKhHA_1_2"/>
      <w:bookmarkStart w:id="736" w:name="Tc_imYwEkb77k6dvMU1NR_88w_1_0"/>
      <w:bookmarkStart w:id="737" w:name="Tc_MRkMocYb2UmypOa0_awJwg_4_5"/>
      <w:bookmarkStart w:id="738" w:name="Tc_Saq99XW-C0iZGavRShTRMQ_4_2"/>
      <w:bookmarkStart w:id="739" w:name="Tc_yVWewJ0aZEKO23lstJYGrg_4_0"/>
      <w:bookmarkStart w:id="740" w:name="Tc_AC3eti9gbkCB2ssw_k0MEg_3_0"/>
      <w:bookmarkStart w:id="741" w:name="Tc_hG0yasRbfkmTQ6LWaUoI9g_2_5"/>
      <w:bookmarkStart w:id="742" w:name="Tc_V5msnKMFjU2HRA6DglBKKQ_2_2"/>
      <w:bookmarkStart w:id="743" w:name="Tc_wQK3zu5qBE6MBzcHzxAsXg_1_2"/>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Times New Roman;Times;serif" w:hAnsi="Times New Roman;Times;serif"/>
          <w:sz w:val="20"/>
        </w:rPr>
        <w:t>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reviews all of its existing lease agreements to determine whether there were any modifications to lease agreements and to assess if any agreements should be accounted for pursuant to the guidance in ASC 842.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activity in the Company’s current and long-term operating lease liabilities for the three months ended March 31, 2024 and 2023:</w:t>
      </w:r>
    </w:p>
    <w:p>
      <w:pPr>
        <w:pStyle w:val="TextBody"/>
        <w:bidi w:val="0"/>
        <w:spacing w:before="0" w:after="0"/>
        <w:ind w:left="0" w:right="0" w:hanging="0"/>
        <w:jc w:val="left"/>
        <w:rPr/>
      </w:pPr>
      <w:r>
        <w:rPr/>
        <w:t>​</w:t>
      </w:r>
    </w:p>
    <w:tbl>
      <w:tblPr>
        <w:tblW w:w="9010" w:type="dxa"/>
        <w:jc w:val="left"/>
        <w:tblInd w:w="0" w:type="dxa"/>
        <w:tblLayout w:type="fixed"/>
        <w:tblCellMar>
          <w:top w:w="0" w:type="dxa"/>
          <w:left w:w="0" w:type="dxa"/>
          <w:bottom w:w="0" w:type="dxa"/>
          <w:right w:w="0" w:type="dxa"/>
        </w:tblCellMar>
      </w:tblPr>
      <w:tblGrid>
        <w:gridCol w:w="5866"/>
        <w:gridCol w:w="326"/>
        <w:gridCol w:w="317"/>
        <w:gridCol w:w="813"/>
        <w:gridCol w:w="490"/>
        <w:gridCol w:w="317"/>
        <w:gridCol w:w="88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4910" cy="175260"/>
                      <wp:effectExtent l="0" t="0" r="0" b="0"/>
                      <wp:wrapNone/>
                      <wp:docPr id="125" name="Frame125"/>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1295" cy="175260"/>
                      <wp:effectExtent l="0" t="0" r="0" b="0"/>
                      <wp:wrapNone/>
                      <wp:docPr id="127" name="Frame12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16255" cy="175260"/>
                      <wp:effectExtent l="0" t="0" r="0" b="0"/>
                      <wp:wrapNone/>
                      <wp:docPr id="128" name="Frame12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11150" cy="175260"/>
                      <wp:effectExtent l="0" t="0" r="0" b="0"/>
                      <wp:wrapNone/>
                      <wp:docPr id="129" name="Frame129"/>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1295" cy="175260"/>
                      <wp:effectExtent l="0" t="0" r="0" b="0"/>
                      <wp:wrapNone/>
                      <wp:docPr id="130" name="Frame13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59435" cy="175260"/>
                      <wp:effectExtent l="0" t="0" r="0" b="0"/>
                      <wp:wrapNone/>
                      <wp:docPr id="131" name="Frame13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90" w:type="dxa"/>
            <w:tcBorders/>
            <w:vAlign w:val="center"/>
          </w:tcPr>
          <w:p>
            <w:pPr>
              <w:pStyle w:val="TableContents"/>
              <w:bidi w:val="0"/>
              <w:spacing w:before="0" w:after="0"/>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490"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operating leases contain the following future minimum commitments:</w:t>
      </w:r>
    </w:p>
    <w:p>
      <w:pPr>
        <w:pStyle w:val="TextBody"/>
        <w:bidi w:val="0"/>
        <w:spacing w:before="0" w:after="0"/>
        <w:ind w:left="0" w:right="0" w:hanging="0"/>
        <w:jc w:val="left"/>
        <w:rPr/>
      </w:pPr>
      <w:r>
        <w:rPr/>
        <w:t>​</w:t>
      </w:r>
    </w:p>
    <w:tbl>
      <w:tblPr>
        <w:tblW w:w="5644" w:type="dxa"/>
        <w:jc w:val="left"/>
        <w:tblInd w:w="0" w:type="dxa"/>
        <w:tblLayout w:type="fixed"/>
        <w:tblCellMar>
          <w:top w:w="0" w:type="dxa"/>
          <w:left w:w="0" w:type="dxa"/>
          <w:bottom w:w="0" w:type="dxa"/>
          <w:right w:w="0" w:type="dxa"/>
        </w:tblCellMar>
      </w:tblPr>
      <w:tblGrid>
        <w:gridCol w:w="4321"/>
        <w:gridCol w:w="326"/>
        <w:gridCol w:w="211"/>
        <w:gridCol w:w="78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43835" cy="175260"/>
                      <wp:effectExtent l="0" t="0" r="0" b="0"/>
                      <wp:wrapNone/>
                      <wp:docPr id="132" name="Frame13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9110" cy="175260"/>
                      <wp:effectExtent l="0" t="0" r="0" b="0"/>
                      <wp:wrapNone/>
                      <wp:docPr id="135" name="Frame13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12,110</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7546"/>
        <w:gridCol w:w="146"/>
        <w:gridCol w:w="109"/>
        <w:gridCol w:w="466"/>
        <w:gridCol w:w="571"/>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791710" cy="175260"/>
                      <wp:effectExtent l="0" t="0" r="0" b="0"/>
                      <wp:wrapNone/>
                      <wp:docPr id="136" name="Frame136"/>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2710" cy="175260"/>
                      <wp:effectExtent l="0" t="0" r="0" b="0"/>
                      <wp:wrapNone/>
                      <wp:docPr id="137" name="Frame1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5910" cy="175260"/>
                      <wp:effectExtent l="0" t="0" r="0" b="0"/>
                      <wp:wrapNone/>
                      <wp:docPr id="139" name="Frame1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62585" cy="175260"/>
                      <wp:effectExtent l="0" t="0" r="0" b="0"/>
                      <wp:wrapNone/>
                      <wp:docPr id="140" name="Frame1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minimum annual rental obligations for the three months ended March 31, 2024 and 2023, were $450 and $662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a product and services revenue were $360 and $345 for the three months ended March 31, 2024 and 2023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4" w:name="Tc_vQ5jm-NiQ0mUZ3jl4NG1tw_5_5"/>
      <w:bookmarkStart w:id="745" w:name="Tc_EA16qYCIy02fH1Nn4jkjGA_5_2"/>
      <w:bookmarkStart w:id="746" w:name="Tc_fBlpaQ8etk69trN_I4rXHg_5_0"/>
      <w:bookmarkStart w:id="747" w:name="Tc_81bexULcQk6wISBHqNPWBQ_4_0"/>
      <w:bookmarkStart w:id="748" w:name="Tc_cnIGEy4b5Ui5apm0jztFcQ_3_0"/>
      <w:bookmarkStart w:id="749" w:name="Tc_vSdAdiC-IU-ujweNz2ybNA_2_5"/>
      <w:bookmarkStart w:id="750" w:name="Tc_dOtKoWaXXk2qP_BHBuBZMQ_2_2"/>
      <w:bookmarkStart w:id="751" w:name="Tc_GrhFg-J0z0qJu5-gHgjQkg_2_0"/>
      <w:bookmarkStart w:id="752" w:name="Tc_MAhlOrnxrUeaProFEpKcHA_1_5"/>
      <w:bookmarkStart w:id="753" w:name="Tc_gDUf4HdwcUKyr4tDkLdAzA_1_2"/>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sz w:val="20"/>
        </w:rPr>
        <w:t>Note 10. Other Assets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As of March 31, 2024 and December 31, 2023, assets consisted of the following:</w:t>
      </w:r>
    </w:p>
    <w:p>
      <w:pPr>
        <w:pStyle w:val="TextBody"/>
        <w:bidi w:val="0"/>
        <w:spacing w:before="0" w:after="0"/>
        <w:ind w:left="0" w:right="0" w:hanging="0"/>
        <w:jc w:val="left"/>
        <w:rPr/>
      </w:pPr>
      <w:r>
        <w:rPr/>
        <w:t>​</w:t>
      </w:r>
    </w:p>
    <w:tbl>
      <w:tblPr>
        <w:tblW w:w="5560" w:type="dxa"/>
        <w:jc w:val="left"/>
        <w:tblInd w:w="0" w:type="dxa"/>
        <w:tblLayout w:type="fixed"/>
        <w:tblCellMar>
          <w:top w:w="0" w:type="dxa"/>
          <w:left w:w="0" w:type="dxa"/>
          <w:bottom w:w="0" w:type="dxa"/>
          <w:right w:w="0" w:type="dxa"/>
        </w:tblCellMar>
      </w:tblPr>
      <w:tblGrid>
        <w:gridCol w:w="1696"/>
        <w:gridCol w:w="326"/>
        <w:gridCol w:w="388"/>
        <w:gridCol w:w="1053"/>
        <w:gridCol w:w="326"/>
        <w:gridCol w:w="418"/>
        <w:gridCol w:w="1353"/>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076960" cy="175260"/>
                      <wp:effectExtent l="0" t="0" r="0" b="0"/>
                      <wp:wrapNone/>
                      <wp:docPr id="141" name="Frame14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46380" cy="175260"/>
                      <wp:effectExtent l="0" t="0" r="0" b="0"/>
                      <wp:wrapNone/>
                      <wp:docPr id="143" name="Frame14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68655" cy="175260"/>
                      <wp:effectExtent l="0" t="0" r="0" b="0"/>
                      <wp:wrapNone/>
                      <wp:docPr id="144" name="Frame144"/>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65430" cy="175260"/>
                      <wp:effectExtent l="0" t="0" r="0" b="0"/>
                      <wp:wrapNone/>
                      <wp:docPr id="146" name="Frame146"/>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59155" cy="175260"/>
                      <wp:effectExtent l="0" t="0" r="0" b="0"/>
                      <wp:wrapNone/>
                      <wp:docPr id="147" name="Frame147"/>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4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deposits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326"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bidi w:val="0"/>
              <w:spacing w:before="0" w:after="0"/>
              <w:ind w:left="0" w:right="0" w:hanging="0"/>
              <w:jc w:val="left"/>
              <w:rPr/>
            </w:pPr>
            <w:r>
              <w:rPr/>
              <w:t>​</w:t>
            </w:r>
          </w:p>
        </w:tc>
        <w:tc>
          <w:tcPr>
            <w:tcW w:w="4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26" w:type="dxa"/>
            <w:tcBorders/>
            <w:vAlign w:val="center"/>
          </w:tcPr>
          <w:p>
            <w:pPr>
              <w:pStyle w:val="TableContents"/>
              <w:bidi w:val="0"/>
              <w:spacing w:before="0" w:after="0"/>
              <w:ind w:left="0" w:right="0" w:hanging="0"/>
              <w:jc w:val="left"/>
              <w:rPr/>
            </w:pPr>
            <w:r>
              <w:rPr/>
              <w:t>​</w:t>
            </w:r>
          </w:p>
        </w:tc>
        <w:tc>
          <w:tcPr>
            <w:tcW w:w="4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tcMar>
              <w:bottom w:w="28" w:type="dxa"/>
            </w:tcMar>
            <w:vAlign w:val="center"/>
          </w:tcPr>
          <w:p>
            <w:pPr>
              <w:pStyle w:val="TableContents"/>
              <w:bidi w:val="0"/>
              <w:spacing w:before="0" w:after="0"/>
              <w:ind w:left="0" w:right="65" w:hanging="0"/>
              <w:jc w:val="right"/>
              <w:rPr>
                <w:rFonts w:ascii="Times New Roman;Times;serif" w:hAnsi="Times New Roman;Times;serif"/>
                <w:sz w:val="20"/>
              </w:rPr>
            </w:pPr>
            <w:r>
              <w:rPr>
                <w:rFonts w:ascii="Times New Roman;Times;serif" w:hAnsi="Times New Roman;Times;serif"/>
                <w:sz w:val="20"/>
              </w:rPr>
              <w:t>1,842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Stockholders’ Equity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2023 Reverse Stock Split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28, 2023, we effected the “Reverse Stock Split”, whereby every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shares of our common stock were reduced 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United States of America generally accepted accounting principles.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 stock-based compensation plan available to grant stock options and RSUs to the Company’s directors, employees and consultants.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Times;serif" w:hAnsi="Times New Roman;Times;serif"/>
          <w:color w:val="212529"/>
          <w:sz w:val="20"/>
          <w:shd w:fill="FFFFFF" w:val="clear"/>
        </w:rPr>
        <w:t xml:space="preserve">the amendment to the Company’s 2020 Equity Incentive Plan to increase the number of shares authorized for issuance under the Plan by 375,000 shares of Common Stock to an aggregate of 625,000 shares. </w:t>
      </w:r>
      <w:r>
        <w:rPr>
          <w:rFonts w:ascii="Times New Roman;Times;serif" w:hAnsi="Times New Roman;Times;serif"/>
          <w:sz w:val="20"/>
        </w:rPr>
        <w:t>Under the 2020 Equity Incentive Plan (the “2020 Plan”), a maximum of 141,120 shares of Common Stock remained available for issuance as of March 31,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equal quarterly installments, and expire 10 years from the date of grant. RSU’s granted generally vest over a period of one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March 31, 2024.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2024 and 2023, there was $74 and $167 respectively of unrecognized stock-based compensation related to the XpresTest Plan.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54" w:name="Tc__mMiStPDiU-conVZm2H_bw_12_18"/>
      <w:bookmarkStart w:id="755" w:name="Tc_faxdRWRB9ESkR0Y86sfV-A_12_17"/>
      <w:bookmarkStart w:id="756" w:name="Tc_jUXbZmS3YUWk56TRiTUAZw_12_14"/>
      <w:bookmarkStart w:id="757" w:name="Tc_V9nTRW1cjEqcLPgBWjF90Q_12_0"/>
      <w:bookmarkStart w:id="758" w:name="Tc_KECNtI2JxkWB4KR4DJqV9Q_11_18"/>
      <w:bookmarkStart w:id="759" w:name="Tc_7kcb7bXOpUeZQP3YJEgqqQ_11_17"/>
      <w:bookmarkStart w:id="760" w:name="Tc_HPS6t2uyiEWJo37R3BhJgg_11_14"/>
      <w:bookmarkStart w:id="761" w:name="Tc_oEQ1NXH3XEmgiA05KC_IIg_11_9"/>
      <w:bookmarkStart w:id="762" w:name="Tc_Vvh4qaHsm0u8UGm-E_aZuA_11_4"/>
      <w:bookmarkStart w:id="763" w:name="Tc_5XOSJNoAj0-tDR7krPijdA_11_0"/>
      <w:bookmarkStart w:id="764" w:name="Tc_6BnTi5jnrE-YW6NMLRfYGw_10_18"/>
      <w:bookmarkStart w:id="765" w:name="Tc_PvI7R0128kaWUC4oJIyWuA_10_17"/>
      <w:bookmarkStart w:id="766" w:name="Tc_jwZ-lra0kEW1JxEhnc8xFw_10_14"/>
      <w:bookmarkStart w:id="767" w:name="Tc_Ev6CB3kfCkWWohuEP-LBtw_10_10"/>
      <w:bookmarkStart w:id="768" w:name="Tc_gET2ONek9U2lIIvfVPbOQw_10_7"/>
      <w:bookmarkStart w:id="769" w:name="Tc__JobQMxyK0iNa5bAzAvVZA_10_5"/>
      <w:bookmarkStart w:id="770" w:name="Tc_AFO-UGWJw0WuexNCupOtJA_10_2"/>
      <w:bookmarkStart w:id="771" w:name="Tc_-RJGXD8bxUi4S2bPo6i6eg_10_0"/>
      <w:bookmarkStart w:id="772" w:name="Tc_k-4ROLgRhkKcq3lg-mpnKA_9_18"/>
      <w:bookmarkStart w:id="773" w:name="Tc_5SUJqIGvokaZegWy09tNkQ_9_17"/>
      <w:bookmarkStart w:id="774" w:name="Tc_mwWLPRTPi0aCsv52a7570A_9_14"/>
      <w:bookmarkStart w:id="775" w:name="Tc_qWaVUZ8ulEOZey27FPWhuQ_9_10"/>
      <w:bookmarkStart w:id="776" w:name="Tc_TEcRcUMGLUqdl2OGuMYqTA_9_7"/>
      <w:bookmarkStart w:id="777" w:name="Tc_i6sZ1iY20Ei9NqjZcQq4qA_9_0"/>
      <w:bookmarkStart w:id="778" w:name="Tc_1KGV14ZVbUC-3R3A6K2w8A_8_15"/>
      <w:bookmarkStart w:id="779" w:name="Tc_e6HeUquRdk-syaur6BdSCg_8_12"/>
      <w:bookmarkStart w:id="780" w:name="Tc_aH61KldNukeDPgyOUiKmSw_8_10"/>
      <w:bookmarkStart w:id="781" w:name="Tc_RwLKJeI2MEOkwtvzwgt0vQ_8_7"/>
      <w:bookmarkStart w:id="782" w:name="Tc_eBrTqHtvSkyQMV5Iqs90Lg_8_0"/>
      <w:bookmarkStart w:id="783" w:name="Tc_KtgKPLO0eE-Drq1fTNJh5Q_7_18"/>
      <w:bookmarkStart w:id="784" w:name="Tc_a0KFeVxXO0ixnHEOXgR3Xw_7_14"/>
      <w:bookmarkStart w:id="785" w:name="Tc_XlotDrVjIUK2Y-6P_BYpgQ_7_10"/>
      <w:bookmarkStart w:id="786" w:name="Tc_7nu6uo0GD0-RZlEFaqLm9Q_7_7"/>
      <w:bookmarkStart w:id="787" w:name="Tc_BBOhaBPyNUSgtBgPhIZYTw_7_5"/>
      <w:bookmarkStart w:id="788" w:name="Tc_OZh7xqE3OUODFvOf7HBnNg_7_2"/>
      <w:bookmarkStart w:id="789" w:name="Tc_R7mRgd6RgE6Q7qJJKFB3lQ_7_0"/>
      <w:bookmarkStart w:id="790" w:name="Tc_11c4s5F6h0-Tn4RfcZMXug_6_18"/>
      <w:bookmarkStart w:id="791" w:name="Tc_oBJHRZ0erEaAsPOAGIxeaA_6_17"/>
      <w:bookmarkStart w:id="792" w:name="Tc_WfcZ-pzZtEWXUDwsF6NBwQ_6_14"/>
      <w:bookmarkStart w:id="793" w:name="Tc_Ka2OBmTZSE2wOKZAlnBrwg_6_9"/>
      <w:bookmarkStart w:id="794" w:name="Tc_nJXcV9mjL0e74100VisQdQ_6_4"/>
      <w:bookmarkStart w:id="795" w:name="Tc_Ita1MgPjf0-M37RebFZNCQ_6_0"/>
      <w:bookmarkStart w:id="796" w:name="Tc_CxCW-ZQ-2kaF7lCYjMqFbg_5_17"/>
      <w:bookmarkStart w:id="797" w:name="Tc_R9172-mfPUi3pBcLLNAPQg_5_14"/>
      <w:bookmarkStart w:id="798" w:name="Tc_7AwbsyDpPU2oO0Gqzswwmg_5_12"/>
      <w:bookmarkStart w:id="799" w:name="Tc_wKgtR_ryXUebQlNHwja8fw_5_9"/>
      <w:bookmarkStart w:id="800" w:name="Tc_NcAbjstixUeGLbYoBmb-eg_5_7"/>
      <w:bookmarkStart w:id="801" w:name="Tc_PRSViaTHjU-Ouo21qDuwiw_5_4"/>
      <w:bookmarkStart w:id="802" w:name="Tc_B59YaIc1T02gvuD9yDyacA_5_2"/>
      <w:bookmarkStart w:id="803" w:name="Tc_8cFgkcOJ1EqP3mGErQy2XA_4_17"/>
      <w:bookmarkStart w:id="804" w:name="Tc_Ef8IoWDL2EKrV5SPOjtrIQ_4_14"/>
      <w:bookmarkStart w:id="805" w:name="Tc_vw6qAa2q5keUVGqh9fOBSQ_4_12"/>
      <w:bookmarkStart w:id="806" w:name="Tc_dFDr6LsOvUK7nbcaIyKI3A_4_9"/>
      <w:bookmarkStart w:id="807" w:name="Tc_m7GvxFVpF0iBYB3Z39-0KA_4_7"/>
      <w:bookmarkStart w:id="808" w:name="Tc_DHm51bX0HEaOjmMgHrN0nw_4_4"/>
      <w:bookmarkStart w:id="809" w:name="Tc_pOl-F3evpkyHprLeMGqUTA_4_2"/>
      <w:bookmarkStart w:id="810" w:name="Tc_ycFNhP0pmkC3peyHFaoOAg_3_17"/>
      <w:bookmarkStart w:id="811" w:name="Tc_lRXAN7PL5UaOptAkCpzPIg_3_14"/>
      <w:bookmarkStart w:id="812" w:name="Tc_9WkfJI9z8ECf_gQjMBBtOQ_3_9"/>
      <w:bookmarkStart w:id="813" w:name="Tc_Z67-cdmTNEOI3PaqlCpG3A_3_4"/>
      <w:bookmarkStart w:id="814" w:name="Tc_qH1yVurDIUaZy1XEzWMt3Q_2_14"/>
      <w:bookmarkStart w:id="815" w:name="Tc_sl2zgqgwnkmFvdkDTqRKAw_2_9"/>
      <w:bookmarkStart w:id="816" w:name="Tc_CvLEvm4Fu0iEZmppbu0LkA_2_4"/>
      <w:bookmarkStart w:id="817" w:name="Tc_NcxT9Kk67UmmfNl1u-BDrw_1_12"/>
      <w:bookmarkStart w:id="818" w:name="Tc_vtFuk_hDJUeJIzN-nSBq7A_1_7"/>
      <w:bookmarkStart w:id="819" w:name="Tc_1CvF0nD7LEOiAkYGVucaFQ_1_2"/>
      <w:bookmarkStart w:id="820" w:name="Tc_EO7A_gmiq0ucaVJycHE1ww_6_4"/>
      <w:bookmarkStart w:id="821" w:name="Tc_S_L_SoHcMEOOx-RxxM_J5g_6_3"/>
      <w:bookmarkStart w:id="822" w:name="Tc_ksfznd8m20WN-aAvdwLiFA_6_0"/>
      <w:bookmarkStart w:id="823" w:name="Tc_9BRvycS940SOI_K9af5lDw_5_4"/>
      <w:bookmarkStart w:id="824" w:name="Tc_c8rdKw_V5U2sVSU0lhHmaA_5_0"/>
      <w:bookmarkStart w:id="825" w:name="Tc_i61bcFquf0CfVU2oW7Kimw_4_4"/>
      <w:bookmarkStart w:id="826" w:name="Tc_K-YQnDTE1U-Sj3E22MqFIw_4_0"/>
      <w:bookmarkStart w:id="827" w:name="Tc_D0hB3NzJNUm083eCWP60Tw_3_4"/>
      <w:bookmarkStart w:id="828" w:name="Tc_YHJ4G0v_MEug1wPICFKO0w_3_0"/>
      <w:bookmarkStart w:id="829" w:name="Tc_EC_u0sLZSUGeWeqSHugEVw_2_3"/>
      <w:bookmarkStart w:id="830" w:name="Tc_C-fFjxKju0ClnVM5oY2yKA_2_2"/>
      <w:bookmarkStart w:id="831" w:name="Tc_gz9kUywFfk6UaawxiEdfLQ_2_0"/>
      <w:bookmarkStart w:id="832" w:name="Tc_uUbMIkfGskuBnLQJ6-x7Rg_1_3"/>
      <w:bookmarkStart w:id="833" w:name="Tc_gdqyWdPYmUa7vagWwik2Tw_1_2"/>
      <w:bookmarkStart w:id="834" w:name="Tc_CNP2yEF73k6kymtjdnRLhA_1_0"/>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bidi w:val="0"/>
        <w:spacing w:before="0" w:after="0"/>
        <w:ind w:left="0" w:right="0" w:hanging="0"/>
        <w:jc w:val="both"/>
        <w:rPr/>
      </w:pPr>
      <w:r>
        <w:rPr/>
        <w:t>​</w:t>
      </w:r>
    </w:p>
    <w:tbl>
      <w:tblPr>
        <w:tblW w:w="6848" w:type="dxa"/>
        <w:jc w:val="left"/>
        <w:tblInd w:w="0" w:type="dxa"/>
        <w:tblLayout w:type="fixed"/>
        <w:tblCellMar>
          <w:top w:w="0" w:type="dxa"/>
          <w:left w:w="0" w:type="dxa"/>
          <w:bottom w:w="0" w:type="dxa"/>
          <w:right w:w="0" w:type="dxa"/>
        </w:tblCellMar>
      </w:tblPr>
      <w:tblGrid>
        <w:gridCol w:w="5281"/>
        <w:gridCol w:w="109"/>
        <w:gridCol w:w="211"/>
        <w:gridCol w:w="676"/>
        <w:gridCol w:w="57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353435" cy="175260"/>
                      <wp:effectExtent l="0" t="0" r="0" b="0"/>
                      <wp:wrapNone/>
                      <wp:docPr id="148" name="Frame148"/>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2585" cy="175260"/>
                      <wp:effectExtent l="0" t="0" r="0" b="0"/>
                      <wp:wrapNone/>
                      <wp:docPr id="152" name="Frame1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571" w:type="dxa"/>
            <w:tcBorders/>
            <w:vAlign w:val="center"/>
          </w:tcPr>
          <w:p>
            <w:pPr>
              <w:pStyle w:val="TableContents"/>
              <w:bidi w:val="0"/>
              <w:spacing w:before="0" w:after="1"/>
              <w:ind w:left="0" w:right="0" w:hanging="0"/>
              <w:jc w:val="left"/>
              <w:rPr/>
            </w:pPr>
            <w:r>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Annual average risk-free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stock-based compensation for the three months ended March 31, 2024 and 2023 is $282 and $612,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information about stock options and RSU activity for the three months ended March 31,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50"/>
        <w:gridCol w:w="326"/>
        <w:gridCol w:w="679"/>
        <w:gridCol w:w="326"/>
        <w:gridCol w:w="303"/>
        <w:gridCol w:w="673"/>
        <w:gridCol w:w="326"/>
        <w:gridCol w:w="601"/>
        <w:gridCol w:w="326"/>
        <w:gridCol w:w="231"/>
        <w:gridCol w:w="745"/>
        <w:gridCol w:w="326"/>
        <w:gridCol w:w="784"/>
        <w:gridCol w:w="326"/>
        <w:gridCol w:w="247"/>
        <w:gridCol w:w="669"/>
        <w:gridCol w:w="326"/>
        <w:gridCol w:w="211"/>
        <w:gridCol w:w="930"/>
      </w:tblGrid>
      <w:tr>
        <w:trPr/>
        <w:tc>
          <w:tcPr>
            <w:tcW w:w="1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74750" cy="175260"/>
                      <wp:effectExtent l="0" t="0" r="0" b="0"/>
                      <wp:wrapNone/>
                      <wp:docPr id="153" name="Frame153"/>
                      <a:graphic xmlns:a="http://schemas.openxmlformats.org/drawingml/2006/main">
                        <a:graphicData uri="http://schemas.microsoft.com/office/word/2010/wordprocessingShape">
                          <wps:wsp>
                            <wps:cNvSpPr txBox="1"/>
                            <wps:spPr>
                              <a:xfrm>
                                <a:off x="0" y="0"/>
                                <a:ext cx="1174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1165" cy="175260"/>
                      <wp:effectExtent l="0" t="0" r="0" b="0"/>
                      <wp:wrapNone/>
                      <wp:docPr id="155" name="Frame155"/>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2405" cy="175260"/>
                      <wp:effectExtent l="0" t="0" r="0" b="0"/>
                      <wp:wrapNone/>
                      <wp:docPr id="157" name="Frame15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7355" cy="175260"/>
                      <wp:effectExtent l="0" t="0" r="0" b="0"/>
                      <wp:wrapNone/>
                      <wp:docPr id="158" name="Frame15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81635" cy="175260"/>
                      <wp:effectExtent l="0" t="0" r="0" b="0"/>
                      <wp:wrapNone/>
                      <wp:docPr id="160" name="Frame16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6685" cy="175260"/>
                      <wp:effectExtent l="0" t="0" r="0" b="0"/>
                      <wp:wrapNone/>
                      <wp:docPr id="162" name="Frame16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3075" cy="175260"/>
                      <wp:effectExtent l="0" t="0" r="0" b="0"/>
                      <wp:wrapNone/>
                      <wp:docPr id="163" name="Frame163"/>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97840" cy="175260"/>
                      <wp:effectExtent l="0" t="0" r="0" b="0"/>
                      <wp:wrapNone/>
                      <wp:docPr id="165" name="Frame16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6845" cy="175260"/>
                      <wp:effectExtent l="0" t="0" r="0" b="0"/>
                      <wp:wrapNone/>
                      <wp:docPr id="167" name="Frame16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4815" cy="175260"/>
                      <wp:effectExtent l="0" t="0" r="0" b="0"/>
                      <wp:wrapNone/>
                      <wp:docPr id="168" name="Frame168"/>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90550" cy="175260"/>
                      <wp:effectExtent l="0" t="0" r="0" b="0"/>
                      <wp:wrapNone/>
                      <wp:docPr id="171" name="Frame171"/>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8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 RSAs</w:t>
            </w:r>
          </w:p>
        </w:tc>
        <w:tc>
          <w:tcPr>
            <w:tcW w:w="326" w:type="dxa"/>
            <w:tcBorders/>
            <w:vAlign w:val="center"/>
          </w:tcPr>
          <w:p>
            <w:pPr>
              <w:pStyle w:val="TableContents"/>
              <w:bidi w:val="0"/>
              <w:spacing w:before="0" w:after="1"/>
              <w:ind w:left="0" w:right="0" w:hanging="0"/>
              <w:jc w:val="left"/>
              <w:rPr/>
            </w:pPr>
            <w:r>
              <w:rPr/>
              <w:t>​</w:t>
            </w:r>
          </w:p>
        </w:tc>
        <w:tc>
          <w:tcPr>
            <w:tcW w:w="349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1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center"/>
              <w:rPr/>
            </w:pPr>
            <w:r>
              <w:rPr/>
              <w:t>​</w:t>
            </w:r>
          </w:p>
        </w:tc>
      </w:tr>
      <w:tr>
        <w:trPr/>
        <w:tc>
          <w:tcPr>
            <w:tcW w:w="1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r>
      <w:tr>
        <w:trPr/>
        <w:tc>
          <w:tcPr>
            <w:tcW w:w="18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RSAs</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vAlign w:val="center"/>
          </w:tcPr>
          <w:p>
            <w:pPr>
              <w:pStyle w:val="TableContents"/>
              <w:bidi w:val="0"/>
              <w:spacing w:before="0" w:after="1"/>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range</w:t>
            </w:r>
          </w:p>
        </w:tc>
      </w:tr>
      <w:tr>
        <w:trPr/>
        <w:tc>
          <w:tcPr>
            <w:tcW w:w="18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11,944</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47,570</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341,205</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4.60 - 49,200</w:t>
            </w:r>
          </w:p>
        </w:tc>
      </w:tr>
      <w:tr>
        <w:trPr/>
        <w:tc>
          <w:tcPr>
            <w:tcW w:w="18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w:t>
            </w:r>
          </w:p>
        </w:tc>
      </w:tr>
      <w:tr>
        <w:trPr/>
        <w:tc>
          <w:tcPr>
            <w:tcW w:w="18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(2,986)</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center"/>
              <w:rPr/>
            </w:pPr>
            <w:r>
              <w:rPr/>
              <w:t>​</w:t>
            </w:r>
          </w:p>
        </w:tc>
      </w:tr>
      <w:tr>
        <w:trPr/>
        <w:tc>
          <w:tcPr>
            <w:tcW w:w="18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(29,278)</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1.50 - 34.40</w:t>
            </w:r>
          </w:p>
        </w:tc>
      </w:tr>
      <w:tr>
        <w:trPr/>
        <w:tc>
          <w:tcPr>
            <w:tcW w:w="18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(9,453)</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8.00 - 49,200</w:t>
            </w:r>
          </w:p>
        </w:tc>
      </w:tr>
      <w:tr>
        <w:trPr/>
        <w:tc>
          <w:tcPr>
            <w:tcW w:w="18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2024</w:t>
            </w:r>
          </w:p>
        </w:tc>
        <w:tc>
          <w:tcPr>
            <w:tcW w:w="326" w:type="dxa"/>
            <w:tcBorders/>
            <w:vAlign w:val="center"/>
          </w:tcPr>
          <w:p>
            <w:pPr>
              <w:pStyle w:val="TableContents"/>
              <w:bidi w:val="0"/>
              <w:spacing w:before="0" w:after="1"/>
              <w:ind w:left="0" w:right="0" w:hanging="0"/>
              <w:jc w:val="left"/>
              <w:rPr/>
            </w:pPr>
            <w:r>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47,570</w:t>
            </w:r>
          </w:p>
        </w:tc>
        <w:tc>
          <w:tcPr>
            <w:tcW w:w="326" w:type="dxa"/>
            <w:tcBorders/>
            <w:vAlign w:val="center"/>
          </w:tcPr>
          <w:p>
            <w:pPr>
              <w:pStyle w:val="TableContents"/>
              <w:bidi w:val="0"/>
              <w:spacing w:before="0" w:after="1"/>
              <w:ind w:left="0" w:right="0" w:hanging="0"/>
              <w:jc w:val="left"/>
              <w:rPr/>
            </w:pPr>
            <w:r>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452,474</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1.50 - 7,080</w:t>
            </w:r>
          </w:p>
        </w:tc>
      </w:tr>
      <w:tr>
        <w:trPr/>
        <w:tc>
          <w:tcPr>
            <w:tcW w:w="18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6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272,683</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4.60- 7,080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12.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three months ended March 31, 2024, reflects an estimated global annual effective tax rate of approximately 0% from continuing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2024,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Income tax expense/(benefit) for the three months ended March 31, 2024 was $0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13. Commitments and Contingencies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$424 and $449 as of March 31, 2024 and December 31, 2023, respectively, which is included in Accrued expenses and other current liabilities in the condensed consolidated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OTG Management PHL B v. XpresSpa Philadelphia Terminal B et 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January 9, 2024, the court placed the matter on Civil Suspense.</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Company’s transition to a pure-play wellness services company, the Company currently has four reportable operating segments: XpresSpa, XpresTest, Naples Wax Center, and Treat. The Company analyzes the results of the Company’s business through the four reportable segments. The XpresSpa segment provides travelers premium spa services, including massage, nail and skin care, as well as spa and travel products. 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 The Treat segment is a wellness brand that provides access to wellness services for travelers at on-site centers. The Naples Wax Center segment operates three high-performing locations with core products and service offerings from face and body waxing to a range of skincare and cosmetic products. The Treat segment is a wellness brand that provides access to wellness services for travelers at on-site centers.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35" w:name="Tc_BqFEi-YaZk-qeZoVNwHXeQ_56_5"/>
      <w:bookmarkStart w:id="836" w:name="Tc_xVulIOyK6ESthvjYbXaJjA_56_2"/>
      <w:bookmarkStart w:id="837" w:name="Tc_LkaPgnqJmkuVocDcdEjAyA_56_0"/>
      <w:bookmarkStart w:id="838" w:name="Tc_A8cw8bgweUOKzaHFMUfZYA_55_0"/>
      <w:bookmarkStart w:id="839" w:name="Tc_37pjJCp63U2_yA6Oqg99XQ_54_0"/>
      <w:bookmarkStart w:id="840" w:name="Tc_88aKsCdaMU-wCBkceWz_gA_53_0"/>
      <w:bookmarkStart w:id="841" w:name="Tc_AuKpPLw9-k2RpQqUcZ3Pfg_52_0"/>
      <w:bookmarkStart w:id="842" w:name="Tc_m2w759UQgUWpmmeru-BhrA_51_5"/>
      <w:bookmarkStart w:id="843" w:name="Tc_tGliFiKrSUub6WbVYWeHHg_51_2"/>
      <w:bookmarkStart w:id="844" w:name="Tc_DkG-kku2SEe0nudS1uPRxQ_51_0"/>
      <w:bookmarkStart w:id="845" w:name="Tc_OS3dE0tsF0CPPHnPIEDUEw_50_0"/>
      <w:bookmarkStart w:id="846" w:name="Tc_jvwdl_ufsUC3hmR3AfeU1g_49_5"/>
      <w:bookmarkStart w:id="847" w:name="Tc_w_5CBOKYwUusHn4mqU0uQw_49_2"/>
      <w:bookmarkStart w:id="848" w:name="Tc_FSQY2DGEeEyDcKp-Y0uECg_47_5"/>
      <w:bookmarkStart w:id="849" w:name="Tc_QcmS90ztzkWmRSkSFVmumQ_47_2"/>
      <w:bookmarkStart w:id="850" w:name="Tc_ggm-r8wn5UisOFhiDKZRpA_47_0"/>
      <w:bookmarkStart w:id="851" w:name="Tc_--kywENeVk2GGuGYfWmydA_46_0"/>
      <w:bookmarkStart w:id="852" w:name="Tc_-UdccoH7WE2dC-jLolyF0Q_45_0"/>
      <w:bookmarkStart w:id="853" w:name="Tc_v_MHpsYZdUqaenFG9R6gTw_44_0"/>
      <w:bookmarkStart w:id="854" w:name="Tc_z0XXt4NGQEy-d0wWPPAuww_43_0"/>
      <w:bookmarkStart w:id="855" w:name="Tc_NDQBrI0mEkicOGWFioNRkw_42_5"/>
      <w:bookmarkStart w:id="856" w:name="Tc_hnCWrp6TIUWPbvz-mFpfUQ_42_2"/>
      <w:bookmarkStart w:id="857" w:name="Tc_f-aKDCatVk-YYKFLBilqjw_42_0"/>
      <w:bookmarkStart w:id="858" w:name="Tc_qQ06cg_w2kKYlX2C-6TVZw_41_0"/>
      <w:bookmarkStart w:id="859" w:name="Tc_SwxKtFDH7EWydVwq08RhcQ_40_5"/>
      <w:bookmarkStart w:id="860" w:name="Tc_uX4IONsrQ0K4dWyiZH47Zw_40_2"/>
      <w:bookmarkStart w:id="861" w:name="Tc_CqwSNC3v5kaNCD3KtfARxw_38_5"/>
      <w:bookmarkStart w:id="862" w:name="Tc_jlQibua5I0SMKHIM8rrzpQ_38_2"/>
      <w:bookmarkStart w:id="863" w:name="Tc_Z_wxfIXsSEesMgvpsXMdbg_38_0"/>
      <w:bookmarkStart w:id="864" w:name="Tc_K12-4HytIUCYnHn9njh2KA_37_3"/>
      <w:bookmarkStart w:id="865" w:name="Tc_WmzH_-lefk6aLrEo1QvMEw_37_0"/>
      <w:bookmarkStart w:id="866" w:name="Tc_w03qilLN0ECiJiA2uoEczw_36_3"/>
      <w:bookmarkStart w:id="867" w:name="Tc_Us67bu-XFEG-VBMTZ-j3Bw_36_0"/>
      <w:bookmarkStart w:id="868" w:name="Tc_ZFGPgcpwhk-IV-_tu2kV4A_35_6"/>
      <w:bookmarkStart w:id="869" w:name="Tc_oBFsvVaZ_0e4dKAHMc27JQ_35_0"/>
      <w:bookmarkStart w:id="870" w:name="Tc_j9GIlV18ikqNx1gI7-_0Cg_34_0"/>
      <w:bookmarkStart w:id="871" w:name="Tc_AHsCSjypQUesByHaY2Uq4Q_33_5"/>
      <w:bookmarkStart w:id="872" w:name="Tc_TuURHOAjSEmy2UYgk6zWJQ_33_2"/>
      <w:bookmarkStart w:id="873" w:name="Tc_j9BDTECwpkqamEkSiutXHw_33_0"/>
      <w:bookmarkStart w:id="874" w:name="Tc_kmHRYa0N8UyAUJiavWImNA_32_0"/>
      <w:bookmarkStart w:id="875" w:name="Tc_ZnFEfEcGc0Clsz1WipKDag_31_5"/>
      <w:bookmarkStart w:id="876" w:name="Tc_VrG2ElPEHkyKhU4LxbyvNg_31_2"/>
      <w:bookmarkStart w:id="877" w:name="Tc__IIG-JaAbUaz_8HPJy1V4Q_30_2"/>
      <w:bookmarkStart w:id="878" w:name="Tc_t68CazbdE0Saf-ovrC5IEw_29_2"/>
      <w:bookmarkStart w:id="879" w:name="Tc_XcURy-S0UkCLLIcXKg6_3w_27_5"/>
      <w:bookmarkStart w:id="880" w:name="Tc_LE3dFiehuE-I1btkdeADAQ_27_2"/>
      <w:bookmarkStart w:id="881" w:name="Tc_stCJ6jJzg0qtHjlcLUc6ow_27_0"/>
      <w:bookmarkStart w:id="882" w:name="Tc_wtQqKaHoV0OQOjQf-DQAgg_26_0"/>
      <w:bookmarkStart w:id="883" w:name="Tc_Hh0YCHXk_Ee1TCPjILbtMg_25_0"/>
      <w:bookmarkStart w:id="884" w:name="Tc_O5QT_a5ZYEKKkaNTXyAO7A_24_6"/>
      <w:bookmarkStart w:id="885" w:name="Tc_koHy1k3ny0eRFNZPA8qFKw_24_0"/>
      <w:bookmarkStart w:id="886" w:name="Tc_dwJBLR13mkS0T1FSFIV-zQ_23_0"/>
      <w:bookmarkStart w:id="887" w:name="Tc_l6ZrYtzfKEasOMNzQplZyA_22_5"/>
      <w:bookmarkStart w:id="888" w:name="Tc_YJbLSITRkEKpLSY3TAHffA_22_2"/>
      <w:bookmarkStart w:id="889" w:name="Tc_jH0cheCLn0WmrpiLsgzGyg_22_0"/>
      <w:bookmarkStart w:id="890" w:name="Tc_lSSQJFodOkSf7V0ISYpOAQ_21_0"/>
      <w:bookmarkStart w:id="891" w:name="Tc_Lk6hIYKUNk2WFwnSUXI37A_20_5"/>
      <w:bookmarkStart w:id="892" w:name="Tc_E4xVwcPw2ESKggip2CcfwQ_20_2"/>
      <w:bookmarkStart w:id="893" w:name="Tc_lbYIClR_iUa3dz9o9UPUHA_18_5"/>
      <w:bookmarkStart w:id="894" w:name="Tc_Ce5HDsPXuUGyLngpFz4VkA_18_2"/>
      <w:bookmarkStart w:id="895" w:name="Tc_2gdguF3FHkihcIpOv0LxFA_18_0"/>
      <w:bookmarkStart w:id="896" w:name="Tc_8DcvhosMjE-SeoVHEkoIEA_17_0"/>
      <w:bookmarkStart w:id="897" w:name="Tc_oWsS3f5mEkK3J3Q29zgN5A_16_0"/>
      <w:bookmarkStart w:id="898" w:name="Tc_-nssVgBcUEarYH2JTBOP5Q_15_6"/>
      <w:bookmarkStart w:id="899" w:name="Tc_wbbP2h494EivudvIhDKpow_15_0"/>
      <w:bookmarkStart w:id="900" w:name="Tc_uX3Z9CQ_QUOdHfQRE0cO_g_14_0"/>
      <w:bookmarkStart w:id="901" w:name="Tc_4fziRGVFlUisj28fSwRIxw_13_5"/>
      <w:bookmarkStart w:id="902" w:name="Tc_ZOLWLOPXc0yoQJrLq8iWWA_13_2"/>
      <w:bookmarkStart w:id="903" w:name="Tc_XphRNmVzC0OjF5X4C8EkeA_13_0"/>
      <w:bookmarkStart w:id="904" w:name="Tc_pV-7yrQK-UypwZOnb3q5Tw_12_0"/>
      <w:bookmarkStart w:id="905" w:name="Tc_whZVtViXBUWOr9tQTPwGzQ_11_5"/>
      <w:bookmarkStart w:id="906" w:name="Tc_SVxOFtWWI0O9mV9aVmXMjA_11_2"/>
      <w:bookmarkStart w:id="907" w:name="Tc_Ol6uWeediEGlMl_h_eq5hw_9_5"/>
      <w:bookmarkStart w:id="908" w:name="Tc_Gm0L-rPM-EKQOLmAir1VRQ_9_2"/>
      <w:bookmarkStart w:id="909" w:name="Tc_wqWOPmosIk6hqVBBrBu_BQ_9_0"/>
      <w:bookmarkStart w:id="910" w:name="Tc_JGIXjLWt3UyyBQMqfQIQCw_8_0"/>
      <w:bookmarkStart w:id="911" w:name="Tc_WRff2axKRUGpRU068u5U-Q_7_6"/>
      <w:bookmarkStart w:id="912" w:name="Tc_I1ceZaDsqkOxunAHMfLLqA_7_0"/>
      <w:bookmarkStart w:id="913" w:name="Tc_Z_thkxz9q0yqkXXLH73wWw_6_0"/>
      <w:bookmarkStart w:id="914" w:name="Tc_jTDePRGw8U60U8r3PAhJ6g_5_5"/>
      <w:bookmarkStart w:id="915" w:name="Tc_hJKT-r5HeU2KZTK6dLBh7Q_5_2"/>
      <w:bookmarkStart w:id="916" w:name="Tc_94tHZ-HY1E2hxY8_OAnLMA_5_0"/>
      <w:bookmarkStart w:id="917" w:name="Tc_JEGJHnnGvEik6wZuIzWWMw_4_0"/>
      <w:bookmarkStart w:id="918" w:name="Tc__3KTtUN9qUGRHPvnLHad-g_3_5"/>
      <w:bookmarkStart w:id="919" w:name="Tc_PRUGqDK11EW82fD861An7Q_3_2"/>
      <w:bookmarkStart w:id="920" w:name="Tc_6orpcZv9CUSwGxHDj0SN1Q_2_2"/>
      <w:bookmarkStart w:id="921" w:name="Tc_eY-GnLDrXkWvSxgW_qNUyA_1_2"/>
      <w:bookmarkStart w:id="922" w:name="Tc_BqFEi-YaZk-qeZoVNwHXeQ_56_5"/>
      <w:bookmarkStart w:id="923" w:name="Tc_xVulIOyK6ESthvjYbXaJjA_56_2"/>
      <w:bookmarkStart w:id="924" w:name="Tc_LkaPgnqJmkuVocDcdEjAyA_56_0"/>
      <w:bookmarkStart w:id="925" w:name="Tc_A8cw8bgweUOKzaHFMUfZYA_55_0"/>
      <w:bookmarkStart w:id="926" w:name="Tc_37pjJCp63U2_yA6Oqg99XQ_54_0"/>
      <w:bookmarkStart w:id="927" w:name="Tc_88aKsCdaMU-wCBkceWz_gA_53_0"/>
      <w:bookmarkStart w:id="928" w:name="Tc_AuKpPLw9-k2RpQqUcZ3Pfg_52_0"/>
      <w:bookmarkStart w:id="929" w:name="Tc_m2w759UQgUWpmmeru-BhrA_51_5"/>
      <w:bookmarkStart w:id="930" w:name="Tc_tGliFiKrSUub6WbVYWeHHg_51_2"/>
      <w:bookmarkStart w:id="931" w:name="Tc_DkG-kku2SEe0nudS1uPRxQ_51_0"/>
      <w:bookmarkStart w:id="932" w:name="Tc_OS3dE0tsF0CPPHnPIEDUEw_50_0"/>
      <w:bookmarkStart w:id="933" w:name="Tc_jvwdl_ufsUC3hmR3AfeU1g_49_5"/>
      <w:bookmarkStart w:id="934" w:name="Tc_w_5CBOKYwUusHn4mqU0uQw_49_2"/>
      <w:bookmarkStart w:id="935" w:name="Tc_FSQY2DGEeEyDcKp-Y0uECg_47_5"/>
      <w:bookmarkStart w:id="936" w:name="Tc_QcmS90ztzkWmRSkSFVmumQ_47_2"/>
      <w:bookmarkStart w:id="937" w:name="Tc_ggm-r8wn5UisOFhiDKZRpA_47_0"/>
      <w:bookmarkStart w:id="938" w:name="Tc_--kywENeVk2GGuGYfWmydA_46_0"/>
      <w:bookmarkStart w:id="939" w:name="Tc_-UdccoH7WE2dC-jLolyF0Q_45_0"/>
      <w:bookmarkStart w:id="940" w:name="Tc_v_MHpsYZdUqaenFG9R6gTw_44_0"/>
      <w:bookmarkStart w:id="941" w:name="Tc_z0XXt4NGQEy-d0wWPPAuww_43_0"/>
      <w:bookmarkStart w:id="942" w:name="Tc_NDQBrI0mEkicOGWFioNRkw_42_5"/>
      <w:bookmarkStart w:id="943" w:name="Tc_hnCWrp6TIUWPbvz-mFpfUQ_42_2"/>
      <w:bookmarkStart w:id="944" w:name="Tc_f-aKDCatVk-YYKFLBilqjw_42_0"/>
      <w:bookmarkStart w:id="945" w:name="Tc_qQ06cg_w2kKYlX2C-6TVZw_41_0"/>
      <w:bookmarkStart w:id="946" w:name="Tc_SwxKtFDH7EWydVwq08RhcQ_40_5"/>
      <w:bookmarkStart w:id="947" w:name="Tc_uX4IONsrQ0K4dWyiZH47Zw_40_2"/>
      <w:bookmarkStart w:id="948" w:name="Tc_CqwSNC3v5kaNCD3KtfARxw_38_5"/>
      <w:bookmarkStart w:id="949" w:name="Tc_jlQibua5I0SMKHIM8rrzpQ_38_2"/>
      <w:bookmarkStart w:id="950" w:name="Tc_Z_wxfIXsSEesMgvpsXMdbg_38_0"/>
      <w:bookmarkStart w:id="951" w:name="Tc_K12-4HytIUCYnHn9njh2KA_37_3"/>
      <w:bookmarkStart w:id="952" w:name="Tc_WmzH_-lefk6aLrEo1QvMEw_37_0"/>
      <w:bookmarkStart w:id="953" w:name="Tc_w03qilLN0ECiJiA2uoEczw_36_3"/>
      <w:bookmarkStart w:id="954" w:name="Tc_Us67bu-XFEG-VBMTZ-j3Bw_36_0"/>
      <w:bookmarkStart w:id="955" w:name="Tc_ZFGPgcpwhk-IV-_tu2kV4A_35_6"/>
      <w:bookmarkStart w:id="956" w:name="Tc_oBFsvVaZ_0e4dKAHMc27JQ_35_0"/>
      <w:bookmarkStart w:id="957" w:name="Tc_j9GIlV18ikqNx1gI7-_0Cg_34_0"/>
      <w:bookmarkStart w:id="958" w:name="Tc_AHsCSjypQUesByHaY2Uq4Q_33_5"/>
      <w:bookmarkStart w:id="959" w:name="Tc_TuURHOAjSEmy2UYgk6zWJQ_33_2"/>
      <w:bookmarkStart w:id="960" w:name="Tc_j9BDTECwpkqamEkSiutXHw_33_0"/>
      <w:bookmarkStart w:id="961" w:name="Tc_kmHRYa0N8UyAUJiavWImNA_32_0"/>
      <w:bookmarkStart w:id="962" w:name="Tc_ZnFEfEcGc0Clsz1WipKDag_31_5"/>
      <w:bookmarkStart w:id="963" w:name="Tc_VrG2ElPEHkyKhU4LxbyvNg_31_2"/>
      <w:bookmarkStart w:id="964" w:name="Tc__IIG-JaAbUaz_8HPJy1V4Q_30_2"/>
      <w:bookmarkStart w:id="965" w:name="Tc_t68CazbdE0Saf-ovrC5IEw_29_2"/>
      <w:bookmarkStart w:id="966" w:name="Tc_XcURy-S0UkCLLIcXKg6_3w_27_5"/>
      <w:bookmarkStart w:id="967" w:name="Tc_LE3dFiehuE-I1btkdeADAQ_27_2"/>
      <w:bookmarkStart w:id="968" w:name="Tc_stCJ6jJzg0qtHjlcLUc6ow_27_0"/>
      <w:bookmarkStart w:id="969" w:name="Tc_wtQqKaHoV0OQOjQf-DQAgg_26_0"/>
      <w:bookmarkStart w:id="970" w:name="Tc_Hh0YCHXk_Ee1TCPjILbtMg_25_0"/>
      <w:bookmarkStart w:id="971" w:name="Tc_O5QT_a5ZYEKKkaNTXyAO7A_24_6"/>
      <w:bookmarkStart w:id="972" w:name="Tc_koHy1k3ny0eRFNZPA8qFKw_24_0"/>
      <w:bookmarkStart w:id="973" w:name="Tc_dwJBLR13mkS0T1FSFIV-zQ_23_0"/>
      <w:bookmarkStart w:id="974" w:name="Tc_l6ZrYtzfKEasOMNzQplZyA_22_5"/>
      <w:bookmarkStart w:id="975" w:name="Tc_YJbLSITRkEKpLSY3TAHffA_22_2"/>
      <w:bookmarkStart w:id="976" w:name="Tc_jH0cheCLn0WmrpiLsgzGyg_22_0"/>
      <w:bookmarkStart w:id="977" w:name="Tc_lSSQJFodOkSf7V0ISYpOAQ_21_0"/>
      <w:bookmarkStart w:id="978" w:name="Tc_Lk6hIYKUNk2WFwnSUXI37A_20_5"/>
      <w:bookmarkStart w:id="979" w:name="Tc_E4xVwcPw2ESKggip2CcfwQ_20_2"/>
      <w:bookmarkStart w:id="980" w:name="Tc_lbYIClR_iUa3dz9o9UPUHA_18_5"/>
      <w:bookmarkStart w:id="981" w:name="Tc_Ce5HDsPXuUGyLngpFz4VkA_18_2"/>
      <w:bookmarkStart w:id="982" w:name="Tc_2gdguF3FHkihcIpOv0LxFA_18_0"/>
      <w:bookmarkStart w:id="983" w:name="Tc_8DcvhosMjE-SeoVHEkoIEA_17_0"/>
      <w:bookmarkStart w:id="984" w:name="Tc_oWsS3f5mEkK3J3Q29zgN5A_16_0"/>
      <w:bookmarkStart w:id="985" w:name="Tc_-nssVgBcUEarYH2JTBOP5Q_15_6"/>
      <w:bookmarkStart w:id="986" w:name="Tc_wbbP2h494EivudvIhDKpow_15_0"/>
      <w:bookmarkStart w:id="987" w:name="Tc_uX3Z9CQ_QUOdHfQRE0cO_g_14_0"/>
      <w:bookmarkStart w:id="988" w:name="Tc_4fziRGVFlUisj28fSwRIxw_13_5"/>
      <w:bookmarkStart w:id="989" w:name="Tc_ZOLWLOPXc0yoQJrLq8iWWA_13_2"/>
      <w:bookmarkStart w:id="990" w:name="Tc_XphRNmVzC0OjF5X4C8EkeA_13_0"/>
      <w:bookmarkStart w:id="991" w:name="Tc_pV-7yrQK-UypwZOnb3q5Tw_12_0"/>
      <w:bookmarkStart w:id="992" w:name="Tc_whZVtViXBUWOr9tQTPwGzQ_11_5"/>
      <w:bookmarkStart w:id="993" w:name="Tc_SVxOFtWWI0O9mV9aVmXMjA_11_2"/>
      <w:bookmarkStart w:id="994" w:name="Tc_Ol6uWeediEGlMl_h_eq5hw_9_5"/>
      <w:bookmarkStart w:id="995" w:name="Tc_Gm0L-rPM-EKQOLmAir1VRQ_9_2"/>
      <w:bookmarkStart w:id="996" w:name="Tc_wqWOPmosIk6hqVBBrBu_BQ_9_0"/>
      <w:bookmarkStart w:id="997" w:name="Tc_JGIXjLWt3UyyBQMqfQIQCw_8_0"/>
      <w:bookmarkStart w:id="998" w:name="Tc_WRff2axKRUGpRU068u5U-Q_7_6"/>
      <w:bookmarkStart w:id="999" w:name="Tc_I1ceZaDsqkOxunAHMfLLqA_7_0"/>
      <w:bookmarkStart w:id="1000" w:name="Tc_Z_thkxz9q0yqkXXLH73wWw_6_0"/>
      <w:bookmarkStart w:id="1001" w:name="Tc_jTDePRGw8U60U8r3PAhJ6g_5_5"/>
      <w:bookmarkStart w:id="1002" w:name="Tc_hJKT-r5HeU2KZTK6dLBh7Q_5_2"/>
      <w:bookmarkStart w:id="1003" w:name="Tc_94tHZ-HY1E2hxY8_OAnLMA_5_0"/>
      <w:bookmarkStart w:id="1004" w:name="Tc_JEGJHnnGvEik6wZuIzWWMw_4_0"/>
      <w:bookmarkStart w:id="1005" w:name="Tc__3KTtUN9qUGRHPvnLHad-g_3_5"/>
      <w:bookmarkStart w:id="1006" w:name="Tc_PRUGqDK11EW82fD861An7Q_3_2"/>
      <w:bookmarkStart w:id="1007" w:name="Tc_6orpcZv9CUSwGxHDj0SN1Q_2_2"/>
      <w:bookmarkStart w:id="1008" w:name="Tc_eY-GnLDrXkWvSxgW_qNUyA_1_2"/>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tbl>
      <w:tblPr>
        <w:tblW w:w="6300" w:type="dxa"/>
        <w:jc w:val="left"/>
        <w:tblInd w:w="0" w:type="dxa"/>
        <w:tblLayout w:type="fixed"/>
        <w:tblCellMar>
          <w:top w:w="0" w:type="dxa"/>
          <w:left w:w="0" w:type="dxa"/>
          <w:bottom w:w="0" w:type="dxa"/>
          <w:right w:w="0" w:type="dxa"/>
        </w:tblCellMar>
      </w:tblPr>
      <w:tblGrid>
        <w:gridCol w:w="2731"/>
        <w:gridCol w:w="326"/>
        <w:gridCol w:w="317"/>
        <w:gridCol w:w="974"/>
        <w:gridCol w:w="361"/>
        <w:gridCol w:w="345"/>
        <w:gridCol w:w="124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34185" cy="175260"/>
                      <wp:effectExtent l="0" t="0" r="0" b="0"/>
                      <wp:wrapNone/>
                      <wp:docPr id="172" name="Frame17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1295" cy="175260"/>
                      <wp:effectExtent l="0" t="0" r="0" b="0"/>
                      <wp:wrapNone/>
                      <wp:docPr id="174" name="Frame17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18490" cy="175260"/>
                      <wp:effectExtent l="0" t="0" r="0" b="0"/>
                      <wp:wrapNone/>
                      <wp:docPr id="175" name="Frame17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075" cy="175260"/>
                      <wp:effectExtent l="0" t="0" r="0" b="0"/>
                      <wp:wrapNone/>
                      <wp:docPr id="177" name="Frame17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91210" cy="175260"/>
                      <wp:effectExtent l="0" t="0" r="0" b="0"/>
                      <wp:wrapNone/>
                      <wp:docPr id="178" name="Frame17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4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61"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4,345</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8,726</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7,063</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61"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(2,107)</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(2,379)</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(6,288)</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61"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Depreciation &amp;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depreciation &amp;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3"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61"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2024</w:t>
            </w:r>
          </w:p>
        </w:tc>
        <w:tc>
          <w:tcPr>
            <w:tcW w:w="361"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8,383</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2,711</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11,586</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10,838</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2024</w:t>
            </w:r>
          </w:p>
        </w:tc>
        <w:tc>
          <w:tcPr>
            <w:tcW w:w="361"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XpresSpa</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19,098</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 </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3,197</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Naples Wax</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3,784</w:t>
            </w:r>
          </w:p>
        </w:tc>
        <w:tc>
          <w:tcPr>
            <w:tcW w:w="361"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and other</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10,874</w:t>
            </w:r>
          </w:p>
        </w:tc>
        <w:tc>
          <w:tcPr>
            <w:tcW w:w="361"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37,477</w:t>
            </w:r>
          </w:p>
        </w:tc>
        <w:tc>
          <w:tcPr>
            <w:tcW w:w="361"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38,993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09" w:name="Item2ManagementsDiscussionandAnalysisofF"/>
      <w:bookmarkStart w:id="1010" w:name="_6723d2e9_ae96_484e_90a0_ad7cb7b35f25"/>
      <w:bookmarkEnd w:id="1009"/>
      <w:bookmarkEnd w:id="101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2023 filed on April 16, 2024, as subsequently amended on April 17, 2024 and April 29, 2024 (the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All references in this Quarterly Report on Form 10-Q to “we,” “us” and “our” refer to XWELL, Inc., a Delaware corporation, and its consolidated subsidiaries.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25, 2022, we changed our name to XWELL, Inc. (“XWELL” or the “Company”) from XpresSpa Group, Inc. Our common stock, par value $0.01 per share, which had previously been listed under the trading symbol “XSPA” on the Nasdaq Capital Market, now trades under the trading symbol “XWEL”. </w:t>
      </w:r>
      <w:r>
        <w:rPr>
          <w:rFonts w:ascii="Times New Roman;Times;serif" w:hAnsi="Times New Roman;Times;serif"/>
          <w:sz w:val="20"/>
          <w:shd w:fill="FFFFFF" w:val="clear"/>
        </w:rPr>
        <w:t xml:space="preserve"> We filed an amended and restated certificate of incorporation with the Delaware Secretary of State on October 24, 2022 (the “Amended and Restated Certificate”) reflecting the name change. </w:t>
      </w:r>
      <w:r>
        <w:rPr>
          <w:rFonts w:ascii="Times New Roman;Times;serif" w:hAnsi="Times New Roman;Times;serif"/>
          <w:sz w:val="20"/>
        </w:rPr>
        <w:t>Rebranding to XWELL aligned our corporate strategy to build a pure-play wellness services company, in both the airport and off airport marketplaces.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we believe there is opportunity to leverage a segment of our products and services across the Company’s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With international travel slowly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XpresSpa Holdings, LLC (“XpresSpa”) has been a global airport retailer of spa services through our XpresSpa spa locations, offering travelers premium spa services, including massage, nail and skin care, as well as spa and travel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2024, there were 21 domestic XpresSpa locations in total, 19 Company-owned locations and two franchises. We also had 11 international locations operating as of March 31, 2024, including two XpresSpa locations in Dubai International Airport in the United Arab Emirates, one XpresSpa location in Zayad International Airport in Abu Dhabi, UAE, three XpresSpa locations in Schiphol Amsterdam Airport in the Netherlands and five XpresSpa locations in the Istanbul Airport in Turkey.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 partnership with certain COVID-19 testing partners, successfully launched its XpresCheck Wellness Centers, in June of 2020, through our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locations, the Company closed XpresCheck Wellness Centers. As of December 31, 2023, we have closed all XpresCheck locations.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XpresTest began conducting bio surveillance monitoring with the Centers for Disease Control and Prevention (CDC) in collaboration with Concentric by Ginkgo BioWorks in 2021 and on January 31, 2022, we announced the extension of our initial program, bringing the total contract to $5,537. As of August 2022, the program was renewed in partnership with Ginkgo BioWorks. A new two-year contract was initiated which represents approximately $7,330 in revenue (for the first year) for the XpresTest segment.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program was renewed in August 2023 through a new one-year contract. The revenue to XpresTest from such one-year extension totaled approximately $7,044. In March 2024, the program funding and scope were expanded, a revenue increase of $4,000, to an estimated $11,044 in revenue for XpresTest with new collection locations at U.S. international airports in Miami (MIA) and Chicago (ORD) and the roll out of multi-pathogen testing across the program.</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HyperPointe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our health-focused brands as well as providing the majority of services to the external community.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reporting purposes, HyperPointe has been consolidated into the XpresTest segment.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Treat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 which is operating through our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12, 2023, we acquired Naples Wax, LLC, a group of upscale hair removal boutiques in Florida, for a purchase price of $1,624. Aiming to provide a memorable customer experience, Naples Wax Center operates three high-performing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TreatStudios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in Q4 of 2023, the Company began plans to open its first TreatStudios location in Jacksonville, Florida in 2024.  TreatStudios is an out-of-airport concept providing leased space to established wellness service providers.  Revenue will be derived from both lease payments received from the wellness practitioners and the sale of retail at the wellness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these strategic imperatives will be accomplished through development of an infrastructure specifically focused on enabling scalable and efficient growth.</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2023 Reverse Stock Split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28, 2023, we effected a 1-for-20 reverse stock split, whereby every twenty shares of our common stock were reduced to one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United States of America generally accepted accounting principles.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Treat and Naples Wax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HyperPointe provides a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sales for our XpresSpa, XpresTest, Naples Wax and Treat segments consist of location and segment level costs. Location and segment level costs include all costs that are directly attributable to operations, primarily payroll and related benefit costs for personnel, occupancy costs and cost of products sold.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general and administrative expenses include management and administrative personnel, overhead and occupancy costs, insurance and various professional fees, as well as stock-based compensation for directors, management and administrative personnel.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 months ended March 31, 2024, compared to the three months ended March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4719" w:type="dxa"/>
        <w:jc w:val="left"/>
        <w:tblInd w:w="0" w:type="dxa"/>
        <w:tblLayout w:type="fixed"/>
        <w:tblCellMar>
          <w:top w:w="0" w:type="dxa"/>
          <w:left w:w="0" w:type="dxa"/>
          <w:bottom w:w="0" w:type="dxa"/>
          <w:right w:w="0" w:type="dxa"/>
        </w:tblCellMar>
      </w:tblPr>
      <w:tblGrid>
        <w:gridCol w:w="1246"/>
        <w:gridCol w:w="326"/>
        <w:gridCol w:w="211"/>
        <w:gridCol w:w="571"/>
        <w:gridCol w:w="326"/>
        <w:gridCol w:w="211"/>
        <w:gridCol w:w="571"/>
        <w:gridCol w:w="326"/>
        <w:gridCol w:w="220"/>
        <w:gridCol w:w="71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91210" cy="175260"/>
                      <wp:effectExtent l="0" t="0" r="0" b="0"/>
                      <wp:wrapNone/>
                      <wp:docPr id="179" name="Frame17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2585" cy="175260"/>
                      <wp:effectExtent l="0" t="0" r="0" b="0"/>
                      <wp:wrapNone/>
                      <wp:docPr id="182" name="Frame1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62585" cy="175260"/>
                      <wp:effectExtent l="0" t="0" r="0" b="0"/>
                      <wp:wrapNone/>
                      <wp:docPr id="185" name="Frame1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9700" cy="175260"/>
                      <wp:effectExtent l="0" t="0" r="0" b="0"/>
                      <wp:wrapNone/>
                      <wp:docPr id="187" name="Frame18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51485" cy="175260"/>
                      <wp:effectExtent l="0" t="0" r="0" b="0"/>
                      <wp:wrapNone/>
                      <wp:docPr id="188" name="Frame188"/>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7,063</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1,663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revenue of $1,663 or 24%, </w:t>
      </w:r>
      <w:r>
        <w:rPr>
          <w:rFonts w:ascii="Times New Roman;Times;serif" w:hAnsi="Times New Roman;Times;serif"/>
          <w:sz w:val="20"/>
          <w:shd w:fill="FFFFFF" w:val="clear"/>
        </w:rPr>
        <w:t xml:space="preserve">was primarily due to the increase in the XpresTest CDC contract and the addition of Naples Wax.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4614" w:type="dxa"/>
        <w:jc w:val="left"/>
        <w:tblInd w:w="0" w:type="dxa"/>
        <w:tblLayout w:type="fixed"/>
        <w:tblCellMar>
          <w:top w:w="0" w:type="dxa"/>
          <w:left w:w="0" w:type="dxa"/>
          <w:bottom w:w="0" w:type="dxa"/>
          <w:right w:w="0" w:type="dxa"/>
        </w:tblCellMar>
      </w:tblPr>
      <w:tblGrid>
        <w:gridCol w:w="1141"/>
        <w:gridCol w:w="326"/>
        <w:gridCol w:w="211"/>
        <w:gridCol w:w="571"/>
        <w:gridCol w:w="326"/>
        <w:gridCol w:w="211"/>
        <w:gridCol w:w="571"/>
        <w:gridCol w:w="326"/>
        <w:gridCol w:w="266"/>
        <w:gridCol w:w="665"/>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24535" cy="175260"/>
                      <wp:effectExtent l="0" t="0" r="0" b="0"/>
                      <wp:wrapNone/>
                      <wp:docPr id="189" name="Frame18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2" name="Frame1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62585" cy="175260"/>
                      <wp:effectExtent l="0" t="0" r="0" b="0"/>
                      <wp:wrapNone/>
                      <wp:docPr id="195" name="Frame1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8910" cy="175260"/>
                      <wp:effectExtent l="0" t="0" r="0" b="0"/>
                      <wp:wrapNone/>
                      <wp:docPr id="197" name="Frame19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2275" cy="175260"/>
                      <wp:effectExtent l="0" t="0" r="0" b="0"/>
                      <wp:wrapNone/>
                      <wp:docPr id="198" name="Frame198"/>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6,541</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$486 or 7%, is a result of 3 XpresSpa locations closing during 2023. The largest component in the cost of sales is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841" w:type="dxa"/>
        <w:jc w:val="left"/>
        <w:tblInd w:w="0" w:type="dxa"/>
        <w:tblLayout w:type="fixed"/>
        <w:tblCellMar>
          <w:top w:w="0" w:type="dxa"/>
          <w:left w:w="0" w:type="dxa"/>
          <w:bottom w:w="0" w:type="dxa"/>
          <w:right w:w="0" w:type="dxa"/>
        </w:tblCellMar>
      </w:tblPr>
      <w:tblGrid>
        <w:gridCol w:w="2596"/>
        <w:gridCol w:w="326"/>
        <w:gridCol w:w="219"/>
        <w:gridCol w:w="437"/>
        <w:gridCol w:w="338"/>
        <w:gridCol w:w="219"/>
        <w:gridCol w:w="437"/>
        <w:gridCol w:w="338"/>
        <w:gridCol w:w="266"/>
        <w:gridCol w:w="66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48460" cy="175260"/>
                      <wp:effectExtent l="0" t="0" r="0" b="0"/>
                      <wp:wrapNone/>
                      <wp:docPr id="199" name="Frame19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9065" cy="175260"/>
                      <wp:effectExtent l="0" t="0" r="0" b="0"/>
                      <wp:wrapNone/>
                      <wp:docPr id="201" name="Frame20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7495" cy="175260"/>
                      <wp:effectExtent l="0" t="0" r="0" b="0"/>
                      <wp:wrapNone/>
                      <wp:docPr id="202" name="Frame20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4630" cy="175260"/>
                      <wp:effectExtent l="0" t="0" r="0" b="0"/>
                      <wp:wrapNone/>
                      <wp:docPr id="203" name="Frame20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9065" cy="175260"/>
                      <wp:effectExtent l="0" t="0" r="0" b="0"/>
                      <wp:wrapNone/>
                      <wp:docPr id="204" name="Frame20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77495" cy="175260"/>
                      <wp:effectExtent l="0" t="0" r="0" b="0"/>
                      <wp:wrapNone/>
                      <wp:docPr id="205" name="Frame205"/>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4630" cy="175260"/>
                      <wp:effectExtent l="0" t="0" r="0" b="0"/>
                      <wp:wrapNone/>
                      <wp:docPr id="206" name="Frame20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8910" cy="175260"/>
                      <wp:effectExtent l="0" t="0" r="0" b="0"/>
                      <wp:wrapNone/>
                      <wp:docPr id="207" name="Frame2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2275" cy="175260"/>
                      <wp:effectExtent l="0" t="0" r="0" b="0"/>
                      <wp:wrapNone/>
                      <wp:docPr id="208" name="Frame208"/>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38" w:type="dxa"/>
            <w:tcBorders/>
            <w:vAlign w:val="center"/>
          </w:tcPr>
          <w:p>
            <w:pPr>
              <w:pStyle w:val="TableContents"/>
              <w:bidi w:val="0"/>
              <w:spacing w:before="0" w:after="1"/>
              <w:ind w:left="0" w:right="0" w:hanging="0"/>
              <w:jc w:val="left"/>
              <w:rPr/>
            </w:pPr>
            <w:r>
              <w:rPr/>
              <w:t>    </w:t>
            </w:r>
          </w:p>
        </w:tc>
        <w:tc>
          <w:tcPr>
            <w:tcW w:w="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38"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38"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38"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62% was primarily due to the write-off of the stores that were permanently closed in 2023. Fewer locations resulted in lower depreciation of leasehold improvements. Depreciation and amortization expense also decreased because of the impairments and disposals of fixed assets during the year ended December 31, 2023.</w:t>
      </w:r>
    </w:p>
    <w:tbl>
      <w:tblPr>
        <w:tblW w:w="5476" w:type="dxa"/>
        <w:jc w:val="left"/>
        <w:tblInd w:w="0" w:type="dxa"/>
        <w:tblLayout w:type="fixed"/>
        <w:tblCellMar>
          <w:top w:w="0" w:type="dxa"/>
          <w:left w:w="0" w:type="dxa"/>
          <w:bottom w:w="0" w:type="dxa"/>
          <w:right w:w="0" w:type="dxa"/>
        </w:tblCellMar>
      </w:tblPr>
      <w:tblGrid>
        <w:gridCol w:w="2191"/>
        <w:gridCol w:w="326"/>
        <w:gridCol w:w="223"/>
        <w:gridCol w:w="446"/>
        <w:gridCol w:w="345"/>
        <w:gridCol w:w="223"/>
        <w:gridCol w:w="446"/>
        <w:gridCol w:w="345"/>
        <w:gridCol w:w="264"/>
        <w:gridCol w:w="667"/>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91285" cy="175260"/>
                      <wp:effectExtent l="0" t="0" r="0" b="0"/>
                      <wp:wrapNone/>
                      <wp:docPr id="209" name="Frame209"/>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1605" cy="175260"/>
                      <wp:effectExtent l="0" t="0" r="0" b="0"/>
                      <wp:wrapNone/>
                      <wp:docPr id="211" name="Frame21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3210" cy="175260"/>
                      <wp:effectExtent l="0" t="0" r="0" b="0"/>
                      <wp:wrapNone/>
                      <wp:docPr id="212" name="Frame212"/>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075" cy="175260"/>
                      <wp:effectExtent l="0" t="0" r="0" b="0"/>
                      <wp:wrapNone/>
                      <wp:docPr id="213" name="Frame21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1605" cy="175260"/>
                      <wp:effectExtent l="0" t="0" r="0" b="0"/>
                      <wp:wrapNone/>
                      <wp:docPr id="214" name="Frame21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83210" cy="175260"/>
                      <wp:effectExtent l="0" t="0" r="0" b="0"/>
                      <wp:wrapNone/>
                      <wp:docPr id="215" name="Frame215"/>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075" cy="175260"/>
                      <wp:effectExtent l="0" t="0" r="0" b="0"/>
                      <wp:wrapNone/>
                      <wp:docPr id="216" name="Frame21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7640" cy="175260"/>
                      <wp:effectExtent l="0" t="0" r="0" b="0"/>
                      <wp:wrapNone/>
                      <wp:docPr id="217" name="Frame21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3545" cy="175260"/>
                      <wp:effectExtent l="0" t="0" r="0" b="0"/>
                      <wp:wrapNone/>
                      <wp:docPr id="218" name="Frame218"/>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5" w:type="dxa"/>
            <w:tcBorders/>
            <w:vAlign w:val="center"/>
          </w:tcPr>
          <w:p>
            <w:pPr>
              <w:pStyle w:val="TableContents"/>
              <w:bidi w:val="0"/>
              <w:spacing w:before="0" w:after="1"/>
              <w:ind w:left="0" w:right="0" w:hanging="0"/>
              <w:jc w:val="left"/>
              <w:rPr/>
            </w:pPr>
            <w:r>
              <w:rPr/>
              <w:t>    </w:t>
            </w:r>
          </w:p>
        </w:tc>
        <w:tc>
          <w:tcPr>
            <w:tcW w:w="6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5"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45"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45"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bottom w:val="double" w:sz="6" w:space="0" w:color="000000"/>
            </w:tcBorders>
            <w:shd w:fill="CCEEFF" w:val="clear"/>
            <w:tcMar>
              <w:bottom w:w="28" w:type="dxa"/>
            </w:tcMar>
            <w:vAlign w:val="center"/>
          </w:tcPr>
          <w:p>
            <w:pPr>
              <w:pStyle w:val="TableContents"/>
              <w:bidi w:val="0"/>
              <w:spacing w:before="0" w:after="1"/>
              <w:ind w:left="0" w:right="65" w:hanging="0"/>
              <w:jc w:val="right"/>
              <w:rPr>
                <w:rFonts w:ascii="Times New Roman;Times;serif" w:hAnsi="Times New Roman;Times;serif"/>
                <w:sz w:val="20"/>
              </w:rPr>
            </w:pPr>
            <w:r>
              <w:rPr>
                <w:rFonts w:ascii="Times New Roman;Times;serif" w:hAnsi="Times New Roman;Times;serif"/>
                <w:sz w:val="20"/>
              </w:rPr>
              <w:t>520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approximately $520 was primarily due to the write-off of the Salt Lake City International Airport Treat location that was closed as of May 1, 2024.</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800"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67485" cy="175260"/>
                      <wp:effectExtent l="0" t="0" r="0" b="0"/>
                      <wp:wrapNone/>
                      <wp:docPr id="219" name="Frame21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2585" cy="175260"/>
                      <wp:effectExtent l="0" t="0" r="0" b="0"/>
                      <wp:wrapNone/>
                      <wp:docPr id="225" name="Frame2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67360" cy="175260"/>
                      <wp:effectExtent l="0" t="0" r="0" b="0"/>
                      <wp:wrapNone/>
                      <wp:docPr id="228" name="Frame22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approximately 47% was primarily due to rightsizing our existing business and optimizing our cost structure. We have significantly reduced operating and overhead expenses since the second half of 2023, while we continue to focus on returning to overall profitability.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Salaries and benefits</w:t>
      </w:r>
    </w:p>
    <w:tbl>
      <w:tblPr>
        <w:tblW w:w="5259" w:type="dxa"/>
        <w:jc w:val="left"/>
        <w:tblInd w:w="0" w:type="dxa"/>
        <w:tblLayout w:type="fixed"/>
        <w:tblCellMar>
          <w:top w:w="0" w:type="dxa"/>
          <w:left w:w="0" w:type="dxa"/>
          <w:bottom w:w="0" w:type="dxa"/>
          <w:right w:w="0" w:type="dxa"/>
        </w:tblCellMar>
      </w:tblPr>
      <w:tblGrid>
        <w:gridCol w:w="1786"/>
        <w:gridCol w:w="326"/>
        <w:gridCol w:w="211"/>
        <w:gridCol w:w="571"/>
        <w:gridCol w:w="326"/>
        <w:gridCol w:w="211"/>
        <w:gridCol w:w="571"/>
        <w:gridCol w:w="326"/>
        <w:gridCol w:w="310"/>
        <w:gridCol w:w="62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134110" cy="175260"/>
                      <wp:effectExtent l="0" t="0" r="0" b="0"/>
                      <wp:wrapNone/>
                      <wp:docPr id="229" name="Frame229"/>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32" name="Frame2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35" name="Frame2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6850" cy="175260"/>
                      <wp:effectExtent l="0" t="0" r="0" b="0"/>
                      <wp:wrapNone/>
                      <wp:docPr id="237" name="Frame23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94335" cy="175260"/>
                      <wp:effectExtent l="0" t="0" r="0" b="0"/>
                      <wp:wrapNone/>
                      <wp:docPr id="238" name="Frame238"/>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2% was primarily due to headcount reductions as we continue rightsizing our existing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921" w:type="dxa"/>
        <w:jc w:val="left"/>
        <w:tblInd w:w="0" w:type="dxa"/>
        <w:tblLayout w:type="fixed"/>
        <w:tblCellMar>
          <w:top w:w="0" w:type="dxa"/>
          <w:left w:w="0" w:type="dxa"/>
          <w:bottom w:w="0" w:type="dxa"/>
          <w:right w:w="0" w:type="dxa"/>
        </w:tblCellMar>
      </w:tblPr>
      <w:tblGrid>
        <w:gridCol w:w="3586"/>
        <w:gridCol w:w="326"/>
        <w:gridCol w:w="225"/>
        <w:gridCol w:w="466"/>
        <w:gridCol w:w="348"/>
        <w:gridCol w:w="225"/>
        <w:gridCol w:w="466"/>
        <w:gridCol w:w="348"/>
        <w:gridCol w:w="310"/>
        <w:gridCol w:w="62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77110" cy="175260"/>
                      <wp:effectExtent l="0" t="0" r="0" b="0"/>
                      <wp:wrapNone/>
                      <wp:docPr id="239" name="Frame239"/>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2875" cy="175260"/>
                      <wp:effectExtent l="0" t="0" r="0" b="0"/>
                      <wp:wrapNone/>
                      <wp:docPr id="241" name="Frame24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95910" cy="175260"/>
                      <wp:effectExtent l="0" t="0" r="0" b="0"/>
                      <wp:wrapNone/>
                      <wp:docPr id="242" name="Frame24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0980" cy="175260"/>
                      <wp:effectExtent l="0" t="0" r="0" b="0"/>
                      <wp:wrapNone/>
                      <wp:docPr id="243" name="Frame24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2875" cy="175260"/>
                      <wp:effectExtent l="0" t="0" r="0" b="0"/>
                      <wp:wrapNone/>
                      <wp:docPr id="244" name="Frame24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95910" cy="175260"/>
                      <wp:effectExtent l="0" t="0" r="0" b="0"/>
                      <wp:wrapNone/>
                      <wp:docPr id="245" name="Frame2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0980" cy="175260"/>
                      <wp:effectExtent l="0" t="0" r="0" b="0"/>
                      <wp:wrapNone/>
                      <wp:docPr id="246" name="Frame24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6850" cy="175260"/>
                      <wp:effectExtent l="0" t="0" r="0" b="0"/>
                      <wp:wrapNone/>
                      <wp:docPr id="247" name="Frame24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94335" cy="175260"/>
                      <wp:effectExtent l="0" t="0" r="0" b="0"/>
                      <wp:wrapNone/>
                      <wp:docPr id="248" name="Frame248"/>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0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8"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8"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8"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8"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three months ended March 31, 2024 and 2023:</w:t>
      </w:r>
    </w:p>
    <w:tbl>
      <w:tblPr>
        <w:tblW w:w="5890" w:type="dxa"/>
        <w:jc w:val="left"/>
        <w:tblInd w:w="0" w:type="dxa"/>
        <w:tblLayout w:type="fixed"/>
        <w:tblCellMar>
          <w:top w:w="0" w:type="dxa"/>
          <w:left w:w="0" w:type="dxa"/>
          <w:bottom w:w="0" w:type="dxa"/>
          <w:right w:w="0" w:type="dxa"/>
        </w:tblCellMar>
      </w:tblPr>
      <w:tblGrid>
        <w:gridCol w:w="2746"/>
        <w:gridCol w:w="326"/>
        <w:gridCol w:w="357"/>
        <w:gridCol w:w="738"/>
        <w:gridCol w:w="552"/>
        <w:gridCol w:w="357"/>
        <w:gridCol w:w="814"/>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43710" cy="175260"/>
                      <wp:effectExtent l="0" t="0" r="0" b="0"/>
                      <wp:wrapNone/>
                      <wp:docPr id="249" name="Frame24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6695" cy="175260"/>
                      <wp:effectExtent l="0" t="0" r="0" b="0"/>
                      <wp:wrapNone/>
                      <wp:docPr id="251" name="Frame251"/>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68630" cy="175260"/>
                      <wp:effectExtent l="0" t="0" r="0" b="0"/>
                      <wp:wrapNone/>
                      <wp:docPr id="252" name="Frame252"/>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50520" cy="175260"/>
                      <wp:effectExtent l="0" t="0" r="0" b="0"/>
                      <wp:wrapNone/>
                      <wp:docPr id="253" name="Frame253"/>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26695" cy="175260"/>
                      <wp:effectExtent l="0" t="0" r="0" b="0"/>
                      <wp:wrapNone/>
                      <wp:docPr id="254" name="Frame25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16890" cy="175260"/>
                      <wp:effectExtent l="0" t="0" r="0" b="0"/>
                      <wp:wrapNone/>
                      <wp:docPr id="255" name="Frame25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52"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552"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52"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552"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4956" w:type="dxa"/>
        <w:jc w:val="left"/>
        <w:tblInd w:w="0" w:type="dxa"/>
        <w:tblLayout w:type="fixed"/>
        <w:tblCellMar>
          <w:top w:w="0" w:type="dxa"/>
          <w:left w:w="0" w:type="dxa"/>
          <w:bottom w:w="0" w:type="dxa"/>
          <w:right w:w="0" w:type="dxa"/>
        </w:tblCellMar>
      </w:tblPr>
      <w:tblGrid>
        <w:gridCol w:w="1711"/>
        <w:gridCol w:w="326"/>
        <w:gridCol w:w="219"/>
        <w:gridCol w:w="437"/>
        <w:gridCol w:w="338"/>
        <w:gridCol w:w="219"/>
        <w:gridCol w:w="437"/>
        <w:gridCol w:w="338"/>
        <w:gridCol w:w="266"/>
        <w:gridCol w:w="665"/>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086485" cy="175260"/>
                      <wp:effectExtent l="0" t="0" r="0" b="0"/>
                      <wp:wrapNone/>
                      <wp:docPr id="256" name="Frame25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9065" cy="175260"/>
                      <wp:effectExtent l="0" t="0" r="0" b="0"/>
                      <wp:wrapNone/>
                      <wp:docPr id="258" name="Frame25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77495" cy="175260"/>
                      <wp:effectExtent l="0" t="0" r="0" b="0"/>
                      <wp:wrapNone/>
                      <wp:docPr id="259" name="Frame259"/>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4630" cy="175260"/>
                      <wp:effectExtent l="0" t="0" r="0" b="0"/>
                      <wp:wrapNone/>
                      <wp:docPr id="260" name="Frame26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9065" cy="175260"/>
                      <wp:effectExtent l="0" t="0" r="0" b="0"/>
                      <wp:wrapNone/>
                      <wp:docPr id="261" name="Frame26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77495" cy="175260"/>
                      <wp:effectExtent l="0" t="0" r="0" b="0"/>
                      <wp:wrapNone/>
                      <wp:docPr id="262" name="Frame26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4630" cy="175260"/>
                      <wp:effectExtent l="0" t="0" r="0" b="0"/>
                      <wp:wrapNone/>
                      <wp:docPr id="263" name="Frame26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8910" cy="175260"/>
                      <wp:effectExtent l="0" t="0" r="0" b="0"/>
                      <wp:wrapNone/>
                      <wp:docPr id="264" name="Frame26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2275" cy="175260"/>
                      <wp:effectExtent l="0" t="0" r="0" b="0"/>
                      <wp:wrapNone/>
                      <wp:docPr id="265" name="Frame265"/>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38" w:type="dxa"/>
            <w:tcBorders/>
            <w:vAlign w:val="center"/>
          </w:tcPr>
          <w:p>
            <w:pPr>
              <w:pStyle w:val="TableContents"/>
              <w:bidi w:val="0"/>
              <w:spacing w:before="0" w:after="1"/>
              <w:ind w:left="0" w:right="0" w:hanging="0"/>
              <w:jc w:val="left"/>
              <w:rPr/>
            </w:pPr>
            <w:r>
              <w:rPr/>
              <w:t>    </w:t>
            </w:r>
          </w:p>
        </w:tc>
        <w:tc>
          <w:tcPr>
            <w:tcW w:w="6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38"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Variance</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38"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38"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of $283 was primarily due to having less cash in interest bearing accounts.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2024, we had $4,317 of cash and cash equivalents (excluding restricted cash), $14,784 in marketable securities, and total current assets of $24,456. Our total current liabilities balance, which includes accounts payable, deferred revenue, accrued expenses, and operating lease liabilities was approximately $9,187 as of March 31, 2024 and $9,330 as of December 31, 2023. The working capital surplus was $15,269 as of March 31, 2024, compared to a working capital surplus of $17,236 as of December 31,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carried out an assessment of our ability to continue as a going concern. As of the date of this Quarterly Report on Form 10Q, we believe that our Company has sufficient liquidity to fund operations for the next twelve months.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primary liquidity and capital requirements are for the maintenance of our current XpresSpa and Treat locations and brand, as well as the expansion of Naples Wax and our off-airport strategy. During the three months ended March 31, 2024 and 2023, we used $3,682 and $5,865 in operations,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On August 31, 2021, our board of directors initially authorized a stock repurchase program that permitted the purchase and repurchase of up to 750,000 shares of our common stock through September 15, 2022. In May 2022, the Board increased the share repurchase program by an additional 500,000 shares and extended its effectiveness through September 15, 2023. Under this stock repurchase program, management has discretion in determining the conditions under which shares may be purchased from time to time.</w:t>
      </w:r>
      <w:r>
        <w:rPr>
          <w:rFonts w:ascii="Times New Roman;Times;serif" w:hAnsi="Times New Roman;Times;serif"/>
          <w:sz w:val="20"/>
        </w:rPr>
        <w:t xml:space="preserve"> </w:t>
      </w:r>
      <w:r>
        <w:rPr>
          <w:rFonts w:ascii="Times New Roman;Times;serif" w:hAnsi="Times New Roman;Times;serif"/>
          <w:sz w:val="20"/>
          <w:shd w:fill="FFFFFF" w:val="clear"/>
        </w:rPr>
        <w:t>The program does not require us to repurchase any specific number of shares, and may be modified, suspended or terminated at any time without prior notice.</w:t>
      </w:r>
      <w:r>
        <w:rPr>
          <w:rFonts w:ascii="Times New Roman;Times;serif" w:hAnsi="Times New Roman;Times;serif"/>
          <w:sz w:val="20"/>
        </w:rPr>
        <w:t xml:space="preserve"> </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included with this Quarterly Report on Form 10Q should be read in conjunction with the audited consolidated financial statements included in our Annual Report on Form 10-K for the year ended December 31, 2023,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11" w:name="Item3QuantitativeandQualitativeDisclosur"/>
      <w:bookmarkStart w:id="1012" w:name="_0d6daa9f_8875_4a68_a20a_c0c8ae5e9052"/>
      <w:bookmarkEnd w:id="1011"/>
      <w:bookmarkEnd w:id="10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13" w:name="Item4ControlsandProcedures_603492"/>
      <w:bookmarkStart w:id="1014" w:name="_9e7f4c12_733a_4b6b_bbbe_94f814577b19"/>
      <w:bookmarkEnd w:id="1013"/>
      <w:bookmarkEnd w:id="1014"/>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2024, we carried out an evaluation, under the supervision and with the participation of our management, including our Chief Executive Officer and Chief Financial Officer, of the effectiveness of the design and operation of our disclosure controls and procedures.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March 31,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be effective as a result of these efforts. Management has commenced the following actions and will continue to assess additional opportunities for remediation on an ongoing basis: </w:t>
      </w:r>
    </w:p>
    <w:tbl>
      <w:tblPr>
        <w:tblW w:w="8826" w:type="dxa"/>
        <w:jc w:val="left"/>
        <w:tblInd w:w="0" w:type="dxa"/>
        <w:tblLayout w:type="fixed"/>
        <w:tblCellMar>
          <w:top w:w="28" w:type="dxa"/>
          <w:left w:w="28" w:type="dxa"/>
          <w:bottom w:w="28" w:type="dxa"/>
          <w:right w:w="28" w:type="dxa"/>
        </w:tblCellMar>
      </w:tblPr>
      <w:tblGrid>
        <w:gridCol w:w="124"/>
        <w:gridCol w:w="271"/>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than as set forth in the foregoing paragraph, there have been no changes in our internal control over financial reporting that occurred during the three months ended March 31, 2024 that has materially affected, or is reasonably likely to materially affect, our internal control over financial reporting. </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015" w:name="PARTIIOTHERINFORMATION_90261"/>
      <w:bookmarkStart w:id="1016" w:name="_3d5d7ade_b866_4c5f_acdd_f784433bce8b"/>
      <w:bookmarkEnd w:id="1015"/>
      <w:bookmarkEnd w:id="1016"/>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17" w:name="Item1LegalProceedings_288324"/>
      <w:bookmarkEnd w:id="1017"/>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information regarding legal proceedings, see Note 13. “</w:t>
      </w:r>
      <w:r>
        <w:rPr>
          <w:rFonts w:ascii="Times New Roman;Times;serif" w:hAnsi="Times New Roman;Times;serif"/>
          <w:i/>
          <w:sz w:val="20"/>
        </w:rPr>
        <w:t>Commitments and Contingencies”</w:t>
      </w:r>
      <w:r>
        <w:rPr>
          <w:rFonts w:ascii="Times New Roman;Times;serif" w:hAnsi="Times New Roman;Times;serif"/>
          <w:sz w:val="20"/>
        </w:rPr>
        <w:t xml:space="preserve"> in our notes to the condensed consolidated financial statements included in “Item 1. Condensed Consolidated Financial Statements (Unaudited).”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18" w:name="Item1ARiskFactors_714642"/>
      <w:bookmarkStart w:id="1019" w:name="_37e0aa20_c908_4a89_9f4b_0e8f7819d0b3"/>
      <w:bookmarkEnd w:id="1018"/>
      <w:bookmarkEnd w:id="1019"/>
      <w:r>
        <w:rPr>
          <w:rFonts w:ascii="Times New Roman;Times;serif" w:hAnsi="Times New Roman;Times;serif"/>
          <w:b/>
          <w:sz w:val="20"/>
        </w:rPr>
        <w:t>Item 1A.      Risk Factors.</w:t>
      </w:r>
    </w:p>
    <w:p>
      <w:pPr>
        <w:pStyle w:val="TextBody"/>
        <w:bidi w:val="0"/>
        <w:spacing w:before="360" w:after="0"/>
        <w:ind w:left="0" w:right="0" w:hanging="0"/>
        <w:jc w:val="both"/>
        <w:rPr>
          <w:rFonts w:ascii="Times New Roman;Times;serif" w:hAnsi="Times New Roman;Times;serif"/>
          <w:sz w:val="20"/>
        </w:rPr>
      </w:pPr>
      <w:r>
        <w:rPr>
          <w:rFonts w:ascii="Times New Roman;Times;serif" w:hAnsi="Times New Roman;Times;serif"/>
          <w:sz w:val="20"/>
          <w:shd w:fill="FFFFFF" w:val="clear"/>
        </w:rPr>
        <w:t>There have been no material changes to the risk factors discussed in Item 1A. Risk Factors in our Annual Report on Form 10-K for the year ended December 31, 2023.</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0" w:name="Item_2_Unreg_Sales"/>
      <w:bookmarkStart w:id="1021" w:name="_acac59c5_a842_4a05_8bab_636cbf877aa7"/>
      <w:bookmarkEnd w:id="1020"/>
      <w:bookmarkEnd w:id="1021"/>
      <w:r>
        <w:rPr>
          <w:rFonts w:ascii="Times New Roman;Times;serif" w:hAnsi="Times New Roman;Times;serif"/>
          <w:b/>
          <w:i w:val="false"/>
          <w:caps w:val="false"/>
          <w:smallCaps w:val="false"/>
          <w:sz w:val="20"/>
        </w:rPr>
        <w:t xml:space="preserve">Item 2.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2" w:name="Item3DefaultsUponSeniorSecurities_163017"/>
      <w:bookmarkStart w:id="1023" w:name="_25e8277d_01a0_4792_bd97_3d0b58c0bb70"/>
      <w:bookmarkEnd w:id="1022"/>
      <w:bookmarkEnd w:id="1023"/>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4" w:name="Item4MineSafetyDisclosures_955432"/>
      <w:bookmarkStart w:id="1025" w:name="_04d25e0f_d53c_4ae5_a150_4badcdf9d26e"/>
      <w:bookmarkEnd w:id="1024"/>
      <w:bookmarkEnd w:id="1025"/>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6" w:name="Item5OtherInformation_663071"/>
      <w:bookmarkStart w:id="1027" w:name="_fc50c61b_36b1_44be_a638_4ebecf55f704"/>
      <w:bookmarkEnd w:id="1026"/>
      <w:bookmarkEnd w:id="1027"/>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8" w:name="Item6Exhibits_900445"/>
      <w:bookmarkStart w:id="1029" w:name="_5ae3795a_a27c_4106_ba6a_9b93d849285d"/>
      <w:bookmarkEnd w:id="1028"/>
      <w:bookmarkEnd w:id="102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99"/>
        <w:gridCol w:w="146"/>
        <w:gridCol w:w="9160"/>
      </w:tblGrid>
      <w:tr>
        <w:trPr/>
        <w:tc>
          <w:tcPr>
            <w:tcW w:w="89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816600" cy="29210"/>
                      <wp:effectExtent l="0" t="0" r="0" b="0"/>
                      <wp:wrapNone/>
                      <wp:docPr id="266" name="Frame266"/>
                      <a:graphic xmlns:a="http://schemas.openxmlformats.org/drawingml/2006/main">
                        <a:graphicData uri="http://schemas.microsoft.com/office/word/2010/wordprocessingShape">
                          <wps:wsp>
                            <wps:cNvSpPr txBox="1"/>
                            <wps:spPr>
                              <a:xfrm>
                                <a:off x="0" y="0"/>
                                <a:ext cx="58166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w:t>
              <w:br/>
            </w:r>
            <w:r>
              <w:rPr>
                <w:rFonts w:ascii="Times New Roman;Times;serif" w:hAnsi="Times New Roman;Times;serif"/>
                <w:b/>
                <w:sz w:val="20"/>
              </w:rPr>
              <w:t>No.</w:t>
            </w:r>
          </w:p>
        </w:tc>
        <w:tc>
          <w:tcPr>
            <w:tcW w:w="146" w:type="dxa"/>
            <w:tcBorders/>
            <w:vAlign w:val="center"/>
          </w:tcPr>
          <w:p>
            <w:pPr>
              <w:pStyle w:val="TableContents"/>
              <w:bidi w:val="0"/>
              <w:spacing w:before="0" w:after="0"/>
              <w:ind w:left="0" w:right="0" w:hanging="0"/>
              <w:jc w:val="left"/>
              <w:rPr/>
            </w:pPr>
            <w:r>
              <w:rPr/>
              <w:t> </w:t>
            </w:r>
          </w:p>
        </w:tc>
        <w:tc>
          <w:tcPr>
            <w:tcW w:w="916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99" w:type="dxa"/>
            <w:tcBorders/>
            <w:vAlign w:val="center"/>
          </w:tcPr>
          <w:p>
            <w:pPr>
              <w:pStyle w:val="TableContents"/>
              <w:bidi w:val="0"/>
              <w:spacing w:lineRule="atLeast" w:line="142" w:before="0" w:after="0"/>
              <w:ind w:left="0" w:right="0" w:hanging="0"/>
              <w:jc w:val="left"/>
              <w:rPr/>
            </w:pPr>
            <w:r>
              <w:rPr/>
              <w:t>​</w:t>
            </w:r>
          </w:p>
        </w:tc>
        <w:tc>
          <w:tcPr>
            <w:tcW w:w="146" w:type="dxa"/>
            <w:tcBorders/>
            <w:vAlign w:val="center"/>
          </w:tcPr>
          <w:p>
            <w:pPr>
              <w:pStyle w:val="TableContents"/>
              <w:bidi w:val="0"/>
              <w:spacing w:lineRule="atLeast" w:line="142" w:before="0" w:after="0"/>
              <w:ind w:left="0" w:right="0" w:hanging="0"/>
              <w:jc w:val="left"/>
              <w:rPr/>
            </w:pPr>
            <w:r>
              <w:rPr/>
              <w:t>​</w:t>
            </w:r>
          </w:p>
        </w:tc>
        <w:tc>
          <w:tcPr>
            <w:tcW w:w="9160" w:type="dxa"/>
            <w:tcBorders/>
            <w:vAlign w:val="center"/>
          </w:tcPr>
          <w:p>
            <w:pPr>
              <w:pStyle w:val="TableContents"/>
              <w:bidi w:val="0"/>
              <w:spacing w:lineRule="atLeast" w:line="142" w:before="0" w:after="0"/>
              <w:ind w:left="0" w:right="0" w:hanging="0"/>
              <w:jc w:val="left"/>
              <w:rPr/>
            </w:pPr>
            <w:r>
              <w:rPr/>
              <w:t>​</w:t>
            </w:r>
          </w:p>
        </w:tc>
      </w:tr>
      <w:tr>
        <w:trPr/>
        <w:tc>
          <w:tcPr>
            <w:tcW w:w="89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60" w:type="dxa"/>
            <w:tcBorders/>
            <w:vAlign w:val="center"/>
          </w:tcPr>
          <w:p>
            <w:pPr>
              <w:pStyle w:val="TableContents"/>
              <w:bidi w:val="0"/>
              <w:spacing w:before="0" w:after="0"/>
              <w:ind w:left="0" w:right="0" w:hanging="0"/>
              <w:jc w:val="left"/>
              <w:rPr/>
            </w:pPr>
            <w:r>
              <w:rPr/>
              <w:t>​</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pPr>
            <w:hyperlink w:anchor="xwel-202403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89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60" w:type="dxa"/>
            <w:tcBorders/>
            <w:vAlign w:val="center"/>
          </w:tcPr>
          <w:p>
            <w:pPr>
              <w:pStyle w:val="TableContents"/>
              <w:bidi w:val="0"/>
              <w:spacing w:before="0" w:after="0"/>
              <w:ind w:left="0" w:right="0" w:hanging="0"/>
              <w:jc w:val="both"/>
              <w:rPr/>
            </w:pPr>
            <w:r>
              <w:rPr/>
              <w:t>​</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0"/>
              <w:ind w:left="0" w:right="0" w:hanging="0"/>
              <w:jc w:val="left"/>
              <w:rPr/>
            </w:pPr>
            <w:r>
              <w:rPr/>
              <w:t>​</w:t>
            </w:r>
          </w:p>
        </w:tc>
        <w:tc>
          <w:tcPr>
            <w:tcW w:w="9160" w:type="dxa"/>
            <w:tcBorders/>
            <w:vAlign w:val="center"/>
          </w:tcPr>
          <w:p>
            <w:pPr>
              <w:pStyle w:val="TableContents"/>
              <w:bidi w:val="0"/>
              <w:spacing w:before="0" w:after="0"/>
              <w:ind w:left="0" w:right="0" w:hanging="0"/>
              <w:jc w:val="both"/>
              <w:rPr/>
            </w:pPr>
            <w:hyperlink w:anchor="xwel-202403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both"/>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both"/>
              <w:rPr/>
            </w:pPr>
            <w:hyperlink w:anchor="xwel-20240331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9"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9160" w:type="dxa"/>
            <w:tcBorders/>
            <w:vAlign w:val="center"/>
          </w:tcPr>
          <w:p>
            <w:pPr>
              <w:pStyle w:val="TableContents"/>
              <w:bidi w:val="0"/>
              <w:spacing w:lineRule="atLeast" w:line="142" w:before="0" w:after="0"/>
              <w:ind w:left="0" w:right="0" w:hanging="0"/>
              <w:jc w:val="left"/>
              <w:rPr/>
            </w:pPr>
            <w:r>
              <w:rPr/>
              <w:t> </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60" w:type="dxa"/>
            <w:tcBorders/>
            <w:vAlign w:val="center"/>
          </w:tcPr>
          <w:p>
            <w:pPr>
              <w:pStyle w:val="TableContents"/>
              <w:bidi w:val="0"/>
              <w:spacing w:before="0" w:after="0"/>
              <w:ind w:left="0" w:right="0" w:hanging="0"/>
              <w:jc w:val="left"/>
              <w:rPr/>
            </w:pPr>
            <w:r>
              <w:rPr/>
              <w:t>​</w:t>
            </w:r>
          </w:p>
        </w:tc>
      </w:tr>
      <w:tr>
        <w:trPr/>
        <w:tc>
          <w:tcPr>
            <w:tcW w:w="8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2076" w:type="dxa"/>
        <w:jc w:val="left"/>
        <w:tblInd w:w="0" w:type="dxa"/>
        <w:tblLayout w:type="fixed"/>
        <w:tblCellMar>
          <w:top w:w="0" w:type="dxa"/>
          <w:left w:w="0" w:type="dxa"/>
          <w:bottom w:w="0" w:type="dxa"/>
          <w:right w:w="0" w:type="dxa"/>
        </w:tblCellMar>
      </w:tblPr>
      <w:tblGrid>
        <w:gridCol w:w="331"/>
        <w:gridCol w:w="109"/>
        <w:gridCol w:w="163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3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Filed herewith.</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Furnished herein.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30" w:name="_28fc44e9_b449_4157_b837_945a30dce8a8"/>
      <w:bookmarkEnd w:id="1030"/>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65" w:type="dxa"/>
        <w:jc w:val="left"/>
        <w:tblInd w:w="0" w:type="dxa"/>
        <w:tblLayout w:type="fixed"/>
        <w:tblCellMar>
          <w:top w:w="0" w:type="dxa"/>
          <w:left w:w="0" w:type="dxa"/>
          <w:bottom w:w="0" w:type="dxa"/>
          <w:right w:w="0" w:type="dxa"/>
        </w:tblCellMar>
      </w:tblPr>
      <w:tblGrid>
        <w:gridCol w:w="556"/>
        <w:gridCol w:w="1246"/>
        <w:gridCol w:w="32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lineRule="auto" w:line="304"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lineRule="auto" w:line="304"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2024</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Scott R. Milford</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2024</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sz w:val="20"/>
                <w:shd w:fill="FFFFFF" w:val="clear"/>
              </w:rPr>
              <w:t>Suzanne A. Scrabis</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Suzanne A. Scrabis</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right"/>
        <w:rPr>
          <w:rFonts w:ascii="Times New Roman;Times;serif" w:hAnsi="Times New Roman;Times;serif"/>
          <w:b/>
          <w:sz w:val="20"/>
        </w:rPr>
      </w:pPr>
      <w:bookmarkStart w:id="1031" w:name="xwel-20240331xex31d1.htm"/>
      <w:bookmarkStart w:id="1032" w:name="ksxwel20240331xex31d1"/>
      <w:bookmarkEnd w:id="1031"/>
      <w:bookmarkEnd w:id="1032"/>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Scott R. Milford,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2024</w:t>
      </w:r>
    </w:p>
    <w:p>
      <w:pPr>
        <w:pStyle w:val="TextBody"/>
        <w:bidi w:val="0"/>
        <w:spacing w:before="0" w:after="0"/>
        <w:ind w:left="0" w:right="0" w:hanging="0"/>
        <w:jc w:val="left"/>
        <w:rPr/>
      </w:pPr>
      <w:r>
        <w:rPr/>
        <w:t>​</w:t>
      </w:r>
    </w:p>
    <w:tbl>
      <w:tblPr>
        <w:tblW w:w="2829" w:type="dxa"/>
        <w:jc w:val="center"/>
        <w:tblInd w:w="0" w:type="dxa"/>
        <w:tblLayout w:type="fixed"/>
        <w:tblCellMar>
          <w:top w:w="0" w:type="dxa"/>
          <w:left w:w="0" w:type="dxa"/>
          <w:bottom w:w="0" w:type="dxa"/>
          <w:right w:w="0" w:type="dxa"/>
        </w:tblCellMar>
      </w:tblPr>
      <w:tblGrid>
        <w:gridCol w:w="124"/>
        <w:gridCol w:w="25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3" w:name="xwel-20240331xex31d2.htm"/>
      <w:bookmarkStart w:id="1034" w:name="ksxwel20240331xex31d2"/>
      <w:bookmarkEnd w:id="1033"/>
      <w:bookmarkEnd w:id="1034"/>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shd w:fill="FFFFFF" w:val="clear"/>
        </w:rPr>
        <w:t>Suzanne A. Scrabis</w:t>
      </w:r>
      <w:r>
        <w:rPr>
          <w:rFonts w:ascii="Times New Roman;Times;serif" w:hAnsi="Times New Roman;Times;serif"/>
          <w:sz w:val="20"/>
        </w:rPr>
        <w:t>,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2024</w:t>
      </w:r>
    </w:p>
    <w:p>
      <w:pPr>
        <w:pStyle w:val="TextBody"/>
        <w:bidi w:val="0"/>
        <w:spacing w:before="0" w:after="0"/>
        <w:ind w:left="0" w:right="0" w:hanging="0"/>
        <w:jc w:val="left"/>
        <w:rPr/>
      </w:pPr>
      <w:r>
        <w:rPr/>
        <w:t>​</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sz w:val="20"/>
                <w:shd w:fill="FFFFFF" w:val="clear"/>
              </w:rPr>
              <w:t>SUZANNE A. SCRABIS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5" w:name="xwel-20240331xex32.htm"/>
      <w:bookmarkStart w:id="1036" w:name="ksxwel20240331xex32"/>
      <w:bookmarkEnd w:id="1035"/>
      <w:bookmarkEnd w:id="1036"/>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 </w:t>
      </w:r>
      <w:r>
        <w:rPr>
          <w:rFonts w:ascii="Times New Roman;Times;serif" w:hAnsi="Times New Roman;Times;serif"/>
          <w:b/>
          <w:sz w:val="20"/>
        </w:rPr>
        <w:t>CERTIFICATIONS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March 31,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5781" w:type="dxa"/>
        <w:jc w:val="center"/>
        <w:tblInd w:w="0" w:type="dxa"/>
        <w:tblLayout w:type="fixed"/>
        <w:tblCellMar>
          <w:top w:w="0" w:type="dxa"/>
          <w:left w:w="0" w:type="dxa"/>
          <w:bottom w:w="0" w:type="dxa"/>
          <w:right w:w="0" w:type="dxa"/>
        </w:tblCellMar>
      </w:tblPr>
      <w:tblGrid>
        <w:gridCol w:w="1741"/>
        <w:gridCol w:w="3886"/>
        <w:gridCol w:w="15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2024</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sz w:val="20"/>
                <w:shd w:fill="FFFFFF" w:val="clear"/>
              </w:rPr>
              <w:t>SUZANNE A. SCRABIS</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Suzanne A. Scrabis</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13516</Words>
  <Characters>75366</Characters>
  <CharactersWithSpaces>89974</CharactersWithSpaces>
  <Paragraphs>3715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