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New York, NY 10017</w:t>
            </w:r>
          </w:p>
        </w:tc>
        <w:tc>
          <w:tcPr>
            <w:tcW w:w="1680" w:type="dxa"/>
            <w:vAlign w:val="bottom"/>
          </w:tcPr>
          <w:p>
            <w:pPr>
              <w:spacing w:after="0"/>
              <w:rPr>
                <w:sz w:val="24"/>
                <w:szCs w:val="24"/>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1" w:right="35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or Listing.</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On December 18, 2014, Vringo, Inc. (the "Company") received a notification letter from The NASDAQ Stock Market ("NASDAQ") informing the Company that for the last 30 consecutive business days, the bid price of the Company’s securities had closed below $1.00 per share, which is the minimum required closing bid price for continued listing on NASDAQ Capital Market pursuant to Listing Rule 5550(a)(2).</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This notice has no immediate effect on the Company's NASDAQ listing; the Company has 180 calendar days, or until June 16, 2015, to regain compliance. To regain compliance, the closing bid price of the Company’s securities must be at least $1.00 per share for a minimum of ten consecutive business days. If the Company does not regain compliance by June 16, 2015, the Company may be eligible for additional time to regain compliance or if the Company is otherwise not eligible, the Company may request a hearing before a Hearings Panel.</w:t>
      </w:r>
    </w:p>
    <w:p>
      <w:pPr>
        <w:spacing w:after="0" w:line="176"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Employment Agreement - Anastasia Nyrkovskaya</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19, 2014, Vringo, Inc. (the "Company") entered into a new employment agreement with Anastasia Nyrkovskaya for an eighteen month term, which terminates and supersedes the letter agreement entered into between the parties on April 24, 2013. Under the terms of her employment agreement, Ms. Nyrkovskaya will continue to receive her annual base salary of $315,000. Ms. Nyrkovskaya’s employment agreement, may be terminated upon death, disability, by the Company with or without Cause (as defined below), by Ms. Nyrkovskaya with or without Good Reason (as defined below) or on the last day of the term of the employment agreement. In the event the employment agreement is terminated for (i) Good Reason by Ms. Nyrkovskaya, or</w:t>
      </w:r>
    </w:p>
    <w:p>
      <w:pPr>
        <w:spacing w:after="0" w:line="3" w:lineRule="exact"/>
        <w:rPr>
          <w:sz w:val="20"/>
          <w:szCs w:val="20"/>
          <w:color w:val="auto"/>
        </w:rPr>
      </w:pPr>
    </w:p>
    <w:p>
      <w:pPr>
        <w:jc w:val="both"/>
        <w:ind w:firstLine="8"/>
        <w:spacing w:after="0" w:line="253"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without Cause, Ms. Nyrkovskaya shall be entitled to receive (A) the payment of any base salary earned but unpaid through the date of termination and any other payment or benefit to which she is entitled under the applicable terms of any other arrangement with the Company through the date the employment period is terminated, (B) an amount of base salary (at the rate of base salary in effect immediately prior to such termination) equal to twelve months of base salary, and (C) COBRA continuation coverage paid in full by the Company for up to a maximum of twelve months following the date of termination.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employment agreement is terminated by the Company for Cause, without Good Reason by Ms. Nyrkovskaya, or the parties elect not to renew the agreement, Ms. Nyrkovskaya will be entitled to payment of any base salary earned but unpaid through the date of termination and any other payment or benefit to which she is entitled under the applicable terms of any other arrangement with the Company. In case the agreement is terminated by Ms. Nyrkovskaya without Good Reason, she shall provide the Company with a written notice, at least ninety calendar days prior to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"Cause" as used Ms. Nyrkovskaya’s employment agreement means: (a) the willful and continued failure of Ms. Nyrkovskaya to perform substantially her duties and responsibilities for the Company (other than any such failure resulting from her death or disability) after a written demand by the chief executive officer for substantial performance is delivered to Ms. Nyrkovskaya by the Company,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w:t>
      </w:r>
    </w:p>
    <w:p>
      <w:pPr>
        <w:spacing w:after="0" w:line="3" w:lineRule="exact"/>
        <w:rPr>
          <w:sz w:val="20"/>
          <w:szCs w:val="20"/>
          <w:color w:val="auto"/>
        </w:rPr>
      </w:pPr>
    </w:p>
    <w:p>
      <w:pPr>
        <w:jc w:val="both"/>
        <w:ind w:firstLine="8"/>
        <w:spacing w:after="0" w:line="252" w:lineRule="auto"/>
        <w:tabs>
          <w:tab w:leader="none" w:pos="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her non-compete obligations, (d) breach of the non-disclosure and non-solicitation agreement; or (e) a good faith finding by the chief executive officer that Ms. Nyrkovskaya has engaged in fraud, intentional dishonesty, or gross negligence. "Good Reason" as used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the Company’s requirement that Ms. Nyrkovskaya regularly report to work in a location that is more than fifty miles from the Company’s current New York office, without Ms. Nyrkovskaya’s consent; (e) a material breach by the Company of the agreement during its term. Ms. Nyrkovskaya’s employment agreement also includes a covenant not to compete with the Company or solicit any material commercial relationships of the Company for a period of one year after Ms. Nyrkovskaya is actually no longer employed by the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employment agreement is not complete and is subject to, and qualified in its entirety by, the full text of the consulting agreement with Ms. Nyrkovskaya, a copy of which is filed as Exhibit 10.1 to this Current Report on Form 8-K and is incorporated herein by reference.</w:t>
      </w:r>
    </w:p>
    <w:p>
      <w:pPr>
        <w:spacing w:after="0" w:line="176" w:lineRule="exact"/>
        <w:rPr>
          <w:sz w:val="20"/>
          <w:szCs w:val="20"/>
          <w:color w:val="auto"/>
        </w:rPr>
      </w:pPr>
    </w:p>
    <w:p>
      <w:pPr>
        <w:jc w:val="both"/>
        <w:ind w:right="20" w:firstLine="8"/>
        <w:spacing w:after="0" w:line="266" w:lineRule="auto"/>
        <w:tabs>
          <w:tab w:leader="none" w:pos="78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2014 (the "Effective Date"), Mr. Alexander R. Berger resigned from his positions as Chief Operating Officer, Secretary and a member of the board of directors of the Company. The resignation was not the result of any disagreement with the Company on any matter relating to the Company’s operations, policies or practices.</w:t>
      </w:r>
    </w:p>
    <w:p>
      <w:pPr>
        <w:spacing w:after="0" w:line="17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Consulting Agreement - Alexander R. Berger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Mr. Berger’s resignation from his positions at the Company, he has agreed to transition to the role of an independent consultant pursuant to a consulting agreement with the Company entered into on the Effective Date. The consulting agreement terminates and supersedes the employment agreement between Mr. Berger and the Company, with the exception of certain noncompetition, non-disclosure and non-solicitation provisions that are to continue through the term of the consulting agreement. As a condition of entering into the consulting agreement, Mr. Berger and the Company have agreed to execute a mutual general release of claims that either party has or in the future may have against the other up to the Effective Date. The consulting agreement will remain in effect from the Effective Date through September 30, 2016, unless earlier terminated by the Company or Mr. Berger. Pursuant to the consulting agreement Mr. Berger shall provide services to the Company under the direction and supervision of the Company's Chief Executive Officer and, for certain matters, the Company's Chief Legal and Intellectual Property Officer or Board of Directors and shall also remain a member of the board of directors of certain of the Company’s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consulting agreement, Mr. Berger will receive a monthly retainer at a rate of $10,000 per month commencing on the Effective Date and until December 31, 2015, and as mutually agreed by the parties for the remainder of the term thereafter. In addition, all restricted stock units granted by the Company to Mr. Berger pursuant to the Vringo, Inc. 2012 Employee, Director and Consultant Equity Incentive Plan (the "Plan") and the agreement evidencing such grants shall continue to vest in accordance with their terms until Mr. Berger is no longer providing services to the Company, and all stock options outstanding, whether vested or unvested, shall as of the Effective Date be forfeited for no consideration.</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consulting agreement is not complete and is subject to, and qualified in its entirety by, the full text of the consulting agreement with Mr. Berger, a copy of which is filed as Exhibit 10.2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Attached hereto as Exhibit 99.1 is a copy of a press release of the Company, dated December 19, 2014, announcing the Company’s leadership transition.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p>
        </w:tc>
      </w:tr>
      <w:tr>
        <w:trPr>
          <w:trHeight w:val="410"/>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8"/>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91"/>
        </w:trPr>
        <w:tc>
          <w:tcPr>
            <w:tcW w:w="1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6"/>
                <w:szCs w:val="16"/>
                <w:color w:val="auto"/>
              </w:rPr>
            </w:pPr>
          </w:p>
        </w:tc>
        <w:tc>
          <w:tcPr>
            <w:tcW w:w="10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Employment Agreement, dated December 19, 2014, by and between Vringo, Inc. and Anastasia Nyrkovskaya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Consulting Agreement, dated December 19, 2014, by and between Vringo, Inc. and Alexander R. Berger</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December 19, 2014</w:t>
            </w:r>
          </w:p>
        </w:tc>
      </w:tr>
      <w:tr>
        <w:trPr>
          <w:trHeight w:val="648"/>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7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VRINGO,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19, 2014</w:t>
            </w:r>
          </w:p>
        </w:tc>
        <w:tc>
          <w:tcPr>
            <w:tcW w:w="77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Andrew D. Perlman</w:t>
            </w:r>
          </w:p>
        </w:tc>
      </w:tr>
      <w:tr>
        <w:trPr>
          <w:trHeight w:val="191"/>
        </w:trPr>
        <w:tc>
          <w:tcPr>
            <w:tcW w:w="36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Andrew D. Perlman</w:t>
            </w:r>
          </w:p>
        </w:tc>
      </w:tr>
      <w:tr>
        <w:trPr>
          <w:trHeight w:val="234"/>
        </w:trPr>
        <w:tc>
          <w:tcPr>
            <w:tcW w:w="3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48"/>
        </w:trPr>
        <w:tc>
          <w:tcPr>
            <w:tcW w:w="36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the 19th day of December, 2014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is by and between Anastasia Nyrkovskaya</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an individual residing at the address listed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and Vringo, Inc., a Delaware corporation with principal offices located at 780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Avenue, 12th Floor, New York, NY 10017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160" w:firstLine="635"/>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Employee desires to continue to be employed by the Company as its Chief Financial Officer under the terms set forth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wishes to continue to employ Employee in such capacity;</w:t>
      </w:r>
    </w:p>
    <w:p>
      <w:pPr>
        <w:spacing w:after="0" w:line="155" w:lineRule="exact"/>
        <w:rPr>
          <w:sz w:val="20"/>
          <w:szCs w:val="20"/>
          <w:color w:val="auto"/>
        </w:rPr>
      </w:pPr>
    </w:p>
    <w:p>
      <w:pPr>
        <w:ind w:left="20" w:firstLine="622"/>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and the respective covenants and agreements of the parties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the Company and Employee hereby agree as follows:</w:t>
      </w:r>
    </w:p>
    <w:p>
      <w:pPr>
        <w:spacing w:after="0" w:line="159" w:lineRule="exact"/>
        <w:rPr>
          <w:sz w:val="20"/>
          <w:szCs w:val="20"/>
          <w:color w:val="auto"/>
        </w:rPr>
      </w:pPr>
    </w:p>
    <w:p>
      <w:pPr>
        <w:ind w:left="840" w:hanging="184"/>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and 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agrees to continue to employ, and Employee agrees to continue to serve, as its Chief Financial Officer. The duties and responsibilities of Employee shall include the duties and responsibilities normally associated with such positions and such other duties and responsibilities consistent with such positions as the Company's Chief Executive Officer may from time to time reasonably assign in good faith to Employee. At all times during the term of this Agreement, the Employee shall report directly to the Chief Executive Officer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1305"/>
        <w:spacing w:after="0" w:line="255" w:lineRule="auto"/>
        <w:tabs>
          <w:tab w:leader="none" w:pos="155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devote substantially all of her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Employee from (i) performing services for such other companies as the Company may designate or permit, (ii) serving, with the prior written consent of the CEO,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Employee's personal investments and affairs; provided, however, that the activities set out in clauses (i), (ii), (iii) and (iv) shall be limited by Employee so as not to materially interfere, individually or in the aggregate, with the performance of Employee's duties and responsibilities hereunder.</w:t>
      </w:r>
    </w:p>
    <w:p>
      <w:pPr>
        <w:spacing w:after="0" w:line="18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employ Employee and Employee hereby accepts employment with the Company, upon the terms set forth in this Agreement, for the period commencing on the Effective Date and ending on the eighteen (18) month anniversary of the Effective Date, unless sooner terminated in accordance with the provisions of Section 7 below (the "</w:t>
      </w: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 At the end of the Employment Term this Agreement shall terminate except as otherwise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 w:name="page7"/>
    <w:bookmarkEnd w:id="6"/>
    <w:p>
      <w:pPr>
        <w:jc w:val="both"/>
        <w:ind w:left="-656" w:firstLine="656"/>
        <w:spacing w:after="0" w:line="232" w:lineRule="auto"/>
        <w:tabs>
          <w:tab w:leader="none" w:pos="1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Employment</w:t>
      </w:r>
      <w:r>
        <w:rPr>
          <w:rFonts w:ascii="Times New Roman" w:cs="Times New Roman" w:eastAsia="Times New Roman" w:hAnsi="Times New Roman"/>
          <w:sz w:val="18"/>
          <w:szCs w:val="18"/>
          <w:color w:val="auto"/>
        </w:rPr>
        <w:t>. Employee's services shall be performed at the Company's offices located at 780 3</w:t>
      </w:r>
      <w:r>
        <w:rPr>
          <w:rFonts w:ascii="Times New Roman" w:cs="Times New Roman" w:eastAsia="Times New Roman" w:hAnsi="Times New Roman"/>
          <w:sz w:val="30"/>
          <w:szCs w:val="30"/>
          <w:color w:val="auto"/>
          <w:vertAlign w:val="superscript"/>
        </w:rPr>
        <w:t>rd</w:t>
      </w:r>
      <w:r>
        <w:rPr>
          <w:rFonts w:ascii="Times New Roman" w:cs="Times New Roman" w:eastAsia="Times New Roman" w:hAnsi="Times New Roman"/>
          <w:sz w:val="18"/>
          <w:szCs w:val="18"/>
          <w:color w:val="auto"/>
        </w:rPr>
        <w:t xml:space="preserve"> Avenue, 12th Floor, New York 10017 and any other locus where the Company and Employee mutually agree is an acceptable location from which Employee's services may be performed. The parties acknowledge that any location in the Borough of Manhattan, City of New York, is an acceptable location. The parties further acknowledge, however, that Employee may be required to travel extensively in connection with the performance of his duties hereunder which travel may be for extended periods of time.</w:t>
      </w:r>
    </w:p>
    <w:p>
      <w:pPr>
        <w:spacing w:after="0" w:line="199"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1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all services to be rendered by Employee pursuant to this Agreement, the Company agrees to pay Employee during the term of this Agreement an annual base salary, less applicable taxes, including income tax, FICA and FUTA, and other appropriate deductions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at an annual rate of three hundred fifteen thousand dollars ($315,000). The Compensation Committee shall review the Base Salary on an annual basis and may increase the Base Salary in its sole discretion. The Base Salary shall be paid in periodic installments in accordance with the Company's regular payroll practices.</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1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Bonuses and Incentive Compensation</w:t>
      </w:r>
      <w:r>
        <w:rPr>
          <w:rFonts w:ascii="Times New Roman" w:cs="Times New Roman" w:eastAsia="Times New Roman" w:hAnsi="Times New Roman"/>
          <w:sz w:val="18"/>
          <w:szCs w:val="18"/>
          <w:color w:val="auto"/>
        </w:rPr>
        <w:t>. On an annual basis, or such other period to be determined by the Compensation Committee, Employee shall be entitled to be considered for a bonus. The size of such periodic bonus and the criterion for receipt of such periodic bonus shall be determined by the Compensation Committee. To the extent that the Company is required pursuant to Section 954 of the Dodd-Frank Wall Street Reform and Consumer Protection Act to develop and implement a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providing for the recovery from the Employee of any payment of incentive-based compensation paid to the Employee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Employee; provided, that, any such Policy shall only be binding on the Employee if the same Policy applies to any other Company employees.</w:t>
      </w:r>
    </w:p>
    <w:p>
      <w:pPr>
        <w:spacing w:after="0" w:line="18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1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Employee shall be entitled to reimbursement for all reasonable and appropriate travel, entertainment, and other expenses incurred by Employee while employed (in accordance with the policies and procedures established by the Company for its employees) in the performance of his duties and responsibilities under this Agreement; provided, that, Employee properly accounts for such expenses in accordance with Company policies and procedures. The Employee shall be responsible for any unreasonable or inappropriate expenses incurred in violation of Company policies and procedures.</w:t>
      </w:r>
    </w:p>
    <w:p>
      <w:pPr>
        <w:spacing w:after="0" w:line="180"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Employee shall be eligible to participate in all benefit programs that are generally available to the Company's employees, including vacation, Company-subsidized medical, dental, and vision insurance coverage and, at your election, life insurance and/or long-term disability coverage which current benefits are described more fully in the Ambrose Orientation Guide.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398145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7" w:name="page8"/>
    <w:bookmarkEnd w:id="7"/>
    <w:p>
      <w:pPr>
        <w:ind w:left="184" w:hanging="184"/>
        <w:spacing w:after="0"/>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5"/>
        <w:spacing w:after="0" w:line="255" w:lineRule="auto"/>
        <w:tabs>
          <w:tab w:leader="none" w:pos="8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Employee's employment hereunder shall terminate upon the earliest to occur of: (i) Employee's death, (ii) a termination by reason of Employee's Disability, (iii) a termination by the Company with or without Cause, or (iv) a termination by Employee with or without Good Reason. Notwithstanding anything herein to the contrary, the payment (or commencement of a series of payments) hereunder of any nonqualified deferred compensation (within the meaning of Section 409A of the Internal Revenue Code,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upon a termination of employment shall be delayed until such time as Employee has also undergone a "separation from service" as defined in Treas. Reg. 1.409A-1(h), at which time such nonqualified deferred compensation (calculated as of the date of Employee's termination of employment hereunder) shall be paid (or commence to be paid) to Employee on the schedule set forth in this Section 7 as if Employee had undergone such termination of employment (under the same circumstances) on the date of Employee's ultimate "separation from service."</w:t>
      </w:r>
    </w:p>
    <w:p>
      <w:pPr>
        <w:spacing w:after="0" w:line="185" w:lineRule="exact"/>
        <w:rPr>
          <w:rFonts w:ascii="Times New Roman" w:cs="Times New Roman" w:eastAsia="Times New Roman" w:hAnsi="Times New Roman"/>
          <w:sz w:val="18"/>
          <w:szCs w:val="18"/>
          <w:color w:val="auto"/>
        </w:rPr>
      </w:pPr>
    </w:p>
    <w:p>
      <w:pPr>
        <w:jc w:val="both"/>
        <w:ind w:left="-656" w:firstLine="1305"/>
        <w:spacing w:after="0" w:line="255" w:lineRule="auto"/>
        <w:tabs>
          <w:tab w:leader="none" w:pos="90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Employee dies while this Agreement is in effect, this Agreement and the Employee's employment with the Company shall automatically terminate and the Company shall have no further obligations to the Employee or his heirs, administrators or executors with respect to compensation and benefits accruing thereafter, except for the obligation to pay to the Employee's heirs, administrators or executors (i) any earned but unpaid Base Salary up to and through the date of termination, (ii) any and all reasonable expenses paid or incurred by the Employee in connection with and related to the performance of his duties and responsibilities for the Company up to and through the date of termination, and (iii) any benefits provided under the Company's employee benefit plans pursuant to, and in accordance with, the terms of such plans through the date of termination (collectively, the "</w:t>
      </w:r>
      <w:r>
        <w:rPr>
          <w:rFonts w:ascii="Times New Roman" w:cs="Times New Roman" w:eastAsia="Times New Roman" w:hAnsi="Times New Roman"/>
          <w:sz w:val="18"/>
          <w:szCs w:val="18"/>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The Company shall deduct, from all payments made hereunder, all applicable taxes, including income tax, FICA and FUTA, and other appropriate deductions.</w:t>
      </w:r>
    </w:p>
    <w:p>
      <w:pPr>
        <w:spacing w:after="0" w:line="185" w:lineRule="exact"/>
        <w:rPr>
          <w:rFonts w:ascii="Times New Roman" w:cs="Times New Roman" w:eastAsia="Times New Roman" w:hAnsi="Times New Roman"/>
          <w:sz w:val="18"/>
          <w:szCs w:val="18"/>
          <w:color w:val="auto"/>
        </w:rPr>
      </w:pPr>
    </w:p>
    <w:p>
      <w:pPr>
        <w:jc w:val="both"/>
        <w:ind w:left="-656" w:firstLine="1305"/>
        <w:spacing w:after="0" w:line="254" w:lineRule="auto"/>
        <w:tabs>
          <w:tab w:leader="none" w:pos="8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In the event that while this Agreement is in effect the Company determines that the Employee is unable to perform his essential duties and responsibilities hereunder to the full extent required by the Company by reason of a Disability (as defined below), this Agreement and the Employee's employment with the Company shall terminate immediately upon notice to the Employee, and the Company shall have no further obligations or liability to the Employee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 physical or mental disability that prevents the performance by the Employee, with or without reasonable accommodation, of his essential duties and responsibilities hereunder for ninety (90) consecutive days, or an aggregate of one-hundred and eighty (180) days during any twelve consecutive months, as determined consistent with applicable law. It is expressly acknowledged and agreed that the decision as to whether and as of what date Employee has a Disability shall be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8" w:name="page9"/>
    <w:bookmarkEnd w:id="8"/>
    <w:p>
      <w:pPr>
        <w:ind w:left="360" w:hanging="255"/>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 for Cause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0" w:right="20" w:firstLine="653"/>
        <w:spacing w:after="0" w:line="282" w:lineRule="auto"/>
        <w:tabs>
          <w:tab w:leader="none" w:pos="104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any time terminate this Agreement and the Employee's employment hereunder for Cause. Such termination shall be effective immediately upon notice to the Employee.</w:t>
      </w:r>
    </w:p>
    <w:p>
      <w:pPr>
        <w:spacing w:after="0" w:line="162" w:lineRule="exact"/>
        <w:rPr>
          <w:sz w:val="20"/>
          <w:szCs w:val="20"/>
          <w:color w:val="auto"/>
        </w:rPr>
      </w:pPr>
    </w:p>
    <w:p>
      <w:pPr>
        <w:jc w:val="both"/>
        <w:ind w:left="10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as used in this Agreement shall mean: (a) the willful and continued failure of the Employee to perform substantially his duties and responsibilities for the Company (other than any such failure resulting from Employee's death or Disability) after a written demand by the CEO for substantial performance is delivered to the Employee by the Company, which specifically identifies the manner in which the CEO believes that the Employee has not substantially performed his duties and responsibilities and explicitly states that termination for "Cause" under Section 7(d) of this Agreement, which willful and continued failure is not cured by the Employee within thirty (30) days of his receipt of such written demand; (b) the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(c) a breach of Section 8 of this Agreement, (d) a breach of the Non-Disclosure and Non-Solicitation Agreement between Employee and Company; or (e) a good faith finding by the CEO that Employee has engaged in fraud, intentional dishonesty, or gross negligence.</w:t>
      </w:r>
    </w:p>
    <w:p>
      <w:pPr>
        <w:spacing w:after="0" w:line="185" w:lineRule="exact"/>
        <w:rPr>
          <w:sz w:val="20"/>
          <w:szCs w:val="20"/>
          <w:color w:val="auto"/>
        </w:rPr>
      </w:pPr>
    </w:p>
    <w:p>
      <w:pPr>
        <w:jc w:val="both"/>
        <w:ind w:left="100" w:firstLine="653"/>
        <w:spacing w:after="0" w:line="261" w:lineRule="auto"/>
        <w:tabs>
          <w:tab w:leader="none" w:pos="100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this Agreement for Cause, the Company shall have no further obligations or liability to the Employee or his heirs, administrators or executors with respect to compensation and benefits thereafter, except for the obligation to pay the Employee the Accrued Obligations. The Company shall deduct, from all payments made hereunder, all applicable taxes, including income tax, FICA and FUTA, and other appropriate deductions.</w:t>
      </w:r>
    </w:p>
    <w:p>
      <w:pPr>
        <w:spacing w:after="0" w:line="180" w:lineRule="exact"/>
        <w:rPr>
          <w:rFonts w:ascii="Times New Roman" w:cs="Times New Roman" w:eastAsia="Times New Roman" w:hAnsi="Times New Roman"/>
          <w:sz w:val="18"/>
          <w:szCs w:val="18"/>
          <w:color w:val="auto"/>
        </w:rPr>
      </w:pPr>
    </w:p>
    <w:p>
      <w:pPr>
        <w:ind w:left="100" w:firstLine="653"/>
        <w:spacing w:after="0" w:line="282" w:lineRule="auto"/>
        <w:tabs>
          <w:tab w:leader="none" w:pos="101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acknowledged and agreed that the decision as to whether "Cause" exists for termination of the employment relationship by the Company is delegated to the CEO for determination.</w:t>
      </w:r>
    </w:p>
    <w:p>
      <w:pPr>
        <w:spacing w:after="0" w:line="161" w:lineRule="exact"/>
        <w:rPr>
          <w:rFonts w:ascii="Times New Roman" w:cs="Times New Roman" w:eastAsia="Times New Roman" w:hAnsi="Times New Roman"/>
          <w:sz w:val="18"/>
          <w:szCs w:val="18"/>
          <w:color w:val="auto"/>
        </w:rPr>
      </w:pPr>
    </w:p>
    <w:p>
      <w:pPr>
        <w:ind w:left="340" w:hanging="235"/>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Employee for Good Reason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00" w:firstLine="653"/>
        <w:spacing w:after="0" w:line="255" w:lineRule="auto"/>
        <w:tabs>
          <w:tab w:leader="none" w:pos="10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conditions set forth in Section 7(e)(2) below, the Employee may terminate this Agreement and the Employee's employment with the Company for Good Reason.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as used in this Agreement shall mean the occurrence of any of the following events: (a) the assignment, without the Employee's consent, to the Employee of duties that result in a substantial diminution of the duties that he assumed on the Effective Date; (b) the assignment, without the Employee's consent, to the Employee of a title that is subordinate to the title set forth in Section 1 above; (c) a material reduction in Employee's Base Salary; (d) the Company's requirement that Employee regularly report to work in a location that is more than fifty miles from the Company's then office in the Borough of Manhattan, City of New York without the Employee's consent, provided that travel even if for extended period of time shall not constitute Good Reason; or (e) a material breach by the Company of this Agreement during the Employment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403860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9" w:name="page10"/>
    <w:bookmarkEnd w:id="9"/>
    <w:p>
      <w:pPr>
        <w:jc w:val="both"/>
        <w:ind w:left="100" w:firstLine="653"/>
        <w:spacing w:after="0" w:line="255" w:lineRule="auto"/>
        <w:tabs>
          <w:tab w:leader="none" w:pos="10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shall not be entitled to terminate this Agreement for Good Reason unless and until he shall have delivered written notice to the Company of his intention to terminate this Agreement and his employment with the Company for Good Reason within thirty (30) days of the initial occurrence of the condition(s) constituting Good Reason, which notice specifies in reasonable detail the circumstances claimed to provide the basis for such termination for Good Reason, and the Company shall not have eliminated the circumstances constituting Good Reason within thirty (30) days of its receipt from the Employee of such written notice. The Company shall retain the discretion to terminate the Employee at any time without Cause (or for Cause if in accordance with Section 7(d)) during the Good Reason notice period provided for in this Section 7(e)(2).</w:t>
      </w:r>
    </w:p>
    <w:p>
      <w:pPr>
        <w:spacing w:after="0" w:line="189" w:lineRule="exact"/>
        <w:rPr>
          <w:rFonts w:ascii="Times New Roman" w:cs="Times New Roman" w:eastAsia="Times New Roman" w:hAnsi="Times New Roman"/>
          <w:sz w:val="18"/>
          <w:szCs w:val="18"/>
          <w:color w:val="auto"/>
        </w:rPr>
      </w:pPr>
    </w:p>
    <w:p>
      <w:pPr>
        <w:ind w:left="100" w:firstLine="653"/>
        <w:spacing w:after="0" w:line="282" w:lineRule="auto"/>
        <w:tabs>
          <w:tab w:leader="none" w:pos="10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Employee terminates this Agreement and his employment with the Company for Good Reason, the Company shall pay or provide to the Employee (or, following his death, to the Employee's heirs, administrators or executors):</w:t>
      </w:r>
    </w:p>
    <w:p>
      <w:pPr>
        <w:spacing w:after="0" w:line="161" w:lineRule="exact"/>
        <w:rPr>
          <w:rFonts w:ascii="Times New Roman" w:cs="Times New Roman" w:eastAsia="Times New Roman" w:hAnsi="Times New Roman"/>
          <w:sz w:val="18"/>
          <w:szCs w:val="18"/>
          <w:color w:val="auto"/>
        </w:rPr>
      </w:pPr>
    </w:p>
    <w:p>
      <w:pPr>
        <w:ind w:left="1700" w:hanging="299"/>
        <w:spacing w:after="0"/>
        <w:tabs>
          <w:tab w:leader="none" w:pos="1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 through the date of termination of employment.</w:t>
      </w:r>
    </w:p>
    <w:p>
      <w:pPr>
        <w:spacing w:after="0" w:line="225" w:lineRule="exact"/>
        <w:rPr>
          <w:rFonts w:ascii="Times New Roman" w:cs="Times New Roman" w:eastAsia="Times New Roman" w:hAnsi="Times New Roman"/>
          <w:sz w:val="18"/>
          <w:szCs w:val="18"/>
          <w:color w:val="auto"/>
        </w:rPr>
      </w:pPr>
    </w:p>
    <w:p>
      <w:pPr>
        <w:jc w:val="both"/>
        <w:ind w:left="420" w:firstLine="981"/>
        <w:spacing w:after="0" w:line="255" w:lineRule="auto"/>
        <w:tabs>
          <w:tab w:leader="none" w:pos="17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Base Salary (at the rate of Base Salary in effect immediately prior to the Employee's termination hereunder) equal to twelve (12) months of Base Salary. Except as otherwise provided in this Agreement, the Company shall pay to Employee the amounts provided in this Section 7(e)(3)(B) in substantially equal installments commencing on the Company's next regular payroll date following the date the Release (referenced in Section 7(i) below) becomes irrevocable and enforceable; provided, however, that if the ninety (90) day period referenced in Section 7(i) below begins in one calendar year and ends in the following calendar year, the Company shall pay to Employee the amounts provided in this Section 7(e)(3)(B)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403860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0" w:name="page11"/>
    <w:bookmarkEnd w:id="10"/>
    <w:p>
      <w:pPr>
        <w:jc w:val="both"/>
        <w:ind w:left="420" w:firstLine="981"/>
        <w:spacing w:after="0" w:line="254" w:lineRule="auto"/>
        <w:tabs>
          <w:tab w:leader="none" w:pos="168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7(i) below, COBRA continuation coverage paid in full by the Company, so long as Employee has not become actually covered by the medical plan of a subsequent employer during any such month and is otherwise entitled to COBRA continuation coverage, with such payments for up to a maximum of twelve (12) months following the date of termination. After such period, Employee is responsible for paying the full cost for any additional COBRA continuation coverage to which Employee is then entitled. If the Company's payment of the COBRA premiums on the Employee's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89" w:lineRule="exact"/>
        <w:rPr>
          <w:rFonts w:ascii="Times New Roman" w:cs="Times New Roman" w:eastAsia="Times New Roman" w:hAnsi="Times New Roman"/>
          <w:sz w:val="18"/>
          <w:szCs w:val="18"/>
          <w:color w:val="auto"/>
        </w:rPr>
      </w:pPr>
    </w:p>
    <w:p>
      <w:pPr>
        <w:jc w:val="both"/>
        <w:ind w:left="-1200" w:firstLine="1305"/>
        <w:spacing w:after="0" w:line="255" w:lineRule="auto"/>
        <w:tabs>
          <w:tab w:leader="none" w:pos="3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Employee without Good Reason</w:t>
      </w:r>
      <w:r>
        <w:rPr>
          <w:rFonts w:ascii="Times New Roman" w:cs="Times New Roman" w:eastAsia="Times New Roman" w:hAnsi="Times New Roman"/>
          <w:sz w:val="18"/>
          <w:szCs w:val="18"/>
          <w:color w:val="auto"/>
        </w:rPr>
        <w:t>. The Employee shall be entitled to terminate this Agreement and the Employee's employment with the Company without Good Reason at any time by providing prior written notice to the Company of at least ninety (90) calendar days; provided, however, that the Company shall maintain the discretion to terminate the Employee at any time during the notice period set forth in this Section 7(f). Upon termination by the Employee of this Agreement and the Employee's employment with the Company without Good Reason, the Company shall have no further obligations or liability to the Employee or his heirs, administrators or executors with respect to compensation and benefits thereafter, except for the obligation to pay the Employee the Accrued Obligations through the date the Employee is terminated. The Company shall deduct, from all payments made hereunder, all applicable taxes, including income tax, FICA and FUTA, and other appropriate deductions.</w:t>
      </w:r>
    </w:p>
    <w:p>
      <w:pPr>
        <w:spacing w:after="0" w:line="189" w:lineRule="exact"/>
        <w:rPr>
          <w:rFonts w:ascii="Times New Roman" w:cs="Times New Roman" w:eastAsia="Times New Roman" w:hAnsi="Times New Roman"/>
          <w:sz w:val="18"/>
          <w:szCs w:val="18"/>
          <w:color w:val="auto"/>
        </w:rPr>
      </w:pPr>
    </w:p>
    <w:p>
      <w:pPr>
        <w:jc w:val="both"/>
        <w:ind w:left="-1200" w:firstLine="1305"/>
        <w:spacing w:after="0" w:line="255" w:lineRule="auto"/>
        <w:tabs>
          <w:tab w:leader="none" w:pos="3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 without Cause</w:t>
      </w:r>
      <w:r>
        <w:rPr>
          <w:rFonts w:ascii="Times New Roman" w:cs="Times New Roman" w:eastAsia="Times New Roman" w:hAnsi="Times New Roman"/>
          <w:sz w:val="18"/>
          <w:szCs w:val="18"/>
          <w:color w:val="auto"/>
        </w:rPr>
        <w:t>. The Company shall be entitled to terminate this Agreement and the Employee's employment with the Company at any time without Cause upon written notice to the Employee. Upon termination by the Company of this Agreement and the Employee's employment with the Company without Cause in accordance with the Company's notice of termination, the Company shall pay or provide to the Employee at the time the Company has in fact terminated the Employee (or, following his death, to the Employee's heirs, administrators or executors) the amounts and benefits due upon a resignation for Good Reason, as further described in Section 7(e)(3). The Company shall deduct, from all payments made hereunder, all applicable taxes, including income tax, FICA and FUTA, and other appropriate deductions. If the Employee leaves prior to the date of termination set forth in the notice the Company shall have no obligation to pay the Employee any amounts or benefits as set forth in this Section 7(g) and such termination shall be treated as a termination by Employee without Good Reason pursuant to Section 7(f).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403860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1" w:name="page12"/>
    <w:bookmarkEnd w:id="11"/>
    <w:p>
      <w:pPr>
        <w:jc w:val="both"/>
        <w:ind w:firstLine="1305"/>
        <w:spacing w:after="0" w:line="257" w:lineRule="auto"/>
        <w:tabs>
          <w:tab w:leader="none" w:pos="15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It is agreed that an express condition of the payment or provision by the Company of any severance amount or post-termination benefit called for under Section 7(e)(3) and Section 7(g) of this Agreement (other than the payment of any Accrued Obligations) shall be subject to the Company's concurrent receipt of a general release of all claims against the Company and its affiliates by Employee in the form reasonably acceptable to</w:t>
      </w:r>
    </w:p>
    <w:p>
      <w:pPr>
        <w:spacing w:after="0" w:line="2"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18"/>
          <w:szCs w:val="18"/>
          <w:color w:val="auto"/>
        </w:rPr>
        <w:t>the Company and Employee, and such release must be effective and irrevocable prior to the ninetieth (90</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following the termination of the Employee's employment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1520" w:hanging="215"/>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Section 409A Provisions</w:t>
      </w:r>
      <w:r>
        <w:rPr>
          <w:rFonts w:ascii="Times New Roman" w:cs="Times New Roman" w:eastAsia="Times New Roman" w:hAnsi="Times New Roman"/>
          <w:sz w:val="18"/>
          <w:szCs w:val="18"/>
          <w:color w:val="auto"/>
        </w:rPr>
        <w:t>. Notwithstanding any provision in this Agreement to the contrary:</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56" w:lineRule="auto"/>
        <w:tabs>
          <w:tab w:leader="none" w:pos="221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otherwise required to be made hereunder to Employee at any date as a result of the termination of Employee's employment that constitutes non-qualified deferred compensation subject to Section 409A of the Code shall be delayed for such period of time as may be necessary to meet the requirements of Section 409A(a)(2)(B)(i) of the Code (the "</w:t>
      </w:r>
      <w:r>
        <w:rPr>
          <w:rFonts w:ascii="Times New Roman" w:cs="Times New Roman" w:eastAsia="Times New Roman" w:hAnsi="Times New Roman"/>
          <w:sz w:val="18"/>
          <w:szCs w:val="18"/>
          <w:u w:val="single" w:color="auto"/>
          <w:color w:val="auto"/>
        </w:rPr>
        <w:t>Delay Period</w:t>
      </w:r>
      <w:r>
        <w:rPr>
          <w:rFonts w:ascii="Times New Roman" w:cs="Times New Roman" w:eastAsia="Times New Roman" w:hAnsi="Times New Roman"/>
          <w:sz w:val="18"/>
          <w:szCs w:val="18"/>
          <w:color w:val="auto"/>
        </w:rPr>
        <w:t>"). On the first business day following the expiration of the Delay Period, Employee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87" w:lineRule="exact"/>
        <w:rPr>
          <w:rFonts w:ascii="Times New Roman" w:cs="Times New Roman" w:eastAsia="Times New Roman" w:hAnsi="Times New Roman"/>
          <w:sz w:val="18"/>
          <w:szCs w:val="18"/>
          <w:color w:val="auto"/>
        </w:rPr>
      </w:pPr>
    </w:p>
    <w:p>
      <w:pPr>
        <w:ind w:left="2200" w:hanging="247"/>
        <w:spacing w:after="0"/>
        <w:tabs>
          <w:tab w:leader="none" w:pos="2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a series of payments hereunder shall be deemed to be a separate payment for purposes of Section 409A of the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206" w:lineRule="exact"/>
        <w:rPr>
          <w:rFonts w:ascii="Times New Roman" w:cs="Times New Roman" w:eastAsia="Times New Roman" w:hAnsi="Times New Roman"/>
          <w:sz w:val="18"/>
          <w:szCs w:val="18"/>
          <w:color w:val="auto"/>
        </w:rPr>
      </w:pPr>
    </w:p>
    <w:p>
      <w:pPr>
        <w:jc w:val="both"/>
        <w:ind w:left="1300" w:firstLine="653"/>
        <w:spacing w:after="0" w:line="257" w:lineRule="auto"/>
        <w:tabs>
          <w:tab w:leader="none" w:pos="22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Employee,</w:t>
      </w:r>
    </w:p>
    <w:p>
      <w:pPr>
        <w:spacing w:after="0" w:line="1" w:lineRule="exact"/>
        <w:rPr>
          <w:rFonts w:ascii="Times New Roman" w:cs="Times New Roman" w:eastAsia="Times New Roman" w:hAnsi="Times New Roman"/>
          <w:sz w:val="18"/>
          <w:szCs w:val="18"/>
          <w:color w:val="auto"/>
        </w:rPr>
      </w:pPr>
    </w:p>
    <w:p>
      <w:pPr>
        <w:jc w:val="both"/>
        <w:ind w:left="1300" w:firstLine="5"/>
        <w:spacing w:after="0" w:line="253" w:lineRule="auto"/>
        <w:tabs>
          <w:tab w:leader="none" w:pos="15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provided,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840" w:hanging="18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Compete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61" w:lineRule="auto"/>
        <w:tabs>
          <w:tab w:leader="none" w:pos="154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recognizes that the services to be performed by him hereunder are special, unique and extraordinary. The parties confirm that it is reasonably necessary for the protection of the Company that the Employee agree, and accordingly, the Employee does hereby agree, that, he shall not, directly or indirectly, at any time during the "Restricted Period" within the "Restricted Area" engage in any "Restricted Business Activity" (as those terms are defined in Sections 8(b), (c) and (d) below).</w:t>
      </w:r>
    </w:p>
    <w:p>
      <w:pPr>
        <w:spacing w:after="0" w:line="180"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Business Activity</w:t>
      </w:r>
      <w:r>
        <w:rPr>
          <w:rFonts w:ascii="Times New Roman" w:cs="Times New Roman" w:eastAsia="Times New Roman" w:hAnsi="Times New Roman"/>
          <w:sz w:val="18"/>
          <w:szCs w:val="18"/>
          <w:color w:val="auto"/>
        </w:rPr>
        <w:t>" as used in this Section 8, means that the Employee shall not, directly or indirectly:</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58" w:lineRule="auto"/>
        <w:tabs>
          <w:tab w:leader="none" w:pos="221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services, either on his own behalf or as an officer, director, partner, consultant, associate, employee, owner, agent, independent contractor, or co-venturer of any third party, (i) the primary value of which is monetizing patent portfolios or (ii) to any company primarily engaged in the business of monetizing patent portfolios. For the avoidance of doubt, engaging in the licensing of patents to or from third parties for the purpose of development and sale of products and services incorporating such patents by the licensee is not a competing activity; or</w:t>
      </w:r>
    </w:p>
    <w:p>
      <w:pPr>
        <w:spacing w:after="0" w:line="183" w:lineRule="exact"/>
        <w:rPr>
          <w:rFonts w:ascii="Times New Roman" w:cs="Times New Roman" w:eastAsia="Times New Roman" w:hAnsi="Times New Roman"/>
          <w:sz w:val="18"/>
          <w:szCs w:val="18"/>
          <w:color w:val="auto"/>
        </w:rPr>
      </w:pPr>
    </w:p>
    <w:p>
      <w:pPr>
        <w:ind w:left="1300" w:firstLine="653"/>
        <w:spacing w:after="0" w:line="282" w:lineRule="auto"/>
        <w:tabs>
          <w:tab w:leader="none" w:pos="221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any material commercial relationships of the Company, other than in the furtherance of the business of the Company during the Employee's employment with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provided, however, that Restricted Business Activity shall not be construed to prevent the Employee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(ii) providing services to any division, department or branch of another company that does not itself engage in whole or in part in the business of innovation, development and monetization of mobile technologies and intellectual property; or (iii) soliciting any material commercial relationships of the Company for the purpose of selling products or providing services that are not the same or substantially similar to the products or services sold by the Company during the Employee's employment with the Company.</w:t>
      </w:r>
    </w:p>
    <w:p>
      <w:pPr>
        <w:spacing w:after="0" w:line="188" w:lineRule="exact"/>
        <w:rPr>
          <w:sz w:val="20"/>
          <w:szCs w:val="20"/>
          <w:color w:val="auto"/>
        </w:rPr>
      </w:pPr>
    </w:p>
    <w:p>
      <w:pPr>
        <w:ind w:firstLine="1305"/>
        <w:spacing w:after="0" w:line="282" w:lineRule="auto"/>
        <w:tabs>
          <w:tab w:leader="none" w:pos="15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as used in this Section 8, shall mean during the period of time the Employee is employed with the Company plus one (1) year after the date the Employee is actually no longer employed by the Company.</w:t>
      </w:r>
    </w:p>
    <w:p>
      <w:pPr>
        <w:spacing w:after="0" w:line="161"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Restricted Area</w:t>
      </w:r>
      <w:r>
        <w:rPr>
          <w:rFonts w:ascii="Times New Roman" w:cs="Times New Roman" w:eastAsia="Times New Roman" w:hAnsi="Times New Roman"/>
          <w:sz w:val="18"/>
          <w:szCs w:val="18"/>
          <w:color w:val="auto"/>
        </w:rPr>
        <w:t>" as used in this Section 8 shall mean worldwide.</w:t>
      </w:r>
    </w:p>
    <w:p>
      <w:pPr>
        <w:spacing w:after="0" w:line="225" w:lineRule="exact"/>
        <w:rPr>
          <w:rFonts w:ascii="Times New Roman" w:cs="Times New Roman" w:eastAsia="Times New Roman" w:hAnsi="Times New Roman"/>
          <w:sz w:val="18"/>
          <w:szCs w:val="18"/>
          <w:color w:val="auto"/>
        </w:rPr>
      </w:pPr>
    </w:p>
    <w:p>
      <w:pPr>
        <w:jc w:val="both"/>
        <w:ind w:firstLine="1305"/>
        <w:spacing w:after="0" w:line="266" w:lineRule="auto"/>
        <w:tabs>
          <w:tab w:leader="none" w:pos="15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restrictions contained in this Section 8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8"/>
          <w:szCs w:val="18"/>
          <w:color w:val="auto"/>
        </w:rPr>
        <w:t>(f) The provisions of this Section 8 shall survive the termination of the Employee's employment hereunder and until the end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Period.</w:t>
      </w:r>
    </w:p>
    <w:p>
      <w:pPr>
        <w:spacing w:after="0" w:line="207" w:lineRule="exact"/>
        <w:rPr>
          <w:sz w:val="20"/>
          <w:szCs w:val="20"/>
          <w:color w:val="auto"/>
        </w:rPr>
      </w:pPr>
    </w:p>
    <w:p>
      <w:pPr>
        <w:ind w:left="840" w:hanging="184"/>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5"/>
        <w:spacing w:after="0" w:line="254" w:lineRule="auto"/>
        <w:tabs>
          <w:tab w:leader="none" w:pos="15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Employee of this Agreement. Accordingly, the Employee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Employee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86" w:lineRule="exact"/>
        <w:rPr>
          <w:rFonts w:ascii="Times New Roman" w:cs="Times New Roman" w:eastAsia="Times New Roman" w:hAnsi="Times New Roman"/>
          <w:sz w:val="18"/>
          <w:szCs w:val="18"/>
          <w:color w:val="auto"/>
        </w:rPr>
      </w:pPr>
    </w:p>
    <w:p>
      <w:pPr>
        <w:jc w:val="both"/>
        <w:ind w:firstLine="1305"/>
        <w:spacing w:after="0" w:line="256" w:lineRule="auto"/>
        <w:tabs>
          <w:tab w:leader="none" w:pos="15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87" w:lineRule="exact"/>
        <w:rPr>
          <w:rFonts w:ascii="Times New Roman" w:cs="Times New Roman" w:eastAsia="Times New Roman" w:hAnsi="Times New Roman"/>
          <w:sz w:val="18"/>
          <w:szCs w:val="18"/>
          <w:color w:val="auto"/>
        </w:rPr>
      </w:pPr>
    </w:p>
    <w:p>
      <w:pPr>
        <w:jc w:val="both"/>
        <w:ind w:firstLine="1305"/>
        <w:spacing w:after="0" w:line="256" w:lineRule="auto"/>
        <w:tabs>
          <w:tab w:leader="none" w:pos="158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other agreement referenced herein, constitutes and embodies the full and complete understanding and agreement of the parties with respect to the Employee's employment by the Company, and supersedes all prior understandings and agreements, whether oral or written, between the Employee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ind w:left="-1200" w:firstLine="1305"/>
        <w:spacing w:after="0" w:line="258"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Employee warrants and represents that he has had sufficient time to consider whether to enter into this Agreement and that he is relying solely on his own judgment and the advice of his own counsel, if any, in deciding to execute this Agreement.</w:t>
      </w:r>
    </w:p>
    <w:p>
      <w:pPr>
        <w:spacing w:after="0" w:line="183" w:lineRule="exact"/>
        <w:rPr>
          <w:rFonts w:ascii="Times New Roman" w:cs="Times New Roman" w:eastAsia="Times New Roman" w:hAnsi="Times New Roman"/>
          <w:sz w:val="18"/>
          <w:szCs w:val="18"/>
          <w:color w:val="auto"/>
        </w:rPr>
      </w:pPr>
    </w:p>
    <w:p>
      <w:pPr>
        <w:ind w:left="-1200" w:firstLine="1305"/>
        <w:spacing w:after="0" w:line="282" w:lineRule="auto"/>
        <w:tabs>
          <w:tab w:leader="none" w:pos="3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be binding upon and enforceable against, the parties hereto and their respective successors, heirs, beneficiaries and permitted assigns.</w:t>
      </w:r>
    </w:p>
    <w:p>
      <w:pPr>
        <w:spacing w:after="0" w:line="161" w:lineRule="exact"/>
        <w:rPr>
          <w:rFonts w:ascii="Times New Roman" w:cs="Times New Roman" w:eastAsia="Times New Roman" w:hAnsi="Times New Roman"/>
          <w:sz w:val="18"/>
          <w:szCs w:val="18"/>
          <w:color w:val="auto"/>
        </w:rPr>
      </w:pPr>
    </w:p>
    <w:p>
      <w:pPr>
        <w:ind w:left="320" w:hanging="215"/>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for any reason, Section 8 shall survive termination of this Agreement.</w:t>
      </w:r>
    </w:p>
    <w:p>
      <w:pPr>
        <w:spacing w:after="0" w:line="225" w:lineRule="exact"/>
        <w:rPr>
          <w:rFonts w:ascii="Times New Roman" w:cs="Times New Roman" w:eastAsia="Times New Roman" w:hAnsi="Times New Roman"/>
          <w:sz w:val="18"/>
          <w:szCs w:val="18"/>
          <w:color w:val="auto"/>
        </w:rPr>
      </w:pPr>
    </w:p>
    <w:p>
      <w:pPr>
        <w:ind w:left="360" w:hanging="255"/>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Blank]</w:t>
      </w:r>
    </w:p>
    <w:p>
      <w:pPr>
        <w:spacing w:after="0" w:line="225" w:lineRule="exact"/>
        <w:rPr>
          <w:rFonts w:ascii="Times New Roman" w:cs="Times New Roman" w:eastAsia="Times New Roman" w:hAnsi="Times New Roman"/>
          <w:sz w:val="18"/>
          <w:szCs w:val="18"/>
          <w:color w:val="auto"/>
        </w:rPr>
      </w:pPr>
    </w:p>
    <w:p>
      <w:pPr>
        <w:ind w:left="-1200" w:firstLine="1305"/>
        <w:spacing w:after="0" w:line="282" w:lineRule="auto"/>
        <w:tabs>
          <w:tab w:leader="none" w:pos="3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contained in this Agreement are for convenience of reference only and shall not affect in any way the meaning or interpretation of this Agreement.</w:t>
      </w:r>
    </w:p>
    <w:p>
      <w:pPr>
        <w:spacing w:after="0" w:line="161" w:lineRule="exact"/>
        <w:rPr>
          <w:rFonts w:ascii="Times New Roman" w:cs="Times New Roman" w:eastAsia="Times New Roman" w:hAnsi="Times New Roman"/>
          <w:sz w:val="18"/>
          <w:szCs w:val="18"/>
          <w:color w:val="auto"/>
        </w:rPr>
      </w:pPr>
    </w:p>
    <w:p>
      <w:pPr>
        <w:jc w:val="both"/>
        <w:ind w:left="-1200" w:firstLine="1305"/>
        <w:spacing w:after="0" w:line="256" w:lineRule="auto"/>
        <w:tabs>
          <w:tab w:leader="none" w:pos="3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87" w:lineRule="exact"/>
        <w:rPr>
          <w:rFonts w:ascii="Times New Roman" w:cs="Times New Roman" w:eastAsia="Times New Roman" w:hAnsi="Times New Roman"/>
          <w:sz w:val="18"/>
          <w:szCs w:val="18"/>
          <w:color w:val="auto"/>
        </w:rPr>
      </w:pPr>
    </w:p>
    <w:p>
      <w:pPr>
        <w:jc w:val="both"/>
        <w:ind w:left="-1200" w:firstLine="1305"/>
        <w:spacing w:after="0" w:line="266" w:lineRule="auto"/>
        <w:tabs>
          <w:tab w:leader="none" w:pos="3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 without reference to principles of conflicts of laws and each of the parties hereto irrevocably consents to the exclusive jurisdiction and venue of the federal and state courts located in the County and State of New York.</w:t>
      </w:r>
    </w:p>
    <w:p>
      <w:pPr>
        <w:spacing w:after="0" w:line="176" w:lineRule="exact"/>
        <w:rPr>
          <w:rFonts w:ascii="Times New Roman" w:cs="Times New Roman" w:eastAsia="Times New Roman" w:hAnsi="Times New Roman"/>
          <w:sz w:val="18"/>
          <w:szCs w:val="18"/>
          <w:color w:val="auto"/>
        </w:rPr>
      </w:pPr>
    </w:p>
    <w:p>
      <w:pPr>
        <w:ind w:left="-1200" w:firstLine="1305"/>
        <w:spacing w:after="0" w:line="282"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388620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5" w:name="page16"/>
    <w:bookmarkEnd w:id="15"/>
    <w:p>
      <w:pPr>
        <w:jc w:val="both"/>
        <w:ind w:left="-20" w:firstLine="1305"/>
        <w:spacing w:after="0" w:line="266" w:lineRule="auto"/>
        <w:tabs>
          <w:tab w:leader="none" w:pos="15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represents and warrants to the Company, that he has the full power and authority to enter into this Agreement and to perform his obligations hereunder and that the execution and delivery of this Agreement and the performance of his obligations hereunder will not conflict with any agreement to which Employee is a party.</w:t>
      </w:r>
    </w:p>
    <w:p>
      <w:pPr>
        <w:spacing w:after="0" w:line="176" w:lineRule="exact"/>
        <w:rPr>
          <w:rFonts w:ascii="Times New Roman" w:cs="Times New Roman" w:eastAsia="Times New Roman" w:hAnsi="Times New Roman"/>
          <w:sz w:val="18"/>
          <w:szCs w:val="18"/>
          <w:color w:val="auto"/>
        </w:rPr>
      </w:pPr>
    </w:p>
    <w:p>
      <w:pPr>
        <w:ind w:left="1580" w:hanging="295"/>
        <w:spacing w:after="0"/>
        <w:tabs>
          <w:tab w:leader="none" w:pos="1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pay its own costs and expenses related to the transactions contemplated by this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Employment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Employee and the Company have caused this Employment Agreement to be executed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Anastasia Nyrkovskaya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-130810</wp:posOffset>
            </wp:positionV>
            <wp:extent cx="3670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VRINGO,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Andrew D. Perlman</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4474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VRINGO,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780 Third Avenue, 12th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(212) 309-7549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Facsimile: (646) 532-6775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19,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R.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Vringo, Inc.</w:t>
      </w:r>
    </w:p>
    <w:p>
      <w:pPr>
        <w:spacing w:after="0" w:line="186" w:lineRule="auto"/>
        <w:rPr>
          <w:sz w:val="20"/>
          <w:szCs w:val="20"/>
          <w:color w:val="auto"/>
        </w:rPr>
      </w:pPr>
      <w:r>
        <w:rPr>
          <w:rFonts w:ascii="Times New Roman" w:cs="Times New Roman" w:eastAsia="Times New Roman" w:hAnsi="Times New Roman"/>
          <w:sz w:val="18"/>
          <w:szCs w:val="18"/>
          <w:color w:val="auto"/>
        </w:rPr>
        <w:t>780 Third Avenue, 12</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 Consulting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Alex:</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confirms the terms pursuant to which Vringo,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and its correlatives) has agreed to retain Alexander R. Berger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and its correlatives) as a Consultant to the Company.</w:t>
      </w:r>
    </w:p>
    <w:p>
      <w:pPr>
        <w:spacing w:after="0" w:line="155" w:lineRule="exact"/>
        <w:rPr>
          <w:sz w:val="20"/>
          <w:szCs w:val="20"/>
          <w:color w:val="auto"/>
        </w:rPr>
      </w:pPr>
    </w:p>
    <w:p>
      <w:pPr>
        <w:jc w:val="both"/>
        <w:ind w:firstLine="656"/>
        <w:spacing w:after="0" w:line="256" w:lineRule="auto"/>
        <w:tabs>
          <w:tab w:leader="none" w:pos="8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w:t>
      </w:r>
      <w:r>
        <w:rPr>
          <w:rFonts w:ascii="Times New Roman" w:cs="Times New Roman" w:eastAsia="Times New Roman" w:hAnsi="Times New Roman"/>
          <w:sz w:val="18"/>
          <w:szCs w:val="18"/>
          <w:color w:val="auto"/>
        </w:rPr>
        <w:t>. Upon the Effective Date (as defined below) of this Agreement, you transition to the role of a consultant and resign from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positions as Chief Operating Officer, Secretary and member of the Board of Directors of the Company and the Company hereby accepts your resignations from such positions. Except as specifically set forth in paragraph 8 of this Agreement, this Agreement terminates and supersedes the (i) Executive Employment Agreement and (ii) Non-Disclosure and Non-Solicitation Agreement (NDA) entered into on or about February 13, 2013 by and between Consultant and the Company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 that Consultant is not entitled to any salary, bonus, vacation, severance or other compensation or benefits accruing under the Employment Agreement, except that Consultant shall be entitled to his final pay and any accrued but unused vacation pay calculated in accordance with Company policy accruing up to the Effective Date of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8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Consultant will be engaged to provide advice and services to the Company as an independent contractor. Consultant does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express written authority, the right or the ability to bind Company to any obligation with a third party. The specific services Consultant shall provide to the Company shall include continued service on the Board of Directors of certain of the Company's subsidiaries as mutually agreed, and other services as set forth in the Description of Services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Consultant shall provide services in connection with the services listed on Exhibit A under the direction and supervision of Company's Chief Executive Officer and, for certain matters, the Company's Chief Legal and Intellectual Property Officer or Board of Directors.</w:t>
      </w:r>
    </w:p>
    <w:p>
      <w:pPr>
        <w:spacing w:after="0" w:line="182" w:lineRule="exact"/>
        <w:rPr>
          <w:rFonts w:ascii="Times New Roman" w:cs="Times New Roman" w:eastAsia="Times New Roman" w:hAnsi="Times New Roman"/>
          <w:sz w:val="18"/>
          <w:szCs w:val="18"/>
          <w:color w:val="auto"/>
        </w:rPr>
      </w:pPr>
    </w:p>
    <w:p>
      <w:pPr>
        <w:ind w:right="20" w:firstLine="656"/>
        <w:spacing w:after="0" w:line="286" w:lineRule="auto"/>
        <w:tabs>
          <w:tab w:leader="none" w:pos="8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 of this Agreement shall commence effective as of December 19, 2014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and shall continue through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September 30, 2016, unless terminated earlier by Consultant or the Company pursuant to paragraph 10 of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7" w:lineRule="auto"/>
        <w:tabs>
          <w:tab w:leader="none" w:pos="8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Expenses; Invoices</w:t>
      </w:r>
      <w:r>
        <w:rPr>
          <w:rFonts w:ascii="Times New Roman" w:cs="Times New Roman" w:eastAsia="Times New Roman" w:hAnsi="Times New Roman"/>
          <w:sz w:val="18"/>
          <w:szCs w:val="18"/>
          <w:color w:val="auto"/>
        </w:rPr>
        <w:t>. The Company will compensate Consultant with a fee of $10,000 per month from the date hereof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December 31, 2015 and as mutually agreed by the parties from January 1, 2016 until September 30, 2016 for the services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Company will reimburse Consultant for reasonable business expenses incurred in good faith in the performance of Consultant's services for the Company. Notwithstanding the foregoing, Consultant shall obtain advanced written approval by an officer of the Company prior to incurring any expense in excess of $1,000, individually or in the aggregate. Company shall not be responsible for payment of any taxes or insurance applicable to Consultant's engagement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Alexander R.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Consultant shall deliver to the Company by the fifteenth (15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day of each month an itemized list of expenses, accompanied by sufficient documentary matter to support such expenditures. Consultant shall deliver invoices via e-mail to xxx or through the electronic expense management system then in use by the Company, if any.</w:t>
      </w:r>
    </w:p>
    <w:p>
      <w:pPr>
        <w:spacing w:after="0" w:line="195" w:lineRule="exact"/>
        <w:rPr>
          <w:sz w:val="20"/>
          <w:szCs w:val="20"/>
          <w:color w:val="auto"/>
        </w:rPr>
      </w:pPr>
    </w:p>
    <w:p>
      <w:pPr>
        <w:jc w:val="both"/>
        <w:ind w:firstLine="656"/>
        <w:spacing w:after="0" w:line="268"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All restricted stock units (the "RSUs") granted by the Company to Consultant prior to the Effective Date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Vringo, Inc. 2012 Employee, Director and Consultant Equity Incentive Plan (the "Plan") and the agreement evidencing such grants shall continue to vest in accordance with their terms.</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8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All stock options outstanding as of the Effective Date, whether vested or unvested, that were granted by the Company to the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Plan shall as of the Effective Date be forfeited for no consideration.</w:t>
      </w:r>
    </w:p>
    <w:p>
      <w:pPr>
        <w:spacing w:after="0" w:line="154"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Consultant hereby represents and warrants that:</w:t>
      </w:r>
    </w:p>
    <w:p>
      <w:pPr>
        <w:spacing w:after="0" w:line="229" w:lineRule="exact"/>
        <w:rPr>
          <w:sz w:val="20"/>
          <w:szCs w:val="20"/>
          <w:color w:val="auto"/>
        </w:rPr>
      </w:pPr>
    </w:p>
    <w:p>
      <w:pPr>
        <w:ind w:left="880" w:hanging="224"/>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is legally authorized to provide services in any jurisdiction in which Consultant will provide services to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does not believe that Consultant engaged in any fraudulent, improper, unethical, unlawful, reckless, grossly negligent or wrongful conduct while employed by the Company including, but not limited to, the NDA and any other agreement with the Company;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has no knowledge of any fraudulent, improper, unethical, unlawful, reckless, grossly negligent or wrongful conduct by any current or former employee, officer, director, agent, consultant, or representative of the Company;</w:t>
      </w:r>
    </w:p>
    <w:p>
      <w:pPr>
        <w:spacing w:after="0" w:line="158" w:lineRule="exact"/>
        <w:rPr>
          <w:sz w:val="20"/>
          <w:szCs w:val="20"/>
          <w:color w:val="auto"/>
        </w:rPr>
      </w:pPr>
    </w:p>
    <w:p>
      <w:pPr>
        <w:jc w:val="both"/>
        <w:ind w:firstLine="656"/>
        <w:spacing w:after="0" w:line="268" w:lineRule="auto"/>
        <w:tabs>
          <w:tab w:leader="none" w:pos="8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Noncompetition, Non-Disclosure and Non-Solicitation. </w:t>
      </w:r>
      <w:r>
        <w:rPr>
          <w:rFonts w:ascii="Times New Roman" w:cs="Times New Roman" w:eastAsia="Times New Roman" w:hAnsi="Times New Roman"/>
          <w:sz w:val="18"/>
          <w:szCs w:val="18"/>
          <w:color w:val="auto"/>
        </w:rPr>
        <w:t>Throughout the entire term of this Agreement the Consultant shall remain bound by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covenants set forth in Section 10 of the Employment Agreement entitled "Covenant Not to Compete" and Sections 1, 2, 5, 7 and 10-16 of the NDA, irrespective of whether Consultant or the Company chooses to terminate this Agreement prior to the end of the term.</w:t>
      </w:r>
    </w:p>
    <w:p>
      <w:pPr>
        <w:spacing w:after="0" w:line="170" w:lineRule="exact"/>
        <w:rPr>
          <w:rFonts w:ascii="Times New Roman" w:cs="Times New Roman" w:eastAsia="Times New Roman" w:hAnsi="Times New Roman"/>
          <w:sz w:val="18"/>
          <w:szCs w:val="18"/>
          <w:color w:val="auto"/>
        </w:rPr>
      </w:pPr>
    </w:p>
    <w:p>
      <w:pPr>
        <w:jc w:val="both"/>
        <w:ind w:firstLine="656"/>
        <w:spacing w:after="0" w:line="257" w:lineRule="auto"/>
        <w:tabs>
          <w:tab w:leader="none" w:pos="8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w:t>
      </w:r>
      <w:r>
        <w:rPr>
          <w:rFonts w:ascii="Times New Roman" w:cs="Times New Roman" w:eastAsia="Times New Roman" w:hAnsi="Times New Roman"/>
          <w:sz w:val="18"/>
          <w:szCs w:val="18"/>
          <w:color w:val="auto"/>
        </w:rPr>
        <w:t>. Consultant agrees that during the term of this Agreement, (i) nothing herein shall be deemed to cause this Agreement to create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agency, partnership, or joint venture between the parties, (ii) Consultant shall be an independent contractor, and nothing herein shall be interpreted or construed as creating or establishing the relationship of employer and employee between the Company and Consultant, (iii) Consultant shall perform Consultant's responsibilities hereunder in a professional manner, (iv) Consultant shall perform Consultant's responsibilities hereunder in a manner that does not infringe, or constitute an infringement or misappropriation of any patent, copyright, trademark, trade secret or other interest, proprietary or otherwise, of any individual or entity.</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93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With or without Cause (as defined below), Consultant may terminate this Agreement at any time upon thirty (30) days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The Company may terminate this Agreement for Cause at any time upon notice. During the period after notice of termination is given through actual termination, Consultant agrees to cooperate with Company in good faith on matters relating to this engagement. Upon any termination or expiration of this Agreement, (i) Consultant's engagement with Company shall terminate, (ii) Consultant shall not be eligible to receive any further fees or other compensation, remuneration, or consideration, and (iii) Consultant shall promptly return to Company any Confidential Information and/or other Company, documents, materials or property in Consultant's possession, custody or control. Upon any expiration or termination of Consultant's engagement with Company, or this Agreement, for whatever reason, and regardless of whether Company is otherwise in breach of any obligation to Consultant, the terms of Sections 8, 9, and 11 of this Agreement shall remain in full force and effect.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have the definition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Alexander R.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3" w:lineRule="exact"/>
        <w:rPr>
          <w:sz w:val="20"/>
          <w:szCs w:val="20"/>
          <w:color w:val="auto"/>
        </w:rPr>
      </w:pPr>
    </w:p>
    <w:p>
      <w:pPr>
        <w:jc w:val="both"/>
        <w:ind w:firstLine="656"/>
        <w:spacing w:after="0" w:line="268" w:lineRule="auto"/>
        <w:tabs>
          <w:tab w:leader="none" w:pos="9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Release of Claims. </w:t>
      </w:r>
      <w:r>
        <w:rPr>
          <w:rFonts w:ascii="Times New Roman" w:cs="Times New Roman" w:eastAsia="Times New Roman" w:hAnsi="Times New Roman"/>
          <w:sz w:val="18"/>
          <w:szCs w:val="18"/>
          <w:color w:val="auto"/>
        </w:rPr>
        <w:t>As a condition of entering into this Agreement, Consultant and the Company hereby agree to execute a mutual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Release of any and all claims of any nature whatsoever that either party has, or in the future may have against the other, whether or not now known, from the beginning of time up to the Effective Date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56"/>
        <w:spacing w:after="0" w:line="258" w:lineRule="auto"/>
        <w:tabs>
          <w:tab w:leader="none" w:pos="8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or amended except in a written instrument signed, in the case of an amendment, by Company and Consultant or, in the case of a waiver, by the party against whom enforcement of any such waiver is sought. No waiver of any breach with respect to any provision, condition or requirement of this Agreement shall be deemed to be a continuing waiver in the future or a waiver of any subsequent breach or a waiver of any other provision, condition or requirement hereof, nor shall any delay or omission of either party to exercise any right hereunder in any manner impair the exercise of any such right.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1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notices, consents, waivers or other communications required or permitted to be given under the terms of this Agreement must be in writing and will be deemed to have been delivered: (i) upon receipt, when delivered personally; (ii) upon receipt, when sent by facsimile or e-mail (provided confirmation of transmission is mechanically or electronically generated and kept on file by the sending party); or (iii) one (1) business day after deposit with an overnight courier service with next day delivery specified, in each case, properly addressed to the party to receive the same. The addresses, facsimile numbers and e-mail addresses for such communications shall be as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 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server containing the time, date, recipient facsimile number and an image of the first page of such transmission (if by facsimile), or (C) provided by an overnight courier service shall be rebuttable evidence of personal service, receipt by facsimile or e-mail, or receipt from an overnight courier service, in accordance with clause (i), (ii) or (iii) above, respectively.</w:t>
      </w:r>
    </w:p>
    <w:p>
      <w:pPr>
        <w:spacing w:after="0" w:line="186" w:lineRule="exact"/>
        <w:rPr>
          <w:rFonts w:ascii="Times New Roman" w:cs="Times New Roman" w:eastAsia="Times New Roman" w:hAnsi="Times New Roman"/>
          <w:sz w:val="18"/>
          <w:szCs w:val="18"/>
          <w:color w:val="auto"/>
        </w:rPr>
      </w:pPr>
    </w:p>
    <w:p>
      <w:pPr>
        <w:ind w:firstLine="656"/>
        <w:spacing w:after="0" w:line="282" w:lineRule="auto"/>
        <w:tabs>
          <w:tab w:leader="none" w:pos="9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Dispute Resolution</w:t>
      </w:r>
      <w:r>
        <w:rPr>
          <w:rFonts w:ascii="Times New Roman" w:cs="Times New Roman" w:eastAsia="Times New Roman" w:hAnsi="Times New Roman"/>
          <w:sz w:val="18"/>
          <w:szCs w:val="18"/>
          <w:color w:val="auto"/>
        </w:rPr>
        <w:t>. This Agreement shall be governed by and construed in accordance with the laws of the State of New York applicable to agreements made and/or to be performed in that State, without regard to any choice of law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Alexander R.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breach of the Agreement by either party, the non-breaching party shall inform the breaching party by letter of the suspected breach. The breaching party shall have ten (10) days to cure said breach. In the event the breach has not been cured within ten (10) days, then the non-breaching party may pursue arbitration as described below. Notwithstanding the foregoing, if there is a breach or threatened breach of the NDA, then the Company may immediately seek an injunction in a New York state or federal court to prevent the breach or threatened breach in aid of arbitration.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dispute arising between you and the Releasees under this Agreement, shall be submitted exclusively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AAA Commercial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you shall not disclose the existence of a claim, the nature of a claim, any documents, exhibits, or information exchanged or presented in connection with such a claim, or the result of any action (collectively, "</w:t>
      </w:r>
      <w:r>
        <w:rPr>
          <w:rFonts w:ascii="Times New Roman" w:cs="Times New Roman" w:eastAsia="Times New Roman" w:hAnsi="Times New Roman"/>
          <w:sz w:val="18"/>
          <w:szCs w:val="18"/>
          <w:b w:val="1"/>
          <w:bCs w:val="1"/>
          <w:color w:val="auto"/>
        </w:rPr>
        <w:t>Arbitration Materials</w:t>
      </w:r>
      <w:r>
        <w:rPr>
          <w:rFonts w:ascii="Times New Roman" w:cs="Times New Roman" w:eastAsia="Times New Roman" w:hAnsi="Times New Roman"/>
          <w:sz w:val="18"/>
          <w:szCs w:val="18"/>
          <w:color w:val="auto"/>
        </w:rPr>
        <w:t>"), to any third party, with the sole exception of your legal counsel, who also shall be bound by these confidentiality terms. In the event of any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above. The parties agree to take all steps necessary to protect the confidentiality of the Arbitration Materials in connection with any such proceeding, agree to file all Proprietary Information (and documents containing Proprietary Information) under seal, and agree to the entry of an appropriate protective order encompassing the confidentiality terms of this Agreement.</w:t>
      </w:r>
    </w:p>
    <w:p>
      <w:pPr>
        <w:spacing w:after="0" w:line="189" w:lineRule="exact"/>
        <w:rPr>
          <w:sz w:val="20"/>
          <w:szCs w:val="20"/>
          <w:color w:val="auto"/>
        </w:rPr>
      </w:pPr>
    </w:p>
    <w:p>
      <w:pPr>
        <w:jc w:val="both"/>
        <w:ind w:firstLine="656"/>
        <w:spacing w:after="0" w:line="261" w:lineRule="auto"/>
        <w:tabs>
          <w:tab w:leader="none" w:pos="9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rights and benefits of Company under this Agreement shall be assignable and transferable (as the case may be), and all the covenants and agreements hereunder shall inure to the benefit of, and be enforceable by or against, its successors and assigns. The duties and obligations of Consultant under this Agreement are personal and therefore Consultant may not assign any right or duty under this Agreement without the prior written consent of Company.</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clause or provision shall be held invalid or unenforceable, in whole or in part, the remaining terms and provisions shall be unimpaired and the unenforceable term or provision shall be replaced by such enforceable term or provision as comes closest to the intention underlying the unenforceable term or provision.</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9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Agreement are for reference purposes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Alexander R.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ind w:firstLine="656"/>
        <w:spacing w:after="0" w:line="282" w:lineRule="auto"/>
        <w:tabs>
          <w:tab w:leader="none" w:pos="10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or entity.</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5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specifically set forth in paragraphs 5 and 8 of this Agreement, this Agreement and the Indemnification Agreement dated January 13, 2013 between the Company and the Consultant constitutes the entire agreement between the parties relating to the subject matter contained herein and terminates and supersedes all prior or contemporaneous representations, promises, warranties, covenants, undertakings, discussions, negotiations, and agreements, whether written or oral, by any officer, employee or representative of any party to this Agreement with respect to such subject matter, other than those expressly contained in this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Execution and delivery of this Agreement by facsimile or other electronic signature is legal, valid and binding for all purposes.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ind w:right="-1220"/>
        <w:spacing w:after="0"/>
        <w:rPr>
          <w:sz w:val="20"/>
          <w:szCs w:val="20"/>
          <w:color w:val="auto"/>
        </w:rPr>
      </w:pPr>
      <w:r>
        <w:rPr>
          <w:rFonts w:ascii="Times New Roman" w:cs="Times New Roman" w:eastAsia="Times New Roman" w:hAnsi="Times New Roman"/>
          <w:sz w:val="18"/>
          <w:szCs w:val="18"/>
          <w:color w:val="auto"/>
        </w:rPr>
        <w:t>VRINGO, INC.</w:t>
      </w:r>
    </w:p>
    <w:p>
      <w:pPr>
        <w:spacing w:after="0" w:line="2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780 Third Avenue, 12th Floor</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Telephone: (212) 309-7549</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Facsimile: (646) 532-6775</w:t>
      </w:r>
    </w:p>
    <w:p>
      <w:pPr>
        <w:spacing w:after="0" w:line="20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Consulting Agreement Dated December 19, 2014</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Please acknowledge your receipt of and agreement to this letter by signing below.</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D. Perlman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27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Alexander R.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3" w:name="page24"/>
    <w:bookmarkEnd w:id="23"/>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ANNOUNCES LEADERSHIP TRANSITION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YORK — December 19, 2014 — Vringo, Inc. (NASDAQ: VRNG), today announces that the company has entered into a new employment agreement with Anastasia Nyrkovskaya, who will continue to serve as Chief Financial Officer, and a consulting agreement with Alexander R. Berger, who will transition from the role of Chief Operating Officer and director to a consultant to the company. Mr. Berger will remain a member of boards of directors of certain Vringo subsidiaries.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Vringo board of directors joins me in thanking Alex for his tireless efforts since the founding of Innovate/Protect, through its merger with Vringo and the continued growth of the company. Alex enjoys growing companies and has done a tremendous job building Vringo's infrastructure. We appreciate him commuting from his home in Boston to our New York offices for the last eighteen months, and look forward to continuing to work with him," said Andrew D. Perlman, Chief Executive Officer.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look forward to remaining engaged with the Vringo management team and board as the company executes on its business plan. I have transitioned my executive responsibilities to a talented management team, and have confidence in their abilities to continue to manage the company," said Mr. Berger.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"Anastasia continues to be a key member of our executive management team, and I look forward to her expanding her role at Vringo," Mr. Perlman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Vringo,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www.vringo.com.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and other risks and uncertainties and other factors discussed from time to time in our filings with the Securities and Exchange Commission ("SEC"), including our annual report on Form 10-K filed with the SEC on March 10, 2014.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 and Media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Cliff Weinstein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646-532-6777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Roman"/>
      <w:start w:val="2"/>
    </w:lvl>
  </w:abstractNum>
  <w:abstractNum w:abstractNumId="2">
    <w:nsid w:val="6B68079A"/>
    <w:multiLevelType w:val="hybridMultilevel"/>
    <w:lvl w:ilvl="0">
      <w:lvlJc w:val="left"/>
      <w:lvlText w:val="(%1)"/>
      <w:numFmt w:val="lowerLetter"/>
      <w:start w:val="3"/>
    </w:lvl>
  </w:abstractNum>
  <w:abstractNum w:abstractNumId="3">
    <w:nsid w:val="4E6AFB66"/>
    <w:multiLevelType w:val="hybridMultilevel"/>
    <w:lvl w:ilvl="0">
      <w:lvlJc w:val="left"/>
      <w:lvlText w:val="(%1)"/>
      <w:numFmt w:val="lowerLetter"/>
      <w:start w:val="2"/>
    </w:lvl>
  </w:abstractNum>
  <w:abstractNum w:abstractNumId="4">
    <w:nsid w:val="25E45D32"/>
    <w:multiLevelType w:val="hybridMultilevel"/>
    <w:lvl w:ilvl="0">
      <w:lvlJc w:val="left"/>
      <w:lvlText w:val="(%1)"/>
      <w:numFmt w:val="lowerLetter"/>
      <w:start w:val="5"/>
    </w:lvl>
  </w:abstractNum>
  <w:abstractNum w:abstractNumId="5">
    <w:nsid w:val="519B500D"/>
    <w:multiLevelType w:val="hybridMultilevel"/>
    <w:lvl w:ilvl="0">
      <w:lvlJc w:val="left"/>
      <w:lvlText w:val="%1."/>
      <w:numFmt w:val="decimal"/>
      <w:start w:val="1"/>
    </w:lvl>
    <w:lvl w:ilvl="1">
      <w:lvlJc w:val="left"/>
      <w:lvlText w:val="(%2)"/>
      <w:numFmt w:val="lowerLetter"/>
      <w:start w:val="1"/>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7"/>
    </w:lvl>
    <w:lvl w:ilvl="1">
      <w:lvlJc w:val="left"/>
      <w:lvlText w:val="(%2)"/>
      <w:numFmt w:val="lowerLetter"/>
      <w:start w:val="1"/>
    </w:lvl>
  </w:abstractNum>
  <w:abstractNum w:abstractNumId="8">
    <w:nsid w:val="7C83E458"/>
    <w:multiLevelType w:val="hybridMultilevel"/>
    <w:lvl w:ilvl="0">
      <w:lvlJc w:val="left"/>
      <w:lvlText w:val="(%1)"/>
      <w:numFmt w:val="lowerLetter"/>
      <w:start w:val="4"/>
    </w:lvl>
    <w:lvl w:ilvl="1">
      <w:lvlJc w:val="left"/>
      <w:lvlText w:val="(%2)"/>
      <w:numFmt w:val="decimal"/>
      <w:start w:val="1"/>
    </w:lvl>
  </w:abstractNum>
  <w:abstractNum w:abstractNumId="9">
    <w:nsid w:val="257130A3"/>
    <w:multiLevelType w:val="hybridMultilevel"/>
    <w:lvl w:ilvl="0">
      <w:lvlJc w:val="left"/>
      <w:lvlText w:val="%1"/>
      <w:numFmt w:val="lowerLetter"/>
      <w:start w:val="1"/>
    </w:lvl>
    <w:lvl w:ilvl="1">
      <w:lvlJc w:val="left"/>
      <w:lvlText w:val="(%2)"/>
      <w:numFmt w:val="decimal"/>
      <w:start w:val="2"/>
    </w:lvl>
  </w:abstractNum>
  <w:abstractNum w:abstractNumId="10">
    <w:nsid w:val="62BBD95A"/>
    <w:multiLevelType w:val="hybridMultilevel"/>
    <w:lvl w:ilvl="0">
      <w:lvlJc w:val="left"/>
      <w:lvlText w:val="(%1)"/>
      <w:numFmt w:val="lowerLetter"/>
      <w:start w:val="5"/>
    </w:lvl>
    <w:lvl w:ilvl="1">
      <w:lvlJc w:val="left"/>
      <w:lvlText w:val="(%2)"/>
      <w:numFmt w:val="decimal"/>
      <w:start w:val="1"/>
    </w:lvl>
  </w:abstractNum>
  <w:abstractNum w:abstractNumId="11">
    <w:nsid w:val="436C6125"/>
    <w:multiLevelType w:val="hybridMultilevel"/>
    <w:lvl w:ilvl="0">
      <w:lvlJc w:val="left"/>
      <w:lvlText w:val="(%1)"/>
      <w:numFmt w:val="decimal"/>
      <w:start w:val="2"/>
    </w:lvl>
    <w:lvl w:ilvl="1">
      <w:lvlJc w:val="left"/>
      <w:lvlText w:val="(%2)"/>
      <w:numFmt w:val="upperLetter"/>
      <w:start w:val="1"/>
    </w:lvl>
  </w:abstractNum>
  <w:abstractNum w:abstractNumId="12">
    <w:nsid w:val="628C895D"/>
    <w:multiLevelType w:val="hybridMultilevel"/>
    <w:lvl w:ilvl="0">
      <w:lvlJc w:val="left"/>
      <w:lvlText w:val="%1"/>
      <w:numFmt w:val="lowerLetter"/>
      <w:start w:val="1"/>
    </w:lvl>
    <w:lvl w:ilvl="1">
      <w:lvlJc w:val="left"/>
      <w:lvlText w:val="(%2)"/>
      <w:numFmt w:val="upperLetter"/>
      <w:start w:val="3"/>
    </w:lvl>
  </w:abstractNum>
  <w:abstractNum w:abstractNumId="13">
    <w:nsid w:val="333AB105"/>
    <w:multiLevelType w:val="hybridMultilevel"/>
    <w:lvl w:ilvl="0">
      <w:lvlJc w:val="left"/>
      <w:lvlText w:val="(%1)"/>
      <w:numFmt w:val="lowerLetter"/>
      <w:start w:val="6"/>
    </w:lvl>
    <w:lvl w:ilvl="1">
      <w:lvlJc w:val="left"/>
      <w:lvlText w:val="%2"/>
      <w:numFmt w:val="upperLetter"/>
      <w:start w:val="1"/>
    </w:lvl>
  </w:abstractNum>
  <w:abstractNum w:abstractNumId="14">
    <w:nsid w:val="721DA317"/>
    <w:multiLevelType w:val="hybridMultilevel"/>
    <w:lvl w:ilvl="0">
      <w:lvlJc w:val="left"/>
      <w:lvlText w:val="(%1)"/>
      <w:numFmt w:val="lowerLetter"/>
      <w:start w:val="8"/>
    </w:lvl>
  </w:abstractNum>
  <w:abstractNum w:abstractNumId="15">
    <w:nsid w:val="2443A858"/>
    <w:multiLevelType w:val="hybridMultilevel"/>
    <w:lvl w:ilvl="0">
      <w:lvlJc w:val="left"/>
      <w:lvlText w:val="(%1)"/>
      <w:numFmt w:val="lowerRoman"/>
      <w:start w:val="1"/>
    </w:lvl>
    <w:lvl w:ilvl="1">
      <w:lvlJc w:val="left"/>
      <w:lvlText w:val="(%2)"/>
      <w:numFmt w:val="decimal"/>
      <w:start w:val="1"/>
    </w:lvl>
  </w:abstractNum>
  <w:abstractNum w:abstractNumId="16">
    <w:nsid w:val="2D1D5AE9"/>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7">
    <w:nsid w:val="6763845E"/>
    <w:multiLevelType w:val="hybridMultilevel"/>
    <w:lvl w:ilvl="0">
      <w:lvlJc w:val="left"/>
      <w:lvlText w:val="(%1)"/>
      <w:numFmt w:val="lowerLetter"/>
      <w:start w:val="3"/>
    </w:lvl>
  </w:abstractNum>
  <w:abstractNum w:abstractNumId="18">
    <w:nsid w:val="75A2A8D4"/>
    <w:multiLevelType w:val="hybridMultilevel"/>
    <w:lvl w:ilvl="0">
      <w:lvlJc w:val="left"/>
      <w:lvlText w:val="%1."/>
      <w:numFmt w:val="decimal"/>
      <w:start w:val="9"/>
    </w:lvl>
    <w:lvl w:ilvl="1">
      <w:lvlJc w:val="left"/>
      <w:lvlText w:val="(%2)"/>
      <w:numFmt w:val="lowerLetter"/>
      <w:start w:val="1"/>
    </w:lvl>
  </w:abstractNum>
  <w:abstractNum w:abstractNumId="19">
    <w:nsid w:val="8EDBDAB"/>
    <w:multiLevelType w:val="hybridMultilevel"/>
    <w:lvl w:ilvl="0">
      <w:lvlJc w:val="left"/>
      <w:lvlText w:val="(%1)"/>
      <w:numFmt w:val="lowerLetter"/>
      <w:start w:val="4"/>
    </w:lvl>
  </w:abstractNum>
  <w:abstractNum w:abstractNumId="20">
    <w:nsid w:val="79838CB2"/>
    <w:multiLevelType w:val="hybridMultilevel"/>
    <w:lvl w:ilvl="0">
      <w:lvlJc w:val="left"/>
      <w:lvlText w:val="(%1)"/>
      <w:numFmt w:val="lowerLetter"/>
      <w:start w:val="12"/>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5"/>
    </w:lvl>
  </w:abstractNum>
  <w:abstractNum w:abstractNumId="23">
    <w:nsid w:val="189A769B"/>
    <w:multiLevelType w:val="hybridMultilevel"/>
    <w:lvl w:ilvl="0">
      <w:lvlJc w:val="left"/>
      <w:lvlText w:val="(%1)"/>
      <w:numFmt w:val="lowerRoman"/>
      <w:start w:val="1"/>
    </w:lvl>
  </w:abstractNum>
  <w:abstractNum w:abstractNumId="24">
    <w:nsid w:val="54E49EB4"/>
    <w:multiLevelType w:val="hybridMultilevel"/>
    <w:lvl w:ilvl="0">
      <w:lvlJc w:val="left"/>
      <w:lvlText w:val="%1."/>
      <w:numFmt w:val="decimal"/>
      <w:start w:val="8"/>
    </w:lvl>
  </w:abstractNum>
  <w:abstractNum w:abstractNumId="25">
    <w:nsid w:val="71F32454"/>
    <w:multiLevelType w:val="hybridMultilevel"/>
    <w:lvl w:ilvl="0">
      <w:lvlJc w:val="left"/>
      <w:lvlText w:val="%1."/>
      <w:numFmt w:val="decimal"/>
      <w:start w:val="1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1)"/>
      <w:numFmt w:val="lowerRoman"/>
      <w:start w:val="4"/>
    </w:lvl>
  </w:abstractNum>
  <w:abstractNum w:abstractNumId="28">
    <w:nsid w:val="2901D82"/>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2019-12-07T16:58:41Z</dcterms:created>
  <dcterms:modified xsi:type="dcterms:W3CDTF">2019-12-07T16:58:41Z</dcterms:modified>
</cp:coreProperties>
</file>