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December 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700" w:type="dxa"/>
        <w:tblCellMar>
          <w:top w:w="0" w:type="dxa"/>
          <w:left w:w="0" w:type="dxa"/>
          <w:bottom w:w="0" w:type="dxa"/>
          <w:right w:w="0" w:type="dxa"/>
        </w:tblCellMar>
      </w:tblPr>
      <w:tr>
        <w:trPr>
          <w:trHeight w:val="216"/>
        </w:trPr>
        <w:tc>
          <w:tcPr>
            <w:tcW w:w="2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Delaware</w:t>
            </w: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2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w:t>
            </w: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of incorporation)</w:t>
            </w: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240" w:type="dxa"/>
            <w:vAlign w:val="bottom"/>
          </w:tcPr>
          <w:p>
            <w:pPr>
              <w:spacing w:after="0"/>
              <w:rPr>
                <w:sz w:val="24"/>
                <w:szCs w:val="24"/>
                <w:color w:val="auto"/>
              </w:rPr>
            </w:pPr>
          </w:p>
        </w:tc>
        <w:tc>
          <w:tcPr>
            <w:tcW w:w="57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60" w:type="dxa"/>
            <w:vAlign w:val="bottom"/>
          </w:tcPr>
          <w:p>
            <w:pPr>
              <w:spacing w:after="0"/>
              <w:rPr>
                <w:sz w:val="24"/>
                <w:szCs w:val="24"/>
                <w:color w:val="auto"/>
              </w:rPr>
            </w:pPr>
          </w:p>
        </w:tc>
      </w:tr>
      <w:tr>
        <w:trPr>
          <w:trHeight w:val="234"/>
        </w:trPr>
        <w:tc>
          <w:tcPr>
            <w:tcW w:w="2240" w:type="dxa"/>
            <w:vAlign w:val="bottom"/>
          </w:tcPr>
          <w:p>
            <w:pPr>
              <w:spacing w:after="0"/>
              <w:rPr>
                <w:sz w:val="20"/>
                <w:szCs w:val="20"/>
                <w:color w:val="auto"/>
              </w:rPr>
            </w:pPr>
          </w:p>
        </w:tc>
        <w:tc>
          <w:tcPr>
            <w:tcW w:w="57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60" w:type="dxa"/>
            <w:vAlign w:val="bottom"/>
          </w:tcPr>
          <w:p>
            <w:pPr>
              <w:spacing w:after="0"/>
              <w:rPr>
                <w:sz w:val="20"/>
                <w:szCs w:val="20"/>
                <w:color w:val="auto"/>
              </w:rPr>
            </w:pPr>
          </w:p>
        </w:tc>
      </w:tr>
      <w:tr>
        <w:trPr>
          <w:trHeight w:val="432"/>
        </w:trPr>
        <w:tc>
          <w:tcPr>
            <w:tcW w:w="2240" w:type="dxa"/>
            <w:vAlign w:val="bottom"/>
          </w:tcPr>
          <w:p>
            <w:pPr>
              <w:spacing w:after="0"/>
              <w:rPr>
                <w:sz w:val="24"/>
                <w:szCs w:val="24"/>
                <w:color w:val="auto"/>
              </w:rPr>
            </w:pPr>
          </w:p>
        </w:tc>
        <w:tc>
          <w:tcPr>
            <w:tcW w:w="57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On December 7, 2015, Vringo, Inc. and its affiliates (the “Company”) entered into a Confidential Settlement and License Agreement (the “Settlement Agreement”) with ZTE Corporation and its affiliates (“ZTE”), pursuant to which the parties agreed to settle all and any pending litigations and proceedings between the parties relating, among others, to patent infringements and patent invalidity claims. In addition, under the Settlement Agreement, the Company granted ZTE a non-exclusive, non-transferable, worldwide perpetual license of certain patents and patent applications owned by the Company.</w:t>
      </w:r>
    </w:p>
    <w:p>
      <w:pPr>
        <w:spacing w:after="0" w:line="15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ZTE will pay the Company a lump sum of $21.5 million in cash within 15 days following the execution of the Settlement Agreement. ZTE will also responsible for the payment of any withholding, value added or other taxes. Within ten days following receipt of the payment by the Company, the parties will withdraw all the pending litigations and proceedings.</w:t>
      </w:r>
    </w:p>
    <w:p>
      <w:pPr>
        <w:spacing w:after="0" w:line="18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foregoing description of the Settlement Agreement is only a summary and is qualified in its entirety by reference to the Settlement Agreement. The Company intends to file a copy of the Settlement Agreement as exhibit to its Annual Report on Form 10-K for its fiscal year ending December 31, 2015, portions of which will be subject to a FOIA Confidential Treatment Request which will be submitted to the Securities and Exchange Commission pursuant to Rule 24b-2 under the Securities Exchange Act of 1934, as amended. The omitted material will be included in the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VRINGO, INC.</w:t>
            </w:r>
          </w:p>
        </w:tc>
      </w:tr>
      <w:tr>
        <w:trPr>
          <w:trHeight w:val="648"/>
        </w:trPr>
        <w:tc>
          <w:tcPr>
            <w:tcW w:w="6160" w:type="dxa"/>
            <w:vAlign w:val="bottom"/>
          </w:tcPr>
          <w:p>
            <w:pPr>
              <w:spacing w:after="0"/>
              <w:rPr>
                <w:sz w:val="20"/>
                <w:szCs w:val="20"/>
                <w:color w:val="auto"/>
              </w:rPr>
            </w:pPr>
            <w:r>
              <w:rPr>
                <w:rFonts w:ascii="Arial" w:cs="Arial" w:eastAsia="Arial" w:hAnsi="Arial"/>
                <w:sz w:val="18"/>
                <w:szCs w:val="18"/>
                <w:color w:val="auto"/>
              </w:rPr>
              <w:t>Date: December 7, 2015</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Andrew D. Perlman</w:t>
            </w:r>
          </w:p>
        </w:tc>
      </w:tr>
      <w:tr>
        <w:trPr>
          <w:trHeight w:val="195"/>
        </w:trPr>
        <w:tc>
          <w:tcPr>
            <w:tcW w:w="616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61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61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2019-12-08T20:59:52Z</dcterms:created>
  <dcterms:modified xsi:type="dcterms:W3CDTF">2019-12-08T20:59:52Z</dcterms:modified>
</cp:coreProperties>
</file>