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 filed with the Securities and Exchange Commission on May 11, 2022</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333-264026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PRE-EFFECTIVE AMENDMENT NO. 1</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S-3</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0" w:gutter="0" w:footer="0" w:header="0"/>
        </w:sectPr>
      </w:pPr>
    </w:p>
    <w:p>
      <w:pPr>
        <w:spacing w:after="0" w:line="20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(I.R.S. Employer Identification Number)</w:t>
      </w:r>
    </w:p>
    <w:p>
      <w:pPr>
        <w:spacing w:after="0" w:line="173" w:lineRule="exact"/>
        <w:rPr>
          <w:sz w:val="24"/>
          <w:szCs w:val="24"/>
          <w:color w:val="auto"/>
        </w:rPr>
      </w:pPr>
    </w:p>
    <w:p>
      <w:pPr>
        <w:sectPr>
          <w:pgSz w:w="11900" w:h="16838" w:orient="portrait"/>
          <w:cols w:equalWidth="0" w:num="2">
            <w:col w:w="6360" w:space="720"/>
            <w:col w:w="4160"/>
          </w:cols>
          <w:pgMar w:left="320" w:top="675" w:right="3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Scott R. Milford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jc w:val="center"/>
        <w:spacing w:after="0" w:line="192" w:lineRule="auto"/>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J. Endicott,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Kenneth L. Henderson,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Bryan Cave Leighton Paisner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Metropolitan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 North Broadway, Suite 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Louis, MO 63102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259-2000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this Registration Statement becomes effective.</w:t>
      </w:r>
    </w:p>
    <w:p>
      <w:pPr>
        <w:spacing w:after="0" w:line="19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36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5" w:right="339" w:bottom="0" w:gutter="0" w:footer="0" w:header="0"/>
          <w:type w:val="continuous"/>
        </w:sectPr>
      </w:pPr>
    </w:p>
    <w:p>
      <w:pPr>
        <w:spacing w:after="0" w:line="151"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50" w:lineRule="exact"/>
        <w:rPr>
          <w:sz w:val="24"/>
          <w:szCs w:val="24"/>
          <w:color w:val="auto"/>
        </w:rPr>
      </w:pPr>
    </w:p>
    <w:p>
      <w:pPr>
        <w:sectPr>
          <w:pgSz w:w="11900" w:h="16838" w:orient="portrait"/>
          <w:cols w:equalWidth="0" w:num="2">
            <w:col w:w="6600" w:space="720"/>
            <w:col w:w="3920"/>
          </w:cols>
          <w:pgMar w:left="320" w:top="675" w:right="339" w:bottom="0" w:gutter="0" w:footer="0" w:header="0"/>
          <w:type w:val="continuous"/>
        </w:sectPr>
      </w:pPr>
    </w:p>
    <w:p>
      <w:pPr>
        <w:ind w:right="16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675" w:right="339" w:bottom="0" w:gutter="0" w:footer="0" w:header="0"/>
          <w:type w:val="continuous"/>
        </w:sectPr>
      </w:pPr>
    </w:p>
    <w:bookmarkStart w:id="1" w:name="page2"/>
    <w:bookmarkEnd w:id="1"/>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140"/>
        <w:spacing w:after="0" w:line="255"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May 11,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$0.01 PAR VALUE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4,696,134 SHARES</w:t>
      </w:r>
    </w:p>
    <w:p>
      <w:pPr>
        <w:spacing w:after="0" w:line="21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This prospectus relates to the resale, from time to time, of up to 4,696,134 shares of our common stock, par value $0.01 per share (“Common Stock”), by the selling stockholders named herein. On January 9, 2022, we entered into a Membership Interests Purchase Agreement (the “Purchase Agreement”) with Peter Newman, John H. Martinson and Ezra Ernst (the “Selling Stockholders”). Pursuant to the Purchase Agreement, we acquired all of the issued and outstanding membership interests of GCG Connect LLC d/b/a HyperPointe, a New Jersey limited liability company, from the Selling Stockholders in exchange for a cash payment and the issuance of 552,487 shares of our Common Stock at closing (the “Closing Shares”). In addition, the Selling Stockholders may be entitled to earn-out payments of up to $7,500,000 based on the achievement of certain milestones during the three years following the date of the Purchase Agreement. Earn-out payments, if any, may be made, at the election of the Selling Stockholders, in cash, in Common Stock, valued at $1.81 per share, or a combination thereof, such that up to a maximum of 4,143,647 additional shares of Common Stock could be issued to the Selling Stockholders if all earn-out milestones are achieved (the “Earn-out Shares”).</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terms of the Purchase Agreement, we are required to register the resale of (a) the shares of Common Stock issued at the closing of the transactions contemplated by the Purchase Agreement and (b) 100% of the Earn-out Shares.</w:t>
      </w:r>
    </w:p>
    <w:p>
      <w:pPr>
        <w:spacing w:after="0" w:line="170"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We are not selling any securities under this prospectus and will not receive any of the proceeds from the sale of shares by any Selling Stockholder. The Selling Stockholders may sell their respective shares of Common Stock described in this prospectus in a number of different ways and at varying prices. We provide more information about how the Selling Stockholders may resell their respective shares of our Common Stock in the section titled “Plan of Distribution” beginning on page 8. We will pay the expenses incurred in registering the shares, including legal and accounting fees.</w:t>
      </w:r>
    </w:p>
    <w:p>
      <w:pPr>
        <w:spacing w:after="0" w:line="15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Our Common Stock is quoted on The Nasdaq Capital Market, or Nasdaq, under the symbol “XSPA.” On May 10, 2022, the last reported sale price of our Common Stock was $0.80 per share. Prospective purchasers of our Common Stock are urged to obtain current information as to the market prices of our Common Stock.</w:t>
      </w:r>
    </w:p>
    <w:p>
      <w:pPr>
        <w:spacing w:after="0" w:line="180" w:lineRule="exact"/>
        <w:rPr>
          <w:sz w:val="20"/>
          <w:szCs w:val="20"/>
          <w:color w:val="auto"/>
        </w:rPr>
      </w:pPr>
    </w:p>
    <w:p>
      <w:pPr>
        <w:jc w:val="both"/>
        <w:ind w:right="180"/>
        <w:spacing w:after="0" w:line="282" w:lineRule="auto"/>
        <w:rPr>
          <w:sz w:val="20"/>
          <w:szCs w:val="20"/>
          <w:color w:val="auto"/>
        </w:rPr>
      </w:pPr>
      <w:r>
        <w:rPr>
          <w:rFonts w:ascii="Arial" w:cs="Arial" w:eastAsia="Arial" w:hAnsi="Arial"/>
          <w:sz w:val="18"/>
          <w:szCs w:val="18"/>
          <w:b w:val="1"/>
          <w:bCs w:val="1"/>
          <w:color w:val="auto"/>
        </w:rPr>
        <w:t>Investing in our securities involves risks. Before deciding whether to invest in our securities, you should consider carefully the risks that we have described on page 2 of this prospectus under the caption “Risk Factors.”</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3880"/>
              <w:spacing w:after="0"/>
              <w:rPr>
                <w:sz w:val="20"/>
                <w:szCs w:val="20"/>
                <w:color w:val="auto"/>
              </w:rPr>
            </w:pPr>
            <w:r>
              <w:rPr>
                <w:rFonts w:ascii="Arial" w:cs="Arial" w:eastAsia="Arial" w:hAnsi="Arial"/>
                <w:sz w:val="18"/>
                <w:szCs w:val="18"/>
                <w:b w:val="1"/>
                <w:bCs w:val="1"/>
                <w:color w:val="auto"/>
              </w:rPr>
              <w:t>The date of this prospectus is</w:t>
            </w:r>
          </w:p>
        </w:tc>
        <w:tc>
          <w:tcPr>
            <w:tcW w:w="4740" w:type="dxa"/>
            <w:vAlign w:val="bottom"/>
          </w:tcPr>
          <w:p>
            <w:pPr>
              <w:jc w:val="right"/>
              <w:ind w:right="3790"/>
              <w:spacing w:after="0"/>
              <w:rPr>
                <w:sz w:val="20"/>
                <w:szCs w:val="20"/>
                <w:color w:val="auto"/>
              </w:rPr>
            </w:pPr>
            <w:r>
              <w:rPr>
                <w:rFonts w:ascii="Arial" w:cs="Arial" w:eastAsia="Arial" w:hAnsi="Arial"/>
                <w:sz w:val="18"/>
                <w:szCs w:val="18"/>
                <w:b w:val="1"/>
                <w:bCs w:val="1"/>
                <w:color w:val="auto"/>
              </w:rPr>
              <w:t>, 2022.</w:t>
            </w:r>
          </w:p>
        </w:tc>
      </w:tr>
      <w:tr>
        <w:trPr>
          <w:trHeight w:val="67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5"/>
          </w:tcPr>
          <w:p>
            <w:pPr>
              <w:jc w:val="right"/>
              <w:spacing w:after="0" w:line="203" w:lineRule="exact"/>
              <w:rPr>
                <w:sz w:val="20"/>
                <w:szCs w:val="20"/>
                <w:color w:val="auto"/>
              </w:rPr>
            </w:pPr>
            <w:r>
              <w:rPr>
                <w:rFonts w:ascii="Arial" w:cs="Arial" w:eastAsia="Arial" w:hAnsi="Arial"/>
                <w:sz w:val="18"/>
                <w:szCs w:val="18"/>
                <w:color w:val="auto"/>
              </w:rPr>
              <w:t>Page</w:t>
            </w:r>
          </w:p>
        </w:tc>
      </w:tr>
      <w:tr>
        <w:trPr>
          <w:trHeight w:val="412"/>
        </w:trPr>
        <w:tc>
          <w:tcPr>
            <w:tcW w:w="22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820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0000EE"/>
            </w:tcBorders>
            <w:gridSpan w:val="2"/>
          </w:tcPr>
          <w:p>
            <w:pPr>
              <w:jc w:val="right"/>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277"/>
        </w:trPr>
        <w:tc>
          <w:tcPr>
            <w:tcW w:w="2060" w:type="dxa"/>
            <w:vAlign w:val="bottom"/>
            <w:gridSpan w:val="5"/>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PROSPECTUS SUMMARY</w:t>
              </w:r>
            </w:hyperlink>
          </w:p>
        </w:tc>
        <w:tc>
          <w:tcPr>
            <w:tcW w:w="8380" w:type="dxa"/>
            <w:vAlign w:val="bottom"/>
            <w:gridSpan w:val="8"/>
          </w:tcPr>
          <w:p>
            <w:pPr>
              <w:spacing w:after="0"/>
              <w:rPr>
                <w:sz w:val="24"/>
                <w:szCs w:val="24"/>
                <w:color w:val="auto"/>
              </w:rPr>
            </w:pPr>
          </w:p>
        </w:tc>
        <w:tc>
          <w:tcPr>
            <w:tcW w:w="800" w:type="dxa"/>
            <w:vAlign w:val="bottom"/>
            <w:gridSpan w:val="5"/>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260" w:type="dxa"/>
            <w:vAlign w:val="bottom"/>
            <w:gridSpan w:val="2"/>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800" w:type="dxa"/>
            <w:vAlign w:val="bottom"/>
            <w:gridSpan w:val="3"/>
          </w:tcPr>
          <w:p>
            <w:pPr>
              <w:spacing w:after="0"/>
              <w:rPr>
                <w:sz w:val="24"/>
                <w:szCs w:val="24"/>
                <w:color w:val="auto"/>
              </w:rPr>
            </w:pPr>
          </w:p>
        </w:tc>
        <w:tc>
          <w:tcPr>
            <w:tcW w:w="8380" w:type="dxa"/>
            <w:vAlign w:val="bottom"/>
            <w:gridSpan w:val="8"/>
          </w:tcPr>
          <w:p>
            <w:pPr>
              <w:spacing w:after="0"/>
              <w:rPr>
                <w:sz w:val="24"/>
                <w:szCs w:val="24"/>
                <w:color w:val="auto"/>
              </w:rPr>
            </w:pPr>
          </w:p>
        </w:tc>
        <w:tc>
          <w:tcPr>
            <w:tcW w:w="80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044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SPECIAL NOTE REGARDING FORWARD-LOOKING STATEMENTS</w:t>
              </w:r>
            </w:hyperlink>
          </w:p>
        </w:tc>
        <w:tc>
          <w:tcPr>
            <w:tcW w:w="80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5340" w:type="dxa"/>
            <w:vAlign w:val="bottom"/>
            <w:gridSpan w:val="1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5100" w:type="dxa"/>
            <w:vAlign w:val="bottom"/>
            <w:gridSpan w:val="2"/>
          </w:tcPr>
          <w:p>
            <w:pPr>
              <w:spacing w:after="0"/>
              <w:rPr>
                <w:sz w:val="24"/>
                <w:szCs w:val="24"/>
                <w:color w:val="auto"/>
              </w:rPr>
            </w:pPr>
          </w:p>
        </w:tc>
        <w:tc>
          <w:tcPr>
            <w:tcW w:w="800" w:type="dxa"/>
            <w:vAlign w:val="bottom"/>
            <w:gridSpan w:val="5"/>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220" w:type="dxa"/>
            <w:vAlign w:val="bottom"/>
            <w:gridSpan w:val="6"/>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SELLING STOCKHOLDERS</w:t>
              </w:r>
            </w:hyperlink>
          </w:p>
        </w:tc>
        <w:tc>
          <w:tcPr>
            <w:tcW w:w="8220" w:type="dxa"/>
            <w:vAlign w:val="bottom"/>
            <w:gridSpan w:val="7"/>
          </w:tcPr>
          <w:p>
            <w:pPr>
              <w:spacing w:after="0"/>
              <w:rPr>
                <w:sz w:val="24"/>
                <w:szCs w:val="24"/>
                <w:color w:val="auto"/>
              </w:rPr>
            </w:pPr>
          </w:p>
        </w:tc>
        <w:tc>
          <w:tcPr>
            <w:tcW w:w="800" w:type="dxa"/>
            <w:vAlign w:val="bottom"/>
            <w:gridSpan w:val="5"/>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5</w:t>
              </w:r>
            </w:hyperlink>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060" w:type="dxa"/>
            <w:vAlign w:val="bottom"/>
            <w:gridSpan w:val="5"/>
          </w:tcPr>
          <w:p>
            <w:pPr>
              <w:spacing w:after="0"/>
              <w:rPr>
                <w:rFonts w:ascii="Arial" w:cs="Arial" w:eastAsia="Arial" w:hAnsi="Arial"/>
                <w:sz w:val="18"/>
                <w:szCs w:val="18"/>
                <w:color w:val="0000EE"/>
                <w:w w:val="96"/>
              </w:rPr>
            </w:pPr>
            <w:hyperlink w:anchor="page13">
              <w:r>
                <w:rPr>
                  <w:rFonts w:ascii="Arial" w:cs="Arial" w:eastAsia="Arial" w:hAnsi="Arial"/>
                  <w:sz w:val="18"/>
                  <w:szCs w:val="18"/>
                  <w:color w:val="0000EE"/>
                  <w:w w:val="96"/>
                </w:rPr>
                <w:t>PLAN OF DISTRIBUTION</w:t>
              </w:r>
            </w:hyperlink>
          </w:p>
        </w:tc>
        <w:tc>
          <w:tcPr>
            <w:tcW w:w="160" w:type="dxa"/>
            <w:vAlign w:val="bottom"/>
          </w:tcPr>
          <w:p>
            <w:pPr>
              <w:spacing w:after="0"/>
              <w:rPr>
                <w:sz w:val="24"/>
                <w:szCs w:val="24"/>
                <w:color w:val="auto"/>
              </w:rPr>
            </w:pPr>
          </w:p>
        </w:tc>
        <w:tc>
          <w:tcPr>
            <w:tcW w:w="8220" w:type="dxa"/>
            <w:vAlign w:val="bottom"/>
            <w:gridSpan w:val="7"/>
          </w:tcPr>
          <w:p>
            <w:pPr>
              <w:spacing w:after="0"/>
              <w:rPr>
                <w:sz w:val="24"/>
                <w:szCs w:val="24"/>
                <w:color w:val="auto"/>
              </w:rPr>
            </w:pPr>
          </w:p>
        </w:tc>
        <w:tc>
          <w:tcPr>
            <w:tcW w:w="800" w:type="dxa"/>
            <w:vAlign w:val="bottom"/>
            <w:gridSpan w:val="5"/>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8</w:t>
              </w:r>
            </w:hyperlink>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9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DESCRIPTION OF COMMON STOCK</w:t>
              </w:r>
            </w:hyperlink>
          </w:p>
        </w:tc>
        <w:tc>
          <w:tcPr>
            <w:tcW w:w="7480" w:type="dxa"/>
            <w:vAlign w:val="bottom"/>
            <w:gridSpan w:val="5"/>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11</w:t>
              </w:r>
            </w:hyperlink>
          </w:p>
        </w:tc>
      </w:tr>
      <w:tr>
        <w:trPr>
          <w:trHeight w:val="277"/>
        </w:trPr>
        <w:tc>
          <w:tcPr>
            <w:tcW w:w="1000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7">
              <w:r>
                <w:rPr>
                  <w:rFonts w:ascii="Arial" w:cs="Arial" w:eastAsia="Arial" w:hAnsi="Arial"/>
                  <w:sz w:val="18"/>
                  <w:szCs w:val="18"/>
                  <w:color w:val="0000EE"/>
                  <w:w w:val="96"/>
                </w:rPr>
                <w:t>CERTAIN PROVISIONS OF DELAWARE LAW AND OF THE COMPANY’S CERTIFICATE OF INCORPORATION AND BYLAWS</w:t>
              </w:r>
            </w:hyperlink>
          </w:p>
        </w:tc>
        <w:tc>
          <w:tcPr>
            <w:tcW w:w="44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12</w:t>
              </w:r>
            </w:hyperlink>
          </w:p>
        </w:tc>
      </w:tr>
      <w:tr>
        <w:trPr>
          <w:trHeight w:val="277"/>
        </w:trPr>
        <w:tc>
          <w:tcPr>
            <w:tcW w:w="10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MATTERS</w:t>
              </w:r>
            </w:hyperlink>
          </w:p>
        </w:tc>
        <w:tc>
          <w:tcPr>
            <w:tcW w:w="800" w:type="dxa"/>
            <w:vAlign w:val="bottom"/>
            <w:gridSpan w:val="5"/>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r>
      <w:tr>
        <w:trPr>
          <w:trHeight w:val="277"/>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24"/>
                <w:szCs w:val="24"/>
                <w:color w:val="auto"/>
              </w:rPr>
            </w:pPr>
          </w:p>
        </w:tc>
        <w:tc>
          <w:tcPr>
            <w:tcW w:w="8980" w:type="dxa"/>
            <w:vAlign w:val="bottom"/>
            <w:gridSpan w:val="10"/>
          </w:tcPr>
          <w:p>
            <w:pPr>
              <w:spacing w:after="0"/>
              <w:rPr>
                <w:sz w:val="24"/>
                <w:szCs w:val="24"/>
                <w:color w:val="auto"/>
              </w:rPr>
            </w:pPr>
          </w:p>
        </w:tc>
        <w:tc>
          <w:tcPr>
            <w:tcW w:w="6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13</w:t>
              </w:r>
            </w:hyperlink>
          </w:p>
        </w:tc>
      </w:tr>
      <w:tr>
        <w:trPr>
          <w:trHeight w:val="277"/>
        </w:trPr>
        <w:tc>
          <w:tcPr>
            <w:tcW w:w="10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WHERE YOU CAN FIND MORE INFORMATION</w:t>
              </w:r>
            </w:hyperlink>
          </w:p>
        </w:tc>
        <w:tc>
          <w:tcPr>
            <w:tcW w:w="800" w:type="dxa"/>
            <w:vAlign w:val="bottom"/>
            <w:gridSpan w:val="5"/>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r>
      <w:tr>
        <w:trPr>
          <w:trHeight w:val="20"/>
        </w:trPr>
        <w:tc>
          <w:tcPr>
            <w:tcW w:w="3820" w:type="dxa"/>
            <w:vAlign w:val="bottom"/>
            <w:gridSpan w:val="9"/>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77"/>
        </w:trPr>
        <w:tc>
          <w:tcPr>
            <w:tcW w:w="1044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INCORPORATION OF CERTAIN DOCUMENTS BY REFERENCE</w:t>
              </w:r>
            </w:hyperlink>
          </w:p>
        </w:tc>
        <w:tc>
          <w:tcPr>
            <w:tcW w:w="800" w:type="dxa"/>
            <w:vAlign w:val="bottom"/>
            <w:gridSpan w:val="5"/>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00" w:lineRule="exact"/>
        <w:rPr>
          <w:sz w:val="20"/>
          <w:szCs w:val="20"/>
          <w:color w:val="auto"/>
        </w:rPr>
      </w:pPr>
    </w:p>
    <w:p>
      <w:pPr>
        <w:spacing w:after="0" w:line="24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SEC. This prospectus does not contain all of the information included in the registration statement. For a more complete understanding of the offering of the securities, you should refer to the registration statement, including its exhibits. This prospectus, together with the documents incorporated by reference into this prospectus, includes all material information relating to the offering of securities under this prospectus. You should carefully read this prospectus, the information and documents incorporated herein by reference and the additional information under the heading “Where You Can Find More Information” before making an investment decision.</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and the Selling Stockholders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We and the Selling Stockholders take no responsibility for, and can provide no assurances as to the reliability of, any other information that others may give you.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incorporated herein by reference is accurate only as of the date of the document incorporated by reference, regardless of the time of delivery of this prospectus or any sale of a security.</w:t>
      </w:r>
    </w:p>
    <w:p>
      <w:pPr>
        <w:spacing w:after="0" w:line="17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Unless the context otherwise requires, references to “we,” “our,” “us,” or the “Company” in this prospectus mean XpresSpa Group, Inc., together with its subsidiaries.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317500</wp:posOffset>
            </wp:positionH>
            <wp:positionV relativeFrom="page">
              <wp:posOffset>447040</wp:posOffset>
            </wp:positionV>
            <wp:extent cx="6913245" cy="6913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3245" cy="6913880"/>
                    </a:xfrm>
                    <a:prstGeom prst="rect">
                      <a:avLst/>
                    </a:prstGeom>
                    <a:noFill/>
                  </pic:spPr>
                </pic:pic>
              </a:graphicData>
            </a:graphic>
          </wp:anchor>
        </w:drawing>
        <w:t>PROSPECTUS SUMMARY</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a general description of the securities that may be offered for resale or other disposition by the Selling Stockholders. We urge you to read this entire prospectus, including the more detailed consolidated financial statements, notes to the consolidated financial statements and other information incorporated by reference from our other filings with the SEC. Investing in our securities involves risks. Therefore, carefully consider the risk factors set forth in our most recent annual and quarterly filings with the SEC, as well as other information in this prospectus and the documents incorporated by reference herein, before purchasing our securities. Each of the risk factors could adversely affect our business, operating results and financial condition, as well as adversely affect the value of an investment in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XpresSpa Group, Inc. (“XpresSpa Group”) is one of the leading global travel health and wellness services holding companies. XpresSpa Group currently has three reportable operating segments: XpresSpa®, XpresTest, and Treat™.</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XpresSpa Group’s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2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March 2020, we temporarily closed all global XpresSpa locations due to the categorization by local jurisdictions of the spa locations as “non-essential services.” XpresSpa reopened 22 locations as of December 31, 2021. We will evaluate reopening the remaining XpresSpa spa locations on a location-by-location basis as travel returns and resume normal operations at such selected locations once airport traffic returns to sufficient levels to support operations at a unit level, and achieve adequate unit-level economics, including acceptable profit levels as well as serves our longer term strategy of offering fully integrated health and wellness services.</w:t>
      </w:r>
    </w:p>
    <w:p>
      <w:pPr>
        <w:spacing w:after="0" w:line="176"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Since the beginning of the temporary closure of our XpresSpa locations, we successfully launched our XpresCheck® Wellness Centers, through XpresSpa Group’s subsidiary XpresTest, Inc. (“XpresTest” or “XpresCheck”), offering COVID-19 and other medical diagnostic testing services to the traveling public, as well as airline, airport and concessionaire employees, and TSA and U.S. Customs and Border Protection agents.</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XpresCheck has entered into managed services agreements (“MSAs”) with professional medical services companies that provide health care services to patients. The medical services companies pay XpresCheck a monthly fee to operate in the XpresCheck Wellness Centers. Under the terms of the MSAs, we provide office space, equipment, supplies, non-licensed staff, and management services in return for the management fee. Also, we continue to evaluate alternative testing protocols and work in partnership with airlines and others for safe travels.</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third segment is Treat, which is operating thorough XpresSpa Group’s subsidiary, Treat, Inc. (“Treat”), launched in 2021, as our new travel, health and wellness brand transforming the way we provide care to our customers through a suite of health and wellness services supported by an integrated digital platform and a relevant retail offering to the traveling public.</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Treat’s on-site centers (currently located in JFK International Airport and opening in April 2022 in Phoenix Sky Harbor International Airport and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Street, 11</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10001. Our telephone number is (212) 309-7549 and our website address is </w:t>
      </w:r>
      <w:r>
        <w:rPr>
          <w:rFonts w:ascii="Arial" w:cs="Arial" w:eastAsia="Arial" w:hAnsi="Arial"/>
          <w:sz w:val="17"/>
          <w:szCs w:val="17"/>
          <w:i w:val="1"/>
          <w:iCs w:val="1"/>
          <w:color w:val="auto"/>
        </w:rPr>
        <w:t>www.xpresspagroup.com</w:t>
      </w:r>
      <w:r>
        <w:rPr>
          <w:rFonts w:ascii="Arial" w:cs="Arial" w:eastAsia="Arial" w:hAnsi="Arial"/>
          <w:sz w:val="17"/>
          <w:szCs w:val="17"/>
          <w:color w:val="auto"/>
        </w:rPr>
        <w:t xml:space="preserve">. We also operate the websites </w:t>
      </w:r>
      <w:r>
        <w:rPr>
          <w:rFonts w:ascii="Arial" w:cs="Arial" w:eastAsia="Arial" w:hAnsi="Arial"/>
          <w:sz w:val="17"/>
          <w:szCs w:val="17"/>
          <w:i w:val="1"/>
          <w:iCs w:val="1"/>
          <w:color w:val="auto"/>
        </w:rPr>
        <w:t>www.xpresspa.com</w:t>
      </w:r>
      <w:r>
        <w:rPr>
          <w:rFonts w:ascii="Arial" w:cs="Arial" w:eastAsia="Arial" w:hAnsi="Arial"/>
          <w:sz w:val="17"/>
          <w:szCs w:val="17"/>
          <w:color w:val="auto"/>
        </w:rPr>
        <w:t xml:space="preserve"> and </w:t>
      </w:r>
      <w:r>
        <w:rPr>
          <w:rFonts w:ascii="Arial" w:cs="Arial" w:eastAsia="Arial" w:hAnsi="Arial"/>
          <w:sz w:val="17"/>
          <w:szCs w:val="17"/>
          <w:i w:val="1"/>
          <w:iCs w:val="1"/>
          <w:color w:val="auto"/>
        </w:rPr>
        <w:t>www.treat.com</w:t>
      </w:r>
      <w:r>
        <w:rPr>
          <w:rFonts w:ascii="Arial" w:cs="Arial" w:eastAsia="Arial" w:hAnsi="Arial"/>
          <w:sz w:val="17"/>
          <w:szCs w:val="17"/>
          <w:color w:val="auto"/>
        </w:rPr>
        <w:t>. References in this prospectus to our website addresses do not constitute incorporation by reference of the information contained on the websites.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80"/>
          </w:cols>
          <w:pgMar w:left="700" w:top="918" w:right="7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Investing in our securities involves significant risk. Prior to making a decision about investing in our securities, you should carefully consider all of the information appearing or incorporated by reference in this prospectus. You should also consider the risks, uncertainties and assumptions discussed under the heading “Risk Factors” included in our Annual Report on Form 10-K for the year ended December 31, 2021, as amended,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2021, as amended,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closure of many US spa locations;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previously identified material weakness related to our internal control over financial reporting, which remains unremediated as of the date of this prospectus;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 including Treat, our new travel, health and wellness brand, and our XpresCheck Wellness Centers launched in 2020;</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effectively deploy our available cash resources, as well as our ability raise additional capital to fund our operations and business plan, to the extent necessary;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wellness and travel;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secure new locations, maintain or convert existing ones to XpresCheck or Treat locations, and ensure continued customer traffic at those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or converting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events and trends in the health,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new laws and regulations or changes in existing laws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further regulatory actions in the healthcare sector that could impact our ability to continue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discontunance of EUA policies that could impact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our Annual Report on Form 10-K for the fiscal year ended December 31, 2021, as amended,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6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Selling Stockholders will receive all of the proceeds from the sale of shares of Common Stock under this prospectus. We will not receive any proceeds from these sales. The Selling Stockholders will pay any underwriting discounts and agent’s commissions and expenses they incur for brokerage, accounting, tax or legal services or any other expenses they incur in disposing of the shares. We will bear all other costs, fees and expenses incurred in effecting the registration of the shares covered by this prospectus. These may include, without limitation, all registration and filing fees, SEC filing fees and expenses of compliance with state securities or “blue sky” laws.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January 9, 2022, we entered into the Purchase Agreement with the Selling Stockholders. Pursuant to the Purchase Agreement, we acquired all of the issued and outstanding membership interests of GCG Connect LLC d/b/a HyperPointe, a New Jersey limited liability company, from the Selling Stockholders in exchange for a cash payment and the issuance of 552,487 Closing Shares at closing of that transaction. In addition, the Selling Stockholders may be entitled to earn-out payments of up to $7,500,000 based on the achievement of certain milestones during the three years following the date of the Purchase Agreement. Earn-out payments, if any, may be made, at the election of the Selling Stockholders, in cash, in Common Stock, valued at $1.81 per share, or a combination thereof, such that up to a maximum of 4,143,647 Earn-out Shares could be issued to the Selling Stockholders if all earn-out milestones are achieved. The Purchase Agreement provides that in the event (and to the extent) we do not have sufficient authorized shares of Common Stock that are unissued and not duly reserved for issuance upon options, warrants or other convertible securities, then we are permitted to settle any Earn-out Payments in cash.</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prospectus relates to the offer, resale or other disposition of up to 4,696,134 shares of our Common Stock, including the shares potentially issuable to the Selling Stockholders upon achievement of earn-out milestones set forth in the Purchase Agreement. We are registering the shares of Common Stock in order to permit the Selling Stockholders to offer the shares for resale from time to time. Except as described under “</w:t>
      </w:r>
      <w:r>
        <w:rPr>
          <w:rFonts w:ascii="Arial" w:cs="Arial" w:eastAsia="Arial" w:hAnsi="Arial"/>
          <w:sz w:val="18"/>
          <w:szCs w:val="18"/>
          <w:i w:val="1"/>
          <w:iCs w:val="1"/>
          <w:color w:val="auto"/>
        </w:rPr>
        <w:t>Material Relationships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Party Transactions</w:t>
      </w:r>
      <w:r>
        <w:rPr>
          <w:rFonts w:ascii="Arial" w:cs="Arial" w:eastAsia="Arial" w:hAnsi="Arial"/>
          <w:sz w:val="18"/>
          <w:szCs w:val="18"/>
          <w:color w:val="auto"/>
        </w:rPr>
        <w:t>” below, none of the persons named in the table has held any position or office or had any other material relationship with us or our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during the three years prior to the date of this prospectus.</w:t>
      </w:r>
    </w:p>
    <w:p>
      <w:pPr>
        <w:spacing w:after="0" w:line="188" w:lineRule="exact"/>
        <w:rPr>
          <w:sz w:val="20"/>
          <w:szCs w:val="20"/>
          <w:color w:val="auto"/>
        </w:rPr>
      </w:pPr>
    </w:p>
    <w:p>
      <w:pPr>
        <w:jc w:val="both"/>
        <w:ind w:right="60"/>
        <w:spacing w:after="0" w:line="296" w:lineRule="auto"/>
        <w:rPr>
          <w:sz w:val="20"/>
          <w:szCs w:val="20"/>
          <w:color w:val="auto"/>
        </w:rPr>
      </w:pPr>
      <w:r>
        <w:rPr>
          <w:rFonts w:ascii="Arial" w:cs="Arial" w:eastAsia="Arial" w:hAnsi="Arial"/>
          <w:sz w:val="16"/>
          <w:szCs w:val="16"/>
          <w:color w:val="auto"/>
        </w:rPr>
        <w:t>In addition, as part of the Purchase Agreement, each Selling Stockholder agreed that he, she or it will not publicly sell any of the Closing Shares or any of the Earn-out Shares actually issued pursuant to the Purchase Agreement in excess of the volume limitations described in excess of the volume limitations described in Rule 144(e) under the Securities Act, notwithstanding the effectiveness of the registration statement of which this prospectus is a part, during the six-month period following (i) in the case of the Closing Shares, the January 14, 2022 closing date of the transaction, and (ii) in the case of any tranche Earn-out Shares issued and delivered pursuant to the Purchase Agreement, the issuance date of such tranche of Earn-out Shares.</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table below lists the Selling Stockholders and other information regarding their beneficial ownership (as determined under Section 13(d) of the Securities Exchange Act of 1934, as amended (the “Exchange Act”), and the rules and regulations thereunder) of shares of our Common Stock. These rules generally provide that a person is the beneficial owner of securities if such person has or shares the power to vote or direct the voting thereof, or to dispose or direct the disposition thereof, or has the right to acquire such powers within 60 days. The second column lists the number of shares of Common Stock beneficially owned by the Selling Stockholders as of April 19, 2022. The fourth column lists the shares of Common Stock being offered by the Selling Stockholders pursuant to this prospectus.</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accordance with the terms of the Purchase Agreement, this prospectus covers the offer, resale or other disposition of (a) the shares of Common Stock issued at the closing of the transactions contemplated by the Purchase Agreement and (b) 100% of the Earn-out Shares. Percentage ownership is based on 95,321,210 shares of Common Stock outstanding as of April 19, 2022, plus the maximum 4,143,647 Earn-out Shares that could be issued to the Selling Stockholders if all earn-out milestones are achieved.</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each selling security holder may dispose of all, none or some portion of their securities, no estimate can be given as to the number of securities that will be beneficially owned by a selling security holder upon termination of this offering. See “Plan of Distribution.” For purposes of the table below, however, we have assumed that after termination of this offering none of the securities covered by this prospectus will be beneficially owned by the Selling Stockholders and further assumed that the Selling Stockholders will not acquire beneficial ownership of any additional securities during the offering. In addition, the Selling Stockholders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This information is based upon our review of public filings, our stockholder and optionholder registers and information furnished by the Selling Stockholders.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89"/>
              </w:rPr>
              <w:t>Shares Beneficially Owned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2780" w:type="dxa"/>
            <w:vAlign w:val="bottom"/>
            <w:gridSpan w:val="4"/>
          </w:tcPr>
          <w:p>
            <w:pPr>
              <w:ind w:left="300"/>
              <w:spacing w:after="0"/>
              <w:rPr>
                <w:sz w:val="20"/>
                <w:szCs w:val="20"/>
                <w:color w:val="auto"/>
              </w:rPr>
            </w:pPr>
            <w:r>
              <w:rPr>
                <w:rFonts w:ascii="Arial" w:cs="Arial" w:eastAsia="Arial" w:hAnsi="Arial"/>
                <w:sz w:val="18"/>
                <w:szCs w:val="18"/>
                <w:b w:val="1"/>
                <w:bCs w:val="1"/>
                <w:color w:val="auto"/>
              </w:rPr>
              <w:t>Shares Beneficially Owned</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b w:val="1"/>
                <w:bCs w:val="1"/>
                <w:color w:val="auto"/>
                <w:w w:val="93"/>
              </w:rPr>
              <w:t>Prior to the Offering (1)</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Number of Shares</w:t>
            </w: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Subsequent to the Offering (1)(2)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2"/>
          </w:tcPr>
          <w:p>
            <w:pPr>
              <w:jc w:val="center"/>
              <w:ind w:right="220"/>
              <w:spacing w:after="0" w:line="177" w:lineRule="exact"/>
              <w:rPr>
                <w:sz w:val="20"/>
                <w:szCs w:val="20"/>
                <w:color w:val="auto"/>
              </w:rPr>
            </w:pPr>
            <w:r>
              <w:rPr>
                <w:rFonts w:ascii="Arial" w:cs="Arial" w:eastAsia="Arial" w:hAnsi="Arial"/>
                <w:sz w:val="18"/>
                <w:szCs w:val="18"/>
                <w:b w:val="1"/>
                <w:bCs w:val="1"/>
                <w:color w:val="auto"/>
                <w:w w:val="92"/>
              </w:rPr>
              <w:t>Offered by This</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390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Name and Address of Selling Stockholder</w:t>
            </w: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960" w:type="dxa"/>
            <w:vAlign w:val="bottom"/>
          </w:tcPr>
          <w:p>
            <w:pPr>
              <w:ind w:left="320"/>
              <w:spacing w:after="0"/>
              <w:rPr>
                <w:sz w:val="20"/>
                <w:szCs w:val="20"/>
                <w:color w:val="auto"/>
              </w:rPr>
            </w:pPr>
            <w:r>
              <w:rPr>
                <w:rFonts w:ascii="Arial" w:cs="Arial" w:eastAsia="Arial" w:hAnsi="Arial"/>
                <w:sz w:val="18"/>
                <w:szCs w:val="18"/>
                <w:b w:val="1"/>
                <w:bCs w:val="1"/>
                <w:color w:val="auto"/>
                <w:w w:val="93"/>
              </w:rPr>
              <w:t>Percent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Prospectus</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Peter Newman (3)</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4822 Ocean Blvd.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Sarasota, FL 34242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2,916,395</w:t>
            </w:r>
          </w:p>
        </w:tc>
        <w:tc>
          <w:tcPr>
            <w:tcW w:w="9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2.9%</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2,848,895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John H. Martinson (4) 23 South Lincoln Avenue</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Newtown, PA 18940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1,400,125</w:t>
            </w:r>
          </w:p>
        </w:tc>
        <w:tc>
          <w:tcPr>
            <w:tcW w:w="9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1,377,625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Ezra T. Ernst (5)</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412 Park Lane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Moorestown, NJ 08057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479,614</w:t>
            </w:r>
          </w:p>
        </w:tc>
        <w:tc>
          <w:tcPr>
            <w:tcW w:w="9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469,614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340" w:right="6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w:t>
      </w:r>
    </w:p>
    <w:p>
      <w:pPr>
        <w:ind w:left="340" w:right="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for each Selling Stockholder the sale of all shares offered hereby and that the Selling Stockholders do not acquire beneficial ownership of any additional shares.</w:t>
      </w:r>
    </w:p>
    <w:p>
      <w:pPr>
        <w:ind w:left="340" w:right="58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up to 2,796,961 Earn-out Shares issuable to the Selling Stockholder upon achievement of earn-out milestones set forth in the Purchase Agreement.</w:t>
      </w:r>
    </w:p>
    <w:p>
      <w:pPr>
        <w:ind w:left="340" w:right="7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up to 932,321 Earn-out Shares issuable to the Selling Stockholder upon achievement of earn-out milestones set forth in the Purchase Agreement.</w:t>
      </w:r>
    </w:p>
    <w:p>
      <w:pPr>
        <w:ind w:left="340" w:right="720" w:hanging="332"/>
        <w:spacing w:after="0" w:line="26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up to 414,365 Earn-out Shares issuable to the Selling Stockholder upon achievement of earn-out milestones set forth in the Purchase Agreement.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the Selling Stockholders</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In connection with the closing of the transactions contemplated by the Purchase Agreement, Ezra Ernst accepted employment with the Company as the Chief Executive Officer of XpresTest, Inc., our subsidiary, and an Executive Vice President of the Company, effective January 14,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Services with HyperPointe</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GCG Connect, LLC, d/b/a HyperPointe, a New Jersey limited liability company (“HyperPointe”), began delivering healthcare consulting services and technology to us in April 2020 to assist us in developing and deploying the technological infrastructure needed to scale the growth of our XpresCheck® business. As partial compensation for such services, in May 2021, we awarded and issued 100,000 immediately vested shares to HyperPointe in a private placement that was exempt from the registration requirements of the Securities Act under Section 4(a)(2) and Regulation D promulgated thereunder. In January 2022, immediately preceding our acquisition of all of the membership interests of HyperPointe, the 100,000 shares of restricted stock issued in May 2021 were distributed out to the Selling Stockholders in their capacity as the equityholders of HyperPointe, pro rata in accordance with their equity ownership of HyperPointe, for no consideration. The 100,000 shares of restricted stock issued in May 2021 are not covered by the resale registration statement of which this prospectus forms a part.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Related to the HyperPointe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Agreement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January 14, 2022, we acquired all of the equity interests in GCG HyperPointe, for an aggregate purchase price of approximately $6.6 million, plus a potential earn-out described below of up to $7.5 million (the “Acquisition”) pursuant to an acquisition agreement with all of the Selling Stockholders. Upon consummation of the transactions contemplated by the acquisition agreement, as a portion of the initial consideration for the Acquisition, we issued</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552,487 shares of our Common Stock, valued at the closing reference price of $1.81, which was equal to the volume weighted average trading price of the Common Stock on the Nasdaq Global Select Market for the 30 consecutive trading day period ended December 31, 2021, to the Selling Stockholders, as the equityholders of HyperPointe.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spacing w:after="0" w:line="290" w:lineRule="auto"/>
        <w:rPr>
          <w:sz w:val="20"/>
          <w:szCs w:val="20"/>
          <w:color w:val="auto"/>
        </w:rPr>
      </w:pPr>
      <w:r>
        <w:rPr>
          <w:rFonts w:ascii="Arial" w:cs="Arial" w:eastAsia="Arial" w:hAnsi="Arial"/>
          <w:sz w:val="16"/>
          <w:szCs w:val="16"/>
          <w:color w:val="auto"/>
        </w:rPr>
        <w:t>We also agreed pursuant to an earn-out provision to issue up to an additional $7.5 million in cash or stock if certain earn-out performance targets are met during an earn-out period ending on the third anniversary of the date of the acquisition agreement. For purposes of the earn-out, the Common Stock will also be valued based on a price of $1.81 per share. The earn-out payments may be satisfied in (i) cash, (i) shares of Common Stock (also priced at $1.81), or (iii) any combination thereof, at the election of the equity owners of HyperPointe, provided that in the event (and to the extent) XpresSpa Group does not have sufficient authorized shares of Common Stock that are unissued and not duly reserved for issuance upon options, warrants or other convertible securities), then XpresSpa Group shall be permitted to settle any earn-out payments in cash. As a result, we may issue up to an additional 4,143,647 shares of our Common Stock; however, the actual number of shares that will be issued under the earn-out, if any, will depend on (i) the extent of fulfillment of the earn-out performance targets at the time of calculation of the earn-out and (ii) the elections and conditions described in the previous sentence.</w:t>
      </w:r>
    </w:p>
    <w:p>
      <w:pPr>
        <w:spacing w:after="0" w:line="16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connection with the consummation of the HyperPointe acquisition, as part of the acquisition agreement, we agreed to register for resale under the Securities Act all or any portion of the shares of the common stock that the Selling Stockholders are entitled to receive under the Purchase Agreement. We were required to, on or before March 31, 2022, file the registration statement of which this prospectus forms a part registering the resale of such securities.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w:t>
      </w:r>
    </w:p>
    <w:p>
      <w:pPr>
        <w:spacing w:after="0" w:line="225"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In connection with the consummation of the HyperPointe acquisition, we entered into an employment agreement with Ezra Ernst, one of the Selling Stockholders and the CEO of HyperPointe. Mr. Ernst continues as the CEO of HyperPointe, and also serves as CEO of XpresCheck, reporting to Scott Milford, XpresSpa Group CEO. Mr. Ernst’s responsibilities include the integration of XpresCheck’s biosurveillance screening and testing business with HyperPointe’s customer experience management technology and data management know how in the healthcare and pharmaceutical verticals.</w:t>
      </w:r>
    </w:p>
    <w:p>
      <w:pPr>
        <w:spacing w:after="0" w:line="15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Effective upon and subject to the closing of the Acquisition, and in connection with the Employment Agreement with Mr. Ernst, we issued options to Mr. Ernst to purchase up to an aggregate of 1,000,000 shares of Common Stock, which award was granted as an employment inducement award pursuant to NASDAQ Listing Rule 5635(c)(4) (the “Inducement Award”).</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issuance of shares of Common Stock in connection with the Acquisition, as well as the Inducement Award and the shares of common stock issuable upon exercise thereof, were made in accordance with the terms and subject to the conditions set forth in the acquisition agreement and in reliance on the private offering exemption of Section 4(a)(2) of the Securities Act, and/or the private offering safe harbor provision of Rule 506 of Regulation D promulgated thereunder. The issuance and sale is not being conducted in connection with a public offering, and no public solicitation or advertisement will be made or relied upon in connection with the issuance of the shares.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are registering the shares of Common Stock previously issued to the Selling Stockholders and the shares of Common Stock potentially issuable to the Selling Stockholders upon achievement of earn-out milestones set forth in the Purchase Agreement, in order to permit the Selling Stockholders to offer the shares for resale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directly or through one or more underwriters, broker-dealers or agents. If the shares of Common Stock or interests in shares of Common Stock are sold through underwriters or broker-dealers, the Selling Stockholders will be responsible for underwriting discounts or commissions or agent’s commissions. These dispositions may be sold in one or more transactions, at fixed prices, at prevailing market prices at the time of sale, at prices related to the prevailing market price, at varying prices determined at the time of sale, or at negotiated prices. These sales may be effected in transactions which may involve cross or block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right="1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transactions on any national securities exchange or U.S. inter-dealer quotation system of a registered national securities association on which the shares may be listed or quoted at the time of sale;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over-the-counter market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transactions otherwise than on these exchanges or systems or in the over-the-counter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short-sales;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distribution of the Common Stock by any Selling Stockholder to its partners, members or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sales pursuant to Rule 144;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via agreements between broker-dealers and the Selling Stockholders to sell a specified number of such shares at a stipulated price per share;</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or donate the shares of Common Stock in other circumstances, in which case the transferees, donees, pledgees or other successors in interest will be the selling beneficial owners for purposes of this prospectus.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connection with the sale of securities or otherwise, the Selling Stockholders may enter into hedging transactions with broker-dealers or other financial institutions, which may in turn engage in short sales of the shares in the course of hedging the positions they assume. The Selling Stockholders may also sell shares short and deliver these shares to close out their short positions and to return borrowed shares in connection with such short sales, or loan or pledge the shares to broker-dealers that in turn may sell these shares.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70"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The Selling Stockholders, individually and not severally, and any underwriters, broker-dealers or agents that participate in the distribution of the Common Stock may be deemed to be “underwriters” within the meaning of Section 2(11) of the Securities Act. Any discounts, commissions, concessions or profit earned by any such broker-dealer on any resale of the shares may be deemed to be underwriting discounts and commissions under the Securities Act.</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Selling stockholders who are “underwriters” within the meaning of Section 2(a)(11) of the Securities Act will be subject to the prospectus delivery requirements of the Securities Act, including Rule 172 thereunder and may be subject to certain statutory liabilities of, including but not limited to, Sections 11, 12 and 17 of the Securities Act and Rule 10b-5 under the Exchange Act.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of which this prospectus forms a part.</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4" w:name="page15"/>
    <w:bookmarkEnd w:id="14"/>
    <w:p>
      <w:pPr>
        <w:ind w:right="60"/>
        <w:spacing w:after="0" w:line="272" w:lineRule="auto"/>
        <w:rPr>
          <w:sz w:val="20"/>
          <w:szCs w:val="20"/>
          <w:color w:val="auto"/>
        </w:rPr>
      </w:pPr>
      <w:r>
        <w:rPr>
          <w:rFonts w:ascii="Arial" w:cs="Arial" w:eastAsia="Arial" w:hAnsi="Arial"/>
          <w:sz w:val="17"/>
          <w:szCs w:val="17"/>
          <w:color w:val="auto"/>
        </w:rPr>
        <w:t>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and the Selling Stockholders have advised us that, except as set forth in a supplement to this prospectus, in the case of an agency transaction, such commissions will not be in excess of a customary brokerage commission in compliance with FINRA Rule 2121 and, in the case of a principal transaction, any such markup or markdown will be in compliance with FINRA Rule 2121.</w:t>
      </w:r>
    </w:p>
    <w:p>
      <w:pPr>
        <w:spacing w:after="0" w:line="17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There can be no assurance that any Selling Stockholder will sell any or all of the shares of Common Stock registered pursuant to the registration statement of which this prospectus forms a part.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We have agreed with the Selling Stockholders to keep the registration statement of which this prospectus forms a part effective until the earliest to occur of</w:t>
      </w:r>
    </w:p>
    <w:p>
      <w:pPr>
        <w:spacing w:after="0" w:line="46" w:lineRule="exact"/>
        <w:rPr>
          <w:sz w:val="20"/>
          <w:szCs w:val="20"/>
          <w:color w:val="auto"/>
        </w:rPr>
      </w:pPr>
    </w:p>
    <w:p>
      <w:pPr>
        <w:ind w:firstLine="8"/>
        <w:spacing w:after="0" w:line="273" w:lineRule="auto"/>
        <w:tabs>
          <w:tab w:leader="none" w:pos="21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first anniversary following the last date that any Earn-out Shares are actually issued pursuant to the Purchase Agreement, or (ii) the date that all of the shares of Common Stock issued or issuable pursuant to the Purchase Agreement have actually been sold, or may be sold pursuant to Rule 144 under the Securities Act without any restrictions (including as to volume or manner of sale). Once sold under the registration statement of which this prospectus forms a part, the shares of Common Stock will be freely tradable in the hands of persons other than our affiliates.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are authorized to issue 150,000,000 shares of Common Stock, par value $0.01 per share. As of April 19, 2022, we had 95,321,210 shares of Common Stock outstanding and approximately 100 stockholders of record. The number of shares of Common Stock outstanding excludes, in each case as of April 19, 2022:</w:t>
      </w:r>
    </w:p>
    <w:p>
      <w:pPr>
        <w:spacing w:after="0" w:line="400" w:lineRule="exact"/>
        <w:rPr>
          <w:sz w:val="20"/>
          <w:szCs w:val="20"/>
          <w:color w:val="auto"/>
        </w:rPr>
      </w:pPr>
    </w:p>
    <w:p>
      <w:pPr>
        <w:ind w:left="660" w:right="3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28,292,472 shares of Common Stock issuable upon the exercise of Common Stock warrants outstanding as of such date at a weighted average exercise price of $2.33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1,835,809 shares of Common Stock issuable upon the exercise of stock options at a weighted average exercise price of $2.33 per share;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367,189 shares of Common Stock issuable upon the vesting of outstanding and unvested restricted stock unit awards.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of our liquidation or dissolution, the holders of our Common Stock are entitled to receive proportionately our net assets available for distribution to stockholders after the payment of all debts and other liabilities and subject to any preferential rights of any then outstanding series of preferred stock. Holders of our Common Stock have no preemptive, subscription, redemption or conversion rights. There are no redemption or sinking fund provisions applicable to our Common Stock. The voting, dividend and liquidation rights of holders of our Common Stock are subject to, and may be adversely affected by, the rights of the holders of shares of our existing series of preferred stock or any series of preferred stock that we may designate and issue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with offices at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CERTAIN PROVISIONS OF DELAWARE LAW AND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COMPANY’S CERTIFICATE OF 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amended and restated certificate of incorporation provides that amendments by our stockholders of our amended and restated bylaws require the approval of at least 66 2/3 % of the voting power of all outstanding stock. These provisions could discourage a potential acquirer from making a tender offer or otherwise attempting to obtain control of the Company and could delay changes in management.</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amended and restated certificate of incorporation provides that directors may be removed by our stockholders only for cause and, in addition to any other vote required by law, upon the affirmative vote of at least 66 2/3 % of the voting power of all outstanding securities then entitled to vote generally in the election of directors, voting together as a single class. These provisions mean that a proposal to replace one or more directors on our board of directors could be delayed until the next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validity of the securities offered hereby has been passed upon for us by Bryan Cave Leighton Paisner LLP, St. Louis, Missouri.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Friedman LLP, independent registered public accounting firm, has audited our financial statements included in our Annual Report on Form 10-K for the year ended December 31, 2021, as set forth in their report, which is incorporated by reference in this prospectus and elsewhere in this Registration Statement. Our financial statements are incorporated by reference in reliance on Friedman LLP’s report, given on their authority as experts in accounting and auditing.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are a public company and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and on our website at </w:t>
      </w:r>
      <w:r>
        <w:rPr>
          <w:rFonts w:ascii="Arial" w:cs="Arial" w:eastAsia="Arial" w:hAnsi="Arial"/>
          <w:sz w:val="18"/>
          <w:szCs w:val="18"/>
          <w:i w:val="1"/>
          <w:iCs w:val="1"/>
          <w:color w:val="auto"/>
        </w:rPr>
        <w:t>http://www.xpresspagroup.com</w:t>
      </w:r>
      <w:r>
        <w:rPr>
          <w:rFonts w:ascii="Arial" w:cs="Arial" w:eastAsia="Arial" w:hAnsi="Arial"/>
          <w:sz w:val="18"/>
          <w:szCs w:val="18"/>
          <w:color w:val="auto"/>
        </w:rPr>
        <w:t>. The information contained on our website is not included or incorporated by reference into this prospectus. In addition, our Common Stock is listed for trading on The Nasdaq Capital Market under the symbol “XSPA.”</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obtain a copy from the SEC’s website or our website.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the Selling Stockholders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92" w:lineRule="exact"/>
        <w:rPr>
          <w:sz w:val="20"/>
          <w:szCs w:val="20"/>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2021, filed with the SEC on </w:t>
      </w:r>
      <w:hyperlink r:id="rId30">
        <w:r>
          <w:rPr>
            <w:rFonts w:ascii="Arial" w:cs="Arial" w:eastAsia="Arial" w:hAnsi="Arial"/>
            <w:sz w:val="18"/>
            <w:szCs w:val="18"/>
            <w:u w:val="single" w:color="auto"/>
            <w:color w:val="0000EE"/>
          </w:rPr>
          <w:t>March 31, 2022</w:t>
        </w:r>
      </w:hyperlink>
      <w:r>
        <w:rPr>
          <w:rFonts w:ascii="Arial" w:cs="Arial" w:eastAsia="Arial" w:hAnsi="Arial"/>
          <w:sz w:val="18"/>
          <w:szCs w:val="18"/>
          <w:color w:val="auto"/>
        </w:rPr>
        <w:t xml:space="preserve">, as amended by Form 10-K/A filed with the SEC on </w:t>
      </w:r>
      <w:hyperlink r:id="rId31">
        <w:r>
          <w:rPr>
            <w:rFonts w:ascii="Arial" w:cs="Arial" w:eastAsia="Arial" w:hAnsi="Arial"/>
            <w:sz w:val="18"/>
            <w:szCs w:val="18"/>
            <w:u w:val="single" w:color="auto"/>
            <w:color w:val="0000EE"/>
          </w:rPr>
          <w:t>May 2,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001-34785);</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0"/>
        </w:numPr>
        <w:rPr>
          <w:rFonts w:ascii="Arial" w:cs="Arial" w:eastAsia="Arial" w:hAnsi="Arial"/>
          <w:sz w:val="18"/>
          <w:szCs w:val="18"/>
          <w:color w:val="0000EE"/>
        </w:rPr>
      </w:pPr>
      <w:hyperlink r:id="rId32">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10, 2022</w:t>
        </w:r>
        <w:r>
          <w:rPr>
            <w:rFonts w:ascii="Arial" w:cs="Arial" w:eastAsia="Arial" w:hAnsi="Arial"/>
            <w:sz w:val="18"/>
            <w:szCs w:val="18"/>
            <w:color w:val="auto"/>
          </w:rPr>
          <w:t xml:space="preserve"> (excluding portions furnished under Items 2.02 and 7.01), </w:t>
        </w:r>
        <w:r>
          <w:rPr>
            <w:rFonts w:ascii="Arial" w:cs="Arial" w:eastAsia="Arial" w:hAnsi="Arial"/>
            <w:sz w:val="18"/>
            <w:szCs w:val="18"/>
            <w:u w:val="single" w:color="auto"/>
            <w:color w:val="0000EE"/>
          </w:rPr>
          <w:t>January 21,</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2022</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33">
        <w:r>
          <w:rPr>
            <w:rFonts w:ascii="Arial" w:cs="Arial" w:eastAsia="Arial" w:hAnsi="Arial"/>
            <w:sz w:val="18"/>
            <w:szCs w:val="18"/>
            <w:u w:val="single" w:color="auto"/>
            <w:color w:val="0000EE"/>
          </w:rPr>
          <w:t>January 26, 2022</w:t>
        </w:r>
      </w:hyperlink>
      <w:hyperlink r:id="rId32">
        <w:r>
          <w:rPr>
            <w:rFonts w:ascii="Arial" w:cs="Arial" w:eastAsia="Arial" w:hAnsi="Arial"/>
            <w:sz w:val="18"/>
            <w:szCs w:val="18"/>
            <w:color w:val="000000"/>
          </w:rPr>
          <w:t>(File Nos. 001-34785); and</w:t>
        </w:r>
      </w:hyperlink>
    </w:p>
    <w:p>
      <w:pPr>
        <w:spacing w:after="0" w:line="170" w:lineRule="exact"/>
        <w:rPr>
          <w:rFonts w:ascii="Arial" w:cs="Arial" w:eastAsia="Arial" w:hAnsi="Arial"/>
          <w:sz w:val="18"/>
          <w:szCs w:val="18"/>
          <w:color w:val="0000EE"/>
        </w:rPr>
      </w:pPr>
    </w:p>
    <w:p>
      <w:pPr>
        <w:ind w:left="660" w:right="20" w:hanging="328"/>
        <w:spacing w:after="0" w:line="263" w:lineRule="auto"/>
        <w:tabs>
          <w:tab w:leader="none" w:pos="660" w:val="left"/>
        </w:tabs>
        <w:numPr>
          <w:ilvl w:val="0"/>
          <w:numId w:val="10"/>
        </w:numPr>
        <w:rPr>
          <w:rFonts w:ascii="Arial" w:cs="Arial" w:eastAsia="Arial" w:hAnsi="Arial"/>
          <w:sz w:val="18"/>
          <w:szCs w:val="18"/>
          <w:color w:val="0000EE"/>
        </w:rPr>
      </w:pPr>
      <w:hyperlink r:id="rId34">
        <w:r>
          <w:rPr>
            <w:rFonts w:ascii="Arial" w:cs="Arial" w:eastAsia="Arial" w:hAnsi="Arial"/>
            <w:sz w:val="18"/>
            <w:szCs w:val="18"/>
            <w:color w:val="auto"/>
          </w:rPr>
          <w:t xml:space="preserve">The description of our securities contained in our Registration Statement on Form 8-A filed on </w:t>
        </w:r>
        <w:r>
          <w:rPr>
            <w:rFonts w:ascii="Arial" w:cs="Arial" w:eastAsia="Arial" w:hAnsi="Arial"/>
            <w:sz w:val="18"/>
            <w:szCs w:val="18"/>
            <w:u w:val="single" w:color="auto"/>
            <w:color w:val="0000EE"/>
          </w:rPr>
          <w:t>March 21, 2016</w:t>
        </w:r>
        <w:r>
          <w:rPr>
            <w:rFonts w:ascii="Arial" w:cs="Arial" w:eastAsia="Arial" w:hAnsi="Arial"/>
            <w:sz w:val="18"/>
            <w:szCs w:val="18"/>
            <w:color w:val="auto"/>
          </w:rPr>
          <w:t xml:space="preserve"> (File No. 001-34785), </w:t>
        </w:r>
        <w:r>
          <w:rPr>
            <w:rFonts w:ascii="Arial" w:cs="Arial" w:eastAsia="Arial" w:hAnsi="Arial"/>
            <w:sz w:val="18"/>
            <w:szCs w:val="18"/>
            <w:u w:val="single" w:color="auto"/>
            <w:color w:val="0000EE"/>
          </w:rPr>
          <w:t>April 29,</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2013</w:t>
        </w:r>
        <w:r>
          <w:rPr>
            <w:rFonts w:ascii="Arial" w:cs="Arial" w:eastAsia="Arial" w:hAnsi="Arial"/>
            <w:sz w:val="18"/>
            <w:szCs w:val="18"/>
            <w:color w:val="0000EE"/>
          </w:rPr>
          <w:t xml:space="preserve"> </w:t>
        </w:r>
        <w:r>
          <w:rPr>
            <w:rFonts w:ascii="Arial" w:cs="Arial" w:eastAsia="Arial" w:hAnsi="Arial"/>
            <w:sz w:val="18"/>
            <w:szCs w:val="18"/>
            <w:color w:val="000000"/>
          </w:rPr>
          <w:t>(File No. 001-34785) and</w:t>
        </w:r>
        <w:r>
          <w:rPr>
            <w:rFonts w:ascii="Arial" w:cs="Arial" w:eastAsia="Arial" w:hAnsi="Arial"/>
            <w:sz w:val="18"/>
            <w:szCs w:val="18"/>
            <w:color w:val="0000EE"/>
          </w:rPr>
          <w:t xml:space="preserve"> </w:t>
        </w:r>
      </w:hyperlink>
      <w:hyperlink r:id="rId35">
        <w:r>
          <w:rPr>
            <w:rFonts w:ascii="Arial" w:cs="Arial" w:eastAsia="Arial" w:hAnsi="Arial"/>
            <w:sz w:val="18"/>
            <w:szCs w:val="18"/>
            <w:u w:val="single" w:color="auto"/>
            <w:color w:val="0000EE"/>
          </w:rPr>
          <w:t xml:space="preserve">June 16, 2010 </w:t>
        </w:r>
      </w:hyperlink>
      <w:hyperlink r:id="rId34">
        <w:r>
          <w:rPr>
            <w:rFonts w:ascii="Arial" w:cs="Arial" w:eastAsia="Arial" w:hAnsi="Arial"/>
            <w:sz w:val="18"/>
            <w:szCs w:val="18"/>
            <w:color w:val="000000"/>
          </w:rPr>
          <w:t xml:space="preserve">(File No. 001-34785), pursuant to Section 12(b) of the Exchange Act, and any amendment or </w:t>
        </w:r>
      </w:hyperlink>
      <w:r>
        <w:rPr>
          <w:rFonts w:ascii="Arial" w:cs="Arial" w:eastAsia="Arial" w:hAnsi="Arial"/>
          <w:sz w:val="18"/>
          <w:szCs w:val="18"/>
          <w:color w:val="0000EE"/>
        </w:rPr>
        <w:t xml:space="preserve">report </w:t>
      </w:r>
      <w:r>
        <w:rPr>
          <w:rFonts w:ascii="Arial" w:cs="Arial" w:eastAsia="Arial" w:hAnsi="Arial"/>
          <w:sz w:val="18"/>
          <w:szCs w:val="18"/>
          <w:color w:val="000000"/>
        </w:rPr>
        <w:t>filed with the SEC for purposes of updating such description; and</w:t>
      </w:r>
    </w:p>
    <w:p>
      <w:pPr>
        <w:spacing w:after="0" w:line="183" w:lineRule="exact"/>
        <w:rPr>
          <w:rFonts w:ascii="Arial" w:cs="Arial" w:eastAsia="Arial" w:hAnsi="Arial"/>
          <w:sz w:val="18"/>
          <w:szCs w:val="18"/>
          <w:color w:val="0000EE"/>
        </w:rPr>
      </w:pPr>
    </w:p>
    <w:p>
      <w:pPr>
        <w:ind w:left="660" w:right="28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prior to the termination or completion of the offering of securities under this prospectus (including documents filed after the initial date of the registration statement of which this prospectus is a part and prior to the effectiveness of such registration statement) shall be deemed to be incorporated by reference in this prospectus and to be a part hereof from the date of filing such reports and other documents.</w:t>
      </w:r>
    </w:p>
    <w:p>
      <w:pPr>
        <w:spacing w:after="0" w:line="171" w:lineRule="exact"/>
        <w:rPr>
          <w:rFonts w:ascii="Arial" w:cs="Arial" w:eastAsia="Arial" w:hAnsi="Arial"/>
          <w:sz w:val="18"/>
          <w:szCs w:val="18"/>
          <w:color w:val="0000EE"/>
        </w:rPr>
      </w:pPr>
    </w:p>
    <w:p>
      <w:pPr>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254 West</w:t>
      </w:r>
    </w:p>
    <w:p>
      <w:pPr>
        <w:spacing w:after="0" w:line="6"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Attention: Investor Relations. The Investor Relations Department can be reached via telephone at (212) 838-</w:t>
      </w:r>
    </w:p>
    <w:p>
      <w:pPr>
        <w:spacing w:after="0"/>
        <w:rPr>
          <w:sz w:val="20"/>
          <w:szCs w:val="20"/>
          <w:color w:val="auto"/>
        </w:rPr>
      </w:pPr>
      <w:r>
        <w:rPr>
          <w:rFonts w:ascii="Arial" w:cs="Arial" w:eastAsia="Arial" w:hAnsi="Arial"/>
          <w:sz w:val="18"/>
          <w:szCs w:val="18"/>
          <w:color w:val="auto"/>
        </w:rPr>
        <w:t>3777.</w:t>
      </w:r>
    </w:p>
    <w:p>
      <w:pPr>
        <w:spacing w:after="0" w:line="200" w:lineRule="exact"/>
        <w:rPr>
          <w:rFonts w:ascii="Arial" w:cs="Arial" w:eastAsia="Arial" w:hAnsi="Arial"/>
          <w:sz w:val="18"/>
          <w:szCs w:val="18"/>
          <w:color w:val="0000EE"/>
        </w:rPr>
      </w:pPr>
    </w:p>
    <w:p>
      <w:pPr>
        <w:spacing w:after="0" w:line="225" w:lineRule="exact"/>
        <w:rPr>
          <w:rFonts w:ascii="Arial" w:cs="Arial" w:eastAsia="Arial" w:hAnsi="Arial"/>
          <w:sz w:val="18"/>
          <w:szCs w:val="18"/>
          <w:color w:val="0000EE"/>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sets forth the Company’s estimates (other than the SEC registration fee) of the expenses in connection with the issuance and distribution of the securities being registered.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r>
      <w:tr>
        <w:trPr>
          <w:trHeight w:val="209"/>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r>
      <w:tr>
        <w:trPr>
          <w:trHeight w:val="216"/>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r>
      <w:tr>
        <w:trPr>
          <w:trHeight w:val="216"/>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Printing fees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r>
      <w:tr>
        <w:trPr>
          <w:trHeight w:val="229"/>
        </w:trPr>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r>
      <w:tr>
        <w:trPr>
          <w:trHeight w:val="224"/>
        </w:trPr>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35,552.87</w:t>
            </w:r>
          </w:p>
        </w:tc>
        <w:tc>
          <w:tcPr>
            <w:tcW w:w="80" w:type="dxa"/>
            <w:vAlign w:val="bottom"/>
          </w:tcPr>
          <w:p>
            <w:pPr>
              <w:spacing w:after="0"/>
              <w:rPr>
                <w:sz w:val="19"/>
                <w:szCs w:val="19"/>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7760" w:type="dxa"/>
            <w:vAlign w:val="bottom"/>
            <w:gridSpan w:val="2"/>
          </w:tcPr>
          <w:p>
            <w:pPr>
              <w:ind w:left="320"/>
              <w:spacing w:after="0"/>
              <w:rPr>
                <w:sz w:val="20"/>
                <w:szCs w:val="20"/>
                <w:color w:val="auto"/>
              </w:rPr>
            </w:pPr>
            <w:r>
              <w:rPr>
                <w:rFonts w:ascii="Arial" w:cs="Arial" w:eastAsia="Arial" w:hAnsi="Arial"/>
                <w:sz w:val="18"/>
                <w:szCs w:val="18"/>
                <w:b w:val="1"/>
                <w:bCs w:val="1"/>
                <w:color w:val="auto"/>
              </w:rPr>
              <w:t>Indemnification of Directors and Officers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0" w:name="page21"/>
    <w:bookmarkEnd w:id="20"/>
    <w:p>
      <w:pPr>
        <w:ind w:right="120"/>
        <w:spacing w:after="0" w:line="275" w:lineRule="auto"/>
        <w:rPr>
          <w:sz w:val="20"/>
          <w:szCs w:val="20"/>
          <w:color w:val="auto"/>
        </w:rPr>
      </w:pPr>
      <w:r>
        <w:rPr>
          <w:rFonts w:ascii="Arial" w:cs="Arial" w:eastAsia="Arial" w:hAnsi="Arial"/>
          <w:sz w:val="17"/>
          <w:szCs w:val="17"/>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certificate of incorporation, as amended, provides that a director shall not be personally liable to the Company or its stockholders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9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6"/>
          </w:tcPr>
          <w:p>
            <w:pPr>
              <w:spacing w:after="0"/>
              <w:rPr>
                <w:sz w:val="20"/>
                <w:szCs w:val="20"/>
                <w:color w:val="auto"/>
              </w:rPr>
            </w:pPr>
            <w:r>
              <w:rPr>
                <w:rFonts w:ascii="Arial" w:cs="Arial" w:eastAsia="Arial" w:hAnsi="Arial"/>
                <w:sz w:val="18"/>
                <w:szCs w:val="18"/>
                <w:b w:val="1"/>
                <w:bCs w:val="1"/>
                <w:color w:val="auto"/>
              </w:rPr>
              <w:t>Item 16.</w:t>
            </w:r>
          </w:p>
        </w:tc>
        <w:tc>
          <w:tcPr>
            <w:tcW w:w="20" w:type="dxa"/>
            <w:vAlign w:val="bottom"/>
          </w:tcPr>
          <w:p>
            <w:pPr>
              <w:spacing w:after="0"/>
              <w:rPr>
                <w:sz w:val="20"/>
                <w:szCs w:val="20"/>
                <w:color w:val="auto"/>
              </w:rPr>
            </w:pPr>
          </w:p>
        </w:tc>
        <w:tc>
          <w:tcPr>
            <w:tcW w:w="9980" w:type="dxa"/>
            <w:vAlign w:val="bottom"/>
            <w:gridSpan w:val="14"/>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240" w:type="dxa"/>
            <w:vAlign w:val="bottom"/>
            <w:gridSpan w:val="6"/>
          </w:tcPr>
          <w:p>
            <w:pPr>
              <w:spacing w:after="0"/>
              <w:rPr>
                <w:sz w:val="20"/>
                <w:szCs w:val="20"/>
                <w:color w:val="auto"/>
              </w:rPr>
            </w:pPr>
            <w:r>
              <w:rPr>
                <w:rFonts w:ascii="Arial" w:cs="Arial" w:eastAsia="Arial" w:hAnsi="Arial"/>
                <w:sz w:val="18"/>
                <w:szCs w:val="18"/>
                <w:color w:val="auto"/>
              </w:rPr>
              <w:t>(a) Exhibits.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22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20" w:type="dxa"/>
            <w:vAlign w:val="bottom"/>
            <w:gridSpan w:val="5"/>
          </w:tcPr>
          <w:p>
            <w:pPr>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60" w:type="dxa"/>
            <w:vAlign w:val="bottom"/>
            <w:gridSpan w:val="9"/>
          </w:tcPr>
          <w:p>
            <w:pPr>
              <w:ind w:left="12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240" w:type="dxa"/>
            <w:vAlign w:val="bottom"/>
            <w:tcBorders>
              <w:top w:val="single" w:sz="8" w:color="auto"/>
            </w:tcBorders>
            <w:gridSpan w:val="2"/>
          </w:tcPr>
          <w:p>
            <w:pPr>
              <w:ind w:left="20"/>
              <w:spacing w:after="0"/>
              <w:rPr>
                <w:rFonts w:ascii="Arial" w:cs="Arial" w:eastAsia="Arial" w:hAnsi="Arial"/>
                <w:sz w:val="18"/>
                <w:szCs w:val="18"/>
                <w:color w:val="0000EE"/>
                <w:w w:val="79"/>
              </w:rPr>
            </w:pPr>
            <w:hyperlink r:id="rId38">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80" w:type="dxa"/>
            <w:vAlign w:val="bottom"/>
            <w:tcBorders>
              <w:top w:val="single" w:sz="8" w:color="auto"/>
            </w:tcBorders>
            <w:gridSpan w:val="14"/>
          </w:tcPr>
          <w:p>
            <w:pPr>
              <w:spacing w:after="0"/>
              <w:rPr>
                <w:rFonts w:ascii="Arial" w:cs="Arial" w:eastAsia="Arial" w:hAnsi="Arial"/>
                <w:sz w:val="18"/>
                <w:szCs w:val="18"/>
                <w:color w:val="0000EE"/>
                <w:w w:val="92"/>
              </w:rPr>
            </w:pPr>
            <w:hyperlink r:id="rId39">
              <w:r>
                <w:rPr>
                  <w:rFonts w:ascii="Arial" w:cs="Arial" w:eastAsia="Arial" w:hAnsi="Arial"/>
                  <w:sz w:val="18"/>
                  <w:szCs w:val="18"/>
                  <w:color w:val="0000EE"/>
                  <w:w w:val="92"/>
                </w:rPr>
                <w:t>Amended and Restated Certificate of Incorporation (incorporated by reference from Exhibit 3.1 to our Annual Report on Form 10-K filed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with the SEC on April 20, 2020)</w:t>
              </w:r>
            </w:hyperlink>
          </w:p>
        </w:tc>
        <w:tc>
          <w:tcPr>
            <w:tcW w:w="7560" w:type="dxa"/>
            <w:vAlign w:val="bottom"/>
            <w:tcBorders>
              <w:top w:val="single" w:sz="8" w:color="0000EE"/>
            </w:tcBorders>
            <w:gridSpan w:val="10"/>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240" w:type="dxa"/>
            <w:vAlign w:val="bottom"/>
            <w:gridSpan w:val="2"/>
          </w:tcPr>
          <w:p>
            <w:pPr>
              <w:ind w:left="20"/>
              <w:spacing w:after="0"/>
              <w:rPr>
                <w:rFonts w:ascii="Arial" w:cs="Arial" w:eastAsia="Arial" w:hAnsi="Arial"/>
                <w:sz w:val="18"/>
                <w:szCs w:val="18"/>
                <w:color w:val="0000EE"/>
                <w:w w:val="79"/>
              </w:rPr>
            </w:pPr>
            <w:hyperlink r:id="rId40">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w w:val="96"/>
              </w:rPr>
            </w:pPr>
            <w:hyperlink r:id="rId41">
              <w:r>
                <w:rPr>
                  <w:rFonts w:ascii="Arial" w:cs="Arial" w:eastAsia="Arial" w:hAnsi="Arial"/>
                  <w:sz w:val="18"/>
                  <w:szCs w:val="18"/>
                  <w:color w:val="0000EE"/>
                  <w:w w:val="96"/>
                </w:rPr>
                <w:t>Certificate of Amendment to Amended and Restated Certificate of Incorporation (incorporated by reference from Exhibit 3.1 to our</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Current Report on Form 8-K filed with the SEC on June 10, 2020)</w:t>
              </w:r>
            </w:hyperlink>
          </w:p>
        </w:tc>
        <w:tc>
          <w:tcPr>
            <w:tcW w:w="4680" w:type="dxa"/>
            <w:vAlign w:val="bottom"/>
            <w:tcBorders>
              <w:top w:val="single" w:sz="8" w:color="0000EE"/>
            </w:tcBorders>
            <w:gridSpan w:val="3"/>
          </w:tcPr>
          <w:p>
            <w:pPr>
              <w:spacing w:after="0"/>
              <w:rPr>
                <w:sz w:val="17"/>
                <w:szCs w:val="17"/>
                <w:color w:val="auto"/>
              </w:rPr>
            </w:pPr>
          </w:p>
        </w:tc>
        <w:tc>
          <w:tcPr>
            <w:tcW w:w="520" w:type="dxa"/>
            <w:vAlign w:val="bottom"/>
            <w:gridSpan w:val="5"/>
          </w:tcPr>
          <w:p>
            <w:pPr>
              <w:spacing w:after="0"/>
              <w:rPr>
                <w:sz w:val="17"/>
                <w:szCs w:val="17"/>
                <w:color w:val="auto"/>
              </w:rPr>
            </w:pPr>
          </w:p>
        </w:tc>
      </w:tr>
      <w:tr>
        <w:trPr>
          <w:trHeight w:val="412"/>
        </w:trPr>
        <w:tc>
          <w:tcPr>
            <w:tcW w:w="240" w:type="dxa"/>
            <w:vAlign w:val="bottom"/>
            <w:gridSpan w:val="2"/>
          </w:tcPr>
          <w:p>
            <w:pPr>
              <w:ind w:left="20"/>
              <w:spacing w:after="0"/>
              <w:rPr>
                <w:rFonts w:ascii="Arial" w:cs="Arial" w:eastAsia="Arial" w:hAnsi="Arial"/>
                <w:sz w:val="18"/>
                <w:szCs w:val="18"/>
                <w:color w:val="0000EE"/>
                <w:w w:val="79"/>
              </w:rPr>
            </w:pPr>
            <w:hyperlink r:id="rId42">
              <w:r>
                <w:rPr>
                  <w:rFonts w:ascii="Arial" w:cs="Arial" w:eastAsia="Arial" w:hAnsi="Arial"/>
                  <w:sz w:val="18"/>
                  <w:szCs w:val="18"/>
                  <w:color w:val="0000EE"/>
                  <w:w w:val="79"/>
                </w:rPr>
                <w:t>3.</w:t>
              </w:r>
              <w:r>
                <w:rPr>
                  <w:rFonts w:ascii="Arial" w:cs="Arial" w:eastAsia="Arial" w:hAnsi="Arial"/>
                  <w:sz w:val="18"/>
                  <w:szCs w:val="18"/>
                  <w:u w:val="single" w:color="auto"/>
                  <w:color w:val="0000EE"/>
                  <w:w w:val="79"/>
                </w:rPr>
                <w:t>3</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w w:val="94"/>
              </w:rPr>
            </w:pPr>
            <w:hyperlink r:id="rId43">
              <w:r>
                <w:rPr>
                  <w:rFonts w:ascii="Arial" w:cs="Arial" w:eastAsia="Arial" w:hAnsi="Arial"/>
                  <w:sz w:val="18"/>
                  <w:szCs w:val="18"/>
                  <w:color w:val="0000EE"/>
                  <w:w w:val="94"/>
                </w:rPr>
                <w:t>Amended and Restated Bylaws (incorporated by reference from Exhibit 3.2 to our Annual Report on Form 10-K filed with the SEC on</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43">
              <w:r>
                <w:rPr>
                  <w:rFonts w:ascii="Arial" w:cs="Arial" w:eastAsia="Arial" w:hAnsi="Arial"/>
                  <w:sz w:val="18"/>
                  <w:szCs w:val="18"/>
                  <w:color w:val="0000EE"/>
                  <w:w w:val="93"/>
                </w:rPr>
                <w:t>April 1, 2019)</w:t>
              </w:r>
            </w:hyperlink>
          </w:p>
        </w:tc>
        <w:tc>
          <w:tcPr>
            <w:tcW w:w="8680" w:type="dxa"/>
            <w:vAlign w:val="bottom"/>
            <w:tcBorders>
              <w:top w:val="single" w:sz="8" w:color="0000EE"/>
            </w:tcBorders>
            <w:gridSpan w:val="11"/>
          </w:tcPr>
          <w:p>
            <w:pPr>
              <w:spacing w:after="0"/>
              <w:rPr>
                <w:sz w:val="17"/>
                <w:szCs w:val="17"/>
                <w:color w:val="auto"/>
              </w:rPr>
            </w:pPr>
          </w:p>
        </w:tc>
        <w:tc>
          <w:tcPr>
            <w:tcW w:w="280" w:type="dxa"/>
            <w:vAlign w:val="bottom"/>
            <w:gridSpan w:val="2"/>
          </w:tcPr>
          <w:p>
            <w:pPr>
              <w:spacing w:after="0"/>
              <w:rPr>
                <w:sz w:val="17"/>
                <w:szCs w:val="17"/>
                <w:color w:val="auto"/>
              </w:rPr>
            </w:pPr>
          </w:p>
        </w:tc>
      </w:tr>
      <w:tr>
        <w:trPr>
          <w:trHeight w:val="412"/>
        </w:trPr>
        <w:tc>
          <w:tcPr>
            <w:tcW w:w="240" w:type="dxa"/>
            <w:vAlign w:val="bottom"/>
            <w:gridSpan w:val="2"/>
          </w:tcPr>
          <w:p>
            <w:pPr>
              <w:ind w:left="20"/>
              <w:spacing w:after="0"/>
              <w:rPr>
                <w:rFonts w:ascii="Arial" w:cs="Arial" w:eastAsia="Arial" w:hAnsi="Arial"/>
                <w:sz w:val="18"/>
                <w:szCs w:val="18"/>
                <w:color w:val="0000EE"/>
                <w:w w:val="79"/>
              </w:rPr>
            </w:pPr>
            <w:hyperlink r:id="rId44">
              <w:r>
                <w:rPr>
                  <w:rFonts w:ascii="Arial" w:cs="Arial" w:eastAsia="Arial" w:hAnsi="Arial"/>
                  <w:sz w:val="18"/>
                  <w:szCs w:val="18"/>
                  <w:color w:val="0000EE"/>
                  <w:w w:val="79"/>
                </w:rPr>
                <w:t>3.</w:t>
              </w:r>
              <w:r>
                <w:rPr>
                  <w:rFonts w:ascii="Arial" w:cs="Arial" w:eastAsia="Arial" w:hAnsi="Arial"/>
                  <w:sz w:val="18"/>
                  <w:szCs w:val="18"/>
                  <w:u w:val="single" w:color="auto"/>
                  <w:color w:val="0000EE"/>
                  <w:w w:val="79"/>
                </w:rPr>
                <w:t>4</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w w:val="95"/>
              </w:rPr>
            </w:pPr>
            <w:hyperlink r:id="rId45">
              <w:r>
                <w:rPr>
                  <w:rFonts w:ascii="Arial" w:cs="Arial" w:eastAsia="Arial" w:hAnsi="Arial"/>
                  <w:sz w:val="18"/>
                  <w:szCs w:val="18"/>
                  <w:color w:val="0000EE"/>
                  <w:w w:val="95"/>
                </w:rPr>
                <w:t>Amendment to Bylaws of XpresSpa Group, Inc. (incorporated by reference from Exhibit 3.1 to our Current Report on Form 8-K filed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with the SEC on August 6, 2021)</w:t>
              </w:r>
            </w:hyperlink>
          </w:p>
        </w:tc>
        <w:tc>
          <w:tcPr>
            <w:tcW w:w="360" w:type="dxa"/>
            <w:vAlign w:val="bottom"/>
            <w:gridSpan w:val="3"/>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412"/>
        </w:trPr>
        <w:tc>
          <w:tcPr>
            <w:tcW w:w="240" w:type="dxa"/>
            <w:vAlign w:val="bottom"/>
            <w:gridSpan w:val="2"/>
          </w:tcPr>
          <w:p>
            <w:pPr>
              <w:ind w:left="20"/>
              <w:spacing w:after="0"/>
              <w:rPr>
                <w:rFonts w:ascii="Arial" w:cs="Arial" w:eastAsia="Arial" w:hAnsi="Arial"/>
                <w:sz w:val="18"/>
                <w:szCs w:val="18"/>
                <w:color w:val="0000EE"/>
                <w:w w:val="79"/>
              </w:rPr>
            </w:pPr>
            <w:hyperlink r:id="rId46">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w w:val="95"/>
              </w:rPr>
            </w:pPr>
            <w:hyperlink r:id="rId46">
              <w:r>
                <w:rPr>
                  <w:rFonts w:ascii="Arial" w:cs="Arial" w:eastAsia="Arial" w:hAnsi="Arial"/>
                  <w:sz w:val="18"/>
                  <w:szCs w:val="18"/>
                  <w:color w:val="0000EE"/>
                  <w:w w:val="95"/>
                </w:rPr>
                <w:t>Specimen common stock certificate (incorporated by reference from our Registration Statement on Form S-1 filed on May 18, 2010)</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412"/>
        </w:trPr>
        <w:tc>
          <w:tcPr>
            <w:tcW w:w="320" w:type="dxa"/>
            <w:vAlign w:val="bottom"/>
            <w:gridSpan w:val="3"/>
          </w:tcPr>
          <w:p>
            <w:pPr>
              <w:ind w:left="20"/>
              <w:spacing w:after="0"/>
              <w:rPr>
                <w:rFonts w:ascii="Arial" w:cs="Arial" w:eastAsia="Arial" w:hAnsi="Arial"/>
                <w:sz w:val="18"/>
                <w:szCs w:val="18"/>
                <w:color w:val="0000EE"/>
                <w:w w:val="73"/>
              </w:rPr>
            </w:pPr>
            <w:hyperlink r:id="rId47">
              <w:r>
                <w:rPr>
                  <w:rFonts w:ascii="Arial" w:cs="Arial" w:eastAsia="Arial" w:hAnsi="Arial"/>
                  <w:sz w:val="18"/>
                  <w:szCs w:val="18"/>
                  <w:color w:val="0000EE"/>
                  <w:w w:val="73"/>
                </w:rPr>
                <w:t>5.</w:t>
              </w:r>
              <w:r>
                <w:rPr>
                  <w:rFonts w:ascii="Arial" w:cs="Arial" w:eastAsia="Arial" w:hAnsi="Arial"/>
                  <w:sz w:val="18"/>
                  <w:szCs w:val="18"/>
                  <w:u w:val="single" w:color="auto"/>
                  <w:color w:val="0000EE"/>
                  <w:w w:val="73"/>
                </w:rPr>
                <w:t>1+</w:t>
              </w:r>
            </w:hyperlink>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rPr>
            </w:pPr>
            <w:hyperlink r:id="rId47">
              <w:r>
                <w:rPr>
                  <w:rFonts w:ascii="Arial" w:cs="Arial" w:eastAsia="Arial" w:hAnsi="Arial"/>
                  <w:sz w:val="18"/>
                  <w:szCs w:val="18"/>
                  <w:color w:val="0000EE"/>
                </w:rPr>
                <w:t>Opinion of Bryan Cave Leighton Paisner LLP</w:t>
              </w:r>
            </w:hyperlink>
          </w:p>
        </w:tc>
      </w:tr>
      <w:tr>
        <w:trPr>
          <w:trHeight w:val="20"/>
        </w:trPr>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r>
      <w:tr>
        <w:trPr>
          <w:trHeight w:val="412"/>
        </w:trPr>
        <w:tc>
          <w:tcPr>
            <w:tcW w:w="320" w:type="dxa"/>
            <w:vAlign w:val="bottom"/>
            <w:gridSpan w:val="3"/>
          </w:tcPr>
          <w:p>
            <w:pPr>
              <w:ind w:left="20"/>
              <w:spacing w:after="0"/>
              <w:rPr>
                <w:rFonts w:ascii="Arial" w:cs="Arial" w:eastAsia="Arial" w:hAnsi="Arial"/>
                <w:sz w:val="18"/>
                <w:szCs w:val="18"/>
                <w:color w:val="0000EE"/>
                <w:w w:val="74"/>
              </w:rPr>
            </w:pPr>
            <w:hyperlink w:anchor="page25">
              <w:r>
                <w:rPr>
                  <w:rFonts w:ascii="Arial" w:cs="Arial" w:eastAsia="Arial" w:hAnsi="Arial"/>
                  <w:sz w:val="18"/>
                  <w:szCs w:val="18"/>
                  <w:color w:val="0000EE"/>
                  <w:w w:val="74"/>
                </w:rPr>
                <w:t>23.</w:t>
              </w:r>
              <w:r>
                <w:rPr>
                  <w:rFonts w:ascii="Arial" w:cs="Arial" w:eastAsia="Arial" w:hAnsi="Arial"/>
                  <w:sz w:val="18"/>
                  <w:szCs w:val="18"/>
                  <w:u w:val="single" w:color="auto"/>
                  <w:color w:val="0000EE"/>
                  <w:w w:val="74"/>
                </w:rPr>
                <w:t>1</w:t>
              </w:r>
            </w:hyperlink>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Consent of Friedman LLP, independent registered public accounting firm</w:t>
              </w:r>
            </w:hyperlink>
          </w:p>
        </w:tc>
      </w:tr>
      <w:tr>
        <w:trPr>
          <w:trHeight w:val="20"/>
        </w:trPr>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94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r>
      <w:tr>
        <w:trPr>
          <w:trHeight w:val="412"/>
        </w:trPr>
        <w:tc>
          <w:tcPr>
            <w:tcW w:w="420" w:type="dxa"/>
            <w:vAlign w:val="bottom"/>
            <w:gridSpan w:val="4"/>
          </w:tcPr>
          <w:p>
            <w:pPr>
              <w:ind w:left="20"/>
              <w:spacing w:after="0"/>
              <w:rPr>
                <w:rFonts w:ascii="Arial" w:cs="Arial" w:eastAsia="Arial" w:hAnsi="Arial"/>
                <w:sz w:val="18"/>
                <w:szCs w:val="18"/>
                <w:color w:val="0000EE"/>
                <w:w w:val="83"/>
              </w:rPr>
            </w:pPr>
            <w:hyperlink r:id="rId47">
              <w:r>
                <w:rPr>
                  <w:rFonts w:ascii="Arial" w:cs="Arial" w:eastAsia="Arial" w:hAnsi="Arial"/>
                  <w:sz w:val="18"/>
                  <w:szCs w:val="18"/>
                  <w:color w:val="0000EE"/>
                  <w:w w:val="83"/>
                </w:rPr>
                <w:t>23.</w:t>
              </w:r>
              <w:r>
                <w:rPr>
                  <w:rFonts w:ascii="Arial" w:cs="Arial" w:eastAsia="Arial" w:hAnsi="Arial"/>
                  <w:sz w:val="18"/>
                  <w:szCs w:val="18"/>
                  <w:u w:val="single" w:color="auto"/>
                  <w:color w:val="0000EE"/>
                  <w:w w:val="83"/>
                </w:rPr>
                <w:t>2+</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rPr>
            </w:pPr>
            <w:hyperlink r:id="rId47">
              <w:r>
                <w:rPr>
                  <w:rFonts w:ascii="Arial" w:cs="Arial" w:eastAsia="Arial" w:hAnsi="Arial"/>
                  <w:sz w:val="18"/>
                  <w:szCs w:val="18"/>
                  <w:color w:val="0000EE"/>
                </w:rPr>
                <w:t>Consent of Bryan Cave Leighton Paisner LLP (included in Exhibit 5.1)</w:t>
              </w:r>
            </w:hyperlink>
          </w:p>
        </w:tc>
      </w:tr>
      <w:tr>
        <w:trPr>
          <w:trHeight w:val="20"/>
        </w:trPr>
        <w:tc>
          <w:tcPr>
            <w:tcW w:w="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9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r>
      <w:tr>
        <w:trPr>
          <w:trHeight w:val="412"/>
        </w:trPr>
        <w:tc>
          <w:tcPr>
            <w:tcW w:w="420" w:type="dxa"/>
            <w:vAlign w:val="bottom"/>
            <w:gridSpan w:val="4"/>
          </w:tcPr>
          <w:p>
            <w:pPr>
              <w:ind w:left="20"/>
              <w:spacing w:after="0"/>
              <w:rPr>
                <w:rFonts w:ascii="Arial" w:cs="Arial" w:eastAsia="Arial" w:hAnsi="Arial"/>
                <w:sz w:val="18"/>
                <w:szCs w:val="18"/>
                <w:color w:val="0000EE"/>
                <w:w w:val="83"/>
              </w:rPr>
            </w:pPr>
            <w:hyperlink r:id="rId48">
              <w:r>
                <w:rPr>
                  <w:rFonts w:ascii="Arial" w:cs="Arial" w:eastAsia="Arial" w:hAnsi="Arial"/>
                  <w:sz w:val="18"/>
                  <w:szCs w:val="18"/>
                  <w:color w:val="0000EE"/>
                  <w:w w:val="83"/>
                </w:rPr>
                <w:t>24.</w:t>
              </w:r>
              <w:r>
                <w:rPr>
                  <w:rFonts w:ascii="Arial" w:cs="Arial" w:eastAsia="Arial" w:hAnsi="Arial"/>
                  <w:sz w:val="18"/>
                  <w:szCs w:val="18"/>
                  <w:u w:val="single" w:color="auto"/>
                  <w:color w:val="0000EE"/>
                  <w:w w:val="83"/>
                </w:rPr>
                <w:t>1+</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rPr>
            </w:pPr>
            <w:hyperlink r:id="rId48">
              <w:r>
                <w:rPr>
                  <w:rFonts w:ascii="Arial" w:cs="Arial" w:eastAsia="Arial" w:hAnsi="Arial"/>
                  <w:sz w:val="18"/>
                  <w:szCs w:val="18"/>
                  <w:color w:val="0000EE"/>
                </w:rPr>
                <w:t>Power of Attorney (contained on the signature page to the original filing)</w:t>
              </w:r>
            </w:hyperlink>
          </w:p>
        </w:tc>
      </w:tr>
      <w:tr>
        <w:trPr>
          <w:trHeight w:val="412"/>
        </w:trPr>
        <w:tc>
          <w:tcPr>
            <w:tcW w:w="320" w:type="dxa"/>
            <w:vAlign w:val="bottom"/>
            <w:gridSpan w:val="3"/>
          </w:tcPr>
          <w:p>
            <w:pPr>
              <w:ind w:left="20"/>
              <w:spacing w:after="0"/>
              <w:rPr>
                <w:rFonts w:ascii="Arial" w:cs="Arial" w:eastAsia="Arial" w:hAnsi="Arial"/>
                <w:sz w:val="16"/>
                <w:szCs w:val="16"/>
                <w:color w:val="0000EE"/>
                <w:w w:val="72"/>
              </w:rPr>
            </w:pPr>
            <w:hyperlink r:id="rId49">
              <w:r>
                <w:rPr>
                  <w:rFonts w:ascii="Arial" w:cs="Arial" w:eastAsia="Arial" w:hAnsi="Arial"/>
                  <w:sz w:val="16"/>
                  <w:szCs w:val="16"/>
                  <w:color w:val="0000EE"/>
                  <w:w w:val="72"/>
                </w:rPr>
                <w:t>107+</w:t>
              </w:r>
            </w:hyperlink>
          </w:p>
        </w:tc>
        <w:tc>
          <w:tcPr>
            <w:tcW w:w="1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tcBorders>
              <w:top w:val="single" w:sz="8" w:color="0000EE"/>
            </w:tcBorders>
            <w:gridSpan w:val="8"/>
          </w:tcPr>
          <w:p>
            <w:pPr>
              <w:spacing w:after="0"/>
              <w:rPr>
                <w:rFonts w:ascii="Arial" w:cs="Arial" w:eastAsia="Arial" w:hAnsi="Arial"/>
                <w:sz w:val="18"/>
                <w:szCs w:val="18"/>
                <w:color w:val="0000EE"/>
              </w:rPr>
            </w:pPr>
            <w:hyperlink r:id="rId49">
              <w:r>
                <w:rPr>
                  <w:rFonts w:ascii="Arial" w:cs="Arial" w:eastAsia="Arial" w:hAnsi="Arial"/>
                  <w:sz w:val="18"/>
                  <w:szCs w:val="18"/>
                  <w:color w:val="0000EE"/>
                </w:rPr>
                <w:t>Filing Fee Table</w:t>
              </w:r>
            </w:hyperlink>
          </w:p>
        </w:tc>
        <w:tc>
          <w:tcPr>
            <w:tcW w:w="4700" w:type="dxa"/>
            <w:vAlign w:val="bottom"/>
            <w:gridSpan w:val="6"/>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80" w:right="2920" w:hanging="5472"/>
        <w:spacing w:after="0" w:line="778"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Previously filed with the </w:t>
      </w:r>
      <w:hyperlink r:id="rId50">
        <w:r>
          <w:rPr>
            <w:rFonts w:ascii="Arial" w:cs="Arial" w:eastAsia="Arial" w:hAnsi="Arial"/>
            <w:sz w:val="18"/>
            <w:szCs w:val="18"/>
            <w:u w:val="single" w:color="auto"/>
            <w:color w:val="0000EE"/>
          </w:rPr>
          <w:t>Registration Statement on Form S-3 (File No. 333-264026), filed on March 31, 2022</w:t>
        </w:r>
      </w:hyperlink>
      <w:r>
        <w:rPr>
          <w:rFonts w:ascii="Arial" w:cs="Arial" w:eastAsia="Arial" w:hAnsi="Arial"/>
          <w:sz w:val="18"/>
          <w:szCs w:val="18"/>
          <w:color w:val="auto"/>
        </w:rPr>
        <w:t>.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tabs>
          <w:tab w:leader="none" w:pos="8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980" w:right="20" w:hanging="324"/>
        <w:spacing w:after="0" w:line="254" w:lineRule="auto"/>
        <w:tabs>
          <w:tab w:leader="none" w:pos="9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4" w:lineRule="exact"/>
        <w:rPr>
          <w:rFonts w:ascii="Arial" w:cs="Arial" w:eastAsia="Arial" w:hAnsi="Arial"/>
          <w:sz w:val="18"/>
          <w:szCs w:val="18"/>
          <w:color w:val="auto"/>
        </w:rPr>
      </w:pPr>
    </w:p>
    <w:p>
      <w:pPr>
        <w:ind w:left="980" w:right="520" w:hanging="324"/>
        <w:spacing w:after="0" w:line="277" w:lineRule="auto"/>
        <w:tabs>
          <w:tab w:leader="none" w:pos="9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340" w:right="2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left="660" w:right="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980" w:right="20" w:hanging="324"/>
        <w:spacing w:after="0" w:line="287"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332" w:right="80" w:hanging="332"/>
        <w:spacing w:after="0" w:line="257" w:lineRule="auto"/>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ind w:left="332" w:hanging="332"/>
        <w:spacing w:after="0" w:line="291" w:lineRule="auto"/>
        <w:tabs>
          <w:tab w:leader="none" w:pos="3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City of New York, New York on the 11th day of May, 2022.</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Scott R. Milford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360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62"/>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R. Milford</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11, 2022</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Scott R. Milford</w:t>
            </w: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20"/>
                <w:szCs w:val="20"/>
                <w:color w:val="auto"/>
              </w:rPr>
            </w:pPr>
          </w:p>
        </w:tc>
      </w:tr>
      <w:tr>
        <w:trPr>
          <w:trHeight w:val="634"/>
        </w:trPr>
        <w:tc>
          <w:tcPr>
            <w:tcW w:w="38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11, 2022</w:t>
            </w:r>
          </w:p>
        </w:tc>
      </w:tr>
      <w:tr>
        <w:trPr>
          <w:trHeight w:val="182"/>
        </w:trPr>
        <w:tc>
          <w:tcPr>
            <w:tcW w:w="3820" w:type="dxa"/>
            <w:vAlign w:val="bottom"/>
          </w:tcPr>
          <w:p>
            <w:pPr>
              <w:ind w:left="20"/>
              <w:spacing w:after="0" w:line="182" w:lineRule="exact"/>
              <w:rPr>
                <w:sz w:val="20"/>
                <w:szCs w:val="20"/>
                <w:color w:val="auto"/>
              </w:rPr>
            </w:pPr>
            <w:r>
              <w:rPr>
                <w:rFonts w:ascii="Arial" w:cs="Arial" w:eastAsia="Arial" w:hAnsi="Arial"/>
                <w:sz w:val="18"/>
                <w:szCs w:val="18"/>
                <w:color w:val="auto"/>
              </w:rPr>
              <w:t>James A. Berry</w:t>
            </w:r>
          </w:p>
        </w:tc>
        <w:tc>
          <w:tcPr>
            <w:tcW w:w="120" w:type="dxa"/>
            <w:vAlign w:val="bottom"/>
          </w:tcPr>
          <w:p>
            <w:pPr>
              <w:spacing w:after="0"/>
              <w:rPr>
                <w:sz w:val="15"/>
                <w:szCs w:val="15"/>
                <w:color w:val="auto"/>
              </w:rPr>
            </w:pPr>
          </w:p>
        </w:tc>
        <w:tc>
          <w:tcPr>
            <w:tcW w:w="370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(Principal Financial Officer and Principal</w:t>
            </w:r>
          </w:p>
        </w:tc>
        <w:tc>
          <w:tcPr>
            <w:tcW w:w="3600" w:type="dxa"/>
            <w:vAlign w:val="bottom"/>
          </w:tcPr>
          <w:p>
            <w:pPr>
              <w:spacing w:after="0"/>
              <w:rPr>
                <w:sz w:val="15"/>
                <w:szCs w:val="15"/>
                <w:color w:val="auto"/>
              </w:rPr>
            </w:pPr>
          </w:p>
        </w:tc>
      </w:tr>
      <w:tr>
        <w:trPr>
          <w:trHeight w:val="230"/>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Accounting Officer)</w:t>
            </w:r>
          </w:p>
        </w:tc>
        <w:tc>
          <w:tcPr>
            <w:tcW w:w="3600" w:type="dxa"/>
            <w:vAlign w:val="bottom"/>
          </w:tcPr>
          <w:p>
            <w:pPr>
              <w:spacing w:after="0"/>
              <w:rPr>
                <w:sz w:val="20"/>
                <w:szCs w:val="20"/>
                <w:color w:val="auto"/>
              </w:rPr>
            </w:pPr>
          </w:p>
        </w:tc>
      </w:tr>
      <w:tr>
        <w:trPr>
          <w:trHeight w:val="453"/>
        </w:trPr>
        <w:tc>
          <w:tcPr>
            <w:tcW w:w="38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Director, Chairman of the Board of Directors</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11, 2022</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Bruce T. Bernstein</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654"/>
        </w:trPr>
        <w:tc>
          <w:tcPr>
            <w:tcW w:w="38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11, 2022</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Robert Weinstein</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654"/>
        </w:trPr>
        <w:tc>
          <w:tcPr>
            <w:tcW w:w="38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11, 2022</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Donald E. Stout</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654"/>
        </w:trPr>
        <w:tc>
          <w:tcPr>
            <w:tcW w:w="38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11, 2022</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Michael Lebowitz</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undersigned hereby signs this Registration Statement on Form S-3 on behalf of each of the indicated persons for whom he is attorney-in-fact on May 11, 2022 pursuant to a power of attorney filed with the registrant’s Registration Statement on Form S-3 (File No. 333-264026) filed with the SEC on March 31, 2022.</w:t>
      </w:r>
    </w:p>
    <w:p>
      <w:pPr>
        <w:spacing w:after="0" w:line="18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 xml:space="preserve">/s/ </w:t>
      </w:r>
      <w:r>
        <w:rPr>
          <w:rFonts w:ascii="Arial" w:cs="Arial" w:eastAsia="Arial" w:hAnsi="Arial"/>
          <w:sz w:val="17"/>
          <w:szCs w:val="17"/>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Attorney-in-fact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Scott R. Milford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1032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incorporation by reference in this Pre-Effective Amendment No. 1 to Registration Statement on Form S-3 of our report dated March 31, 2022, with respect to our audit of the consolidated financial statements of XpresSpa Group, Inc. as of and for the year ended December 31, 2021, appearing in the Annual Report on Form 10-K of XpresSpa Group, Inc. for the year ended December 31, 2021. We also consent to the reference to our firm under the heading “Experts” in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East Hanover,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Roman"/>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
    <w:nsid w:val="109CF92E"/>
    <w:multiLevelType w:val="hybridMultilevel"/>
    <w:lvl w:ilvl="0">
      <w:lvlJc w:val="left"/>
      <w:lvlText w:val="(%1)"/>
      <w:numFmt w:val="decimal"/>
      <w:start w:val="2"/>
    </w:lvl>
    <w:lvl w:ilvl="1">
      <w:lvlJc w:val="left"/>
      <w:lvlText w:val="(%2)"/>
      <w:numFmt w:val="lowerRoman"/>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51" Type="http://schemas.openxmlformats.org/officeDocument/2006/relationships/image" Target="media/image25.png"/><Relationship Id="rId52" Type="http://schemas.openxmlformats.org/officeDocument/2006/relationships/image" Target="media/image26.png"/><Relationship Id="rId53" Type="http://schemas.openxmlformats.org/officeDocument/2006/relationships/image" Target="media/image27.png"/><Relationship Id="rId54" Type="http://schemas.openxmlformats.org/officeDocument/2006/relationships/image" Target="media/image28.png"/><Relationship Id="rId55" Type="http://schemas.openxmlformats.org/officeDocument/2006/relationships/image" Target="media/image29.png"/><Relationship Id="rId56" Type="http://schemas.openxmlformats.org/officeDocument/2006/relationships/image" Target="media/image30.png"/><Relationship Id="rId57" Type="http://schemas.openxmlformats.org/officeDocument/2006/relationships/image" Target="media/image31.png"/><Relationship Id="rId30" Type="http://schemas.openxmlformats.org/officeDocument/2006/relationships/hyperlink" Target="https://www.sec.gov/ix?doc=/Archives/edgar/data/0001410428/000155837022004897/xspa-20211231x10k.htm" TargetMode="External"/><Relationship Id="rId31" Type="http://schemas.openxmlformats.org/officeDocument/2006/relationships/hyperlink" Target="https://www.sec.gov/ix?doc=/Archives/edgar/data/0001410428/000155837022006643/xspa-20211231x10ka.htm" TargetMode="External"/><Relationship Id="rId32" Type="http://schemas.openxmlformats.org/officeDocument/2006/relationships/hyperlink" Target="http://www.sec.gov/ix?doc=/Archives/edgar/data/1410428/000110465922006277/tm224035d1_8k.htm" TargetMode="External"/><Relationship Id="rId33" Type="http://schemas.openxmlformats.org/officeDocument/2006/relationships/hyperlink" Target="http://www.sec.gov/ix?doc=/Archives/edgar/data/1410428/000110465922007853/tm224576-1_8k.htm" TargetMode="External"/><Relationship Id="rId34" Type="http://schemas.openxmlformats.org/officeDocument/2006/relationships/hyperlink" Target="http://www.sec.gov/Archives/edgar/data/1410428/000114420413024675/v342843_8a12b.htm" TargetMode="External"/><Relationship Id="rId35" Type="http://schemas.openxmlformats.org/officeDocument/2006/relationships/hyperlink" Target="http://www.sec.gov/Archives/edgar/data/1410428/000119312510140514/d8a12b.htm" TargetMode="External"/><Relationship Id="rId38" Type="http://schemas.openxmlformats.org/officeDocument/2006/relationships/hyperlink" Target="http://www.sec.gov/Archives/edgar/data/1410428/000110465920048780/tm205324d1_ex3-1.htm" TargetMode="External"/><Relationship Id="rId39" Type="http://schemas.openxmlformats.org/officeDocument/2006/relationships/hyperlink" Target="https://www.sec.gov/Archives/edgar/data/1410428/000110465920048780/tm205324d1_ex3-1.htm" TargetMode="External"/><Relationship Id="rId40" Type="http://schemas.openxmlformats.org/officeDocument/2006/relationships/hyperlink" Target="http://www.sec.gov/Archives/edgar/data/1410428/000110465920071715/tm2021956d1_ex3-1.htm" TargetMode="External"/><Relationship Id="rId41" Type="http://schemas.openxmlformats.org/officeDocument/2006/relationships/hyperlink" Target="https://www.sec.gov/Archives/edgar/data/1410428/000110465920071715/tm2021956d1_ex3-1.htm" TargetMode="External"/><Relationship Id="rId42" Type="http://schemas.openxmlformats.org/officeDocument/2006/relationships/hyperlink" Target="http://www.sec.gov/Archives/edgar/data/1410428/000114420419017496/tv516017_ex3-2.htm" TargetMode="External"/><Relationship Id="rId43" Type="http://schemas.openxmlformats.org/officeDocument/2006/relationships/hyperlink" Target="https://www.sec.gov/Archives/edgar/data/1410428/000114420419017496/tv516017_ex3-2.htm" TargetMode="External"/><Relationship Id="rId44" Type="http://schemas.openxmlformats.org/officeDocument/2006/relationships/hyperlink" Target="http://www.sec.gov/Archives/edgar/data/1410428/000110465921101540/tm2124329d1_ex3-1.htm" TargetMode="External"/><Relationship Id="rId45" Type="http://schemas.openxmlformats.org/officeDocument/2006/relationships/hyperlink" Target="https://www.sec.gov/Archives/edgar/data/1410428/000110465921101540/tm2124329d1_ex3-1.htm" TargetMode="External"/><Relationship Id="rId46" Type="http://schemas.openxmlformats.org/officeDocument/2006/relationships/hyperlink" Target="https://www.sec.gov/Archives/edgar/data/1410428/000119312510123446/dex42.htm" TargetMode="External"/><Relationship Id="rId47" Type="http://schemas.openxmlformats.org/officeDocument/2006/relationships/hyperlink" Target="https://www.sec.gov/Archives/edgar/data/1410428/000110465922041084/tm2210954d1_ex5-1.htm" TargetMode="External"/><Relationship Id="rId48" Type="http://schemas.openxmlformats.org/officeDocument/2006/relationships/hyperlink" Target="https://www.sec.gov/Archives/edgar/data/0001410428/000110465922041084/tm2210954d1_s3.htm#a_014" TargetMode="External"/><Relationship Id="rId49" Type="http://schemas.openxmlformats.org/officeDocument/2006/relationships/hyperlink" Target="https://www.sec.gov/Archives/edgar/data/1410428/000110465922041084/tm2210954d1_ex-filingfees.htm" TargetMode="External"/><Relationship Id="rId50" Type="http://schemas.openxmlformats.org/officeDocument/2006/relationships/hyperlink" Target="https://www.sec.gov/Archives/edgar/data/0001410428/000110465922041084/tm2210954d1_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2022-05-11T15:15:47Z</dcterms:created>
  <dcterms:modified xsi:type="dcterms:W3CDTF">2022-05-11T15:15:47Z</dcterms:modified>
</cp:coreProperties>
</file>