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424(b)(3)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SEC File No. 333-164575</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8,241,328 Shares of</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165735</wp:posOffset>
            </wp:positionV>
            <wp:extent cx="771525"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160" w:firstLine="486"/>
        <w:spacing w:after="0" w:line="259" w:lineRule="auto"/>
        <w:rPr>
          <w:sz w:val="20"/>
          <w:szCs w:val="20"/>
          <w:color w:val="auto"/>
        </w:rPr>
      </w:pPr>
      <w:r>
        <w:rPr>
          <w:rFonts w:ascii="Arial" w:cs="Arial" w:eastAsia="Arial" w:hAnsi="Arial"/>
          <w:sz w:val="18"/>
          <w:szCs w:val="18"/>
          <w:color w:val="auto"/>
        </w:rPr>
        <w:t>This prospectus relates to (i) our issuance of 4,784,000 shares of common stock upon the exercise of the warrants issued in our initial public offering, or the IPO warrants and (ii) the sale of an aggregate of 3,457,328 shares of our common stock, $0.01 par value per share, by the selling security holders identified in this prospectus, including shares issuable upon exercise of certain warrants held by such selling security holders, including their transferees, pledgees, donees or successors.</w:t>
      </w:r>
    </w:p>
    <w:p>
      <w:pPr>
        <w:spacing w:after="0" w:line="214" w:lineRule="exact"/>
        <w:rPr>
          <w:sz w:val="24"/>
          <w:szCs w:val="24"/>
          <w:color w:val="auto"/>
        </w:rPr>
      </w:pPr>
    </w:p>
    <w:p>
      <w:pPr>
        <w:ind w:right="260" w:firstLine="486"/>
        <w:spacing w:after="0" w:line="259" w:lineRule="auto"/>
        <w:rPr>
          <w:sz w:val="20"/>
          <w:szCs w:val="20"/>
          <w:color w:val="auto"/>
        </w:rPr>
      </w:pPr>
      <w:r>
        <w:rPr>
          <w:rFonts w:ascii="Arial" w:cs="Arial" w:eastAsia="Arial" w:hAnsi="Arial"/>
          <w:sz w:val="18"/>
          <w:szCs w:val="18"/>
          <w:color w:val="auto"/>
        </w:rPr>
        <w:t>We will issue shares of common stock to holders of the IPO warrants upon their exercise of the IPO warrants. The selling security holders may sell their shares of our common stock from time to time at market prices prevailing at the time of sale, at prices related to the prevailing market price, or at negotiated prices. We will not receive any proceeds from the sale of common stock by the holders of the IPO warrants or the selling security holders, other than the exercise price of the warrants.</w:t>
      </w:r>
    </w:p>
    <w:p>
      <w:pPr>
        <w:spacing w:after="0" w:line="214" w:lineRule="exact"/>
        <w:rPr>
          <w:sz w:val="24"/>
          <w:szCs w:val="24"/>
          <w:color w:val="auto"/>
        </w:rPr>
      </w:pPr>
    </w:p>
    <w:p>
      <w:pPr>
        <w:ind w:right="100" w:firstLine="486"/>
        <w:spacing w:after="0" w:line="286" w:lineRule="auto"/>
        <w:rPr>
          <w:sz w:val="20"/>
          <w:szCs w:val="20"/>
          <w:color w:val="auto"/>
        </w:rPr>
      </w:pPr>
      <w:r>
        <w:rPr>
          <w:rFonts w:ascii="Arial" w:cs="Arial" w:eastAsia="Arial" w:hAnsi="Arial"/>
          <w:sz w:val="17"/>
          <w:szCs w:val="17"/>
          <w:color w:val="auto"/>
        </w:rPr>
        <w:t>No underwriter or other person has been engaged to facilitate the sale of shares of our common stock in this offering. We are paying the cost of registering the shares of our common stock covered by this prospectus as well as various related expenses. The selling security holders are responsible for all selling commissions, transfer taxes and other costs related to the offer and sale of their shares of our common stock.</w:t>
      </w:r>
    </w:p>
    <w:p>
      <w:pPr>
        <w:spacing w:after="0" w:line="193" w:lineRule="exact"/>
        <w:rPr>
          <w:sz w:val="24"/>
          <w:szCs w:val="24"/>
          <w:color w:val="auto"/>
        </w:rPr>
      </w:pPr>
    </w:p>
    <w:p>
      <w:pPr>
        <w:ind w:right="100" w:firstLine="486"/>
        <w:spacing w:after="0" w:line="277" w:lineRule="auto"/>
        <w:rPr>
          <w:sz w:val="20"/>
          <w:szCs w:val="20"/>
          <w:color w:val="auto"/>
        </w:rPr>
      </w:pPr>
      <w:r>
        <w:rPr>
          <w:rFonts w:ascii="Arial" w:cs="Arial" w:eastAsia="Arial" w:hAnsi="Arial"/>
          <w:sz w:val="18"/>
          <w:szCs w:val="18"/>
          <w:color w:val="auto"/>
        </w:rPr>
        <w:t>Our common stock is traded on the NYSE Amex under the symbol “VRNG.” On October 19, 2011, the closing sale price of our common stock on the NYSE Amex was $1.48 per share.</w:t>
      </w:r>
    </w:p>
    <w:p>
      <w:pPr>
        <w:spacing w:after="0" w:line="19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Investment in our common stock involves risks. See “Risk Factors” on page 3 of this prospectus.</w:t>
      </w:r>
    </w:p>
    <w:p>
      <w:pPr>
        <w:spacing w:after="0" w:line="256" w:lineRule="exact"/>
        <w:rPr>
          <w:sz w:val="24"/>
          <w:szCs w:val="24"/>
          <w:color w:val="auto"/>
        </w:rPr>
      </w:pPr>
    </w:p>
    <w:p>
      <w:pPr>
        <w:ind w:right="80" w:firstLine="48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October 19,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0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SUMMARY</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RISK FACTORS</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FORWARD-LOOKING STATEMENTS</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BUSINESS</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SELLING SECURITY HOLDERS</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PLAN OF DISTRIBUTION</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LEGAL MATTERS</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EXPERTS</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INCORPORATION OF CERTAIN INFORMATION BY REFERENCE</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870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337"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We incorporate by reference important information into this prospectus. You may obtain the information incorporated by reference without charge by following the instructions under “Where You Can Find Additional Information.” You should carefully read this prospectus as well as additional information described under “Incorporation of Certain Information by Reference,” before deciding to invest in shares of our common stock. All references in this prospectus to “Vringo,” “the Company,” “we,” “us” or “our” mean Vringo, Inc., unless we state otherwise or the context otherwise requires.</w:t>
      </w:r>
    </w:p>
    <w:p>
      <w:pPr>
        <w:spacing w:after="0" w:line="181"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together with any applicable prospectus supplement. We have not authorized anyone to provide you with different information. We are not making an offer to sell these securities in any jurisdiction where the offer is not permitted. The information contained in this prospectus, any applicable prospectus supplement and the documents incorporated by reference herein and therein are accurate only as of their respective dates, regardless of the time of delivery of this prospectus or the time of any sale of our common stock. Our business, financial condition, results of operations and prospects may have changed since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Our video ringtone solutions and other mobile social and video applications, which encompasses a suite of mobile and PC-based tools, enables users to create, download and share video and other social content with ease as part of the normal communication process, and provides our business partners with a consumer-friendly and easy-to-integrate monetization platform.</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48" w:lineRule="exact"/>
        <w:rPr>
          <w:sz w:val="20"/>
          <w:szCs w:val="20"/>
          <w:color w:val="auto"/>
        </w:rPr>
      </w:pPr>
    </w:p>
    <w:p>
      <w:pPr>
        <w:ind w:left="1060" w:right="220" w:hanging="323"/>
        <w:spacing w:after="0" w:line="282" w:lineRule="auto"/>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Vringo 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88" w:lineRule="exact"/>
        <w:rPr>
          <w:rFonts w:ascii="Arial" w:cs="Arial" w:eastAsia="Arial" w:hAnsi="Arial"/>
          <w:sz w:val="18"/>
          <w:szCs w:val="18"/>
          <w:b w:val="1"/>
          <w:bCs w:val="1"/>
          <w:color w:val="auto"/>
        </w:rPr>
      </w:pPr>
    </w:p>
    <w:p>
      <w:pPr>
        <w:ind w:left="1060" w:hanging="323"/>
        <w:spacing w:after="0"/>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52" w:lineRule="exact"/>
        <w:rPr>
          <w:rFonts w:ascii="Arial" w:cs="Arial" w:eastAsia="Arial" w:hAnsi="Arial"/>
          <w:sz w:val="18"/>
          <w:szCs w:val="18"/>
          <w:b w:val="1"/>
          <w:bCs w:val="1"/>
          <w:color w:val="auto"/>
        </w:rPr>
      </w:pPr>
    </w:p>
    <w:p>
      <w:pPr>
        <w:ind w:left="1060" w:right="80" w:hanging="323"/>
        <w:spacing w:after="0" w:line="282" w:lineRule="auto"/>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 with</w:t>
      </w:r>
      <w:r>
        <w:rPr>
          <w:rFonts w:ascii="Arial" w:cs="Arial" w:eastAsia="Arial" w:hAnsi="Arial"/>
          <w:sz w:val="18"/>
          <w:szCs w:val="18"/>
          <w:b w:val="1"/>
          <w:bCs w:val="1"/>
          <w:color w:val="auto"/>
        </w:rPr>
        <w:t xml:space="preserve"> </w:t>
      </w:r>
      <w:r>
        <w:rPr>
          <w:rFonts w:ascii="Arial" w:cs="Arial" w:eastAsia="Arial" w:hAnsi="Arial"/>
          <w:sz w:val="18"/>
          <w:szCs w:val="18"/>
          <w:color w:val="auto"/>
        </w:rPr>
        <w:t>music artists and brands; and</w:t>
      </w:r>
    </w:p>
    <w:p>
      <w:pPr>
        <w:spacing w:after="0" w:line="188" w:lineRule="exact"/>
        <w:rPr>
          <w:rFonts w:ascii="Arial" w:cs="Arial" w:eastAsia="Arial" w:hAnsi="Arial"/>
          <w:sz w:val="18"/>
          <w:szCs w:val="18"/>
          <w:b w:val="1"/>
          <w:bCs w:val="1"/>
          <w:color w:val="auto"/>
        </w:rPr>
      </w:pPr>
    </w:p>
    <w:p>
      <w:pPr>
        <w:ind w:left="1060" w:right="80" w:hanging="323"/>
        <w:spacing w:after="0" w:line="282" w:lineRule="auto"/>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reality television series and stars and vote</w:t>
      </w:r>
      <w:r>
        <w:rPr>
          <w:rFonts w:ascii="Arial" w:cs="Arial" w:eastAsia="Arial" w:hAnsi="Arial"/>
          <w:sz w:val="18"/>
          <w:szCs w:val="18"/>
          <w:b w:val="1"/>
          <w:bCs w:val="1"/>
          <w:color w:val="auto"/>
        </w:rPr>
        <w:t xml:space="preserve"> </w:t>
      </w:r>
      <w:r>
        <w:rPr>
          <w:rFonts w:ascii="Arial" w:cs="Arial" w:eastAsia="Arial" w:hAnsi="Arial"/>
          <w:sz w:val="18"/>
          <w:szCs w:val="18"/>
          <w:color w:val="auto"/>
        </w:rPr>
        <w:t>for contestants.</w:t>
      </w:r>
    </w:p>
    <w:p>
      <w:pPr>
        <w:spacing w:after="0" w:line="193" w:lineRule="exact"/>
        <w:rPr>
          <w:sz w:val="20"/>
          <w:szCs w:val="20"/>
          <w:color w:val="auto"/>
        </w:rPr>
      </w:pPr>
    </w:p>
    <w:p>
      <w:pPr>
        <w:ind w:right="540" w:firstLine="486"/>
        <w:spacing w:after="0" w:line="259" w:lineRule="auto"/>
        <w:rPr>
          <w:sz w:val="20"/>
          <w:szCs w:val="20"/>
          <w:color w:val="auto"/>
        </w:rPr>
      </w:pPr>
      <w:r>
        <w:rPr>
          <w:rFonts w:ascii="Arial" w:cs="Arial" w:eastAsia="Arial" w:hAnsi="Arial"/>
          <w:sz w:val="18"/>
          <w:szCs w:val="18"/>
          <w:color w:val="auto"/>
        </w:rPr>
        <w:t>Over the past year, Vringo developed the three new product platforms in addition to our core Video Ringtone platform. To develop these new platforms, we have leveraged our existing technology, intellectual property and our extensive experience with mobile video, personalization and social applications. As of the second quarter of 2011, these new platforms approached almost 50% of the company’s revenues, and we believe that these new platforms will represent a major component of our business going forward.</w:t>
      </w:r>
    </w:p>
    <w:p>
      <w:pPr>
        <w:spacing w:after="0" w:line="21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were incorporated in January 2006 and are still a development stage company. Since inception through the close of the second quarter 2011, we have generated only $605 thousand in revenues, which includes: $375 thousand from revenue-share subscription services, $100 thousand from one-time setup fees, $50 thousand from Facetones™, $45 thousand from Fan Loyalty application formats, and $30 thousand from Video ReMix platform. We have a history of losses since inception, including a net loss of $9.9 million and $6.1 million for the years ended December 31, 2010 and December 31, 2009, respectively. The continuation of our business is dependent upon us raising additional financing. We believe that current cash levels will be sufficient to support our activities into the first quarter of 2012. The issuance of additional equity securities by us could result in a substantial dilution to our current stockholders. All of our audited consolidated financial statements since inception have contained a going concern reference by our auditors, which means that our auditors have substantial doubt about our ability to continue as a going concern.</w:t>
      </w:r>
    </w:p>
    <w:p>
      <w:pPr>
        <w:spacing w:after="0" w:line="206"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Our video ringtone platform was our initial product focus since inception.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VringFoward™ video ringtone technology allows users to enjoy a rich social experience by sharing video ringtones from our library or which they created.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ind w:firstLine="486"/>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We have been moving to a paid service model together with mobile carriers and other partners around the world. The initial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two of which have been issued to date, and we continue to create new intellectual property.</w:t>
      </w:r>
    </w:p>
    <w:p>
      <w:pPr>
        <w:spacing w:after="0" w:line="192" w:lineRule="exact"/>
        <w:rPr>
          <w:sz w:val="20"/>
          <w:szCs w:val="20"/>
          <w:color w:val="auto"/>
        </w:rPr>
      </w:pPr>
    </w:p>
    <w:p>
      <w:pPr>
        <w:jc w:val="both"/>
        <w:ind w:right="100" w:firstLine="486"/>
        <w:spacing w:after="0" w:line="312" w:lineRule="auto"/>
        <w:rPr>
          <w:sz w:val="20"/>
          <w:szCs w:val="20"/>
          <w:color w:val="auto"/>
        </w:rPr>
      </w:pPr>
      <w:r>
        <w:rPr>
          <w:rFonts w:ascii="Arial" w:cs="Arial" w:eastAsia="Arial" w:hAnsi="Arial"/>
          <w:sz w:val="16"/>
          <w:szCs w:val="16"/>
          <w:color w:val="auto"/>
        </w:rPr>
        <w:t xml:space="preserve">We were incorporated as a Delaware corporation in January 2006. Our principal executive offices are located in New York, New York and we have a subsidiary, Vringo (Israel) Ltd., located in Beit Shemesh, Israel. Our executive offices are located at 44 W. 28th Street, New York, New York 10001 and our telephone number at this location is (646) 525-4319. Our website address is </w:t>
      </w:r>
      <w:r>
        <w:rPr>
          <w:rFonts w:ascii="Arial" w:cs="Arial" w:eastAsia="Arial" w:hAnsi="Arial"/>
          <w:sz w:val="16"/>
          <w:szCs w:val="16"/>
          <w:i w:val="1"/>
          <w:iCs w:val="1"/>
          <w:color w:val="auto"/>
        </w:rPr>
        <w:t>www.vringo.com</w:t>
      </w:r>
      <w:r>
        <w:rPr>
          <w:rFonts w:ascii="Arial" w:cs="Arial" w:eastAsia="Arial" w:hAnsi="Arial"/>
          <w:sz w:val="16"/>
          <w:szCs w:val="16"/>
          <w:color w:val="auto"/>
        </w:rPr>
        <w:t>. The information on our website is not part of this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This prospectus relates to (i) the issuance of 4,784,000 shares of common stock upon the exercise of the IPO warrants and (ii) the resale of 3,457,328 shares of our common stock issued or issuable in connection with the private placement consummated in December 2009, or the Private Placement, by the selling security holders identified in this prospectus, including their transferees, pledgees, donees or successors.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shares of common stock being registered for resale by the selling security holders consist of the following:</w:t>
      </w:r>
    </w:p>
    <w:p>
      <w:pPr>
        <w:spacing w:after="0" w:line="252" w:lineRule="exact"/>
        <w:rPr>
          <w:sz w:val="20"/>
          <w:szCs w:val="20"/>
          <w:color w:val="auto"/>
        </w:rPr>
      </w:pPr>
    </w:p>
    <w:p>
      <w:pPr>
        <w:ind w:left="1800" w:right="260" w:hanging="65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864,332 shares of common stock that we issued upon the automatic conversion of the Bridge Notes upon the closing of our initial public offering in June 2010;</w:t>
      </w:r>
    </w:p>
    <w:p>
      <w:pPr>
        <w:spacing w:after="0" w:line="197" w:lineRule="exact"/>
        <w:rPr>
          <w:rFonts w:ascii="Arial" w:cs="Arial" w:eastAsia="Arial" w:hAnsi="Arial"/>
          <w:sz w:val="18"/>
          <w:szCs w:val="18"/>
          <w:color w:val="auto"/>
        </w:rPr>
      </w:pPr>
    </w:p>
    <w:p>
      <w:pPr>
        <w:ind w:left="1800" w:right="560" w:hanging="65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1,728,664 shares of common stock issuable upon the exercise of warrants that we issued upon the closing of our initial public offering; and</w:t>
      </w:r>
    </w:p>
    <w:p>
      <w:pPr>
        <w:spacing w:after="0" w:line="197" w:lineRule="exact"/>
        <w:rPr>
          <w:rFonts w:ascii="Arial" w:cs="Arial" w:eastAsia="Arial" w:hAnsi="Arial"/>
          <w:sz w:val="18"/>
          <w:szCs w:val="18"/>
          <w:color w:val="auto"/>
        </w:rPr>
      </w:pPr>
    </w:p>
    <w:p>
      <w:pPr>
        <w:ind w:left="1800" w:right="20" w:hanging="65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864,332 shares of common stock issuable upon the exercise of special warrants that we issued in the Private Placement to purchasers of the Bridge Notes.</w:t>
      </w:r>
    </w:p>
    <w:p>
      <w:pPr>
        <w:spacing w:after="0" w:line="197"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We have registered the offer and sale of these shares to satisfy registration rights we granted in connection with the Private Placement. We will not receive any proceeds from the sale of common stock by the selling security holders, other than as a result of the exercise of warrants held by the selling security holders for cash.</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 The risks and uncertainties we describe are not the only ones facing us. Additional risks not presently known to us or that we currently deem immaterial may also impair our business, financial condition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56"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For the years ended December 31, 2010 and 2009, we incurred a net loss of approximately $9.9 million and $6.1 million, respectively, and used cash in operations of approximately $6.4 million and $4.9 million, respectively, in connection with the development of our software for mobile phones and the operations of our subsidiary. As of December 31, 2010, we had cash and cash equivalents of approximately $5.4 million and an accumulated deficit of approximately $30.1 million. For the six months ended June 30, 2011, we incurred a net loss of approximately $2.6 million. As of June 30, 2011, we had a cash balance of $0.4 million (excluding restricted cash equivalents of $1.1 million) an accumulated deficit of approximately $32.7 million.</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our net losses and negative cash flow to continue for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210"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6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continuation of our business is dependent upon us raising additional financing. We believe that current cash levels will be sufficient to support our activity into the first quarter of 2012.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2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 resources, management and other infrastructure and support mechanisms. To manage the anticipated growth of our operations, we will be required to:</w:t>
      </w:r>
    </w:p>
    <w:p>
      <w:pPr>
        <w:spacing w:after="0" w:line="208"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existing and implement new operational, financial and management information controls, reporting systems and procedures;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left="820" w:right="88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(including possible growth by acquisition); and</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19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2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identify or consummate any additional acquisitions.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intend to consider acquisition opportunities to enable us to grow. However, there is no assurance that any such opportunities may arise, or that any we will be able to consummate any opportunities we identify. Furthermore, we may not have, and may be unable to obtain, sufficient financing for certain opportunities. If we are unable to identify or consummate additional acquisitions, we may be unable to grow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5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22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model has recently shifted towards our Facetones™ application, which creates automated video slideshow using friends' photos from social media web sites, primarily from Facebook®, the world's leading social media site. In the event Facebook® prohibits or restricts the ability of our application to access photos on its site, our business, financial condition, operating results and projected growth could be harmed.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trademark application for our Facetones™ trademark application is not granted, our revenue from this application may be adversely affected.</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submitted a trademark application for our Facetones™ application to the U.S. Patent and Trademark Office (USPTO). Facebook® was recently granted an extension from the USPTO to oppose the trademark application. If Facebook® or any other party successfully opposes our Facetones™ trademark application, or if our trademark application is rejected for any other reason, we will need to re-brand our application, which may have a negative impact on our revenue from this application.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forms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ind w:right="240"/>
        <w:spacing w:after="0" w:line="282"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While we are building the necessary infrastructure for compliance with the foregoing rules and regulations, we do not presently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For our fiscal year ended December 31, 2010, we identified a material weakness relating to our internal controls primarily as a result of our failing to maintain sufficient policies in connection with financial reporting and segregation of duties. While we are in the process of remediating these weaknesses, there is no assurance that we will be able to remediate these weaknesses or that we will not identify any additional weaknesses in our internal controls.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25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possibility of extensive delays in the patent issuance process could effectively reduce the term during which a marketed product is protected by patents.</w:t>
      </w:r>
    </w:p>
    <w:p>
      <w:pPr>
        <w:spacing w:after="0" w:line="2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9" w:name="page10"/>
    <w:bookmarkEnd w:id="9"/>
    <w:p>
      <w:pPr>
        <w:ind w:right="360"/>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9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20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20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exercise of a substantial number of warrants and options by our security holders may have an adverse effect on the market price of our common stock.</w:t>
      </w:r>
    </w:p>
    <w:p>
      <w:pPr>
        <w:spacing w:after="0" w:line="1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Should our outstanding warrants be exercised, there will be an additional 7,452,660 shares of common stock eligible for trading in the public market. In addition, we have options to purchase 2,355,220 shares of common stock, granted as of the reporting date, to our management, employees, directors and consultants.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October 1, 2011, is $4.35 per share.</w:t>
      </w:r>
    </w:p>
    <w:p>
      <w:pPr>
        <w:spacing w:after="0" w:line="16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9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6,163,196 shares of common stock issued and outstanding, excluding shares of common stock issuable upon exercise of warrants or options. As shares saleable under Rule 144 are sold, the market price of our stock could drop significantly if the holders of restricted shares sell them or are perceived by the market as intending to sell them. This decline in our stock price could occur even if our business is otherwise performing well.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ind w:right="220"/>
        <w:spacing w:after="0" w:line="266" w:lineRule="auto"/>
        <w:rPr>
          <w:sz w:val="20"/>
          <w:szCs w:val="20"/>
          <w:color w:val="auto"/>
        </w:rPr>
      </w:pPr>
      <w:r>
        <w:rPr>
          <w:rFonts w:ascii="Arial" w:cs="Arial" w:eastAsia="Arial" w:hAnsi="Arial"/>
          <w:sz w:val="18"/>
          <w:szCs w:val="18"/>
          <w:b w:val="1"/>
          <w:bCs w:val="1"/>
          <w:color w:val="auto"/>
        </w:rPr>
        <w:t>If we are unable to make progress with respect to our plan to regain compliance with the minimum stockholders’ equity requirements imposed by the NYSE Amex within the required timeframes, our common stock could be delisted from trading, which could limit investors’ ability to make transactions in our common stock and subject us to additional trading restrictions.</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common stock and warrants are listed on the NYSE Amex, a national securities exchange, which imposes continued listing requirements with respect to listed shares. In May 2011, we received a letter from the NYSE Amex, stating that we are not in compliance with Section 1003(a)(iv) of the NYSE Amex Company Guide because we have sustained losses which are so substantial in relation to its overall operations or our existing financial resources, or our financial condition has become so impaired that it appears questionable, in the opinion of the NYSE Amex, as to whether we will be able to continue operations and/or meet its obligations as they mature.</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23, 2011, we submitted a plan to the NYSE Amex addressing how we intend to regain compliance with the continued listing standards by September 30, 2011. Based on the information in our compliance plan and related discussions with exchange staff, the NYSE Amex determined that we had made a reasonable demonstration of our ability to regain compliance with Section 1003(a)(iv) of the NYSE Amex Company Guide by September 30, 2011 (subsequently extended to December 31, 2011) and that it would continue the listing of our common stock subject to conditions. The conditions include providing updates to the NYSE Amex staff as appropriate or upon request, but no later than at each quarter completion concurrent with our filing with the Securities and Exchange Commission. If we do not show progress consistent with our compliance plan, or we do not meet the continued listing standards by December 31, 2011, the NYSE Amex could initiate delisting proceedings. While the NYSE has not initiated delisting proceedings, there is no assurance that it will not do so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52" w:lineRule="exact"/>
        <w:rPr>
          <w:sz w:val="20"/>
          <w:szCs w:val="20"/>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52" w:lineRule="exact"/>
        <w:rPr>
          <w:rFonts w:ascii="Arial" w:cs="Arial" w:eastAsia="Arial" w:hAnsi="Arial"/>
          <w:sz w:val="18"/>
          <w:szCs w:val="18"/>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52" w:lineRule="exact"/>
        <w:rPr>
          <w:rFonts w:ascii="Arial" w:cs="Arial" w:eastAsia="Arial" w:hAnsi="Arial"/>
          <w:sz w:val="18"/>
          <w:szCs w:val="18"/>
          <w:color w:val="auto"/>
        </w:rPr>
      </w:pPr>
    </w:p>
    <w:p>
      <w:pPr>
        <w:ind w:left="660" w:right="40" w:hanging="1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97" w:lineRule="exact"/>
        <w:rPr>
          <w:rFonts w:ascii="Arial" w:cs="Arial" w:eastAsia="Arial" w:hAnsi="Arial"/>
          <w:sz w:val="18"/>
          <w:szCs w:val="18"/>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52" w:lineRule="exact"/>
        <w:rPr>
          <w:rFonts w:ascii="Arial" w:cs="Arial" w:eastAsia="Arial" w:hAnsi="Arial"/>
          <w:sz w:val="18"/>
          <w:szCs w:val="18"/>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19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enforce covenants not-to-compete under current Israeli law that might result in added competition for our products.</w:t>
      </w:r>
    </w:p>
    <w:p>
      <w:pPr>
        <w:spacing w:after="0" w:line="26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Our operations could be disrupted as a result of the obligation of certain of our personnel residing in Israel to perform military service.</w:t>
      </w:r>
    </w:p>
    <w:p>
      <w:pPr>
        <w:spacing w:after="0" w:line="2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1"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Because we expect a substantial portion of our revenues will be generated in dollars and euros, while a significant portion of our expenses is incurred in Israeli currency, our revenue may be reduced due to inflation in Israel and currency exchange rate fluctuations.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1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This prospectus and the documents incorporated herein by reference contain forward-looking statements within the meaning of the Private Securities Litigation Reform Act of 1995.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the use of words such as “may,” “could,” “expect,” “intend,” “plan,” “seek,” “anticipate,” “believe,” “estimate,” “predict,” “potential,” “continue,” or the negative of these terms or other comparable terminology. You should not place undue reliance on forward-looking statements, since they involve known and unknown risks, uncertainties and other factors which are, in some cases, beyond our control and which could materially affect actual results, levels of activity, performance or achievements. These risks, uncertainties and other factors include, but are not limited to, those referenced under “Risk Factors” above and in any applicable prospectus supplement and any documents incorporated by reference herein or therein.</w:t>
      </w:r>
    </w:p>
    <w:p>
      <w:pPr>
        <w:spacing w:after="0" w:line="194" w:lineRule="exact"/>
        <w:rPr>
          <w:sz w:val="20"/>
          <w:szCs w:val="20"/>
          <w:color w:val="auto"/>
        </w:rPr>
      </w:pPr>
    </w:p>
    <w:p>
      <w:pPr>
        <w:jc w:val="both"/>
        <w:ind w:right="40" w:firstLine="486"/>
        <w:spacing w:after="0" w:line="297" w:lineRule="auto"/>
        <w:rPr>
          <w:sz w:val="20"/>
          <w:szCs w:val="20"/>
          <w:color w:val="auto"/>
        </w:rPr>
      </w:pPr>
      <w:r>
        <w:rPr>
          <w:rFonts w:ascii="Arial" w:cs="Arial" w:eastAsia="Arial" w:hAnsi="Arial"/>
          <w:sz w:val="16"/>
          <w:szCs w:val="16"/>
          <w:color w:val="auto"/>
        </w:rPr>
        <w:t>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business, financial condition or results of operations. Except as required by law, we undertake no obligation to publicly revise our forward-looking statements to reflect events or circumstances that arise after the date of this prospectus or any applicable prospectus supplement or the respective dates of documents incorporated herein or therein that include forward-looking statements.</w:t>
      </w: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Our video ringtone solutions and other mobile social and video applications, which encompasses a suite of mobile and PC-based tools, enables users to create, download and share video and other social content with ease as part of the normal communication process, and provides our business partners with a consumer-friendly and easy-to-integrate monetization platform.</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48" w:lineRule="exact"/>
        <w:rPr>
          <w:sz w:val="20"/>
          <w:szCs w:val="20"/>
          <w:color w:val="auto"/>
        </w:rPr>
      </w:pPr>
    </w:p>
    <w:p>
      <w:pPr>
        <w:ind w:left="1220" w:right="60" w:hanging="321"/>
        <w:spacing w:after="0" w:line="282" w:lineRule="auto"/>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Vringo 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88" w:lineRule="exact"/>
        <w:rPr>
          <w:rFonts w:ascii="Arial" w:cs="Arial" w:eastAsia="Arial" w:hAnsi="Arial"/>
          <w:sz w:val="18"/>
          <w:szCs w:val="18"/>
          <w:b w:val="1"/>
          <w:bCs w:val="1"/>
          <w:color w:val="auto"/>
        </w:rPr>
      </w:pPr>
    </w:p>
    <w:p>
      <w:pPr>
        <w:ind w:left="1220" w:hanging="321"/>
        <w:spacing w:after="0"/>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52" w:lineRule="exact"/>
        <w:rPr>
          <w:rFonts w:ascii="Arial" w:cs="Arial" w:eastAsia="Arial" w:hAnsi="Arial"/>
          <w:sz w:val="18"/>
          <w:szCs w:val="18"/>
          <w:b w:val="1"/>
          <w:bCs w:val="1"/>
          <w:color w:val="auto"/>
        </w:rPr>
      </w:pPr>
    </w:p>
    <w:p>
      <w:pPr>
        <w:ind w:left="1220" w:right="280" w:hanging="321"/>
        <w:spacing w:after="0" w:line="282" w:lineRule="auto"/>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88" w:lineRule="exact"/>
        <w:rPr>
          <w:rFonts w:ascii="Arial" w:cs="Arial" w:eastAsia="Arial" w:hAnsi="Arial"/>
          <w:sz w:val="18"/>
          <w:szCs w:val="18"/>
          <w:b w:val="1"/>
          <w:bCs w:val="1"/>
          <w:color w:val="auto"/>
        </w:rPr>
      </w:pPr>
    </w:p>
    <w:p>
      <w:pPr>
        <w:ind w:left="1220" w:right="260" w:hanging="321"/>
        <w:spacing w:after="0" w:line="282" w:lineRule="auto"/>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reality television series and stars and</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contestants.</w:t>
      </w:r>
    </w:p>
    <w:p>
      <w:pPr>
        <w:spacing w:after="0" w:line="193" w:lineRule="exact"/>
        <w:rPr>
          <w:sz w:val="20"/>
          <w:szCs w:val="20"/>
          <w:color w:val="auto"/>
        </w:rPr>
      </w:pPr>
    </w:p>
    <w:p>
      <w:pPr>
        <w:ind w:right="540" w:firstLine="486"/>
        <w:spacing w:after="0" w:line="259" w:lineRule="auto"/>
        <w:rPr>
          <w:sz w:val="20"/>
          <w:szCs w:val="20"/>
          <w:color w:val="auto"/>
        </w:rPr>
      </w:pPr>
      <w:r>
        <w:rPr>
          <w:rFonts w:ascii="Arial" w:cs="Arial" w:eastAsia="Arial" w:hAnsi="Arial"/>
          <w:sz w:val="18"/>
          <w:szCs w:val="18"/>
          <w:color w:val="auto"/>
        </w:rPr>
        <w:t>Over the past year, Vringo developed the three new product platforms in addition to our core Video Ringtone platform. To develop these new platforms, we have leveraged our existing technology, intellectual property and our extensive experience with mobile video, personalization and social applications. As of the second quarter of 2011, these new platforms approached almost 50% of the company’s revenues, and we believe that these new platforms will represent a major component of our business going forward.</w:t>
      </w:r>
    </w:p>
    <w:p>
      <w:pPr>
        <w:spacing w:after="0" w:line="21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were incorporated in January 2006 and are still a development stage company. Since inception through the close of the second quarter 2011, we have generated only $605 thousand in revenues, which includes: $375 thousand from revenue-share subscription services, $100 thousand from one-time setup fees, $50 thousand from Facetones™, $45 thousand from Fan Loyalty application formats, and $30 thousand from Video ReMix platform. We have a history of losses since inception, including a net loss of $9.9 million and $6.1 million for the years ended December 31, 2010 and December 31, 2009, respectively. The continuation of our business is dependent upon us raising additional financing. We believe that current cash levels will be sufficient to support our activities into the first quarter of 2012. The issuance of additional equity securities by us could result in a substantial dilution to our current stockholders. All of our audited consolidated financial statements since inception have contained a going concern reference by our auditors, which means that our auditors have substantial doubt about our ability to continue as a going concern.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 w:name="page15"/>
    <w:bookmarkEnd w:id="14"/>
    <w:p>
      <w:pPr>
        <w:ind w:right="80" w:firstLine="486"/>
        <w:spacing w:after="0" w:line="288" w:lineRule="auto"/>
        <w:rPr>
          <w:sz w:val="20"/>
          <w:szCs w:val="20"/>
          <w:color w:val="auto"/>
        </w:rPr>
      </w:pPr>
      <w:r>
        <w:rPr>
          <w:rFonts w:ascii="Arial" w:cs="Arial" w:eastAsia="Arial" w:hAnsi="Arial"/>
          <w:sz w:val="16"/>
          <w:szCs w:val="16"/>
          <w:color w:val="auto"/>
        </w:rPr>
        <w:t>Our video ringtone platform was our initial product focus since inception.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VringFoward™ video ringtone technology allows users to enjoy a rich social experience by sharing video ringtones from our library or which they created.</w:t>
      </w:r>
    </w:p>
    <w:p>
      <w:pPr>
        <w:spacing w:after="0" w:line="19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We have been moving to a paid service model together with mobile carriers and other partners around the world. The initial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two of which have been issued to date, and we continue to create new intellectual property.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6, 2011, we have commercial video ringtone services with the following six partners:</w:t>
      </w:r>
    </w:p>
    <w:p>
      <w:pPr>
        <w:spacing w:after="0" w:line="252"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260 thousand subscribers to our paid service and an additional 17 thousand subscribers on a free trial basis (launched in September 2009);</w:t>
      </w:r>
    </w:p>
    <w:p>
      <w:pPr>
        <w:spacing w:after="0" w:line="197"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22 thousand subscribers to our paid service, and which has more than 94.0 million subscribers worldwide (launched in January 2010);</w:t>
      </w:r>
    </w:p>
    <w:p>
      <w:pPr>
        <w:spacing w:after="0" w:line="208"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Everything Everywhere Limited (EEL), a mobile carrier with almost 30.0 million subscribers in the United Kingdom. Our video ringtone platform launched was with Orange UK, a large mobile communications company and subsidiary of EEL, with 16.0 million subscribers and we have 12 thousand subscribers to our paid service (launched in February 2011);</w:t>
      </w:r>
    </w:p>
    <w:p>
      <w:pPr>
        <w:spacing w:after="0" w:line="20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Starhub, a mobile carrier with 2.0 million subscribers in Singapore (initially launched in February 2011 and anticipated to be relaunched in the fourth quarter 2011);</w:t>
      </w:r>
    </w:p>
    <w:p>
      <w:pPr>
        <w:spacing w:after="0" w:line="19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RTL in Belgium, part of the Bertelsman RTL Television network, has offered together with us, a subscription service on all three Belgian mobile operators (with a combined subscriber base of 1 million) that includes RTL content (launched in June 2010 with limited subscribers due to regulatory limitations introduced on mobile services); and</w:t>
      </w:r>
    </w:p>
    <w:p>
      <w:pPr>
        <w:spacing w:after="0" w:line="208"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Hungama a content and mobile services aggregator in India. The service with Hungama is being offered to customers of 15 different mobile carriers in India, and we have 23 thousand subscribers to our paid service.</w:t>
      </w:r>
    </w:p>
    <w:p>
      <w:pPr>
        <w:spacing w:after="0" w:line="19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addition, we have recently entered into an agreement with Celcom Axiata Berhad in Malaysia, a mobile carrier with 11 million subscribers, to launch services in October 2011. Celcom is one of the largest mobile telecommunications operators in Malaysia with the widest national 2G and 3G coverage in the country and over 11 million subscribers. Celcom is a Vodafone partner and is part of the Axiata Group of Companies, one of the world’s largest telecommunications companies with more than 160 million customers across 10 Asian markets.</w:t>
      </w:r>
    </w:p>
    <w:p>
      <w:pPr>
        <w:spacing w:after="0" w:line="21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97"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According to a recent study by the United Nations, there were 5 billion global mobile subscribers in 2010. As of October 1, 2011, our partners have an aggregate of approximately 700 million subscribers, of which 315,355 are paid subscribers to our service, and another 19,777 subscribers have enrolled on a free-trial basis. This compares to 85,522 paid subscribers across all of our launches as of September 30, 2010, an increase of over 269%.</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ind w:right="440" w:firstLine="486"/>
        <w:spacing w:after="0" w:line="297" w:lineRule="auto"/>
        <w:rPr>
          <w:sz w:val="20"/>
          <w:szCs w:val="20"/>
          <w:color w:val="auto"/>
        </w:rPr>
      </w:pPr>
      <w:r>
        <w:rPr>
          <w:rFonts w:ascii="Arial" w:cs="Arial" w:eastAsia="Arial" w:hAnsi="Arial"/>
          <w:sz w:val="16"/>
          <w:szCs w:val="16"/>
          <w:color w:val="auto"/>
        </w:rPr>
        <w:t>We have recently launched our new Facetones™ social ringtone platform. This platform generates social visual ringtone content automatically by aggregating and displaying your friends’ pictures from social networks and then displaying as a video ringtone, as well as a video ringback tone. These ringtones do not replace, but rather enhance, standard ringtone and ringback tones with relevant, current social content that is visually displayed. The Facetones™ product is available for mobile phones with Android and the Symbian S3 operating systems. We are working on an iPhone version of this product as well as planning for other versions for other operating systems such as Windows Phone and feature phones such as the S40 Nokia platform.</w:t>
      </w:r>
    </w:p>
    <w:p>
      <w:pPr>
        <w:spacing w:after="0" w:line="185"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Facetones™ is experiencing fast growth both in consumer downloads and in the number of commercial deals with major partners already announced. The product is being made available to consumers in several different configurations and with a variety of distribution and monetization methods. As of October 5, 2011, the Facetones™ free ad-supported version had more than 200,000 downloads and is generating over 4,500,000 requests in mobile ad inventory on a weekly basis. These results have been achieved in approximately six weeks of active promotion of the product.</w:t>
      </w:r>
    </w:p>
    <w:p>
      <w:pPr>
        <w:spacing w:after="0" w:line="198"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Facetones™ is offered direct to consumers via leading mobile application stores and download sites where both for purchase versions (at prices ranging from a few to several dollars) as well as ad-supported free versions are available. We have announced placement deals for the app with GetJar, the world’s largest independent app store, and with Mobango. In July 2011, we launched Facetones™ with BlueVia, the new global software developer platform of Telefonica, the largest mobile operator in the Spanish speaking world, and fourth largest globally. Facetones™ will be initially available on Telefonica's application swetore (Mstore) in several global markets. In August 2011, we launched Facetones™ in Japan for Android users through the docomo market, a mobile internet portal operated by NTT DOCOMO, INC., the largest mobile phone operator in Japan, with more than 50 million users. In October 2011, Verizon, the largest mobile operator in the US, announced the launch of Facetones™ as a subscription service for Verizon subscribers for $0.99 a month. We continue to pursue business for Facetones™ together with handset manufacturers. A preliminary deal with Nokia was concluded to support development services of the Facetones™ application for the S3 platform and was recently launched on the Ovi Store.</w:t>
      </w:r>
    </w:p>
    <w:p>
      <w:pPr>
        <w:spacing w:after="0" w:line="20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first quarter of 2011, we launched our new Video Remix platform that allows users to download an application for iOS (iPhone, iPad, iPod) or Android phones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220"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color w:val="auto"/>
        </w:rPr>
        <w:t>The initial Video Remix application “Booty Symphony” was developed with Nappy Boy Enterprises, the music production company of the artist T-Pain. Booty Symphony was released in an ad-supported free Android version as well as paid versions for iOS and Android. Our newest application on our Video ReMix platform was delivered in the second quarter of 2011 to partner Corso Communications and its client Heineken. This sponsored version highlighted music and video of the group Dirty Vegas, and was used by Heineken “brand ambassadors” at the Coachella Music festival. Vringo continues to seek new business for this platform with other recording artists and sponsored by additional major brands.</w:t>
      </w:r>
    </w:p>
    <w:p>
      <w:pPr>
        <w:spacing w:after="0" w:line="20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the second quarter of 2011, we launched our Fan Loyalty platform by co-branding our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features exclusive content and fully integrated live voting capabilities for the blockbuster "Star Academy" reality music show, which reaches over 300 million viewers and is available in over 10 countries in the region.</w:t>
      </w:r>
    </w:p>
    <w:p>
      <w:pPr>
        <w:spacing w:after="0" w:line="220"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The Fan Loyalty application for Star Academy was made available exclusively for download on the Ovi Store, and had more than 200,000 downloads during the season. Vringo is in discussions with several other entertainment groups regarding potential deals for this Fan Loyalty platform.</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right="180" w:firstLine="486"/>
        <w:spacing w:after="0" w:line="277" w:lineRule="auto"/>
        <w:rPr>
          <w:sz w:val="20"/>
          <w:szCs w:val="20"/>
          <w:color w:val="auto"/>
        </w:rPr>
      </w:pPr>
      <w:r>
        <w:rPr>
          <w:rFonts w:ascii="Arial" w:cs="Arial" w:eastAsia="Arial" w:hAnsi="Arial"/>
          <w:sz w:val="18"/>
          <w:szCs w:val="18"/>
          <w:color w:val="auto"/>
        </w:rPr>
        <w:t>We were incorporated as a Delaware corporation in January 2006. Our principal executive offices are located in New York, New York and we have a subsidiary, Vringo (Israel) Ltd., located in Beit Shemesh, Israel.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Mobile Video Market</w:t>
      </w:r>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i w:val="1"/>
          <w:iCs w:val="1"/>
          <w:color w:val="auto"/>
        </w:rPr>
        <w:t xml:space="preserve">Mobile video has arrived. </w:t>
      </w:r>
      <w:r>
        <w:rPr>
          <w:rFonts w:ascii="Arial" w:cs="Arial" w:eastAsia="Arial" w:hAnsi="Arial"/>
          <w:sz w:val="16"/>
          <w:szCs w:val="16"/>
          <w:color w:val="auto"/>
        </w:rPr>
        <w:t>Improved handset technology and the availability of high speed data networks have spurred tremendous growth in mobile</w:t>
      </w:r>
      <w:r>
        <w:rPr>
          <w:rFonts w:ascii="Arial" w:cs="Arial" w:eastAsia="Arial" w:hAnsi="Arial"/>
          <w:sz w:val="16"/>
          <w:szCs w:val="16"/>
          <w:i w:val="1"/>
          <w:iCs w:val="1"/>
          <w:color w:val="auto"/>
        </w:rPr>
        <w:t xml:space="preserve"> </w:t>
      </w:r>
      <w:r>
        <w:rPr>
          <w:rFonts w:ascii="Arial" w:cs="Arial" w:eastAsia="Arial" w:hAnsi="Arial"/>
          <w:sz w:val="16"/>
          <w:szCs w:val="16"/>
          <w:color w:val="auto"/>
        </w:rPr>
        <w:t>video consumption and revenues. According to Pyramid Research, the mobile video market will grow to 534.0 million global subscribers in 2014, representing $16 billion in revenues in the United States alone. According to the Yankee Group, mobile video services will drive $24 billion in revenue to mobile operators worldwide by 2014. According to Cisco, mobile video data usage is expected to grow at a 108% Compound Annual Growth Rate from 2009</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2014. We believe video services of all kinds will proliferate including video calling and conferencing, Interactive Video and Voice Response, video mail, video ringtones and video ringback tones.</w:t>
      </w:r>
    </w:p>
    <w:p>
      <w:pPr>
        <w:spacing w:after="0" w:line="21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The Ringtone Market evolves to Video. </w:t>
      </w:r>
      <w:r>
        <w:rPr>
          <w:rFonts w:ascii="Arial" w:cs="Arial" w:eastAsia="Arial" w:hAnsi="Arial"/>
          <w:sz w:val="18"/>
          <w:szCs w:val="18"/>
          <w:color w:val="auto"/>
        </w:rPr>
        <w:t>Many mobile phone users choose to personalize their mobile phone by changing the standard manufacturer’s</w:t>
      </w:r>
      <w:r>
        <w:rPr>
          <w:rFonts w:ascii="Arial" w:cs="Arial" w:eastAsia="Arial" w:hAnsi="Arial"/>
          <w:sz w:val="18"/>
          <w:szCs w:val="18"/>
          <w:i w:val="1"/>
          <w:iCs w:val="1"/>
          <w:color w:val="auto"/>
        </w:rPr>
        <w:t xml:space="preserve"> </w:t>
      </w:r>
      <w:r>
        <w:rPr>
          <w:rFonts w:ascii="Arial" w:cs="Arial" w:eastAsia="Arial" w:hAnsi="Arial"/>
          <w:sz w:val="18"/>
          <w:szCs w:val="18"/>
          <w:color w:val="auto"/>
        </w:rPr>
        <w:t>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21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21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reach $4.7 billion in 2012. We anticipate that the ringback market will also evolve to include video, and we intend to play a role in this evolution as the market demonstrates growing acceptance of social ringtone behavior.</w:t>
      </w:r>
    </w:p>
    <w:p>
      <w:pPr>
        <w:spacing w:after="0" w:line="205"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Overall, the ringtone business has seen little innovation in recent years and most analysts actually have noted its decline. We believe it is ready for the next evolution of products and services. Our video ringtone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 following additional market factors and trends will also contribute to the growth of our business in the near future:</w:t>
      </w:r>
    </w:p>
    <w:p>
      <w:pPr>
        <w:spacing w:after="0" w:line="2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 xml:space="preserve">Mobile social networking is growing exponentially. </w:t>
      </w:r>
      <w:r>
        <w:rPr>
          <w:rFonts w:ascii="Arial" w:cs="Arial" w:eastAsia="Arial" w:hAnsi="Arial"/>
          <w:sz w:val="18"/>
          <w:szCs w:val="18"/>
          <w:color w:val="auto"/>
        </w:rPr>
        <w:t>Mobile phone users are increasingly engaging in social networking on their phones, using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Facebook® and Twitter. The commercial success of ringback tones demonstrates that users want a social experience as part of their ringtone experience. According to Juniper Research, global revenues for mobile social networking and user-generated content will rocket to $11.8 billion in 2013. Our platform is a subset of mobile social networking and user-generated content since our VringFoward™ video ringtone technology allows users to enjoy a rich social experience by sharing video ringtones from our library or which they created. Our Facetones™ product allows relevant social network picture content to automatically play each time a user receives or makes a phone call.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7" w:name="page18"/>
    <w:bookmarkEnd w:id="17"/>
    <w:p>
      <w:pPr>
        <w:ind w:right="240" w:firstLine="486"/>
        <w:spacing w:after="0" w:line="257"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Furthermore, we believe licensed content may only captures a fraction of the content users are interested in because of the advances in technology that facilitate the creation of user-generated content. Our easy-to-use video ringtone platform allows users to seamlessly create, edit and share their own user-generated video ringtones. Our Video ReMix platform allows users to add their own video clips and mix them together with artist and branded content in a unique and rich form of user generated mobile video content.</w:t>
      </w:r>
    </w:p>
    <w:p>
      <w:pPr>
        <w:spacing w:after="0" w:line="215" w:lineRule="exact"/>
        <w:rPr>
          <w:sz w:val="20"/>
          <w:szCs w:val="20"/>
          <w:color w:val="auto"/>
        </w:rPr>
      </w:pPr>
    </w:p>
    <w:p>
      <w:pPr>
        <w:ind w:right="120" w:firstLine="486"/>
        <w:spacing w:after="0" w:line="274"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wireless 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The success of the App Store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400 handsets, and which provide users with a much richer experience than can be achieved via WAP.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Platforms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offer four different product Platforms:</w:t>
      </w:r>
    </w:p>
    <w:p>
      <w:pPr>
        <w:spacing w:after="0" w:line="25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Vringo Video Ringtone Service Platform</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Facetones™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Vringo Video ReMix Platform</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Vringo Fan Loyalty</w:t>
      </w:r>
    </w:p>
    <w:p>
      <w:pPr>
        <w:spacing w:after="0" w:line="252"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Vringo Video Ringtone Service Platform: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video ringtone service product platform consists of four primary components:</w:t>
      </w:r>
    </w:p>
    <w:p>
      <w:pPr>
        <w:spacing w:after="0" w:line="248" w:lineRule="exact"/>
        <w:rPr>
          <w:sz w:val="20"/>
          <w:szCs w:val="20"/>
          <w:color w:val="auto"/>
        </w:rPr>
      </w:pPr>
    </w:p>
    <w:p>
      <w:pPr>
        <w:ind w:left="920" w:right="460" w:hanging="480"/>
        <w:spacing w:after="0" w:line="282" w:lineRule="auto"/>
        <w:tabs>
          <w:tab w:leader="none" w:pos="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w:t>
      </w:r>
      <w:r>
        <w:rPr>
          <w:rFonts w:ascii="Arial" w:cs="Arial" w:eastAsia="Arial" w:hAnsi="Arial"/>
          <w:sz w:val="18"/>
          <w:szCs w:val="18"/>
          <w:b w:val="1"/>
          <w:bCs w:val="1"/>
          <w:color w:val="auto"/>
        </w:rPr>
        <w:t xml:space="preserve"> </w:t>
      </w:r>
      <w:r>
        <w:rPr>
          <w:rFonts w:ascii="Arial" w:cs="Arial" w:eastAsia="Arial" w:hAnsi="Arial"/>
          <w:sz w:val="18"/>
          <w:szCs w:val="18"/>
          <w:color w:val="auto"/>
        </w:rPr>
        <w:t>ringtone experience. The application includes many features, such as:</w:t>
      </w:r>
    </w:p>
    <w:p>
      <w:pPr>
        <w:spacing w:after="0" w:line="192" w:lineRule="exact"/>
        <w:rPr>
          <w:rFonts w:ascii="Arial" w:cs="Arial" w:eastAsia="Arial" w:hAnsi="Arial"/>
          <w:sz w:val="18"/>
          <w:szCs w:val="18"/>
          <w:b w:val="1"/>
          <w:bCs w:val="1"/>
          <w:color w:val="auto"/>
        </w:rPr>
      </w:pPr>
    </w:p>
    <w:p>
      <w:pPr>
        <w:ind w:left="1760" w:hanging="334"/>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252" w:lineRule="exact"/>
        <w:rPr>
          <w:rFonts w:ascii="Arial" w:cs="Arial" w:eastAsia="Arial" w:hAnsi="Arial"/>
          <w:sz w:val="18"/>
          <w:szCs w:val="18"/>
          <w:color w:val="auto"/>
        </w:rPr>
      </w:pPr>
    </w:p>
    <w:p>
      <w:pPr>
        <w:ind w:left="1760" w:right="280" w:hanging="334"/>
        <w:spacing w:after="0" w:line="277" w:lineRule="auto"/>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197" w:lineRule="exact"/>
        <w:rPr>
          <w:rFonts w:ascii="Arial" w:cs="Arial" w:eastAsia="Arial" w:hAnsi="Arial"/>
          <w:sz w:val="18"/>
          <w:szCs w:val="18"/>
          <w:color w:val="auto"/>
        </w:rPr>
      </w:pPr>
    </w:p>
    <w:p>
      <w:pPr>
        <w:ind w:left="1760" w:hanging="334"/>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252" w:lineRule="exact"/>
        <w:rPr>
          <w:rFonts w:ascii="Arial" w:cs="Arial" w:eastAsia="Arial" w:hAnsi="Arial"/>
          <w:sz w:val="18"/>
          <w:szCs w:val="18"/>
          <w:color w:val="auto"/>
        </w:rPr>
      </w:pPr>
    </w:p>
    <w:p>
      <w:pPr>
        <w:ind w:left="1760" w:right="140" w:hanging="334"/>
        <w:spacing w:after="0" w:line="264" w:lineRule="auto"/>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208" w:lineRule="exact"/>
        <w:rPr>
          <w:rFonts w:ascii="Arial" w:cs="Arial" w:eastAsia="Arial" w:hAnsi="Arial"/>
          <w:sz w:val="18"/>
          <w:szCs w:val="18"/>
          <w:color w:val="auto"/>
        </w:rPr>
      </w:pPr>
    </w:p>
    <w:p>
      <w:pPr>
        <w:ind w:left="1760" w:hanging="334"/>
        <w:spacing w:after="0" w:line="257" w:lineRule="auto"/>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Compatibility with Symbian, Sony Ericsson, Java, Windows Mobile, Android and Blackberry operating systems. While Windows Mobile, Blackberry, Android, and the newest versions of Symbian (Symbian 3)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211" w:lineRule="exact"/>
        <w:rPr>
          <w:rFonts w:ascii="Arial" w:cs="Arial" w:eastAsia="Arial" w:hAnsi="Arial"/>
          <w:sz w:val="18"/>
          <w:szCs w:val="18"/>
          <w:color w:val="auto"/>
        </w:rPr>
      </w:pPr>
    </w:p>
    <w:p>
      <w:pPr>
        <w:ind w:left="660" w:hanging="4"/>
        <w:spacing w:after="0" w:line="281" w:lineRule="auto"/>
        <w:tabs>
          <w:tab w:leader="none" w:pos="1290" w:val="left"/>
        </w:tabs>
        <w:numPr>
          <w:ilvl w:val="1"/>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Vringo WAP Site: </w:t>
      </w:r>
      <w:r>
        <w:rPr>
          <w:rFonts w:ascii="Arial" w:cs="Arial" w:eastAsia="Arial" w:hAnsi="Arial"/>
          <w:sz w:val="17"/>
          <w:szCs w:val="17"/>
          <w:color w:val="auto"/>
        </w:rPr>
        <w:t>While we support over 400 handsets with our video ringtone application, our application cannot work on many</w:t>
      </w:r>
      <w:r>
        <w:rPr>
          <w:rFonts w:ascii="Arial" w:cs="Arial" w:eastAsia="Arial" w:hAnsi="Arial"/>
          <w:sz w:val="17"/>
          <w:szCs w:val="17"/>
          <w:b w:val="1"/>
          <w:bCs w:val="1"/>
          <w:color w:val="auto"/>
        </w:rPr>
        <w:t xml:space="preserve"> </w:t>
      </w:r>
      <w:r>
        <w:rPr>
          <w:rFonts w:ascii="Arial" w:cs="Arial" w:eastAsia="Arial" w:hAnsi="Arial"/>
          <w:sz w:val="17"/>
          <w:szCs w:val="17"/>
          <w:color w:val="auto"/>
        </w:rPr>
        <w:t>handsets in the market due to 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248" w:lineRule="exact"/>
        <w:rPr>
          <w:rFonts w:ascii="Arial" w:cs="Arial" w:eastAsia="Arial" w:hAnsi="Arial"/>
          <w:sz w:val="18"/>
          <w:szCs w:val="18"/>
          <w:color w:val="auto"/>
        </w:rPr>
      </w:pPr>
    </w:p>
    <w:p>
      <w:pPr>
        <w:ind w:left="912" w:hanging="480"/>
        <w:spacing w:after="0" w:line="261" w:lineRule="auto"/>
        <w:tabs>
          <w:tab w:leader="none" w:pos="912"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w:t>
      </w:r>
      <w:r>
        <w:rPr>
          <w:rFonts w:ascii="Arial" w:cs="Arial" w:eastAsia="Arial" w:hAnsi="Arial"/>
          <w:sz w:val="18"/>
          <w:szCs w:val="18"/>
          <w:b w:val="1"/>
          <w:bCs w:val="1"/>
          <w:color w:val="auto"/>
        </w:rPr>
        <w:t xml:space="preserve"> </w:t>
      </w:r>
      <w:r>
        <w:rPr>
          <w:rFonts w:ascii="Arial" w:cs="Arial" w:eastAsia="Arial" w:hAnsi="Arial"/>
          <w:sz w:val="18"/>
          <w:szCs w:val="18"/>
          <w:color w:val="auto"/>
        </w:rPr>
        <w:t>takes place on the personal computer (“PC”). A core component of our product strategy is to allow users to browse and choose their video ringtones on a personal computer from our website (www.vringo.com) and seamlessly deliver content from our website to their mobile phone. Our website enables users to:</w:t>
      </w:r>
    </w:p>
    <w:p>
      <w:pPr>
        <w:spacing w:after="0" w:line="211" w:lineRule="exact"/>
        <w:rPr>
          <w:rFonts w:ascii="Arial" w:cs="Arial" w:eastAsia="Arial" w:hAnsi="Arial"/>
          <w:sz w:val="18"/>
          <w:szCs w:val="18"/>
          <w:b w:val="1"/>
          <w:bCs w:val="1"/>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252" w:lineRule="exact"/>
        <w:rPr>
          <w:rFonts w:ascii="Arial" w:cs="Arial" w:eastAsia="Arial" w:hAnsi="Arial"/>
          <w:sz w:val="18"/>
          <w:szCs w:val="18"/>
          <w:color w:val="auto"/>
        </w:rPr>
      </w:pPr>
    </w:p>
    <w:p>
      <w:pPr>
        <w:ind w:left="1752" w:right="360" w:hanging="334"/>
        <w:spacing w:after="0" w:line="277" w:lineRule="auto"/>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197"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Automatically synchronize the mobile application on their phone or WAP account.</w:t>
      </w:r>
    </w:p>
    <w:p>
      <w:pPr>
        <w:spacing w:after="0" w:line="248" w:lineRule="exact"/>
        <w:rPr>
          <w:rFonts w:ascii="Arial" w:cs="Arial" w:eastAsia="Arial" w:hAnsi="Arial"/>
          <w:sz w:val="18"/>
          <w:szCs w:val="18"/>
          <w:color w:val="auto"/>
        </w:rPr>
      </w:pPr>
    </w:p>
    <w:p>
      <w:pPr>
        <w:ind w:left="912" w:right="80" w:hanging="480"/>
        <w:spacing w:after="0" w:line="281" w:lineRule="auto"/>
        <w:tabs>
          <w:tab w:leader="none" w:pos="912"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Vringo Studio: </w:t>
      </w:r>
      <w:r>
        <w:rPr>
          <w:rFonts w:ascii="Arial" w:cs="Arial" w:eastAsia="Arial" w:hAnsi="Arial"/>
          <w:sz w:val="17"/>
          <w:szCs w:val="17"/>
          <w:color w:val="auto"/>
        </w:rPr>
        <w:t>The Vringo Studio is an extension of our website that allows users to access video from multiple websites or from their</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 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195" w:lineRule="exact"/>
        <w:rPr>
          <w:rFonts w:ascii="Arial" w:cs="Arial" w:eastAsia="Arial" w:hAnsi="Arial"/>
          <w:sz w:val="17"/>
          <w:szCs w:val="17"/>
          <w:b w:val="1"/>
          <w:bCs w:val="1"/>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Facetones™</w:t>
      </w:r>
    </w:p>
    <w:p>
      <w:pPr>
        <w:spacing w:after="0" w:line="252" w:lineRule="exact"/>
        <w:rPr>
          <w:rFonts w:ascii="Arial" w:cs="Arial" w:eastAsia="Arial" w:hAnsi="Arial"/>
          <w:sz w:val="18"/>
          <w:szCs w:val="18"/>
          <w:color w:val="auto"/>
        </w:rPr>
      </w:pPr>
    </w:p>
    <w:p>
      <w:pPr>
        <w:ind w:left="492" w:right="60"/>
        <w:spacing w:after="0" w:line="259" w:lineRule="auto"/>
        <w:rPr>
          <w:rFonts w:ascii="Arial" w:cs="Arial" w:eastAsia="Arial" w:hAnsi="Arial"/>
          <w:sz w:val="18"/>
          <w:szCs w:val="18"/>
          <w:color w:val="auto"/>
        </w:rPr>
      </w:pPr>
      <w:r>
        <w:rPr>
          <w:rFonts w:ascii="Arial" w:cs="Arial" w:eastAsia="Arial" w:hAnsi="Arial"/>
          <w:sz w:val="18"/>
          <w:szCs w:val="18"/>
          <w:color w:val="auto"/>
        </w:rPr>
        <w:t>Facetones™ automatically creates a visual social ringtone and ringback tone, which enhances the standard ringtone experience by adding a social touch to every outgoing and incoming mobile call. Facetones™ collects your friends’ latest pictures on social network sites and then displays them automatically as a video slideshow when a user receives and makes mobile calls. These pictures are regularly updated based on the latest pictures your friend is posting to their social network pages.</w:t>
      </w:r>
    </w:p>
    <w:p>
      <w:pPr>
        <w:spacing w:after="0" w:line="213"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Facetones™ is not sponsored or endorsed by Facebook®, nor is Facebook® affiliated with Vringo, Inc.</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Vringo Video Remix Platform:</w:t>
      </w:r>
    </w:p>
    <w:p>
      <w:pPr>
        <w:spacing w:after="0" w:line="252" w:lineRule="exact"/>
        <w:rPr>
          <w:rFonts w:ascii="Arial" w:cs="Arial" w:eastAsia="Arial" w:hAnsi="Arial"/>
          <w:sz w:val="18"/>
          <w:szCs w:val="18"/>
          <w:color w:val="auto"/>
        </w:rPr>
      </w:pPr>
    </w:p>
    <w:p>
      <w:pPr>
        <w:ind w:left="492" w:right="160"/>
        <w:spacing w:after="0" w:line="297" w:lineRule="auto"/>
        <w:rPr>
          <w:rFonts w:ascii="Arial" w:cs="Arial" w:eastAsia="Arial" w:hAnsi="Arial"/>
          <w:sz w:val="18"/>
          <w:szCs w:val="18"/>
          <w:color w:val="auto"/>
        </w:rPr>
      </w:pPr>
      <w:r>
        <w:rPr>
          <w:rFonts w:ascii="Arial" w:cs="Arial" w:eastAsia="Arial" w:hAnsi="Arial"/>
          <w:sz w:val="16"/>
          <w:szCs w:val="16"/>
          <w:color w:val="auto"/>
        </w:rPr>
        <w:t>The Vringo remix platform is a set of mobile applications that have been developed for Apple iOS and Google Android devices. It allows the user to “Remix” a series of music beats together with video clips and to add user generated video to the mix. This application turns the smartphone or tablet into a virtual video Remix sound/video board where this “mixing” is accomplished by simple tapping on the touch screen interface. Once a user completes a Remix, he or she can share the finished products with friends on Facebook® or other social networks. The Video Remix applications are branded with an artist or sponsor and then monetized via advertising, sponsorship, a-la carte sales or in app store purchases.</w:t>
      </w:r>
    </w:p>
    <w:p>
      <w:pPr>
        <w:spacing w:after="0" w:line="3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D) Vringo Fan Loyalty</w:t>
      </w:r>
    </w:p>
    <w:p>
      <w:pPr>
        <w:spacing w:after="0" w:line="25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Fan Loyalty platform is a mobile application that allows fans of today’s popular contestant-based competition reality shows stay in touch with the show, get their favorite content, vote , and stay socially connected to the show experience. Most reality shows only allowed mobile fan interaction via text messaging voting, but with the Fan Loyalty platform, fans can now download an application which allows them to review past performances, set clips as their video ringtones, receive pushed content exclusive to the app, vote for their favorite contestants and obtain information on the contestants.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goal is to become a leading global provider of mobile video, mobile social and personalization services including video ringtones, video slideshows based on social network picture content, Video Remixes, Fan Loyalty and additional video and mobile social services via our different software platforms. To achieve this goal, we plan to:</w:t>
      </w:r>
    </w:p>
    <w:p>
      <w:pPr>
        <w:spacing w:after="0" w:line="20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Grow our user base through mobile carrier partnerships. </w:t>
      </w:r>
      <w:r>
        <w:rPr>
          <w:rFonts w:ascii="Arial" w:cs="Arial" w:eastAsia="Arial" w:hAnsi="Arial"/>
          <w:sz w:val="17"/>
          <w:szCs w:val="17"/>
          <w:color w:val="auto"/>
        </w:rPr>
        <w:t>We have built our products so as to be easily integrated with mobile carriers.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the mobile carrier channel is one of the most efficient and cost effective channels to grow our user base and to monetize our products. We have video ringtone service with six mobile carriers in the UK, Singapore, Belgium, Malaysia United Arab Emirates and India. We have announced deals for our Facetones™ app with leading mobile carriers such as Verizon, Telefonica, and NTT Docomo. We are in discussions with additional mobile carriers regarding our software platforms and we plan to aggressively pursue additional mobile carriers globally.</w:t>
      </w:r>
    </w:p>
    <w:p>
      <w:pPr>
        <w:spacing w:after="0" w:line="20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Grow our user base through acquisition</w:t>
      </w:r>
      <w:r>
        <w:rPr>
          <w:rFonts w:ascii="Arial" w:cs="Arial" w:eastAsia="Arial" w:hAnsi="Arial"/>
          <w:sz w:val="18"/>
          <w:szCs w:val="18"/>
          <w:color w:val="auto"/>
        </w:rPr>
        <w:t>. We continue to look at opportunities to expand our product functionality, revenues and customer activity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potential acquisitions. We believe that the mobile video and mobile social services market is fragmented and that there are many potential opportunities to acquire attractive assets that can help us grow our business.</w:t>
      </w:r>
    </w:p>
    <w:p>
      <w:pPr>
        <w:spacing w:after="0" w:line="20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Continue to ensure we have broad handset reach. </w:t>
      </w:r>
      <w:r>
        <w:rPr>
          <w:rFonts w:ascii="Arial" w:cs="Arial" w:eastAsia="Arial" w:hAnsi="Arial"/>
          <w:sz w:val="18"/>
          <w:szCs w:val="18"/>
          <w:color w:val="auto"/>
        </w:rPr>
        <w:t>The breadth of our mobile handset coverage will be critical for us to grow our business. Our video</w:t>
      </w:r>
      <w:r>
        <w:rPr>
          <w:rFonts w:ascii="Arial" w:cs="Arial" w:eastAsia="Arial" w:hAnsi="Arial"/>
          <w:sz w:val="18"/>
          <w:szCs w:val="18"/>
          <w:i w:val="1"/>
          <w:iCs w:val="1"/>
          <w:color w:val="auto"/>
        </w:rPr>
        <w:t xml:space="preserve"> </w:t>
      </w:r>
      <w:r>
        <w:rPr>
          <w:rFonts w:ascii="Arial" w:cs="Arial" w:eastAsia="Arial" w:hAnsi="Arial"/>
          <w:sz w:val="18"/>
          <w:szCs w:val="18"/>
          <w:color w:val="auto"/>
        </w:rPr>
        <w:t>ringtone application already supports over 400 handsets and we diligently certify new mobile handset devices as quickly as possible. Additionally, the WAP version of our service is compatible with almost any device that supports video. We will continue to expand the features available as part of our video ringtone WAP service. Our Video ReMix application runs on iOS (iPhone, iPod, and iPad) and Android devices. Our Facetones™ application platform is available for Android devices and Symbian S3 with other versions planned.</w:t>
      </w:r>
    </w:p>
    <w:p>
      <w:pPr>
        <w:spacing w:after="0" w:line="21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critical for our growth. We will continue to add features to the product platforms to enhance their viral and social aspects and which enable users to connect with their existing social networks on platforms such as Facebook® and Twitter.</w:t>
      </w:r>
    </w:p>
    <w:p>
      <w:pPr>
        <w:spacing w:after="0" w:line="20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Maintain and grow our product and technology leadership</w:t>
      </w:r>
      <w:r>
        <w:rPr>
          <w:rFonts w:ascii="Arial" w:cs="Arial" w:eastAsia="Arial" w:hAnsi="Arial"/>
          <w:sz w:val="17"/>
          <w:szCs w:val="17"/>
          <w:color w:val="auto"/>
        </w:rPr>
        <w:t>. Our technical team is made up of highly regarded industry professionals who ensure that</w:t>
      </w:r>
      <w:r>
        <w:rPr>
          <w:rFonts w:ascii="Arial" w:cs="Arial" w:eastAsia="Arial" w:hAnsi="Arial"/>
          <w:sz w:val="17"/>
          <w:szCs w:val="17"/>
          <w:i w:val="1"/>
          <w:iCs w:val="1"/>
          <w:color w:val="auto"/>
        </w:rPr>
        <w:t xml:space="preserve"> </w:t>
      </w:r>
      <w:r>
        <w:rPr>
          <w:rFonts w:ascii="Arial" w:cs="Arial" w:eastAsia="Arial" w:hAnsi="Arial"/>
          <w:sz w:val="17"/>
          <w:szCs w:val="17"/>
          <w:color w:val="auto"/>
        </w:rPr>
        <w:t>our products are on the cutting-edge in terms of ease of use, functionality and look and feel. We have filed 24 patent applications for our platform (two of which have been issued to date) and we continue to create new intellectual property. We also have enabled our video ringtone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2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many of our products and we often launch commercial versions of our products as a monthly subscription service with mobile carriers. We are focused on ensuring that our product drives value and limits churn. As the mobile video services market matures, our business model may evolve to capitalize on changes in the market.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0" w:name="page21"/>
    <w:bookmarkEnd w:id="20"/>
    <w:p>
      <w:pPr>
        <w:jc w:val="both"/>
        <w:ind w:right="140" w:firstLine="648"/>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 We have a positive consumer experience with our Fan Loyalty platform which we launched with a major television contest show.</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Increase the direct to consumer part of our business. </w:t>
      </w:r>
      <w:r>
        <w:rPr>
          <w:rFonts w:ascii="Arial" w:cs="Arial" w:eastAsia="Arial" w:hAnsi="Arial"/>
          <w:sz w:val="18"/>
          <w:szCs w:val="18"/>
          <w:color w:val="auto"/>
        </w:rPr>
        <w:t>Many of our apps can be directly monetized by offering the products directly to the consumer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app stores. These apps can be offered either for purchase or free to consumers with monetization via ads.</w:t>
      </w:r>
    </w:p>
    <w:p>
      <w:pPr>
        <w:spacing w:after="0" w:line="197"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i w:val="1"/>
          <w:iCs w:val="1"/>
          <w:color w:val="auto"/>
        </w:rPr>
        <w:t xml:space="preserve">Wide distribution through various application stores (“App stores”). </w:t>
      </w:r>
      <w:r>
        <w:rPr>
          <w:rFonts w:ascii="Arial" w:cs="Arial" w:eastAsia="Arial" w:hAnsi="Arial"/>
          <w:sz w:val="16"/>
          <w:szCs w:val="16"/>
          <w:color w:val="auto"/>
        </w:rPr>
        <w:t>We commenced distribution of our apps through the Android market, Apple’s</w:t>
      </w:r>
      <w:r>
        <w:rPr>
          <w:rFonts w:ascii="Arial" w:cs="Arial" w:eastAsia="Arial" w:hAnsi="Arial"/>
          <w:sz w:val="16"/>
          <w:szCs w:val="16"/>
          <w:i w:val="1"/>
          <w:iCs w:val="1"/>
          <w:color w:val="auto"/>
        </w:rPr>
        <w:t xml:space="preserve"> </w:t>
      </w:r>
      <w:r>
        <w:rPr>
          <w:rFonts w:ascii="Arial" w:cs="Arial" w:eastAsia="Arial" w:hAnsi="Arial"/>
          <w:sz w:val="16"/>
          <w:szCs w:val="16"/>
          <w:color w:val="auto"/>
        </w:rPr>
        <w:t>App Store, GetJar, Mobango, Nokia’s Ovi store, Verizon V Cast App Store, Vodafone Shop, Telefonica-owned portals as well as the NTT Docomo Market. Our Facetones™ product is being offered in this manner as well as through partnerships with mobile carriers and handset manufacturers.</w:t>
      </w:r>
    </w:p>
    <w:p>
      <w:pPr>
        <w:spacing w:after="0" w:line="174"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Improve our monetization of free apps with ads. </w:t>
      </w:r>
      <w:r>
        <w:rPr>
          <w:rFonts w:ascii="Arial" w:cs="Arial" w:eastAsia="Arial" w:hAnsi="Arial"/>
          <w:sz w:val="16"/>
          <w:szCs w:val="16"/>
          <w:color w:val="auto"/>
        </w:rPr>
        <w:t>Our Facetones™ free product is generating a significant number of potential ad impressions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each user. Because the product is integrated tightly with the phone call, we are seeing as an average of 300 ad impressions a month per user. As we grow this ad inventory, we want to increase the effective cost per thousand, click-through rate and other key metrics so we can better monetize this ad potential.</w:t>
      </w:r>
    </w:p>
    <w:p>
      <w:pPr>
        <w:spacing w:after="0" w:line="17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Continue monetization through advertising and brand sponsorship. </w:t>
      </w:r>
      <w:r>
        <w:rPr>
          <w:rFonts w:ascii="Arial" w:cs="Arial" w:eastAsia="Arial" w:hAnsi="Arial"/>
          <w:sz w:val="18"/>
          <w:szCs w:val="18"/>
          <w:color w:val="auto"/>
        </w:rPr>
        <w:t>The visual nature of our service opens up the possibility of incorporating ads and</w:t>
      </w:r>
      <w:r>
        <w:rPr>
          <w:rFonts w:ascii="Arial" w:cs="Arial" w:eastAsia="Arial" w:hAnsi="Arial"/>
          <w:sz w:val="18"/>
          <w:szCs w:val="18"/>
          <w:i w:val="1"/>
          <w:iCs w:val="1"/>
          <w:color w:val="auto"/>
        </w:rPr>
        <w:t xml:space="preserve"> </w:t>
      </w:r>
      <w:r>
        <w:rPr>
          <w:rFonts w:ascii="Arial" w:cs="Arial" w:eastAsia="Arial" w:hAnsi="Arial"/>
          <w:sz w:val="18"/>
          <w:szCs w:val="18"/>
          <w:color w:val="auto"/>
        </w:rPr>
        <w:t>sponsorships in our software application platforms. We have initially launched advertising-supported versions of our Video ReMix platform including a version for Heineken and our Fan Loyalty platform was sponsored by Nokia. We believe these types of sponsorships will make up a growing portion of our business.</w:t>
      </w:r>
    </w:p>
    <w:p>
      <w:pPr>
        <w:spacing w:after="0" w:line="214"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i w:val="1"/>
          <w:iCs w:val="1"/>
          <w:color w:val="auto"/>
        </w:rPr>
        <w:t xml:space="preserve">Content licensing leadership. </w:t>
      </w:r>
      <w:r>
        <w:rPr>
          <w:rFonts w:ascii="Arial" w:cs="Arial" w:eastAsia="Arial" w:hAnsi="Arial"/>
          <w:sz w:val="17"/>
          <w:szCs w:val="17"/>
          <w:color w:val="auto"/>
        </w:rPr>
        <w:t>We have signed over 40 different content licensing agreements for primarily content material to be used for video</w:t>
      </w:r>
      <w:r>
        <w:rPr>
          <w:rFonts w:ascii="Arial" w:cs="Arial" w:eastAsia="Arial" w:hAnsi="Arial"/>
          <w:sz w:val="17"/>
          <w:szCs w:val="17"/>
          <w:i w:val="1"/>
          <w:iCs w:val="1"/>
          <w:color w:val="auto"/>
        </w:rPr>
        <w:t xml:space="preserve"> </w:t>
      </w:r>
      <w:r>
        <w:rPr>
          <w:rFonts w:ascii="Arial" w:cs="Arial" w:eastAsia="Arial" w:hAnsi="Arial"/>
          <w:sz w:val="17"/>
          <w:szCs w:val="17"/>
          <w:color w:val="auto"/>
        </w:rPr>
        <w:t>ringtones as well as artist content for our Video ReMix platform. We have conducted substantive research of other commercial video ringtone sites and we have not discovered a commercial library with more than 100 video ringtones available for download. Accordingly, we believe our library of more than 12,000 video ringtones, certain portions of which are geographically restricted, is one of the largest commercial video ringtone libraries in the world. We intend to continue to grow our library to enhance our future revenues although in many markets we will rely on our partners to supplement our library with additional locally licensed content. Our content partnerships include major artists, celebrities and content providers, including EMI, Warner Music, T–Pain, Muhammad Ali Enterprises, Tiesto, Turner, Marvel, Hungama Mobile, RTL and Ingrooves.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will not receive any of the proceeds from the sale of the shares of common stock issuable upon the exercise of the IPO warrants by the holders thereof other than the exercise price for such warrants. We will also not receive any of the proceeds from the sale of the common stock by the selling security holders named in this prospectus. All proceeds from the sale of the common stock will be paid directly to the selling security holders. We may receive proceeds from the exercise of the warrants held by the selling security holders. If all of the warrants exercisable for shares of common stock being registered in this offering are exercised, we could receive net proceeds of up to approximately $35.3 million, including $24.2 million upon the exercise of the IPO warrants. The holders of the warrants are not obligated to exercise the warrants and we cannot assure that the holders of the warrants will choose to exercise all or any of the warrants. We intend to use the estimated net proceeds received upon exercise of the warrants, if any, for working capital and general corporate purposes.</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SELLING SECURITY HOLDERS</w:t>
      </w:r>
    </w:p>
    <w:p>
      <w:pPr>
        <w:spacing w:after="0" w:line="256"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An aggregate of up to 3,457,328 shares may be offered by certain security holders who received shares of common stock and warrants as a result of the Private Placement. In connection with the Private Placement, we entered into a registration rights agreement, pursuant to which we agreed to register the resale of the shares of our common stock and our common stock underlying certain warrants. This prospectus covers the resale of such shares.</w:t>
      </w:r>
    </w:p>
    <w:p>
      <w:pPr>
        <w:spacing w:after="0" w:line="174"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following table sets forth certain information regarding the selling security holders and the shares of our common stock beneficially owned by them and issuable to the selling security holders upon a cash exercise of the warrants, which information is available to us as of October 1, 2011. The selling security holders may offer the shares under this prospectus from time to time and may elect to sell some, all or none of the shares set forth next to their name. As a result, we cannot estimate the number of shares of our common stock that a selling security holder will beneficially own after termination of sales under this prospectus. However, for the purposes of the table below, we have assumed that, after completion of the offering, none of the shares covered by this prospectus will be held by the selling security holders. In addition, a selling security holder may have sold, transferred or otherwise disposed of all or a portion of that holder’s shares of our common stock since the date on which they provided information for this table. We have not made independent inquiries about this. We are relying on written commitments from the selling security holders to notify us of any changes in their beneficial ownership after the date they originally provided this information.</w:t>
      </w:r>
    </w:p>
    <w:p>
      <w:pPr>
        <w:spacing w:after="0" w:line="20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No material relationships exist between any of the selling security holders and us nor have any such material relationships existed within the past three years, except that (i) Seth M. Siegel and John Engelman serve on our board of directors, (ii) Iroquois Master Fund Ltd., together with its affiliates, is a 5% beneficial stockholder and (iii) David Goldfarb was previously an officer, director and 5% beneficial stockholder.</w:t>
      </w:r>
    </w:p>
    <w:p>
      <w:pPr>
        <w:spacing w:after="0" w:line="208"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For the purposes of the following table, the number of shares of our common stock beneficially owned, has been determined in accordance with Rule 13d-3 under the Securities Exchange Act of 1934, as amended, and such information is not necessarily indicative of beneficial ownership for any other purpose. Under Rule 13d-3, beneficial ownership includes any shares as to which a selling security holder has sole or shared voting power or investment power and also any shares which that selling security holder has the right to acquire within 60 days of the date of this prospectus through the exercise of any stock option, restricted stock unit, warrant or other rights.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6"/>
              </w:rPr>
              <w:t>Common Stock Beneficially Owned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4"/>
          </w:tcPr>
          <w:p>
            <w:pPr>
              <w:jc w:val="right"/>
              <w:ind w:right="118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Number of Shares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Common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Owned Prior to</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 Being</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Number of Shares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Percent of Shares</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Selling </w:t>
            </w:r>
            <w:r>
              <w:rPr>
                <w:rFonts w:ascii="Arial" w:cs="Arial" w:eastAsia="Arial" w:hAnsi="Arial"/>
                <w:sz w:val="18"/>
                <w:szCs w:val="18"/>
                <w:color w:val="auto"/>
              </w:rPr>
              <w:t>Security Holder</w:t>
            </w:r>
          </w:p>
        </w:tc>
        <w:tc>
          <w:tcPr>
            <w:tcW w:w="12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Offering</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Offered</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Outstanding</w:t>
            </w: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David Goldfarb</w:t>
            </w:r>
          </w:p>
        </w:tc>
        <w:tc>
          <w:tcPr>
            <w:tcW w:w="120" w:type="dxa"/>
            <w:vAlign w:val="bottom"/>
            <w:shd w:val="clear" w:color="auto" w:fill="CCFFCC"/>
          </w:tcPr>
          <w:p>
            <w:pPr>
              <w:spacing w:after="0"/>
              <w:rPr>
                <w:sz w:val="18"/>
                <w:szCs w:val="18"/>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295,231</w:t>
            </w:r>
          </w:p>
        </w:tc>
        <w:tc>
          <w:tcPr>
            <w:tcW w:w="2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57,968</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237,263</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Seth M. Siegel +</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294,728</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115,940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178,788</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Iroquois Master Fund Ltd. + (2)</w:t>
            </w:r>
          </w:p>
        </w:tc>
        <w:tc>
          <w:tcPr>
            <w:tcW w:w="18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675,849</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388,404</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287,445</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EL Equities, LLC (3)</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77,133</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57,968</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19,165</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South Ferry #2, LP (4)</w:t>
            </w:r>
          </w:p>
        </w:tc>
        <w:tc>
          <w:tcPr>
            <w:tcW w:w="18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159,298</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144,924</w:t>
            </w: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14,374</w:t>
            </w: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Aaron Wolfson</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38,566</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28,984</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9,582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Daniel S. Senor</w:t>
            </w:r>
          </w:p>
        </w:tc>
        <w:tc>
          <w:tcPr>
            <w:tcW w:w="18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30,987</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23,188</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7,799</w:t>
            </w: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John Engelman +</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79,352</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28,984</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50,368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20" w:type="dxa"/>
            <w:vAlign w:val="bottom"/>
            <w:gridSpan w:val="2"/>
          </w:tcPr>
          <w:p>
            <w:pPr>
              <w:jc w:val="right"/>
              <w:ind w:right="31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Neil Cohen</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23,188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17,388</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5,800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David Dossetter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78,470</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20,502</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Isaac Applbaum</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46,024</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43,476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2,548</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Dan Laor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43,476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43,476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Nathan Ron Lawyers Company (5)</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Jeffrey Belk</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180,673</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173,912</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6,761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Charles A. Steiger</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Derek G. Fogt</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Todd Kronshage</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Mike Heller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Robert B. Harpcastle</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57,968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Gary D. Elliston</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43,476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43,476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George F. Gilder</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42,896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42,896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Silver Mountain Partners LP (6)</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231,884</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231,884</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Mitchell Kopin</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57,968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David M. Schneider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43,476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43,476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Joseph L. Obrant</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KB/V LLC (7)</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157,543</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70,587</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Kingsbrook Opportunities Master Fund LP (8)</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149,570</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28,984</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120,586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KLW Investments LLC (9)</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Brio Capital L.P. (10)</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Ellis International Ltd. (11)</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Rockmore Investment Master Fund Ltd. (12)</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Lilac Ventures Master Fund Ltd. (13)</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Cranshire Capital LP (14)</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57,968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Post Family Trust (15)</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57,968</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Alpha Capital Anstalt (16)</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513,768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463,768</w:t>
            </w:r>
          </w:p>
        </w:tc>
        <w:tc>
          <w:tcPr>
            <w:tcW w:w="186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50,000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608"/>
        </w:trPr>
        <w:tc>
          <w:tcPr>
            <w:tcW w:w="4480" w:type="dxa"/>
            <w:vAlign w:val="bottom"/>
          </w:tcPr>
          <w:p>
            <w:pPr>
              <w:spacing w:after="0"/>
              <w:rPr>
                <w:sz w:val="24"/>
                <w:szCs w:val="24"/>
                <w:color w:val="auto"/>
              </w:rPr>
            </w:pP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22</w:t>
            </w: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8"/>
        </w:trPr>
        <w:tc>
          <w:tcPr>
            <w:tcW w:w="44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4" w:name="page25"/>
    <w:bookmarkEnd w:id="24"/>
    <w:p>
      <w:pPr>
        <w:ind w:left="492" w:hanging="492"/>
        <w:spacing w:after="0"/>
        <w:tabs>
          <w:tab w:leader="none" w:pos="4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492" w:hanging="492"/>
        <w:spacing w:after="0"/>
        <w:tabs>
          <w:tab w:leader="none" w:pos="492"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indicated by +, no selling security holder is an officer, director, affiliate or 5% security holder.</w:t>
      </w:r>
    </w:p>
    <w:p>
      <w:pPr>
        <w:spacing w:after="0" w:line="264" w:lineRule="exact"/>
        <w:rPr>
          <w:sz w:val="20"/>
          <w:szCs w:val="20"/>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6,163,196 shares of common stock outstanding on October 4, 2011</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Joshua Silverman and Richard Abbe have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Ari Storch, Adam Chill and Scott Wallace have voting and investment control over such securities.</w:t>
      </w:r>
    </w:p>
    <w:p>
      <w:pPr>
        <w:spacing w:after="0" w:line="263" w:lineRule="exact"/>
        <w:rPr>
          <w:rFonts w:ascii="Arial" w:cs="Arial" w:eastAsia="Arial" w:hAnsi="Arial"/>
          <w:sz w:val="17"/>
          <w:szCs w:val="17"/>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Lee Lasher, Mitchell Weitzner, and Robert Koppel have voting and investment control over such securities.</w:t>
      </w:r>
    </w:p>
    <w:p>
      <w:pPr>
        <w:spacing w:after="0" w:line="275" w:lineRule="exact"/>
        <w:rPr>
          <w:rFonts w:ascii="Arial" w:cs="Arial" w:eastAsia="Arial" w:hAnsi="Arial"/>
          <w:sz w:val="16"/>
          <w:szCs w:val="16"/>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Mitchell Kopin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Konrad Ackermann has voting and investment control over such securities.</w:t>
      </w:r>
    </w:p>
    <w:p>
      <w:pPr>
        <w:spacing w:after="0" w:line="200" w:lineRule="exact"/>
        <w:rPr>
          <w:sz w:val="20"/>
          <w:szCs w:val="20"/>
          <w:color w:val="auto"/>
        </w:rPr>
      </w:pPr>
    </w:p>
    <w:p>
      <w:pPr>
        <w:spacing w:after="0" w:line="20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517"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are registering the (i) shares of common stock issuable upon the exercise of the IPO warrants and (ii) shares of our common stock previously issued to the selling security holders and issuable upon exercise of the warrants previously issued to the selling security holders to permit the resale of these shares of common stock by the holders of the common stock and warrants from time to time after the date of this prospectus. We will not receive any of the proceeds from the sale by holders of the IPO warrants or the selling security holders of the shares of our common stock. We will bear all fees and expenses incident to our obligation to register the shares of our common stock.</w:t>
      </w:r>
    </w:p>
    <w:p>
      <w:pPr>
        <w:spacing w:after="0" w:line="215"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color w:val="auto"/>
        </w:rPr>
        <w:t>We will issue shares of common stock to holders of the IPO warrants upon their exercise of the IPO warrants. The selling security holders, which as used herein includes transferees, pledgees, donees or other successors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selling security holders may use any one or more of the following methods when disposing of shares or interests therein:</w:t>
      </w:r>
    </w:p>
    <w:p>
      <w:pPr>
        <w:spacing w:after="0" w:line="252"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760" w:right="3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52"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 xml:space="preserve">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ind w:firstLine="486"/>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 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1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aggregate proceeds to the selling security holders from the sale of the common stock offered by them will be the purchase price of the common stock less discounts or commissions, if any. Each of the selling security 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9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selling security holders also may resell all or a portion of the shares in open market transactions in reliance upon Rule 144 under the Securities Act of 1933, provided that they meet the criteria and conform to the requirements of that rule.</w:t>
      </w:r>
    </w:p>
    <w:p>
      <w:pPr>
        <w:spacing w:after="0" w:line="19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selling security 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 holders who are “underwriters” within the meaning of Section 2(11) of the Securities Act will be subject to the prospectus delivery requirements of the Securities Act.</w:t>
      </w:r>
    </w:p>
    <w:p>
      <w:pPr>
        <w:spacing w:after="0" w:line="198" w:lineRule="exact"/>
        <w:rPr>
          <w:sz w:val="20"/>
          <w:szCs w:val="20"/>
          <w:color w:val="auto"/>
        </w:rPr>
      </w:pPr>
    </w:p>
    <w:p>
      <w:pPr>
        <w:jc w:val="both"/>
        <w:ind w:right="180" w:firstLine="486"/>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9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20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have advised the selling security holders that the anti-manipulation rules of Regulation M under the Exchange Act may apply to sales of shares in the market and to the activities of the selling security holders and their affiliates. In addition,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right="360" w:firstLine="486"/>
        <w:spacing w:after="0" w:line="277" w:lineRule="auto"/>
        <w:rPr>
          <w:sz w:val="20"/>
          <w:szCs w:val="20"/>
          <w:color w:val="auto"/>
        </w:rPr>
      </w:pPr>
      <w:r>
        <w:rPr>
          <w:rFonts w:ascii="Arial" w:cs="Arial" w:eastAsia="Arial" w:hAnsi="Arial"/>
          <w:sz w:val="18"/>
          <w:szCs w:val="18"/>
          <w:color w:val="auto"/>
        </w:rPr>
        <w:t>We have agreed to indemnify the selling security holders against liabilities, including liabilities under the Securities Act and state securities laws, relating to the registration of the shares offered by this prospectus.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agreed with the selling security 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 of the Securities Act.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our knowledge, no selling security holder is a broker-dealer or an affiliate of a broker-dealer.</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validity of the shares of our common stock being offered by this prospectus has been passed upon for us by Ellenoff Grossman &amp; Schole LLP, New York, New York.</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120" w:firstLine="528"/>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2010 and 2009 and for each of the years in the two-year period ended December 31, 2010 and for the cumulative period from January 9, 2006 (inception) through December 31, 2010 have been incorporated by reference herein in reliance upon the report of Somekh Chaikin, a member firm of KPMG International, an independent registered public accounting firm, incorporated by reference herein, and upon the authority of said firm as experts in accounting and auditing.</w:t>
      </w:r>
    </w:p>
    <w:p>
      <w:pPr>
        <w:spacing w:after="0" w:line="198"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audit report covering the December 31, 2010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 Certain information in the registration statement has been omitted from this prospectus in accordance with the rules of the SEC. We are a public company and file proxy statements, annual, quarterly and current reports and other information with the SEC. The registration statement, such reports and other information can be inspected and copied at the Public Reference Room of the SEC located at 100 F Street, N.E., Washington D.C. 20549. Copies of such materials, including copies of all or any portion of the registration statement, can be obtained from the Public Reference Room of the SEC at prescribed rates. You can call the SEC at 1-800-SEC-0330 to obtain information on the operation of the Public Reference Room. Such materials may also be accessed electronically by means of the SEC’s home page on the Internet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5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we will make with the SEC under Sections 13(a), 13(c), 14, or 15(d) of the Exchange Act after the date of this prospectus until the termination of the offering of the shares covered by this prospectus (other than information furnished under Item 2.02 or Item 7.01 of Form 8-K):</w:t>
      </w:r>
    </w:p>
    <w:p>
      <w:pPr>
        <w:spacing w:after="0" w:line="220" w:lineRule="exact"/>
        <w:rPr>
          <w:sz w:val="20"/>
          <w:szCs w:val="20"/>
          <w:color w:val="auto"/>
        </w:rPr>
      </w:pPr>
    </w:p>
    <w:p>
      <w:pPr>
        <w:ind w:left="1080" w:hanging="640"/>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2010, filed on March 31, 2011;</w:t>
      </w:r>
    </w:p>
    <w:p>
      <w:pPr>
        <w:spacing w:after="0" w:line="23" w:lineRule="exact"/>
        <w:rPr>
          <w:rFonts w:ascii="Arial" w:cs="Arial" w:eastAsia="Arial" w:hAnsi="Arial"/>
          <w:sz w:val="18"/>
          <w:szCs w:val="18"/>
          <w:color w:val="auto"/>
        </w:rPr>
      </w:pPr>
    </w:p>
    <w:p>
      <w:pPr>
        <w:ind w:left="1080" w:right="180" w:hanging="640"/>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2011 (filed on May 16, 2011) and June 30, 2011, (filed on August 15, 2011 and as amended on September 7, 2011);</w:t>
      </w:r>
    </w:p>
    <w:p>
      <w:pPr>
        <w:ind w:left="1080" w:right="600" w:hanging="640"/>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Currents Reports on Form 8-K, filed on March 8, 2011, May 31, 2011, June 10, 2011, June 14, 2011, June 21, 2011, July 27, 2011, September 6, 2011, September 27, 2011 and October 5, 2011;</w:t>
      </w:r>
    </w:p>
    <w:p>
      <w:pPr>
        <w:ind w:left="1080" w:hanging="640"/>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definitive proxy statement relating to our 2011 Annual Meeting of Stockholders, filed on May 25, 2011;</w:t>
      </w:r>
    </w:p>
    <w:p>
      <w:pPr>
        <w:spacing w:after="0" w:line="9" w:lineRule="exact"/>
        <w:rPr>
          <w:rFonts w:ascii="Arial" w:cs="Arial" w:eastAsia="Arial" w:hAnsi="Arial"/>
          <w:sz w:val="18"/>
          <w:szCs w:val="18"/>
          <w:color w:val="auto"/>
        </w:rPr>
      </w:pPr>
    </w:p>
    <w:p>
      <w:pPr>
        <w:ind w:left="1080" w:right="460" w:hanging="640"/>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S-1, filed on January 29, 2011, including any amendment or reports filed for the purpose of updating this description; and</w:t>
      </w:r>
    </w:p>
    <w:p>
      <w:pPr>
        <w:ind w:left="1080" w:hanging="640"/>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filings we make with the SEC pursuant to the Exchange Act after the date of this prospectus and before termination of this offering.</w:t>
      </w:r>
    </w:p>
    <w:p>
      <w:pPr>
        <w:spacing w:after="0" w:line="24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Secretary, Vringo, Inc., 44 W. 28th Street, New York, New York 10001 or call (646) 525-4319.</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9" w:name="page30"/>
    <w:bookmarkEnd w:id="29"/>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t>8,241,328 Shares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710565</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187325</wp:posOffset>
            </wp:positionV>
            <wp:extent cx="771525"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19,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240665</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787400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9019"/>
      </w:cols>
      <w:pgMar w:left="1440" w:top="9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endash "/>
      <w:numFmt w:val="bullet"/>
      <w:start w:val="1"/>
    </w:lvl>
  </w:abstractNum>
  <w:abstractNum w:abstractNumId="8">
    <w:nsid w:val="109CF92E"/>
    <w:multiLevelType w:val="hybridMultilevel"/>
    <w:lvl w:ilvl="0">
      <w:lvlJc w:val="left"/>
      <w:lvlText w:val="%1)"/>
      <w:numFmt w:val="upperLetter"/>
      <w:start w:val="1"/>
    </w:lvl>
  </w:abstractNum>
  <w:abstractNum w:abstractNumId="9">
    <w:nsid w:val="DED7263"/>
    <w:multiLevelType w:val="hybridMultilevel"/>
    <w:lvl w:ilvl="0">
      <w:lvlJc w:val="left"/>
      <w:lvlText w:val="%1)"/>
      <w:numFmt w:val="upperLetter"/>
      <w:start w:val="1"/>
    </w:lvl>
  </w:abstractNum>
  <w:abstractNum w:abstractNumId="10">
    <w:nsid w:val="7FDCC233"/>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1">
    <w:nsid w:val="1BEFD79F"/>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12">
    <w:nsid w:val="41A7C4C9"/>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2019-12-11T05:16:01Z</dcterms:created>
  <dcterms:modified xsi:type="dcterms:W3CDTF">2019-12-11T05:16:01Z</dcterms:modified>
</cp:coreProperties>
</file>