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207645</wp:posOffset>
            </wp:positionH>
            <wp:positionV relativeFrom="page">
              <wp:posOffset>224155</wp:posOffset>
            </wp:positionV>
            <wp:extent cx="7134225"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225" cy="25400"/>
                    </a:xfrm>
                    <a:prstGeom prst="rect">
                      <a:avLst/>
                    </a:prstGeom>
                    <a:noFill/>
                  </pic:spPr>
                </pic:pic>
              </a:graphicData>
            </a:graphic>
          </wp:anchor>
        </w:drawing>
        <w:drawing>
          <wp:anchor simplePos="0" relativeHeight="251657728" behindDoc="1" locked="0" layoutInCell="0" allowOverlap="1">
            <wp:simplePos x="0" y="0"/>
            <wp:positionH relativeFrom="page">
              <wp:posOffset>207645</wp:posOffset>
            </wp:positionH>
            <wp:positionV relativeFrom="page">
              <wp:posOffset>258445</wp:posOffset>
            </wp:positionV>
            <wp:extent cx="71342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225" cy="825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7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September 13, 2021</w:t>
      </w:r>
    </w:p>
    <w:p>
      <w:pPr>
        <w:spacing w:after="0" w:line="19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XpresSpa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20955</wp:posOffset>
            </wp:positionV>
            <wp:extent cx="713422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1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Delaware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(State or Other Jurisdiction of Incorporation)</w:t>
      </w:r>
    </w:p>
    <w:p>
      <w:pPr>
        <w:spacing w:after="0" w:line="216" w:lineRule="exact"/>
        <w:rPr>
          <w:sz w:val="24"/>
          <w:szCs w:val="24"/>
          <w:color w:val="auto"/>
        </w:rPr>
      </w:pPr>
    </w:p>
    <w:tbl>
      <w:tblPr>
        <w:tblLayout w:type="fixed"/>
        <w:tblInd w:w="0" w:type="dxa"/>
        <w:tblCellMar>
          <w:top w:w="0" w:type="dxa"/>
          <w:left w:w="0" w:type="dxa"/>
          <w:bottom w:w="0" w:type="dxa"/>
          <w:right w:w="0" w:type="dxa"/>
        </w:tblCellMar>
      </w:tblPr>
      <w:tr>
        <w:trPr>
          <w:trHeight w:val="252"/>
        </w:trPr>
        <w:tc>
          <w:tcPr>
            <w:tcW w:w="5520" w:type="dxa"/>
            <w:vAlign w:val="bottom"/>
            <w:tcBorders>
              <w:bottom w:val="single" w:sz="8" w:color="auto"/>
            </w:tcBorders>
          </w:tcPr>
          <w:p>
            <w:pPr>
              <w:ind w:left="2380"/>
              <w:spacing w:after="0"/>
              <w:rPr>
                <w:sz w:val="20"/>
                <w:szCs w:val="20"/>
                <w:color w:val="auto"/>
              </w:rPr>
            </w:pPr>
            <w:r>
              <w:rPr>
                <w:rFonts w:ascii="Arial" w:cs="Arial" w:eastAsia="Arial" w:hAnsi="Arial"/>
                <w:sz w:val="18"/>
                <w:szCs w:val="18"/>
                <w:b w:val="1"/>
                <w:bCs w:val="1"/>
                <w:color w:val="auto"/>
              </w:rPr>
              <w:t>001-34785</w:t>
            </w:r>
          </w:p>
        </w:tc>
        <w:tc>
          <w:tcPr>
            <w:tcW w:w="220" w:type="dxa"/>
            <w:vAlign w:val="bottom"/>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4660" w:type="dxa"/>
            <w:vAlign w:val="bottom"/>
            <w:tcBorders>
              <w:bottom w:val="single" w:sz="8" w:color="auto"/>
            </w:tcBorders>
            <w:gridSpan w:val="3"/>
          </w:tcPr>
          <w:p>
            <w:pPr>
              <w:jc w:val="right"/>
              <w:ind w:right="2231"/>
              <w:spacing w:after="0"/>
              <w:rPr>
                <w:sz w:val="20"/>
                <w:szCs w:val="20"/>
                <w:color w:val="auto"/>
              </w:rPr>
            </w:pPr>
            <w:r>
              <w:rPr>
                <w:rFonts w:ascii="Arial" w:cs="Arial" w:eastAsia="Arial" w:hAnsi="Arial"/>
                <w:sz w:val="18"/>
                <w:szCs w:val="18"/>
                <w:b w:val="1"/>
                <w:bCs w:val="1"/>
                <w:color w:val="auto"/>
              </w:rPr>
              <w:t>20-4988129</w:t>
            </w:r>
          </w:p>
        </w:tc>
      </w:tr>
      <w:tr>
        <w:trPr>
          <w:trHeight w:val="226"/>
        </w:trPr>
        <w:tc>
          <w:tcPr>
            <w:tcW w:w="5520" w:type="dxa"/>
            <w:vAlign w:val="bottom"/>
          </w:tcPr>
          <w:p>
            <w:pPr>
              <w:ind w:left="1780"/>
              <w:spacing w:after="0"/>
              <w:rPr>
                <w:sz w:val="20"/>
                <w:szCs w:val="20"/>
                <w:color w:val="auto"/>
              </w:rPr>
            </w:pPr>
            <w:r>
              <w:rPr>
                <w:rFonts w:ascii="Arial" w:cs="Arial" w:eastAsia="Arial" w:hAnsi="Arial"/>
                <w:sz w:val="18"/>
                <w:szCs w:val="18"/>
                <w:color w:val="auto"/>
              </w:rPr>
              <w:t>(Commission File Number)</w:t>
            </w: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660" w:type="dxa"/>
            <w:vAlign w:val="bottom"/>
            <w:gridSpan w:val="3"/>
          </w:tcPr>
          <w:p>
            <w:pPr>
              <w:jc w:val="center"/>
              <w:ind w:right="751"/>
              <w:spacing w:after="0"/>
              <w:rPr>
                <w:sz w:val="20"/>
                <w:szCs w:val="20"/>
                <w:color w:val="auto"/>
              </w:rPr>
            </w:pPr>
            <w:r>
              <w:rPr>
                <w:rFonts w:ascii="Arial" w:cs="Arial" w:eastAsia="Arial" w:hAnsi="Arial"/>
                <w:sz w:val="18"/>
                <w:szCs w:val="18"/>
                <w:color w:val="auto"/>
                <w:w w:val="93"/>
              </w:rPr>
              <w:t>(IRS Employer Identification No.)</w:t>
            </w:r>
          </w:p>
        </w:tc>
      </w:tr>
      <w:tr>
        <w:trPr>
          <w:trHeight w:val="434"/>
        </w:trPr>
        <w:tc>
          <w:tcPr>
            <w:tcW w:w="6580" w:type="dxa"/>
            <w:vAlign w:val="bottom"/>
            <w:gridSpan w:val="3"/>
          </w:tcPr>
          <w:p>
            <w:pPr>
              <w:ind w:left="1780"/>
              <w:spacing w:after="0"/>
              <w:rPr>
                <w:sz w:val="20"/>
                <w:szCs w:val="20"/>
                <w:color w:val="auto"/>
              </w:rPr>
            </w:pPr>
            <w:r>
              <w:rPr>
                <w:rFonts w:ascii="Arial" w:cs="Arial" w:eastAsia="Arial" w:hAnsi="Arial"/>
                <w:sz w:val="18"/>
                <w:szCs w:val="18"/>
                <w:b w:val="1"/>
                <w:bCs w:val="1"/>
                <w:color w:val="auto"/>
              </w:rPr>
              <w:t>254 West 31st Street, 11th Floor, New York, New York</w:t>
            </w:r>
          </w:p>
        </w:tc>
        <w:tc>
          <w:tcPr>
            <w:tcW w:w="4660" w:type="dxa"/>
            <w:vAlign w:val="bottom"/>
            <w:gridSpan w:val="3"/>
          </w:tcPr>
          <w:p>
            <w:pPr>
              <w:jc w:val="right"/>
              <w:ind w:right="1371"/>
              <w:spacing w:after="0"/>
              <w:rPr>
                <w:sz w:val="20"/>
                <w:szCs w:val="20"/>
                <w:color w:val="auto"/>
              </w:rPr>
            </w:pPr>
            <w:r>
              <w:rPr>
                <w:rFonts w:ascii="Arial" w:cs="Arial" w:eastAsia="Arial" w:hAnsi="Arial"/>
                <w:sz w:val="18"/>
                <w:szCs w:val="18"/>
                <w:b w:val="1"/>
                <w:bCs w:val="1"/>
                <w:color w:val="auto"/>
              </w:rPr>
              <w:t>10001</w:t>
            </w:r>
          </w:p>
        </w:tc>
      </w:tr>
      <w:tr>
        <w:trPr>
          <w:trHeight w:val="226"/>
        </w:trPr>
        <w:tc>
          <w:tcPr>
            <w:tcW w:w="6580" w:type="dxa"/>
            <w:vAlign w:val="bottom"/>
            <w:tcBorders>
              <w:top w:val="single" w:sz="8" w:color="auto"/>
            </w:tcBorders>
            <w:gridSpan w:val="3"/>
          </w:tcPr>
          <w:p>
            <w:pPr>
              <w:ind w:left="2380"/>
              <w:spacing w:after="0"/>
              <w:rPr>
                <w:sz w:val="20"/>
                <w:szCs w:val="20"/>
                <w:color w:val="auto"/>
              </w:rPr>
            </w:pPr>
            <w:r>
              <w:rPr>
                <w:rFonts w:ascii="Arial" w:cs="Arial" w:eastAsia="Arial" w:hAnsi="Arial"/>
                <w:sz w:val="18"/>
                <w:szCs w:val="18"/>
                <w:color w:val="auto"/>
              </w:rPr>
              <w:t>(Address of Principal Executive Offices)</w:t>
            </w:r>
          </w:p>
        </w:tc>
        <w:tc>
          <w:tcPr>
            <w:tcW w:w="10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33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(Zip Code)</w:t>
            </w:r>
          </w:p>
        </w:tc>
      </w:tr>
    </w:tbl>
    <w:p>
      <w:pPr>
        <w:spacing w:after="0" w:line="18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(212) 309-7549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0" w:lineRule="exact"/>
        <w:rPr>
          <w:sz w:val="24"/>
          <w:szCs w:val="24"/>
          <w:color w:val="auto"/>
        </w:rPr>
      </w:pPr>
    </w:p>
    <w:p>
      <w:pPr>
        <w:spacing w:after="0" w:line="23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0" w:lineRule="exact"/>
        <w:rPr>
          <w:sz w:val="24"/>
          <w:szCs w:val="24"/>
          <w:color w:val="auto"/>
        </w:rPr>
      </w:pPr>
    </w:p>
    <w:p>
      <w:pPr>
        <w:jc w:val="both"/>
        <w:spacing w:after="0" w:line="270"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5" w:lineRule="exact"/>
        <w:rPr>
          <w:sz w:val="24"/>
          <w:szCs w:val="24"/>
          <w:color w:val="auto"/>
        </w:rPr>
      </w:pPr>
    </w:p>
    <w:p>
      <w:pPr>
        <w:ind w:left="640" w:hanging="313"/>
        <w:spacing w:after="0"/>
        <w:tabs>
          <w:tab w:leader="none" w:pos="6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9" w:lineRule="exact"/>
        <w:rPr>
          <w:rFonts w:ascii="MS PGothic" w:cs="MS PGothic" w:eastAsia="MS PGothic" w:hAnsi="MS PGothic"/>
          <w:sz w:val="18"/>
          <w:szCs w:val="18"/>
          <w:color w:val="auto"/>
        </w:rPr>
      </w:pPr>
    </w:p>
    <w:p>
      <w:pPr>
        <w:ind w:left="640" w:hanging="313"/>
        <w:spacing w:after="0"/>
        <w:tabs>
          <w:tab w:leader="none" w:pos="6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19" w:lineRule="exact"/>
        <w:rPr>
          <w:rFonts w:ascii="MS PGothic" w:cs="MS PGothic" w:eastAsia="MS PGothic" w:hAnsi="MS PGothic"/>
          <w:sz w:val="18"/>
          <w:szCs w:val="18"/>
          <w:color w:val="auto"/>
        </w:rPr>
      </w:pPr>
    </w:p>
    <w:p>
      <w:pPr>
        <w:ind w:left="640" w:hanging="313"/>
        <w:spacing w:after="0"/>
        <w:tabs>
          <w:tab w:leader="none" w:pos="6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9" w:lineRule="exact"/>
        <w:rPr>
          <w:rFonts w:ascii="MS PGothic" w:cs="MS PGothic" w:eastAsia="MS PGothic" w:hAnsi="MS PGothic"/>
          <w:sz w:val="18"/>
          <w:szCs w:val="18"/>
          <w:color w:val="auto"/>
        </w:rPr>
      </w:pPr>
    </w:p>
    <w:p>
      <w:pPr>
        <w:ind w:left="640" w:hanging="313"/>
        <w:spacing w:after="0"/>
        <w:tabs>
          <w:tab w:leader="none" w:pos="6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16"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480" w:type="dxa"/>
            <w:vAlign w:val="bottom"/>
            <w:gridSpan w:val="3"/>
          </w:tcPr>
          <w:p>
            <w:pPr>
              <w:spacing w:after="0"/>
              <w:rPr>
                <w:sz w:val="20"/>
                <w:szCs w:val="20"/>
                <w:color w:val="auto"/>
              </w:rPr>
            </w:pPr>
            <w:r>
              <w:rPr>
                <w:rFonts w:ascii="Arial" w:cs="Arial" w:eastAsia="Arial" w:hAnsi="Arial"/>
                <w:sz w:val="18"/>
                <w:szCs w:val="18"/>
                <w:b w:val="1"/>
                <w:bCs w:val="1"/>
                <w:color w:val="auto"/>
                <w:w w:val="90"/>
              </w:rPr>
              <w:t>Securities registered pursuant to Section 12(b) of the Act:</w:t>
            </w:r>
          </w:p>
        </w:tc>
        <w:tc>
          <w:tcPr>
            <w:tcW w:w="1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700" w:type="dxa"/>
            <w:vAlign w:val="bottom"/>
          </w:tcPr>
          <w:p>
            <w:pPr>
              <w:spacing w:after="0"/>
              <w:rPr>
                <w:sz w:val="20"/>
                <w:szCs w:val="20"/>
                <w:color w:val="auto"/>
              </w:rPr>
            </w:pPr>
          </w:p>
        </w:tc>
      </w:tr>
      <w:tr>
        <w:trPr>
          <w:trHeight w:val="448"/>
        </w:trPr>
        <w:tc>
          <w:tcPr>
            <w:tcW w:w="4480" w:type="dxa"/>
            <w:vAlign w:val="bottom"/>
            <w:gridSpan w:val="3"/>
          </w:tcPr>
          <w:p>
            <w:pPr>
              <w:jc w:val="center"/>
              <w:ind w:right="420"/>
              <w:spacing w:after="0"/>
              <w:rPr>
                <w:sz w:val="20"/>
                <w:szCs w:val="20"/>
                <w:color w:val="auto"/>
              </w:rPr>
            </w:pPr>
            <w:r>
              <w:rPr>
                <w:rFonts w:ascii="Arial" w:cs="Arial" w:eastAsia="Arial" w:hAnsi="Arial"/>
                <w:sz w:val="18"/>
                <w:szCs w:val="18"/>
                <w:b w:val="1"/>
                <w:bCs w:val="1"/>
                <w:color w:val="auto"/>
                <w:w w:val="86"/>
              </w:rPr>
              <w:t>Title of each class</w:t>
            </w:r>
          </w:p>
        </w:tc>
        <w:tc>
          <w:tcPr>
            <w:tcW w:w="20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9"/>
              </w:rPr>
              <w:t>Trading Symbol(s)</w:t>
            </w:r>
          </w:p>
        </w:tc>
        <w:tc>
          <w:tcPr>
            <w:tcW w:w="4700" w:type="dxa"/>
            <w:vAlign w:val="bottom"/>
          </w:tcPr>
          <w:p>
            <w:pPr>
              <w:jc w:val="center"/>
              <w:spacing w:after="0"/>
              <w:rPr>
                <w:sz w:val="20"/>
                <w:szCs w:val="20"/>
                <w:color w:val="auto"/>
              </w:rPr>
            </w:pPr>
            <w:r>
              <w:rPr>
                <w:rFonts w:ascii="Arial" w:cs="Arial" w:eastAsia="Arial" w:hAnsi="Arial"/>
                <w:sz w:val="18"/>
                <w:szCs w:val="18"/>
                <w:b w:val="1"/>
                <w:bCs w:val="1"/>
                <w:color w:val="auto"/>
                <w:w w:val="86"/>
              </w:rPr>
              <w:t>Name of each exchange on which registered</w:t>
            </w:r>
          </w:p>
        </w:tc>
      </w:tr>
      <w:tr>
        <w:trPr>
          <w:trHeight w:val="226"/>
        </w:trPr>
        <w:tc>
          <w:tcPr>
            <w:tcW w:w="40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Common Stock, par value $0.01 per share</w:t>
            </w:r>
          </w:p>
        </w:tc>
        <w:tc>
          <w:tcPr>
            <w:tcW w:w="1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940" w:type="dxa"/>
            <w:vAlign w:val="bottom"/>
            <w:tcBorders>
              <w:top w:val="single" w:sz="8" w:color="auto"/>
            </w:tcBorders>
          </w:tcPr>
          <w:p>
            <w:pPr>
              <w:jc w:val="center"/>
              <w:ind w:right="211"/>
              <w:spacing w:after="0"/>
              <w:rPr>
                <w:sz w:val="20"/>
                <w:szCs w:val="20"/>
                <w:color w:val="auto"/>
              </w:rPr>
            </w:pPr>
            <w:r>
              <w:rPr>
                <w:rFonts w:ascii="Arial" w:cs="Arial" w:eastAsia="Arial" w:hAnsi="Arial"/>
                <w:sz w:val="18"/>
                <w:szCs w:val="18"/>
                <w:color w:val="auto"/>
                <w:w w:val="91"/>
              </w:rPr>
              <w:t>XSPA</w:t>
            </w:r>
          </w:p>
        </w:tc>
        <w:tc>
          <w:tcPr>
            <w:tcW w:w="120" w:type="dxa"/>
            <w:vAlign w:val="bottom"/>
          </w:tcPr>
          <w:p>
            <w:pPr>
              <w:spacing w:after="0"/>
              <w:rPr>
                <w:sz w:val="19"/>
                <w:szCs w:val="19"/>
                <w:color w:val="auto"/>
              </w:rPr>
            </w:pPr>
          </w:p>
        </w:tc>
        <w:tc>
          <w:tcPr>
            <w:tcW w:w="47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The Nasdaq Stock Market</w:t>
            </w:r>
          </w:p>
        </w:tc>
      </w:tr>
    </w:tbl>
    <w:p>
      <w:pPr>
        <w:spacing w:after="0" w:line="186" w:lineRule="exact"/>
        <w:rPr>
          <w:sz w:val="24"/>
          <w:szCs w:val="24"/>
          <w:color w:val="auto"/>
        </w:rPr>
      </w:pPr>
    </w:p>
    <w:p>
      <w:pPr>
        <w:jc w:val="both"/>
        <w:ind w:right="20"/>
        <w:spacing w:after="0" w:line="270"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4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3" w:lineRule="exact"/>
        <w:rPr>
          <w:sz w:val="24"/>
          <w:szCs w:val="24"/>
          <w:color w:val="auto"/>
        </w:rPr>
      </w:pPr>
    </w:p>
    <w:p>
      <w:pPr>
        <w:jc w:val="both"/>
        <w:spacing w:after="0" w:line="23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158115</wp:posOffset>
            </wp:positionV>
            <wp:extent cx="71342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175260</wp:posOffset>
            </wp:positionV>
            <wp:extent cx="7134225"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4225" cy="2540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760095</wp:posOffset>
            </wp:positionV>
            <wp:extent cx="71342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45" w:right="339" w:bottom="1440" w:gutter="0" w:footer="0" w:header="0"/>
        </w:sectPr>
      </w:pPr>
    </w:p>
    <w:bookmarkStart w:id="1" w:name="page2"/>
    <w:bookmarkEnd w:id="1"/>
    <w:p>
      <w:pPr>
        <w:spacing w:after="0"/>
        <w:tabs>
          <w:tab w:leader="none" w:pos="126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24"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On September 13, XpresSpa Group, Inc. (Nasdaq: XSPA) (“XpresSpa” or the “Company”), a health and wellness company, announced that it will be presenting at the H.C. Wainwright 23rd Annual Global Investment Conference, which is being held as a virtual conference on September 13-15, 2021 and will be hosting meetings with institutional investors during the conference. A copy of the Company’s press release announcing the Company’s participation at the conference is furnished as Exhibit 99.1 to this Current Report on Form 8-K.</w:t>
      </w:r>
    </w:p>
    <w:p>
      <w:pPr>
        <w:spacing w:after="0" w:line="188" w:lineRule="exact"/>
        <w:rPr>
          <w:sz w:val="20"/>
          <w:szCs w:val="20"/>
          <w:color w:val="auto"/>
        </w:rPr>
      </w:pPr>
    </w:p>
    <w:p>
      <w:pPr>
        <w:jc w:val="both"/>
        <w:ind w:right="100"/>
        <w:spacing w:after="0" w:line="258" w:lineRule="auto"/>
        <w:rPr>
          <w:sz w:val="20"/>
          <w:szCs w:val="20"/>
          <w:color w:val="auto"/>
        </w:rPr>
      </w:pPr>
      <w:r>
        <w:rPr>
          <w:rFonts w:ascii="Arial" w:cs="Arial" w:eastAsia="Arial" w:hAnsi="Arial"/>
          <w:sz w:val="18"/>
          <w:szCs w:val="18"/>
          <w:color w:val="auto"/>
        </w:rPr>
        <w:t>During the conference and in its separate sessions with investors at the conference, Company senior will refer to an updated investor presentation, a copy of which is furnished as Exhibit 99.2 hereto and incorporated herein by reference. This presentation contains an overview of the Company as well as long-term revenue projections through 2025 for its three distinct brands.</w:t>
      </w:r>
    </w:p>
    <w:p>
      <w:pPr>
        <w:spacing w:after="0" w:line="186" w:lineRule="exact"/>
        <w:rPr>
          <w:sz w:val="20"/>
          <w:szCs w:val="20"/>
          <w:color w:val="auto"/>
        </w:rPr>
      </w:pPr>
    </w:p>
    <w:p>
      <w:pPr>
        <w:ind w:right="460"/>
        <w:spacing w:after="0" w:line="270" w:lineRule="auto"/>
        <w:rPr>
          <w:sz w:val="20"/>
          <w:szCs w:val="20"/>
          <w:color w:val="auto"/>
        </w:rPr>
      </w:pPr>
      <w:r>
        <w:rPr>
          <w:rFonts w:ascii="Arial" w:cs="Arial" w:eastAsia="Arial" w:hAnsi="Arial"/>
          <w:sz w:val="18"/>
          <w:szCs w:val="18"/>
          <w:color w:val="auto"/>
        </w:rPr>
        <w:t xml:space="preserve">Interested parties can access the investor presentation and a recorded webcast of the presentation, which will be archived for 90 days, at the Company’s Investor Relations section at website at </w:t>
      </w:r>
      <w:r>
        <w:rPr>
          <w:rFonts w:ascii="Arial" w:cs="Arial" w:eastAsia="Arial" w:hAnsi="Arial"/>
          <w:sz w:val="18"/>
          <w:szCs w:val="18"/>
          <w:u w:val="single" w:color="auto"/>
          <w:color w:val="auto"/>
        </w:rPr>
        <w:t>http://xpresspagroup.com</w:t>
      </w:r>
      <w:r>
        <w:rPr>
          <w:rFonts w:ascii="Arial" w:cs="Arial" w:eastAsia="Arial" w:hAnsi="Arial"/>
          <w:sz w:val="18"/>
          <w:szCs w:val="18"/>
          <w:color w:val="auto"/>
        </w:rPr>
        <w:t xml:space="preserve"> under “Investors.”</w:t>
      </w:r>
    </w:p>
    <w:p>
      <w:pPr>
        <w:spacing w:after="0" w:line="175"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The information furnished in, contained, or incorporated by reference into Item 7.01 above, including Exhibits 99.1 and 99.2 attached hereto, are being furnished and shall not be deemed “filed” for purposes of Section 18 of the Securities and Exchange Act of 1934 (the “Exchange Act”) or otherwise subject to the liabilities of that section, nor shall it be deemed incorporated by reference in any filing under the Securities Act of 1933 (the “Securities Act”), as amended, or the Exchange Act, regardless of any general incorporation language in such filing. In addition, this report (including Exhibits 99.1 and 99.2) shall not be deemed an admission as to the materiality of any information contained herein that is required to be disclosed solely as a requirement of Item 7.01.</w:t>
      </w:r>
    </w:p>
    <w:p>
      <w:pPr>
        <w:spacing w:after="0" w:line="190" w:lineRule="exact"/>
        <w:rPr>
          <w:sz w:val="20"/>
          <w:szCs w:val="20"/>
          <w:color w:val="auto"/>
        </w:rPr>
      </w:pPr>
    </w:p>
    <w:p>
      <w:pPr>
        <w:ind w:right="40"/>
        <w:spacing w:after="0" w:line="265" w:lineRule="auto"/>
        <w:rPr>
          <w:sz w:val="20"/>
          <w:szCs w:val="20"/>
          <w:color w:val="auto"/>
        </w:rPr>
      </w:pPr>
      <w:r>
        <w:rPr>
          <w:rFonts w:ascii="Arial" w:cs="Arial" w:eastAsia="Arial" w:hAnsi="Arial"/>
          <w:sz w:val="17"/>
          <w:szCs w:val="17"/>
          <w:color w:val="auto"/>
        </w:rPr>
        <w:t>This Current Report on Form 8-K and the investor presentation attached hereto as Exhibit 99.2 contain certain statements and projections that may be deemed to be “forward-looking statements” within the meaning of Section 27A of the Securities Act and Section 21E of the Exchange Act. All statements and projections in this report and in such exhibits not dealing with historical results are forward-looking and are based on various assumptions. The forward-looking statements in this report and in such exhibits are subject to risks and uncertainties that could cause actual results to differ materially from those expressed in or implied by the statements. Factors that may cause actual results to differ materially from those contemplated by such forward-looking statements and projections include, among other things: statements regarding the Company’s goals, intentions, and expectations; business plans and growth strategies; estimates of the Company’s risks and future costs and benefits; forecasted demographic and economic trends relating to the Company’s industry; and other risk factors referred to from time to time in filings made by the Company with the Securities and Exchange Commission. Forward-looking statements speak only as to the date they are made. The Company does not undertake to update forward-looking statements to reflect circumstances or events that occur after the date the forward-looking statements are made. The Company disclaims any intent or obligation to update these forward-looking statements.</w:t>
      </w:r>
    </w:p>
    <w:p>
      <w:pPr>
        <w:spacing w:after="0" w:line="184"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0" w:lineRule="exact"/>
        <w:rPr>
          <w:sz w:val="20"/>
          <w:szCs w:val="20"/>
          <w:color w:val="auto"/>
        </w:rPr>
      </w:pPr>
    </w:p>
    <w:p>
      <w:pPr>
        <w:ind w:left="720" w:hanging="713"/>
        <w:spacing w:after="0"/>
        <w:tabs>
          <w:tab w:leader="none" w:pos="72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40" w:type="dxa"/>
            <w:vAlign w:val="bottom"/>
          </w:tcPr>
          <w:p>
            <w:pPr>
              <w:spacing w:after="0"/>
              <w:rPr>
                <w:sz w:val="18"/>
                <w:szCs w:val="18"/>
                <w:color w:val="auto"/>
              </w:rPr>
            </w:pPr>
          </w:p>
        </w:tc>
        <w:tc>
          <w:tcPr>
            <w:tcW w:w="960" w:type="dxa"/>
            <w:vAlign w:val="bottom"/>
            <w:gridSpan w:val="3"/>
          </w:tcPr>
          <w:p>
            <w:pPr>
              <w:spacing w:after="0"/>
              <w:rPr>
                <w:sz w:val="20"/>
                <w:szCs w:val="20"/>
                <w:color w:val="auto"/>
              </w:rPr>
            </w:pPr>
            <w:r>
              <w:rPr>
                <w:rFonts w:ascii="Arial" w:cs="Arial" w:eastAsia="Arial" w:hAnsi="Arial"/>
                <w:sz w:val="18"/>
                <w:szCs w:val="18"/>
                <w:color w:val="auto"/>
              </w:rPr>
              <w:t>Exhibit</w:t>
            </w:r>
          </w:p>
        </w:tc>
        <w:tc>
          <w:tcPr>
            <w:tcW w:w="16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6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26"/>
        </w:trPr>
        <w:tc>
          <w:tcPr>
            <w:tcW w:w="640" w:type="dxa"/>
            <w:vAlign w:val="bottom"/>
          </w:tcPr>
          <w:p>
            <w:pPr>
              <w:spacing w:after="0"/>
              <w:rPr>
                <w:sz w:val="19"/>
                <w:szCs w:val="19"/>
                <w:color w:val="auto"/>
              </w:rPr>
            </w:pPr>
          </w:p>
        </w:tc>
        <w:tc>
          <w:tcPr>
            <w:tcW w:w="960" w:type="dxa"/>
            <w:vAlign w:val="bottom"/>
            <w:gridSpan w:val="3"/>
          </w:tcPr>
          <w:p>
            <w:pPr>
              <w:spacing w:after="0"/>
              <w:rPr>
                <w:sz w:val="20"/>
                <w:szCs w:val="20"/>
                <w:color w:val="auto"/>
              </w:rPr>
            </w:pPr>
            <w:r>
              <w:rPr>
                <w:rFonts w:ascii="Arial" w:cs="Arial" w:eastAsia="Arial" w:hAnsi="Arial"/>
                <w:sz w:val="18"/>
                <w:szCs w:val="18"/>
                <w:color w:val="auto"/>
              </w:rPr>
              <w:t>Number</w:t>
            </w:r>
          </w:p>
        </w:tc>
        <w:tc>
          <w:tcPr>
            <w:tcW w:w="9600" w:type="dxa"/>
            <w:vAlign w:val="bottom"/>
            <w:gridSpan w:val="3"/>
          </w:tcPr>
          <w:p>
            <w:pPr>
              <w:spacing w:after="0"/>
              <w:rPr>
                <w:sz w:val="20"/>
                <w:szCs w:val="20"/>
                <w:color w:val="auto"/>
              </w:rPr>
            </w:pPr>
            <w:r>
              <w:rPr>
                <w:rFonts w:ascii="Arial" w:cs="Arial" w:eastAsia="Arial" w:hAnsi="Arial"/>
                <w:sz w:val="18"/>
                <w:szCs w:val="18"/>
                <w:color w:val="auto"/>
              </w:rPr>
              <w:t>Description</w:t>
            </w:r>
          </w:p>
        </w:tc>
        <w:tc>
          <w:tcPr>
            <w:tcW w:w="40" w:type="dxa"/>
            <w:vAlign w:val="bottom"/>
          </w:tcPr>
          <w:p>
            <w:pPr>
              <w:spacing w:after="0"/>
              <w:rPr>
                <w:sz w:val="19"/>
                <w:szCs w:val="19"/>
                <w:color w:val="auto"/>
              </w:rPr>
            </w:pPr>
          </w:p>
        </w:tc>
      </w:tr>
      <w:tr>
        <w:trPr>
          <w:trHeight w:val="168"/>
        </w:trPr>
        <w:tc>
          <w:tcPr>
            <w:tcW w:w="640" w:type="dxa"/>
            <w:vAlign w:val="bottom"/>
          </w:tcPr>
          <w:p>
            <w:pPr>
              <w:spacing w:after="0"/>
              <w:rPr>
                <w:sz w:val="14"/>
                <w:szCs w:val="14"/>
                <w:color w:val="auto"/>
              </w:rPr>
            </w:pPr>
          </w:p>
        </w:tc>
        <w:tc>
          <w:tcPr>
            <w:tcW w:w="320" w:type="dxa"/>
            <w:vAlign w:val="bottom"/>
            <w:tcBorders>
              <w:top w:val="single" w:sz="8" w:color="auto"/>
            </w:tcBorders>
          </w:tcPr>
          <w:p>
            <w:pPr>
              <w:spacing w:after="0" w:line="168" w:lineRule="exact"/>
              <w:rPr>
                <w:rFonts w:ascii="Arial" w:cs="Arial" w:eastAsia="Arial" w:hAnsi="Arial"/>
                <w:sz w:val="18"/>
                <w:szCs w:val="18"/>
                <w:color w:val="0000EE"/>
                <w:w w:val="85"/>
              </w:rPr>
            </w:pPr>
            <w:hyperlink w:anchor="page4">
              <w:r>
                <w:rPr>
                  <w:rFonts w:ascii="Arial" w:cs="Arial" w:eastAsia="Arial" w:hAnsi="Arial"/>
                  <w:sz w:val="18"/>
                  <w:szCs w:val="18"/>
                  <w:color w:val="0000EE"/>
                  <w:w w:val="85"/>
                </w:rPr>
                <w:t>99.</w:t>
              </w:r>
              <w:r>
                <w:rPr>
                  <w:rFonts w:ascii="Arial" w:cs="Arial" w:eastAsia="Arial" w:hAnsi="Arial"/>
                  <w:sz w:val="18"/>
                  <w:szCs w:val="18"/>
                  <w:u w:val="single" w:color="auto"/>
                  <w:color w:val="0000EE"/>
                  <w:w w:val="85"/>
                </w:rPr>
                <w:t>1</w:t>
              </w:r>
            </w:hyperlink>
          </w:p>
        </w:tc>
        <w:tc>
          <w:tcPr>
            <w:tcW w:w="5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600" w:type="dxa"/>
            <w:vAlign w:val="bottom"/>
            <w:tcBorders>
              <w:top w:val="single" w:sz="8" w:color="auto"/>
            </w:tcBorders>
            <w:gridSpan w:val="3"/>
          </w:tcPr>
          <w:p>
            <w:pPr>
              <w:spacing w:after="0" w:line="168" w:lineRule="exact"/>
              <w:rPr>
                <w:rFonts w:ascii="Arial" w:cs="Arial" w:eastAsia="Arial" w:hAnsi="Arial"/>
                <w:sz w:val="18"/>
                <w:szCs w:val="18"/>
                <w:color w:val="0000EE"/>
              </w:rPr>
            </w:pPr>
            <w:hyperlink w:anchor="page4">
              <w:r>
                <w:rPr>
                  <w:rFonts w:ascii="Arial" w:cs="Arial" w:eastAsia="Arial" w:hAnsi="Arial"/>
                  <w:sz w:val="18"/>
                  <w:szCs w:val="18"/>
                  <w:color w:val="0000EE"/>
                </w:rPr>
                <w:t>Press Release, dated September 13, 2021</w:t>
              </w:r>
            </w:hyperlink>
          </w:p>
        </w:tc>
        <w:tc>
          <w:tcPr>
            <w:tcW w:w="40" w:type="dxa"/>
            <w:vAlign w:val="bottom"/>
          </w:tcPr>
          <w:p>
            <w:pPr>
              <w:spacing w:after="0"/>
              <w:rPr>
                <w:sz w:val="14"/>
                <w:szCs w:val="14"/>
                <w:color w:val="auto"/>
              </w:rPr>
            </w:pPr>
          </w:p>
        </w:tc>
      </w:tr>
      <w:tr>
        <w:trPr>
          <w:trHeight w:val="193"/>
        </w:trPr>
        <w:tc>
          <w:tcPr>
            <w:tcW w:w="640" w:type="dxa"/>
            <w:vAlign w:val="bottom"/>
          </w:tcPr>
          <w:p>
            <w:pPr>
              <w:spacing w:after="0"/>
              <w:rPr>
                <w:sz w:val="16"/>
                <w:szCs w:val="16"/>
                <w:color w:val="auto"/>
              </w:rPr>
            </w:pPr>
          </w:p>
        </w:tc>
        <w:tc>
          <w:tcPr>
            <w:tcW w:w="320" w:type="dxa"/>
            <w:vAlign w:val="bottom"/>
            <w:tcBorders>
              <w:top w:val="single" w:sz="8" w:color="0000EE"/>
            </w:tcBorders>
          </w:tcPr>
          <w:p>
            <w:pPr>
              <w:spacing w:after="0" w:line="194" w:lineRule="exact"/>
              <w:rPr>
                <w:rFonts w:ascii="Arial" w:cs="Arial" w:eastAsia="Arial" w:hAnsi="Arial"/>
                <w:sz w:val="18"/>
                <w:szCs w:val="18"/>
                <w:color w:val="0000EE"/>
                <w:w w:val="85"/>
              </w:rPr>
            </w:pPr>
            <w:hyperlink w:anchor="page6">
              <w:r>
                <w:rPr>
                  <w:rFonts w:ascii="Arial" w:cs="Arial" w:eastAsia="Arial" w:hAnsi="Arial"/>
                  <w:sz w:val="18"/>
                  <w:szCs w:val="18"/>
                  <w:color w:val="0000EE"/>
                  <w:w w:val="85"/>
                </w:rPr>
                <w:t>99.</w:t>
              </w:r>
              <w:r>
                <w:rPr>
                  <w:rFonts w:ascii="Arial" w:cs="Arial" w:eastAsia="Arial" w:hAnsi="Arial"/>
                  <w:sz w:val="18"/>
                  <w:szCs w:val="18"/>
                  <w:u w:val="single" w:color="auto"/>
                  <w:color w:val="0000EE"/>
                  <w:w w:val="85"/>
                </w:rPr>
                <w:t>2</w:t>
              </w:r>
            </w:hyperlink>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20" w:type="dxa"/>
            <w:vAlign w:val="bottom"/>
            <w:tcBorders>
              <w:top w:val="single" w:sz="8" w:color="0000EE"/>
            </w:tcBorders>
            <w:gridSpan w:val="2"/>
          </w:tcPr>
          <w:p>
            <w:pPr>
              <w:spacing w:after="0" w:line="194" w:lineRule="exact"/>
              <w:rPr>
                <w:rFonts w:ascii="Arial" w:cs="Arial" w:eastAsia="Arial" w:hAnsi="Arial"/>
                <w:sz w:val="18"/>
                <w:szCs w:val="18"/>
                <w:color w:val="0000EE"/>
              </w:rPr>
            </w:pPr>
            <w:hyperlink w:anchor="page6">
              <w:r>
                <w:rPr>
                  <w:rFonts w:ascii="Arial" w:cs="Arial" w:eastAsia="Arial" w:hAnsi="Arial"/>
                  <w:sz w:val="18"/>
                  <w:szCs w:val="18"/>
                  <w:color w:val="0000EE"/>
                </w:rPr>
                <w:t>Corporate Presentation</w:t>
              </w:r>
            </w:hyperlink>
          </w:p>
        </w:tc>
        <w:tc>
          <w:tcPr>
            <w:tcW w:w="668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0"/>
        </w:trPr>
        <w:tc>
          <w:tcPr>
            <w:tcW w:w="6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79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2"/>
        </w:trPr>
        <w:tc>
          <w:tcPr>
            <w:tcW w:w="640" w:type="dxa"/>
            <w:vAlign w:val="bottom"/>
          </w:tcPr>
          <w:p>
            <w:pPr>
              <w:spacing w:after="0"/>
              <w:rPr>
                <w:sz w:val="20"/>
                <w:szCs w:val="20"/>
                <w:color w:val="auto"/>
              </w:rPr>
            </w:pPr>
          </w:p>
        </w:tc>
        <w:tc>
          <w:tcPr>
            <w:tcW w:w="320" w:type="dxa"/>
            <w:vAlign w:val="bottom"/>
          </w:tcPr>
          <w:p>
            <w:pPr>
              <w:spacing w:after="0"/>
              <w:rPr>
                <w:sz w:val="20"/>
                <w:szCs w:val="20"/>
                <w:color w:val="auto"/>
              </w:rPr>
            </w:pPr>
            <w:r>
              <w:rPr>
                <w:rFonts w:ascii="Arial" w:cs="Arial" w:eastAsia="Arial" w:hAnsi="Arial"/>
                <w:sz w:val="18"/>
                <w:szCs w:val="18"/>
                <w:color w:val="auto"/>
                <w:w w:val="99"/>
              </w:rPr>
              <w:t>104</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0" w:type="dxa"/>
            <w:vAlign w:val="bottom"/>
            <w:gridSpan w:val="3"/>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40" w:type="dxa"/>
            <w:vAlign w:val="bottom"/>
          </w:tcPr>
          <w:p>
            <w:pPr>
              <w:spacing w:after="0"/>
              <w:rPr>
                <w:sz w:val="20"/>
                <w:szCs w:val="20"/>
                <w:color w:val="auto"/>
              </w:rPr>
            </w:pPr>
          </w:p>
        </w:tc>
      </w:tr>
      <w:tr>
        <w:trPr>
          <w:trHeight w:val="669"/>
        </w:trPr>
        <w:tc>
          <w:tcPr>
            <w:tcW w:w="6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66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95"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4" w:lineRule="exact"/>
        <w:rPr>
          <w:sz w:val="20"/>
          <w:szCs w:val="20"/>
          <w:color w:val="auto"/>
        </w:rPr>
      </w:pPr>
    </w:p>
    <w:p>
      <w:pPr>
        <w:spacing w:after="0" w:line="270"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1"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XpresSpa Group, Inc.</w:t>
      </w:r>
    </w:p>
    <w:p>
      <w:pPr>
        <w:spacing w:after="0" w:line="224" w:lineRule="exact"/>
        <w:rPr>
          <w:sz w:val="20"/>
          <w:szCs w:val="20"/>
          <w:color w:val="auto"/>
        </w:rPr>
      </w:pPr>
    </w:p>
    <w:p>
      <w:pPr>
        <w:spacing w:after="0"/>
        <w:tabs>
          <w:tab w:leader="none" w:pos="5620" w:val="left"/>
          <w:tab w:leader="none" w:pos="6180" w:val="left"/>
        </w:tabs>
        <w:rPr>
          <w:sz w:val="20"/>
          <w:szCs w:val="20"/>
          <w:color w:val="auto"/>
        </w:rPr>
      </w:pPr>
      <w:r>
        <w:rPr>
          <w:rFonts w:ascii="Arial" w:cs="Arial" w:eastAsia="Arial" w:hAnsi="Arial"/>
          <w:sz w:val="18"/>
          <w:szCs w:val="18"/>
          <w:color w:val="auto"/>
        </w:rPr>
        <w:t>Date: September 13,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4"/>
          <w:szCs w:val="14"/>
          <w:i w:val="1"/>
          <w:iCs w:val="1"/>
          <w:color w:val="auto"/>
        </w:rPr>
        <w:t>/s/ Douglas Satzman</w:t>
      </w:r>
    </w:p>
    <w:p>
      <w:pPr>
        <w:spacing w:after="0" w:line="3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Douglas Satzman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3935730</wp:posOffset>
            </wp:positionH>
            <wp:positionV relativeFrom="paragraph">
              <wp:posOffset>-121920</wp:posOffset>
            </wp:positionV>
            <wp:extent cx="32029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02940" cy="8255"/>
                    </a:xfrm>
                    <a:prstGeom prst="rect">
                      <a:avLst/>
                    </a:prstGeom>
                    <a:noFill/>
                  </pic:spPr>
                </pic:pic>
              </a:graphicData>
            </a:graphic>
          </wp:anchor>
        </w:drawing>
      </w:r>
    </w:p>
    <w:p>
      <w:pPr>
        <w:spacing w:after="0" w:line="1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428625</wp:posOffset>
            </wp:positionV>
            <wp:extent cx="713422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1"/>
          <w:szCs w:val="21"/>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2537460</wp:posOffset>
            </wp:positionH>
            <wp:positionV relativeFrom="paragraph">
              <wp:posOffset>169545</wp:posOffset>
            </wp:positionV>
            <wp:extent cx="2075815" cy="3473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075815" cy="347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3040"/>
        <w:spacing w:after="0"/>
        <w:rPr>
          <w:sz w:val="20"/>
          <w:szCs w:val="20"/>
          <w:color w:val="auto"/>
        </w:rPr>
      </w:pPr>
      <w:r>
        <w:rPr>
          <w:rFonts w:ascii="Arial" w:cs="Arial" w:eastAsia="Arial" w:hAnsi="Arial"/>
          <w:sz w:val="25"/>
          <w:szCs w:val="25"/>
          <w:b w:val="1"/>
          <w:bCs w:val="1"/>
          <w:color w:val="auto"/>
        </w:rPr>
        <w:t>XpresSpa Group Announces Participation at the</w:t>
      </w:r>
    </w:p>
    <w:p>
      <w:pPr>
        <w:ind w:left="2360"/>
        <w:spacing w:after="0" w:line="193" w:lineRule="auto"/>
        <w:rPr>
          <w:sz w:val="20"/>
          <w:szCs w:val="20"/>
          <w:color w:val="auto"/>
        </w:rPr>
      </w:pPr>
      <w:r>
        <w:rPr>
          <w:rFonts w:ascii="Arial" w:cs="Arial" w:eastAsia="Arial" w:hAnsi="Arial"/>
          <w:sz w:val="25"/>
          <w:szCs w:val="25"/>
          <w:b w:val="1"/>
          <w:bCs w:val="1"/>
          <w:color w:val="auto"/>
        </w:rPr>
        <w:t>H.C. Wainwright 23</w:t>
      </w:r>
      <w:r>
        <w:rPr>
          <w:rFonts w:ascii="Arial" w:cs="Arial" w:eastAsia="Arial" w:hAnsi="Arial"/>
          <w:sz w:val="41"/>
          <w:szCs w:val="41"/>
          <w:b w:val="1"/>
          <w:bCs w:val="1"/>
          <w:color w:val="auto"/>
          <w:vertAlign w:val="superscript"/>
        </w:rPr>
        <w:t>rd</w:t>
      </w:r>
      <w:r>
        <w:rPr>
          <w:rFonts w:ascii="Arial" w:cs="Arial" w:eastAsia="Arial" w:hAnsi="Arial"/>
          <w:sz w:val="25"/>
          <w:szCs w:val="25"/>
          <w:b w:val="1"/>
          <w:bCs w:val="1"/>
          <w:color w:val="auto"/>
        </w:rPr>
        <w:t xml:space="preserve"> Annual Global Investment Conference</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September 13-15, 2021 (Virtual Conference)</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Posts Updated Presentation to Investor Relations Website that Includes Long-Term Revenue Projections</w:t>
      </w:r>
    </w:p>
    <w:p>
      <w:pPr>
        <w:spacing w:after="0" w:line="220"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New York, September 13, 2021 - XpresSpa Group, Inc. (Nasdaq: XSPA) (“XpresSpa” or the “Company”), a health and wellness company, today announced it will be featured as a presenting company at the H.C. Wainwright 23</w:t>
      </w:r>
      <w:r>
        <w:rPr>
          <w:rFonts w:ascii="Arial" w:cs="Arial" w:eastAsia="Arial" w:hAnsi="Arial"/>
          <w:sz w:val="28"/>
          <w:szCs w:val="28"/>
          <w:color w:val="auto"/>
          <w:vertAlign w:val="superscript"/>
        </w:rPr>
        <w:t>rd</w:t>
      </w:r>
      <w:r>
        <w:rPr>
          <w:rFonts w:ascii="Arial" w:cs="Arial" w:eastAsia="Arial" w:hAnsi="Arial"/>
          <w:sz w:val="17"/>
          <w:szCs w:val="17"/>
          <w:color w:val="auto"/>
        </w:rPr>
        <w:t xml:space="preserve"> Annual Global Investment Virtual Conference. The Company will also be hosting meetings with institutional investors. The conference is being held as a virtual conference on September 13-15, 2021.</w:t>
      </w:r>
    </w:p>
    <w:p>
      <w:pPr>
        <w:spacing w:after="0" w:line="20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Doug Satzman, CEO of XpresSpa, will provide an overview of the Company's business during the presentation. If you are an institutional or retail investor, and would like to listen to the Company’s presentation, please click on the following link (</w:t>
      </w:r>
      <w:r>
        <w:rPr>
          <w:rFonts w:ascii="Arial" w:cs="Arial" w:eastAsia="Arial" w:hAnsi="Arial"/>
          <w:sz w:val="18"/>
          <w:szCs w:val="18"/>
          <w:u w:val="single" w:color="auto"/>
          <w:color w:val="auto"/>
        </w:rPr>
        <w:t>www.hcwevents.com/annualconference</w:t>
      </w:r>
      <w:r>
        <w:rPr>
          <w:rFonts w:ascii="Arial" w:cs="Arial" w:eastAsia="Arial" w:hAnsi="Arial"/>
          <w:sz w:val="18"/>
          <w:szCs w:val="18"/>
          <w:color w:val="auto"/>
        </w:rPr>
        <w:t xml:space="preserve">) to register for the conference. You may also listen to the company presentation online at: </w:t>
      </w:r>
      <w:r>
        <w:rPr>
          <w:rFonts w:ascii="Arial" w:cs="Arial" w:eastAsia="Arial" w:hAnsi="Arial"/>
          <w:sz w:val="18"/>
          <w:szCs w:val="18"/>
          <w:u w:val="single" w:color="auto"/>
          <w:color w:val="auto"/>
        </w:rPr>
        <w:t>https://journey.ct.events/view/d2d62183-481d-435e-bbd4-db195039d4fc</w:t>
      </w:r>
      <w:r>
        <w:rPr>
          <w:rFonts w:ascii="Arial" w:cs="Arial" w:eastAsia="Arial" w:hAnsi="Arial"/>
          <w:sz w:val="18"/>
          <w:szCs w:val="18"/>
          <w:color w:val="auto"/>
        </w:rPr>
        <w:t>, starting on September 13, 2021 at 7:00 A.M. ET, and archived for 90 days. Over 750 corporate presentations and panels are available live and on-demand on September 13, 2021, starting at 7:00 A.M. (ET).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Event: H.C. Wainwright 23</w:t>
      </w:r>
      <w:r>
        <w:rPr>
          <w:rFonts w:ascii="Arial" w:cs="Arial" w:eastAsia="Arial" w:hAnsi="Arial"/>
          <w:sz w:val="29"/>
          <w:szCs w:val="29"/>
          <w:color w:val="auto"/>
          <w:vertAlign w:val="superscript"/>
        </w:rPr>
        <w:t>rd</w:t>
      </w:r>
      <w:r>
        <w:rPr>
          <w:rFonts w:ascii="Arial" w:cs="Arial" w:eastAsia="Arial" w:hAnsi="Arial"/>
          <w:sz w:val="18"/>
          <w:szCs w:val="18"/>
          <w:color w:val="auto"/>
        </w:rPr>
        <w:t xml:space="preserve"> Annual Global Investment Conference (Virtual Conference)</w:t>
      </w:r>
    </w:p>
    <w:p>
      <w:pPr>
        <w:spacing w:after="0"/>
        <w:rPr>
          <w:sz w:val="20"/>
          <w:szCs w:val="20"/>
          <w:color w:val="auto"/>
        </w:rPr>
      </w:pPr>
      <w:r>
        <w:rPr>
          <w:rFonts w:ascii="Arial" w:cs="Arial" w:eastAsia="Arial" w:hAnsi="Arial"/>
          <w:sz w:val="18"/>
          <w:szCs w:val="18"/>
          <w:color w:val="auto"/>
        </w:rPr>
        <w:t>Date: September 13-15, 2021</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Time: 7:00 A.M. (Eastern Time)</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Location: Virtual Conference</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Company Webcasting Link: </w:t>
      </w:r>
      <w:r>
        <w:rPr>
          <w:rFonts w:ascii="Arial" w:cs="Arial" w:eastAsia="Arial" w:hAnsi="Arial"/>
          <w:sz w:val="18"/>
          <w:szCs w:val="18"/>
          <w:u w:val="single" w:color="auto"/>
          <w:color w:val="auto"/>
        </w:rPr>
        <w:t>https://journey.ct.events/view/d2d62183-481d-435e-bbd4-db195039d4fc</w:t>
      </w:r>
    </w:p>
    <w:p>
      <w:pPr>
        <w:spacing w:after="0" w:line="207"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XpresSpa also posted an updated presentation to the Investor Relations section of the corporate website. This presentation contains an overview of the Company as well as long-term revenue projections through 2025 for its three distinct brands.</w:t>
      </w:r>
    </w:p>
    <w:p>
      <w:pPr>
        <w:spacing w:after="0" w:line="17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“We are very pleased to be furnishing an updated presentation to our investors which discusses our current business and the opportunity we see ahead. As our projections suggest, we are very bullish on our future and believe that we can reach $500 million in annual revenue by the end of 2025, representing a substantial increase from current levels,” said Doug Satzman, XpresSpa CEO.</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XpresSpa Group, Inc.</w:t>
      </w:r>
    </w:p>
    <w:p>
      <w:pPr>
        <w:spacing w:after="0" w:line="22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XpresSpa Group, Inc. (Nasdaq: XSPA) is a leading global health and wellness holding company operating three distinct brands: Treat™, XpresCheck™, and XpresSpa™. Treat is a travel health and wellness brand that will be providing on-demand access to healthcare through technology and personalized services. XpresCheck is a leading on-site airport provider of COVID-19 screening and testing with 13 locations in 11 domestic airports. XpresSpa is a leading airport retailer of spa services and related health and wellness products, with 43 locations in 21 airports globally.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398780</wp:posOffset>
            </wp:positionV>
            <wp:extent cx="713422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To learn more about XpresSpa Group, visit: www.XpresSpaGroup.com.</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To learn more about Treat, visit: www.TreatCare.com.</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To learn more about XpresCheck, visit: www.XpresCheck.com.</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To learn more about XpresSpa, visit www.XpresSpa.com.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Twitter: @Treat_Care and Instagram: @treat_care</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Twitter: @xprescheck and Instagram: @realxprescheck</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Twitter: @XpresSpa and Instagram: @XpresSpa</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4"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This press release may contain "forward-looking" statements within the meaning of Section 27A of the Securities Act of 1933, and Section 21E of the Securities Exchange Act of 1934. These include statements preceded by, followed by or that otherwise include the words "believes," "expects," "anticipates," "estimates," "projects," "intends," "should," "seeks," "future," "continue," or the negative of such terms, or other comparable terminology. Forward-looking statements relating to expectations about future results or events are based upon information available to XpresSpa Group as of today's date and are not guarantees of the future performance of the Company, and actual results may vary materially from the results and expectations discussed. Additional information concerning these and other risks is contained in XpresSpa Group’s most recently filed Annual Report on Form 10-K, Quarterly Reports on Form 10-Q and Current Reports on Form 8-K, and other Securities and Exchange Commission filings. All subsequent written and oral forward-looking statements concerning XpresSpa Group, or other matters and attributable to XpresSpa Group or any person acting on its behalf are expressly qualified in their entirety by the cautionary statements above. XpresSpa Group does not undertake any obligation to publicly update any of these forward-looking statements to reflect events or circumstances that may arise after the date hereof.</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H.C. Wainwright &amp; Co.</w:t>
      </w:r>
    </w:p>
    <w:p>
      <w:pPr>
        <w:spacing w:after="0" w:line="23" w:lineRule="exact"/>
        <w:rPr>
          <w:sz w:val="20"/>
          <w:szCs w:val="20"/>
          <w:color w:val="auto"/>
        </w:rPr>
      </w:pPr>
    </w:p>
    <w:p>
      <w:pPr>
        <w:ind w:right="420"/>
        <w:spacing w:after="0" w:line="278" w:lineRule="auto"/>
        <w:rPr>
          <w:sz w:val="20"/>
          <w:szCs w:val="20"/>
          <w:color w:val="auto"/>
        </w:rPr>
      </w:pPr>
      <w:r>
        <w:rPr>
          <w:rFonts w:ascii="Arial" w:cs="Arial" w:eastAsia="Arial" w:hAnsi="Arial"/>
          <w:sz w:val="16"/>
          <w:szCs w:val="16"/>
          <w:color w:val="auto"/>
        </w:rPr>
        <w:t>H.C. Wainwright is a full-service investment bank dedicated to providing corporate finance, strategic advisory and related services to public and private companies across multiple sectors and regions. H.C. Wainwright &amp; Co. also provides research and sales and trading services to institutional</w:t>
      </w:r>
    </w:p>
    <w:p>
      <w:pPr>
        <w:spacing w:after="0" w:line="1"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 xml:space="preserve">investors. According to Sagient Research Systems, H.C. Wainwright’s team is ranked as the #1 Placement Agent in terms of aggregate CMPO (confidentially marketed public offering), RD (registered direct offering) and PIPE (private investment in public equity) executed cumulatively since 1998. For more information visit H.C. Wainwright &amp; Co. on the web at </w:t>
      </w:r>
      <w:r>
        <w:rPr>
          <w:rFonts w:ascii="Arial" w:cs="Arial" w:eastAsia="Arial" w:hAnsi="Arial"/>
          <w:sz w:val="18"/>
          <w:szCs w:val="18"/>
          <w:u w:val="single" w:color="auto"/>
          <w:color w:val="auto"/>
        </w:rPr>
        <w:t>www.hcwco.com</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ICR</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Raphael Gross</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ir@xpresspagroup.com</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(203) 682-8253</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Julie Ferguson</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Julie@jfprmedia.com</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(312) 385-0098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428625</wp:posOffset>
            </wp:positionV>
            <wp:extent cx="71342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5" w:name="page6"/>
    <w:bookmarkEnd w:id="5"/>
    <w:p>
      <w:pPr>
        <w:ind w:left="9040"/>
        <w:spacing w:after="0"/>
        <w:rPr>
          <w:sz w:val="20"/>
          <w:szCs w:val="20"/>
          <w:color w:val="auto"/>
        </w:rPr>
      </w:pPr>
      <w:r>
        <w:rPr>
          <w:rFonts w:ascii="Arial" w:cs="Arial" w:eastAsia="Arial" w:hAnsi="Arial"/>
          <w:sz w:val="19"/>
          <w:szCs w:val="19"/>
          <w:color w:val="auto"/>
        </w:rPr>
        <w:t>E</w:t>
      </w:r>
      <w:r>
        <w:rPr>
          <w:rFonts w:ascii="Arial" w:cs="Arial" w:eastAsia="Arial" w:hAnsi="Arial"/>
          <w:sz w:val="19"/>
          <w:szCs w:val="19"/>
          <w:b w:val="1"/>
          <w:bCs w:val="1"/>
          <w:color w:val="auto"/>
        </w:rPr>
        <w:t>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184150</wp:posOffset>
            </wp:positionV>
            <wp:extent cx="7196455" cy="54057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96455" cy="5405755"/>
                    </a:xfrm>
                    <a:prstGeom prst="rect">
                      <a:avLst/>
                    </a:prstGeom>
                    <a:noFill/>
                  </pic:spPr>
                </pic:pic>
              </a:graphicData>
            </a:graphic>
          </wp:anchor>
        </w:drawing>
      </w:r>
    </w:p>
    <w:p>
      <w:pPr>
        <w:sectPr>
          <w:pgSz w:w="11900" w:h="16838" w:orient="portrait"/>
          <w:cols w:equalWidth="0" w:num="1">
            <w:col w:w="10120"/>
          </w:cols>
          <w:pgMar w:left="1440" w:top="111" w:right="339" w:bottom="1440"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309245</wp:posOffset>
            </wp:positionV>
            <wp:extent cx="7196455" cy="54057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7196455" cy="54057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309245</wp:posOffset>
            </wp:positionV>
            <wp:extent cx="7196455" cy="54057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7196455" cy="54057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309245</wp:posOffset>
            </wp:positionV>
            <wp:extent cx="7196455" cy="54057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7196455" cy="54057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309245</wp:posOffset>
            </wp:positionV>
            <wp:extent cx="7196455" cy="54057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7196455" cy="54057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309245</wp:posOffset>
            </wp:positionV>
            <wp:extent cx="7196455" cy="54057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7196455" cy="54057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309245</wp:posOffset>
            </wp:positionV>
            <wp:extent cx="7196455" cy="54057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7196455" cy="54057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309245</wp:posOffset>
            </wp:positionV>
            <wp:extent cx="7196455" cy="54057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7196455" cy="54057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309245</wp:posOffset>
            </wp:positionV>
            <wp:extent cx="7196455" cy="54057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7196455" cy="54057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309245</wp:posOffset>
            </wp:positionV>
            <wp:extent cx="7196455" cy="54057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7196455" cy="54057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309245</wp:posOffset>
            </wp:positionV>
            <wp:extent cx="7196455" cy="54057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7196455" cy="54057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309245</wp:posOffset>
            </wp:positionV>
            <wp:extent cx="7196455" cy="54057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7196455" cy="54057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309245</wp:posOffset>
            </wp:positionV>
            <wp:extent cx="7196455" cy="54057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7196455" cy="540575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2021-09-13T06:12:24Z</dcterms:created>
  <dcterms:modified xsi:type="dcterms:W3CDTF">2021-09-13T06:12:24Z</dcterms:modified>
</cp:coreProperties>
</file>