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MAXIM GROUP LLC</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405 Lexington Avenue, 2</w:t>
      </w:r>
      <w:r>
        <w:rPr>
          <w:rFonts w:ascii="Arial" w:cs="Arial" w:eastAsia="Arial" w:hAnsi="Arial"/>
          <w:sz w:val="11"/>
          <w:szCs w:val="11"/>
          <w:color w:val="auto"/>
        </w:rPr>
        <w:t>nd</w:t>
      </w:r>
      <w:r>
        <w:rPr>
          <w:rFonts w:ascii="Arial" w:cs="Arial" w:eastAsia="Arial" w:hAnsi="Arial"/>
          <w:sz w:val="18"/>
          <w:szCs w:val="18"/>
          <w:color w:val="auto"/>
        </w:rPr>
        <w:t xml:space="preserve"> Floor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New York, NY 10174</w:t>
      </w:r>
    </w:p>
    <w:p>
      <w:pPr>
        <w:spacing w:after="0" w:line="84" w:lineRule="exact"/>
        <w:rPr>
          <w:sz w:val="24"/>
          <w:szCs w:val="24"/>
          <w:color w:val="auto"/>
        </w:rPr>
      </w:pPr>
    </w:p>
    <w:p>
      <w:pPr>
        <w:ind w:left="8220"/>
        <w:spacing w:after="0"/>
        <w:rPr>
          <w:sz w:val="20"/>
          <w:szCs w:val="20"/>
          <w:color w:val="auto"/>
        </w:rPr>
      </w:pPr>
      <w:r>
        <w:rPr>
          <w:rFonts w:ascii="Arial" w:cs="Arial" w:eastAsia="Arial" w:hAnsi="Arial"/>
          <w:sz w:val="18"/>
          <w:szCs w:val="18"/>
          <w:color w:val="auto"/>
        </w:rPr>
        <w:t>June 16, 2010</w:t>
      </w:r>
    </w:p>
    <w:p>
      <w:pPr>
        <w:spacing w:after="0" w:line="84"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VIA EDGAR AND FACSIMILE</w:t>
      </w:r>
    </w:p>
    <w:p>
      <w:pPr>
        <w:spacing w:after="0" w:line="177"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Attention: Mr. Larry Spirgel, Esq.</w:t>
      </w:r>
    </w:p>
    <w:p>
      <w:pPr>
        <w:spacing w:after="0" w:line="367" w:lineRule="exact"/>
        <w:rPr>
          <w:sz w:val="24"/>
          <w:szCs w:val="24"/>
          <w:color w:val="auto"/>
        </w:rPr>
      </w:pPr>
    </w:p>
    <w:p>
      <w:pPr>
        <w:ind w:left="460"/>
        <w:spacing w:after="0"/>
        <w:tabs>
          <w:tab w:leader="none" w:pos="880" w:val="left"/>
        </w:tabs>
        <w:rPr>
          <w:sz w:val="20"/>
          <w:szCs w:val="20"/>
          <w:color w:val="auto"/>
        </w:rPr>
      </w:pPr>
      <w:r>
        <w:rPr>
          <w:rFonts w:ascii="Arial" w:cs="Arial" w:eastAsia="Arial" w:hAnsi="Arial"/>
          <w:sz w:val="18"/>
          <w:szCs w:val="18"/>
          <w:color w:val="auto"/>
        </w:rPr>
        <w:t>Re:</w:t>
        <w:tab/>
        <w:t>Vringo, Inc.</w:t>
      </w:r>
    </w:p>
    <w:p>
      <w:pPr>
        <w:spacing w:after="0" w:line="15" w:lineRule="exact"/>
        <w:rPr>
          <w:sz w:val="24"/>
          <w:szCs w:val="24"/>
          <w:color w:val="auto"/>
        </w:rPr>
      </w:pPr>
    </w:p>
    <w:p>
      <w:pPr>
        <w:ind w:left="900"/>
        <w:spacing w:after="0"/>
        <w:rPr>
          <w:sz w:val="20"/>
          <w:szCs w:val="20"/>
          <w:color w:val="auto"/>
        </w:rPr>
      </w:pPr>
      <w:r>
        <w:rPr>
          <w:rFonts w:ascii="Arial" w:cs="Arial" w:eastAsia="Arial" w:hAnsi="Arial"/>
          <w:sz w:val="18"/>
          <w:szCs w:val="18"/>
          <w:color w:val="auto"/>
        </w:rPr>
        <w:t>Registration Statement on Form S-1 originally filed January 29, 2010 and</w:t>
      </w:r>
    </w:p>
    <w:p>
      <w:pPr>
        <w:spacing w:after="0" w:line="9" w:lineRule="exact"/>
        <w:rPr>
          <w:sz w:val="24"/>
          <w:szCs w:val="24"/>
          <w:color w:val="auto"/>
        </w:rPr>
      </w:pPr>
    </w:p>
    <w:p>
      <w:pPr>
        <w:ind w:left="900"/>
        <w:spacing w:after="0"/>
        <w:rPr>
          <w:sz w:val="20"/>
          <w:szCs w:val="20"/>
          <w:color w:val="auto"/>
        </w:rPr>
      </w:pPr>
      <w:r>
        <w:rPr>
          <w:rFonts w:ascii="Arial" w:cs="Arial" w:eastAsia="Arial" w:hAnsi="Arial"/>
          <w:sz w:val="18"/>
          <w:szCs w:val="18"/>
          <w:color w:val="auto"/>
        </w:rPr>
        <w:t>amended on March 29, 2010, April 15, 2010, May 18, 2010 and June 3, 2010</w:t>
      </w:r>
    </w:p>
    <w:p>
      <w:pPr>
        <w:spacing w:after="0" w:line="9" w:lineRule="exact"/>
        <w:rPr>
          <w:sz w:val="24"/>
          <w:szCs w:val="24"/>
          <w:color w:val="auto"/>
        </w:rPr>
      </w:pPr>
    </w:p>
    <w:p>
      <w:pPr>
        <w:ind w:left="900"/>
        <w:spacing w:after="0"/>
        <w:rPr>
          <w:sz w:val="20"/>
          <w:szCs w:val="20"/>
          <w:color w:val="auto"/>
        </w:rPr>
      </w:pPr>
      <w:r>
        <w:rPr>
          <w:rFonts w:ascii="Arial" w:cs="Arial" w:eastAsia="Arial" w:hAnsi="Arial"/>
          <w:sz w:val="18"/>
          <w:szCs w:val="18"/>
          <w:u w:val="single" w:color="auto"/>
          <w:color w:val="auto"/>
        </w:rPr>
        <w:t>(File No. 333-164575) (the “Registration Statement”)</w:t>
      </w:r>
    </w:p>
    <w:p>
      <w:pPr>
        <w:spacing w:after="0" w:line="165" w:lineRule="exact"/>
        <w:rPr>
          <w:sz w:val="24"/>
          <w:szCs w:val="24"/>
          <w:color w:val="auto"/>
        </w:rPr>
      </w:pPr>
    </w:p>
    <w:p>
      <w:pPr>
        <w:spacing w:after="0"/>
        <w:rPr>
          <w:sz w:val="20"/>
          <w:szCs w:val="20"/>
          <w:color w:val="auto"/>
        </w:rPr>
      </w:pPr>
      <w:r>
        <w:rPr>
          <w:rFonts w:ascii="Arial" w:cs="Arial" w:eastAsia="Arial" w:hAnsi="Arial"/>
          <w:sz w:val="18"/>
          <w:szCs w:val="18"/>
          <w:color w:val="auto"/>
        </w:rPr>
        <w:t>Dear Mr. Spirgel:</w:t>
      </w:r>
    </w:p>
    <w:p>
      <w:pPr>
        <w:spacing w:after="0" w:line="171" w:lineRule="exact"/>
        <w:rPr>
          <w:sz w:val="24"/>
          <w:szCs w:val="24"/>
          <w:color w:val="auto"/>
        </w:rPr>
      </w:pPr>
    </w:p>
    <w:p>
      <w:pPr>
        <w:ind w:firstLine="456"/>
        <w:spacing w:after="0" w:line="306" w:lineRule="auto"/>
        <w:rPr>
          <w:sz w:val="20"/>
          <w:szCs w:val="20"/>
          <w:color w:val="auto"/>
        </w:rPr>
      </w:pPr>
      <w:r>
        <w:rPr>
          <w:rFonts w:ascii="Arial" w:cs="Arial" w:eastAsia="Arial" w:hAnsi="Arial"/>
          <w:sz w:val="16"/>
          <w:szCs w:val="16"/>
          <w:color w:val="auto"/>
        </w:rPr>
        <w:t>Pursuant to Rule 461 of the General Rules and Regulations promulgated under the Securities Act of 1933, as amended (the “Securities Act”), Maxim Group LLC, as representative of the underwriters of the offering, hereby joins the request of Vringo, Inc. that the effective date of the above-captioned Registration Statement be accelerated so as to permit it to become effective on Thursday, June 17, 2010, at 4:30 p.m., EST, or as soon thereafter as practicable.</w:t>
      </w:r>
    </w:p>
    <w:p>
      <w:pPr>
        <w:spacing w:after="0" w:line="107" w:lineRule="exact"/>
        <w:rPr>
          <w:sz w:val="24"/>
          <w:szCs w:val="24"/>
          <w:color w:val="auto"/>
        </w:rPr>
      </w:pPr>
    </w:p>
    <w:p>
      <w:pPr>
        <w:ind w:left="460"/>
        <w:spacing w:after="0"/>
        <w:rPr>
          <w:sz w:val="20"/>
          <w:szCs w:val="20"/>
          <w:color w:val="auto"/>
        </w:rPr>
      </w:pPr>
      <w:r>
        <w:rPr>
          <w:rFonts w:ascii="Arial" w:cs="Arial" w:eastAsia="Arial" w:hAnsi="Arial"/>
          <w:sz w:val="15"/>
          <w:szCs w:val="15"/>
          <w:color w:val="auto"/>
        </w:rPr>
        <w:t>Pursuant to Rule 460 of the General Rules and Regulations promulgated under the Securities Act, please be advised that the preliminary prospectus, dated</w:t>
      </w:r>
    </w:p>
    <w:p>
      <w:pPr>
        <w:spacing w:after="0" w:line="50" w:lineRule="exact"/>
        <w:rPr>
          <w:sz w:val="24"/>
          <w:szCs w:val="24"/>
          <w:color w:val="auto"/>
        </w:rPr>
      </w:pPr>
    </w:p>
    <w:p>
      <w:pPr>
        <w:spacing w:after="0"/>
        <w:rPr>
          <w:sz w:val="20"/>
          <w:szCs w:val="20"/>
          <w:color w:val="auto"/>
        </w:rPr>
      </w:pPr>
      <w:r>
        <w:rPr>
          <w:rFonts w:ascii="Arial" w:cs="Arial" w:eastAsia="Arial" w:hAnsi="Arial"/>
          <w:sz w:val="16"/>
          <w:szCs w:val="16"/>
          <w:color w:val="auto"/>
        </w:rPr>
        <w:t>May 18, 2010, and the free writing prospectus, dated June 15, 2010, in connection with the Registration Statement were distributed approximately as follows:</w:t>
      </w:r>
    </w:p>
    <w:p>
      <w:pPr>
        <w:spacing w:after="0" w:line="237" w:lineRule="exact"/>
        <w:rPr>
          <w:sz w:val="24"/>
          <w:szCs w:val="24"/>
          <w:color w:val="auto"/>
        </w:rPr>
      </w:pPr>
    </w:p>
    <w:tbl>
      <w:tblPr>
        <w:tblLayout w:type="fixed"/>
        <w:tblInd w:w="2580" w:type="dxa"/>
        <w:tblCellMar>
          <w:top w:w="0" w:type="dxa"/>
          <w:left w:w="0" w:type="dxa"/>
          <w:bottom w:w="0" w:type="dxa"/>
          <w:right w:w="0" w:type="dxa"/>
        </w:tblCellMar>
      </w:tblP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Underwriters and dealers</w:t>
            </w:r>
          </w:p>
        </w:tc>
        <w:tc>
          <w:tcPr>
            <w:tcW w:w="2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1,305</w:t>
            </w: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Institutional investors</w:t>
            </w:r>
          </w:p>
        </w:tc>
        <w:tc>
          <w:tcPr>
            <w:tcW w:w="2340" w:type="dxa"/>
            <w:vAlign w:val="bottom"/>
          </w:tcPr>
          <w:p>
            <w:pPr>
              <w:jc w:val="right"/>
              <w:spacing w:after="0"/>
              <w:rPr>
                <w:sz w:val="20"/>
                <w:szCs w:val="20"/>
                <w:color w:val="auto"/>
              </w:rPr>
            </w:pPr>
            <w:r>
              <w:rPr>
                <w:rFonts w:ascii="Arial" w:cs="Arial" w:eastAsia="Arial" w:hAnsi="Arial"/>
                <w:sz w:val="18"/>
                <w:szCs w:val="18"/>
                <w:color w:val="auto"/>
              </w:rPr>
              <w:t>383</w:t>
            </w: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Individuals and corporations</w:t>
            </w:r>
          </w:p>
        </w:tc>
        <w:tc>
          <w:tcPr>
            <w:tcW w:w="2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r>
      <w:tr>
        <w:trPr>
          <w:trHeight w:val="228"/>
        </w:trPr>
        <w:tc>
          <w:tcPr>
            <w:tcW w:w="3940" w:type="dxa"/>
            <w:vAlign w:val="bottom"/>
          </w:tcPr>
          <w:p>
            <w:pPr>
              <w:ind w:left="440"/>
              <w:spacing w:after="0"/>
              <w:rPr>
                <w:sz w:val="20"/>
                <w:szCs w:val="20"/>
                <w:color w:val="auto"/>
              </w:rPr>
            </w:pPr>
            <w:r>
              <w:rPr>
                <w:rFonts w:ascii="Arial" w:cs="Arial" w:eastAsia="Arial" w:hAnsi="Arial"/>
                <w:sz w:val="18"/>
                <w:szCs w:val="18"/>
                <w:b w:val="1"/>
                <w:bCs w:val="1"/>
                <w:color w:val="auto"/>
              </w:rPr>
              <w:t>Total</w:t>
            </w:r>
          </w:p>
        </w:tc>
        <w:tc>
          <w:tcPr>
            <w:tcW w:w="2340" w:type="dxa"/>
            <w:vAlign w:val="bottom"/>
          </w:tcPr>
          <w:p>
            <w:pPr>
              <w:jc w:val="right"/>
              <w:spacing w:after="0"/>
              <w:rPr>
                <w:sz w:val="20"/>
                <w:szCs w:val="20"/>
                <w:color w:val="auto"/>
              </w:rPr>
            </w:pPr>
            <w:r>
              <w:rPr>
                <w:rFonts w:ascii="Arial" w:cs="Arial" w:eastAsia="Arial" w:hAnsi="Arial"/>
                <w:sz w:val="18"/>
                <w:szCs w:val="18"/>
                <w:b w:val="1"/>
                <w:bCs w:val="1"/>
                <w:color w:val="auto"/>
              </w:rPr>
              <w:t>2,038</w:t>
            </w:r>
          </w:p>
        </w:tc>
      </w:tr>
    </w:tbl>
    <w:p>
      <w:pPr>
        <w:spacing w:after="0" w:line="141" w:lineRule="exact"/>
        <w:rPr>
          <w:sz w:val="24"/>
          <w:szCs w:val="24"/>
          <w:color w:val="auto"/>
        </w:rPr>
      </w:pPr>
    </w:p>
    <w:p>
      <w:pPr>
        <w:ind w:right="100" w:firstLine="456"/>
        <w:spacing w:after="0" w:line="268" w:lineRule="auto"/>
        <w:rPr>
          <w:sz w:val="20"/>
          <w:szCs w:val="20"/>
          <w:color w:val="auto"/>
        </w:rPr>
      </w:pPr>
      <w:r>
        <w:rPr>
          <w:rFonts w:ascii="Arial" w:cs="Arial" w:eastAsia="Arial" w:hAnsi="Arial"/>
          <w:sz w:val="18"/>
          <w:szCs w:val="18"/>
          <w:color w:val="auto"/>
        </w:rPr>
        <w:t>The undersigned advises that it complied and will continue to comply with the requirements of Rule 15c2-8 under the Securities Exchange Act of 1934, as amended.</w:t>
      </w:r>
    </w:p>
    <w:p>
      <w:pPr>
        <w:spacing w:after="0" w:line="132" w:lineRule="exact"/>
        <w:rPr>
          <w:sz w:val="24"/>
          <w:szCs w:val="24"/>
          <w:color w:val="auto"/>
        </w:rPr>
      </w:pPr>
    </w:p>
    <w:p>
      <w:pPr>
        <w:ind w:left="460"/>
        <w:spacing w:after="0"/>
        <w:rPr>
          <w:sz w:val="20"/>
          <w:szCs w:val="20"/>
          <w:color w:val="auto"/>
        </w:rPr>
      </w:pPr>
      <w:r>
        <w:rPr>
          <w:rFonts w:ascii="Arial" w:cs="Arial" w:eastAsia="Arial" w:hAnsi="Arial"/>
          <w:sz w:val="18"/>
          <w:szCs w:val="18"/>
          <w:color w:val="auto"/>
        </w:rPr>
        <w:t>Any questions should be addressed to Jeffrey P. Schultz, at Mintz, Levin, Cohn, Ferris, Glovsky and Popeo, P.C. at (212) 935-3000.</w:t>
      </w:r>
    </w:p>
    <w:p>
      <w:pPr>
        <w:sectPr>
          <w:pgSz w:w="11900" w:h="16838" w:orient="portrait"/>
          <w:cols w:equalWidth="0" w:num="1">
            <w:col w:w="11420"/>
          </w:cols>
          <w:pgMar w:left="240" w:top="220"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Securities and Exchange Commission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June 16, 2010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20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33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MAXIM GROUP LLC</w:t>
      </w:r>
    </w:p>
    <w:p>
      <w:pPr>
        <w:spacing w:after="0" w:line="333" w:lineRule="exact"/>
        <w:rPr>
          <w:sz w:val="20"/>
          <w:szCs w:val="20"/>
          <w:color w:val="auto"/>
        </w:rPr>
      </w:pPr>
    </w:p>
    <w:p>
      <w:pPr>
        <w:ind w:left="6860"/>
        <w:spacing w:after="0"/>
        <w:tabs>
          <w:tab w:leader="none" w:pos="7300" w:val="left"/>
        </w:tabs>
        <w:rPr>
          <w:sz w:val="20"/>
          <w:szCs w:val="20"/>
          <w:color w:val="auto"/>
        </w:rPr>
      </w:pPr>
      <w:r>
        <w:rPr>
          <w:rFonts w:ascii="Arial" w:cs="Arial" w:eastAsia="Arial" w:hAnsi="Arial"/>
          <w:sz w:val="18"/>
          <w:szCs w:val="18"/>
          <w:color w:val="auto"/>
        </w:rPr>
        <w:t>By:</w:t>
        <w:tab/>
        <w:t>/s/ Clifford A. Teller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10795</wp:posOffset>
            </wp:positionV>
            <wp:extent cx="260731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16"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Name: Clifford A. Teller</w:t>
      </w:r>
    </w:p>
    <w:p>
      <w:pPr>
        <w:spacing w:after="0" w:line="15" w:lineRule="exact"/>
        <w:rPr>
          <w:sz w:val="20"/>
          <w:szCs w:val="20"/>
          <w:color w:val="auto"/>
        </w:rPr>
      </w:pPr>
    </w:p>
    <w:p>
      <w:pPr>
        <w:jc w:val="right"/>
        <w:ind w:right="319"/>
        <w:spacing w:after="0"/>
        <w:tabs>
          <w:tab w:leader="none" w:pos="20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Executive Managing Director</w:t>
      </w:r>
    </w:p>
    <w:sectPr>
      <w:pgSz w:w="11900" w:h="16838" w:orient="portrait"/>
      <w:cols w:equalWidth="0" w:num="1">
        <w:col w:w="10219"/>
      </w:cols>
      <w:pgMar w:left="240" w:top="28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2019-12-11T04:46:24Z</dcterms:created>
  <dcterms:modified xsi:type="dcterms:W3CDTF">2019-12-11T04:46:24Z</dcterms:modified>
</cp:coreProperties>
</file>