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firstLine="2612"/>
        <w:jc w:val="left"/>
        <w:rPr>
          <w:bdr w:val="single" w:sz="16" w:space="1" w:color="000000"/>
        </w:rPr>
      </w:pPr>
      <w:bookmarkStart w:id="0" w:name="tm2318866d1_8k.htm"/>
      <w:bookmarkStart w:id="1" w:name="kstm2318866d1_8k"/>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Washington, DC 20549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B_edei--DocumentType_c20230612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 xml:space="preserve">CURRENT REPORT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of the Securities Exchange Act Of </w:t>
      </w:r>
      <w:r>
        <w:rPr>
          <w:rFonts w:ascii="Times New Roman;Times;Serif" w:hAnsi="Times New Roman;Times;Serif"/>
          <w:b/>
          <w:i w:val="false"/>
          <w:caps/>
          <w:sz w:val="20"/>
        </w:rPr>
        <w:t>1934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D_edei--DocumentPeriodEndDate_c202"/>
      <w:bookmarkEnd w:id="3"/>
      <w:r>
        <w:rPr>
          <w:rFonts w:ascii="Times New Roman;Times;Serif" w:hAnsi="Times New Roman;Times;Serif"/>
          <w:b/>
          <w:i w:val="false"/>
          <w:caps w:val="false"/>
          <w:smallCaps w:val="false"/>
          <w:sz w:val="20"/>
        </w:rPr>
        <w:t>June 12, 2023</w:t>
      </w:r>
    </w:p>
    <w:p>
      <w:pPr>
        <w:pStyle w:val="TextBody"/>
        <w:bidi w:val="0"/>
        <w:spacing w:before="0" w:after="0"/>
        <w:ind w:left="0" w:right="0" w:hanging="0"/>
        <w:jc w:val="both"/>
        <w:rPr>
          <w:caps w:val="false"/>
          <w:smallCaps w:val="false"/>
        </w:rPr>
      </w:pPr>
      <w:r>
        <w:rPr>
          <w:caps w:val="false"/>
          <w:smallCaps w:val="false"/>
        </w:rPr>
        <w:t> </w:t>
      </w:r>
    </w:p>
    <w:p>
      <w:pPr>
        <w:pStyle w:val="TextBody"/>
        <w:pBdr>
          <w:bottom w:val="single" w:sz="8" w:space="1" w:color="000000"/>
        </w:pBdr>
        <w:bidi w:val="0"/>
        <w:spacing w:before="0" w:after="0"/>
        <w:ind w:left="0" w:right="0" w:hanging="0"/>
        <w:jc w:val="center"/>
        <w:rPr>
          <w:rFonts w:ascii="Times New Roman;Times;Serif" w:hAnsi="Times New Roman;Times;Serif"/>
          <w:b/>
          <w:i w:val="false"/>
          <w:caps w:val="false"/>
          <w:smallCaps w:val="false"/>
          <w:sz w:val="36"/>
        </w:rPr>
      </w:pPr>
      <w:bookmarkStart w:id="4" w:name="xdx_90A_edei--EntityRegistrantName_c2023"/>
      <w:bookmarkEnd w:id="4"/>
      <w:r>
        <w:rPr>
          <w:rFonts w:ascii="Times New Roman;Times;Serif" w:hAnsi="Times New Roman;Times;Serif"/>
          <w:b/>
          <w:i w:val="false"/>
          <w:caps w:val="false"/>
          <w:smallCaps w:val="false"/>
          <w:sz w:val="36"/>
        </w:rPr>
        <w:t>XWELL,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both"/>
        <w:rPr>
          <w:caps w:val="false"/>
          <w:smallCaps w:val="false"/>
        </w:rPr>
      </w:pPr>
      <w:r>
        <w:rPr>
          <w:caps w:val="false"/>
          <w:smallCaps w:val="false"/>
        </w:rPr>
        <w:t> </w:t>
      </w:r>
    </w:p>
    <w:p>
      <w:pPr>
        <w:pStyle w:val="TextBody"/>
        <w:pBdr>
          <w:bottom w:val="single" w:sz="8" w:space="1" w:color="000000"/>
        </w:pBdr>
        <w:bidi w:val="0"/>
        <w:spacing w:before="0" w:after="0"/>
        <w:ind w:left="0" w:right="0" w:hanging="0"/>
        <w:jc w:val="center"/>
        <w:rPr>
          <w:rFonts w:ascii="Times New Roman;Times;Serif" w:hAnsi="Times New Roman;Times;Serif"/>
          <w:b/>
          <w:i w:val="false"/>
          <w:caps w:val="false"/>
          <w:smallCaps w:val="false"/>
          <w:sz w:val="20"/>
        </w:rPr>
      </w:pPr>
      <w:bookmarkStart w:id="5" w:name="xdx_908_edei--EntityIncorporationStateCo"/>
      <w:bookmarkEnd w:id="5"/>
      <w:r>
        <w:rPr>
          <w:rFonts w:ascii="Times New Roman;Times;Serif" w:hAnsi="Times New Roman;Times;Serif"/>
          <w:b/>
          <w:i w:val="false"/>
          <w:caps w:val="false"/>
          <w:smallCaps w:val="false"/>
          <w:sz w:val="20"/>
        </w:rPr>
        <w:t>Delaware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w:t>
      </w:r>
    </w:p>
    <w:p>
      <w:pPr>
        <w:pStyle w:val="TextBody"/>
        <w:bidi w:val="0"/>
        <w:spacing w:before="0" w:after="0"/>
        <w:ind w:left="0" w:right="0" w:hanging="0"/>
        <w:jc w:val="both"/>
        <w:rPr>
          <w:caps w:val="false"/>
          <w:smallCaps w:val="false"/>
        </w:rPr>
      </w:pPr>
      <w:r>
        <w:rPr>
          <w:caps w:val="false"/>
          <w:smallCaps w:val="false"/>
        </w:rPr>
        <w:t> </w:t>
      </w:r>
    </w:p>
    <w:tbl>
      <w:tblPr>
        <w:tblW w:w="5065" w:type="dxa"/>
        <w:jc w:val="left"/>
        <w:tblInd w:w="0" w:type="dxa"/>
        <w:tblLayout w:type="fixed"/>
        <w:tblCellMar>
          <w:top w:w="0" w:type="dxa"/>
          <w:left w:w="0" w:type="dxa"/>
          <w:bottom w:w="28" w:type="dxa"/>
          <w:right w:w="0" w:type="dxa"/>
        </w:tblCellMar>
      </w:tblPr>
      <w:tblGrid>
        <w:gridCol w:w="2225"/>
        <w:gridCol w:w="60"/>
        <w:gridCol w:w="2780"/>
      </w:tblGrid>
      <w:tr>
        <w:trPr/>
        <w:tc>
          <w:tcPr>
            <w:tcW w:w="2225" w:type="dxa"/>
            <w:tcBorders>
              <w:bottom w:val="single" w:sz="8" w:space="0" w:color="000000"/>
            </w:tcBorders>
            <w:vAlign w:val="center"/>
          </w:tcPr>
          <w:p>
            <w:pPr>
              <w:pStyle w:val="TableContents"/>
              <w:bidi w:val="0"/>
              <w:spacing w:before="0" w:after="283"/>
              <w:jc w:val="center"/>
              <w:rPr>
                <w:b/>
                <w:sz w:val="20"/>
              </w:rPr>
            </w:pPr>
            <w:bookmarkStart w:id="6" w:name="xdx_905_edei--EntityFileNumber_c20230612"/>
            <w:bookmarkEnd w:id="6"/>
            <w:r>
              <w:rPr>
                <w:b/>
                <w:sz w:val="20"/>
              </w:rPr>
              <w:t>001-34785</w:t>
            </w:r>
          </w:p>
        </w:tc>
        <w:tc>
          <w:tcPr>
            <w:tcW w:w="60" w:type="dxa"/>
            <w:tcBorders/>
            <w:tcMar>
              <w:bottom w:w="0" w:type="dxa"/>
            </w:tcMar>
            <w:vAlign w:val="center"/>
          </w:tcPr>
          <w:p>
            <w:pPr>
              <w:pStyle w:val="TableContents"/>
              <w:bidi w:val="0"/>
              <w:spacing w:before="0" w:after="283"/>
              <w:jc w:val="left"/>
              <w:rPr/>
            </w:pPr>
            <w:r>
              <w:rPr/>
              <w:t> </w:t>
            </w:r>
          </w:p>
        </w:tc>
        <w:tc>
          <w:tcPr>
            <w:tcW w:w="2780" w:type="dxa"/>
            <w:tcBorders>
              <w:bottom w:val="single" w:sz="8" w:space="0" w:color="000000"/>
            </w:tcBorders>
            <w:vAlign w:val="center"/>
          </w:tcPr>
          <w:p>
            <w:pPr>
              <w:pStyle w:val="TableContents"/>
              <w:bidi w:val="0"/>
              <w:spacing w:before="0" w:after="283"/>
              <w:jc w:val="center"/>
              <w:rPr>
                <w:b/>
                <w:sz w:val="20"/>
              </w:rPr>
            </w:pPr>
            <w:bookmarkStart w:id="7" w:name="xdx_905_edei--EntityTaxIdentificationNum"/>
            <w:bookmarkEnd w:id="7"/>
            <w:r>
              <w:rPr>
                <w:b/>
                <w:sz w:val="20"/>
              </w:rPr>
              <w:t>20-4988129</w:t>
            </w:r>
          </w:p>
        </w:tc>
      </w:tr>
      <w:tr>
        <w:trPr/>
        <w:tc>
          <w:tcPr>
            <w:tcW w:w="2225"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2780" w:type="dxa"/>
            <w:tcBorders/>
            <w:tcMar>
              <w:bottom w:w="0" w:type="dxa"/>
            </w:tcMar>
            <w:vAlign w:val="center"/>
          </w:tcPr>
          <w:p>
            <w:pPr>
              <w:pStyle w:val="TableContents"/>
              <w:bidi w:val="0"/>
              <w:spacing w:before="0" w:after="283"/>
              <w:jc w:val="center"/>
              <w:rPr>
                <w:sz w:val="20"/>
              </w:rPr>
            </w:pPr>
            <w:r>
              <w:rPr>
                <w:sz w:val="20"/>
              </w:rPr>
              <w:t>(IRS Employer Identification No.)</w:t>
            </w:r>
          </w:p>
        </w:tc>
      </w:tr>
    </w:tbl>
    <w:p>
      <w:pPr>
        <w:pStyle w:val="TextBody"/>
        <w:bidi w:val="0"/>
        <w:spacing w:before="0" w:after="0"/>
        <w:ind w:left="0" w:right="0" w:hanging="0"/>
        <w:jc w:val="both"/>
        <w:rPr>
          <w:caps w:val="false"/>
          <w:smallCaps w:val="false"/>
        </w:rPr>
      </w:pPr>
      <w:r>
        <w:rPr>
          <w:caps w:val="false"/>
          <w:smallCaps w:val="false"/>
        </w:rPr>
        <w:t> </w:t>
      </w:r>
    </w:p>
    <w:tbl>
      <w:tblPr>
        <w:tblW w:w="5590" w:type="dxa"/>
        <w:jc w:val="left"/>
        <w:tblInd w:w="0" w:type="dxa"/>
        <w:tblLayout w:type="fixed"/>
        <w:tblCellMar>
          <w:top w:w="0" w:type="dxa"/>
          <w:left w:w="0" w:type="dxa"/>
          <w:bottom w:w="28" w:type="dxa"/>
          <w:right w:w="0" w:type="dxa"/>
        </w:tblCellMar>
      </w:tblPr>
      <w:tblGrid>
        <w:gridCol w:w="4610"/>
        <w:gridCol w:w="60"/>
        <w:gridCol w:w="920"/>
      </w:tblGrid>
      <w:tr>
        <w:trPr/>
        <w:tc>
          <w:tcPr>
            <w:tcW w:w="4610" w:type="dxa"/>
            <w:tcBorders>
              <w:bottom w:val="single" w:sz="8" w:space="0" w:color="000000"/>
            </w:tcBorders>
            <w:vAlign w:val="center"/>
          </w:tcPr>
          <w:p>
            <w:pPr>
              <w:pStyle w:val="TableContents"/>
              <w:bidi w:val="0"/>
              <w:spacing w:before="0" w:after="283"/>
              <w:jc w:val="center"/>
              <w:rPr/>
            </w:pPr>
            <w:bookmarkStart w:id="8" w:name="xdx_900_edei--EntityAddressAddressLine1_"/>
            <w:bookmarkEnd w:id="8"/>
            <w:r>
              <w:rPr>
                <w:b/>
                <w:sz w:val="20"/>
              </w:rPr>
              <w:t>254 West 31</w:t>
            </w:r>
            <w:r>
              <w:rPr>
                <w:b/>
                <w:position w:val="7"/>
                <w:sz w:val="16"/>
                <w:sz w:val="20"/>
              </w:rPr>
              <w:t>st</w:t>
            </w:r>
            <w:r>
              <w:rPr>
                <w:b/>
                <w:sz w:val="20"/>
              </w:rPr>
              <w:t xml:space="preserve"> Street, </w:t>
            </w:r>
            <w:bookmarkStart w:id="9" w:name="xdx_90E_edei--EntityAddressAddressLine2_"/>
            <w:bookmarkEnd w:id="9"/>
            <w:r>
              <w:rPr>
                <w:b/>
                <w:sz w:val="20"/>
              </w:rPr>
              <w:t>11</w:t>
            </w:r>
            <w:r>
              <w:rPr>
                <w:b/>
                <w:position w:val="7"/>
                <w:sz w:val="16"/>
                <w:sz w:val="20"/>
              </w:rPr>
              <w:t xml:space="preserve">th </w:t>
            </w:r>
            <w:r>
              <w:rPr>
                <w:b/>
                <w:sz w:val="20"/>
              </w:rPr>
              <w:t xml:space="preserve">Floor, </w:t>
            </w:r>
            <w:bookmarkStart w:id="10" w:name="xdx_903_edei--EntityAddressCityOrTown_c2"/>
            <w:bookmarkEnd w:id="10"/>
            <w:r>
              <w:rPr>
                <w:b/>
                <w:sz w:val="20"/>
              </w:rPr>
              <w:t xml:space="preserve">New York, </w:t>
            </w:r>
            <w:bookmarkStart w:id="11" w:name="xdx_90D_edei--EntityAddressStateOrProvin"/>
            <w:bookmarkEnd w:id="11"/>
            <w:r>
              <w:rPr>
                <w:b/>
                <w:sz w:val="20"/>
              </w:rPr>
              <w:t xml:space="preserve">New York </w:t>
            </w:r>
          </w:p>
        </w:tc>
        <w:tc>
          <w:tcPr>
            <w:tcW w:w="60" w:type="dxa"/>
            <w:tcBorders/>
            <w:tcMar>
              <w:bottom w:w="0" w:type="dxa"/>
            </w:tcMar>
            <w:vAlign w:val="center"/>
          </w:tcPr>
          <w:p>
            <w:pPr>
              <w:pStyle w:val="TableContents"/>
              <w:bidi w:val="0"/>
              <w:spacing w:before="0" w:after="283"/>
              <w:jc w:val="left"/>
              <w:rPr/>
            </w:pPr>
            <w:r>
              <w:rPr/>
              <w:t> </w:t>
            </w:r>
          </w:p>
        </w:tc>
        <w:tc>
          <w:tcPr>
            <w:tcW w:w="920" w:type="dxa"/>
            <w:tcBorders>
              <w:bottom w:val="single" w:sz="8" w:space="0" w:color="000000"/>
            </w:tcBorders>
            <w:vAlign w:val="center"/>
          </w:tcPr>
          <w:p>
            <w:pPr>
              <w:pStyle w:val="TableContents"/>
              <w:bidi w:val="0"/>
              <w:spacing w:before="0" w:after="283"/>
              <w:jc w:val="center"/>
              <w:rPr>
                <w:b/>
                <w:sz w:val="20"/>
              </w:rPr>
            </w:pPr>
            <w:bookmarkStart w:id="12" w:name="xdx_90E_edei--EntityAddressPostalZipCode"/>
            <w:bookmarkEnd w:id="12"/>
            <w:r>
              <w:rPr>
                <w:b/>
                <w:sz w:val="20"/>
              </w:rPr>
              <w:t>10001</w:t>
            </w:r>
          </w:p>
        </w:tc>
      </w:tr>
      <w:tr>
        <w:trPr/>
        <w:tc>
          <w:tcPr>
            <w:tcW w:w="4610" w:type="dxa"/>
            <w:tcBorders/>
            <w:tcMar>
              <w:bottom w:w="0" w:type="dxa"/>
            </w:tcMar>
            <w:vAlign w:val="center"/>
          </w:tcPr>
          <w:p>
            <w:pPr>
              <w:pStyle w:val="TableContents"/>
              <w:bidi w:val="0"/>
              <w:spacing w:before="0" w:after="283"/>
              <w:jc w:val="center"/>
              <w:rPr>
                <w:sz w:val="20"/>
              </w:rPr>
            </w:pPr>
            <w:r>
              <w:rPr>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both"/>
        <w:rPr>
          <w:caps w:val="false"/>
          <w:smallCaps w:val="false"/>
        </w:rPr>
      </w:pPr>
      <w:r>
        <w:rPr>
          <w:caps w:val="false"/>
          <w:smallCaps w:val="false"/>
        </w:rPr>
        <w:t> </w:t>
      </w:r>
    </w:p>
    <w:p>
      <w:pPr>
        <w:pStyle w:val="TextBody"/>
        <w:pBdr>
          <w:bottom w:val="single" w:sz="8"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9_edei--CityAreaCode_c20230612__20"/>
      <w:bookmarkEnd w:id="13"/>
      <w:r>
        <w:rPr>
          <w:rFonts w:ascii="Times New Roman;Times;Serif" w:hAnsi="Times New Roman;Times;Serif"/>
          <w:b/>
          <w:i w:val="false"/>
          <w:caps w:val="false"/>
          <w:smallCaps w:val="false"/>
          <w:sz w:val="20"/>
        </w:rPr>
        <w:t xml:space="preserve">212) </w:t>
      </w:r>
      <w:bookmarkStart w:id="14" w:name="xdx_90B_edei--LocalPhoneNumber_c20230612"/>
      <w:bookmarkEnd w:id="14"/>
      <w:r>
        <w:rPr>
          <w:rFonts w:ascii="Times New Roman;Times;Serif" w:hAnsi="Times New Roman;Times;Serif"/>
          <w:b/>
          <w:i w:val="false"/>
          <w:caps w:val="false"/>
          <w:smallCaps w:val="false"/>
          <w:sz w:val="20"/>
        </w:rPr>
        <w:t>750-9595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5" w:name="xdx_90A_edei--WrittenCommunications_c202"/>
            <w:bookmarkEnd w:id="15"/>
            <w:r>
              <w:rPr/>
              <w:t>☐</w:t>
            </w:r>
          </w:p>
        </w:tc>
        <w:tc>
          <w:tcPr>
            <w:tcW w:w="9065" w:type="dxa"/>
            <w:tcBorders/>
            <w:vAlign w:val="center"/>
          </w:tcPr>
          <w:p>
            <w:pPr>
              <w:pStyle w:val="TableContents"/>
              <w:bidi w:val="0"/>
              <w:spacing w:before="0" w:after="283"/>
              <w:jc w:val="left"/>
              <w:rPr>
                <w:sz w:val="20"/>
              </w:rPr>
            </w:pPr>
            <w:r>
              <w:rPr>
                <w:sz w:val="20"/>
              </w:rPr>
              <w:t>Written communications pursuant to Rule 425 under the Securities Act (17 CFR 230.425)</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6" w:name="xdx_902_edei--SolicitingMaterial_c202306"/>
            <w:bookmarkEnd w:id="16"/>
            <w:r>
              <w:rPr/>
              <w:t>☐</w:t>
            </w:r>
          </w:p>
        </w:tc>
        <w:tc>
          <w:tcPr>
            <w:tcW w:w="9065"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7" w:name="xdx_905_edei--PreCommencementTenderOffer"/>
            <w:bookmarkEnd w:id="17"/>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8" w:name="xdx_906_edei--PreCommencementIssuerTende"/>
            <w:bookmarkEnd w:id="18"/>
            <w:r>
              <w:rPr/>
              <w:t>☐</w:t>
            </w:r>
          </w:p>
        </w:tc>
        <w:tc>
          <w:tcPr>
            <w:tcW w:w="906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144" w:right="144" w:hanging="0"/>
        <w:jc w:val="left"/>
        <w:rPr>
          <w:caps w:val="false"/>
          <w:smallCaps w:val="false"/>
        </w:rPr>
      </w:pPr>
      <w:r>
        <w:rPr>
          <w:caps w:val="false"/>
          <w:smallCaps w:val="false"/>
        </w:rPr>
        <w:t> </w:t>
      </w:r>
    </w:p>
    <w:tbl>
      <w:tblPr>
        <w:tblW w:w="8850" w:type="dxa"/>
        <w:jc w:val="left"/>
        <w:tblInd w:w="0" w:type="dxa"/>
        <w:tblLayout w:type="fixed"/>
        <w:tblCellMar>
          <w:top w:w="0" w:type="dxa"/>
          <w:left w:w="0" w:type="dxa"/>
          <w:bottom w:w="28" w:type="dxa"/>
          <w:right w:w="0" w:type="dxa"/>
        </w:tblCellMar>
      </w:tblPr>
      <w:tblGrid>
        <w:gridCol w:w="3410"/>
        <w:gridCol w:w="60"/>
        <w:gridCol w:w="1610"/>
        <w:gridCol w:w="60"/>
        <w:gridCol w:w="3710"/>
      </w:tblGrid>
      <w:tr>
        <w:trPr/>
        <w:tc>
          <w:tcPr>
            <w:tcW w:w="3410" w:type="dxa"/>
            <w:tcBorders>
              <w:bottom w:val="single" w:sz="8"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8"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8"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3410" w:type="dxa"/>
            <w:tcBorders/>
            <w:tcMar>
              <w:bottom w:w="0" w:type="dxa"/>
            </w:tcMar>
            <w:vAlign w:val="center"/>
          </w:tcPr>
          <w:p>
            <w:pPr>
              <w:pStyle w:val="TableContents"/>
              <w:bidi w:val="0"/>
              <w:spacing w:before="0" w:after="283"/>
              <w:jc w:val="center"/>
              <w:rPr>
                <w:sz w:val="20"/>
              </w:rPr>
            </w:pPr>
            <w:bookmarkStart w:id="19" w:name="xdx_903_edei--Security12bTitle_c20230612"/>
            <w:bookmarkEnd w:id="19"/>
            <w:r>
              <w:rPr>
                <w:sz w:val="20"/>
              </w:rPr>
              <w:t>Common Stock, par value $0.01 per share</w:t>
            </w:r>
          </w:p>
        </w:tc>
        <w:tc>
          <w:tcPr>
            <w:tcW w:w="6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center"/>
              <w:rPr>
                <w:sz w:val="20"/>
              </w:rPr>
            </w:pPr>
            <w:bookmarkStart w:id="20" w:name="xdx_909_edei--TradingSymbol_c20230612__2"/>
            <w:bookmarkEnd w:id="20"/>
            <w:r>
              <w:rPr>
                <w:sz w:val="20"/>
              </w:rPr>
              <w:t>XWEL</w:t>
            </w:r>
          </w:p>
        </w:tc>
        <w:tc>
          <w:tcPr>
            <w:tcW w:w="6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center"/>
              <w:rPr>
                <w:sz w:val="20"/>
              </w:rPr>
            </w:pPr>
            <w:bookmarkStart w:id="21" w:name="xdx_907_edei--SecurityExchangeName_c2023"/>
            <w:bookmarkEnd w:id="21"/>
            <w:r>
              <w:rPr>
                <w:sz w:val="20"/>
              </w:rPr>
              <w:t>The Nasdaq Stock Market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5_edei--EntityEmergingGrowthCompan"/>
      <w:bookmarkEnd w:id="22"/>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13"/>
        <w:gridCol w:w="9192"/>
      </w:tblGrid>
      <w:tr>
        <w:trPr/>
        <w:tc>
          <w:tcPr>
            <w:tcW w:w="1013"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Item 5.02.</w:t>
            </w:r>
          </w:p>
        </w:tc>
        <w:tc>
          <w:tcPr>
            <w:tcW w:w="9192" w:type="dxa"/>
            <w:tcBorders/>
            <w:vAlign w:val="center"/>
          </w:tcPr>
          <w:p>
            <w:pPr>
              <w:pStyle w:val="TableContents"/>
              <w:bidi w:val="0"/>
              <w:spacing w:before="0" w:after="283"/>
              <w:jc w:val="both"/>
              <w:rPr>
                <w:b/>
              </w:rPr>
            </w:pPr>
            <w:r>
              <w:rPr>
                <w:b/>
              </w:rPr>
              <w:t>Departure of Directors or Certain Officers; Election of Directors; Appointment of Certain Officers; Compensatory Arrangements of Certain Officers</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16, 2023, XWELL, Inc. (the “Company”) announced that the employment of Valerie Lightfoot as the Company’s Chief Financial Officer did not commence on June 12, 2023, as previously announced. Given the evolving acquisition environment and current business conditions, the Company decided to move in a different direction in connection with its ongoing search for a permanent Chief Financial Officer.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in June 2022, the Board appointed Omar A. Haynes as Interim Chief Financial Officer of the Company, which appointment was intended to cease on June 12, 2023. As a result of Ms. Lightfoot not commencing as Chief Financial Officer as of June 12, 2023, Mr. Haynes will continue to serve as the Company’s Interim Chief Financial Officer until a permanent Chief Financial Officer is appointed. Mr. Haynes will also continue to serve as the Company’s principal financial officer and principal accounting officer for SEC reporting purposes.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his continuation as Interim Chief Financial Officer, Mr. Haynes will receive a one-time grant of 100,000 restricted stock units (“RSUs”) under the XWELL, Inc. 2020 Equity Incentive Plan, with the shares underlying the RSUs vesting in equal quarterly installments over a one-year period, with one-fourth vesting at the end of each fiscal quarter commencing with the quarter ending September 30, 2023, such that the RSUs will be fully vested as of June 30, 2024, subject to Mr. Haynes’ continuous service through such dates. There were no other changes to Mr. Haynes’ previously disclosed compensation arrangements.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other arrangement or understanding pursuant to which Mr. Haynes was selected as an officer of the Company. There are no family relationships between Mr. Haynes and any director or executive officer of the Company. There are no related party transactions in respect of the Company of the kind described in Item 404(a) of Regulation S-K in which Mr. Haynes was a participant.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4155" w:type="dxa"/>
        <w:jc w:val="left"/>
        <w:tblInd w:w="0" w:type="dxa"/>
        <w:tblLayout w:type="fixed"/>
        <w:tblCellMar>
          <w:top w:w="0" w:type="dxa"/>
          <w:left w:w="0" w:type="dxa"/>
          <w:bottom w:w="0" w:type="dxa"/>
          <w:right w:w="0" w:type="dxa"/>
        </w:tblCellMar>
      </w:tblPr>
      <w:tblGrid>
        <w:gridCol w:w="1655"/>
        <w:gridCol w:w="545"/>
        <w:gridCol w:w="1955"/>
      </w:tblGrid>
      <w:tr>
        <w:trPr/>
        <w:tc>
          <w:tcPr>
            <w:tcW w:w="1655" w:type="dxa"/>
            <w:tcBorders/>
            <w:vAlign w:val="center"/>
          </w:tcPr>
          <w:p>
            <w:pPr>
              <w:pStyle w:val="TableContents"/>
              <w:bidi w:val="0"/>
              <w:spacing w:before="0" w:after="283"/>
              <w:jc w:val="left"/>
              <w:rPr/>
            </w:pPr>
            <w:r>
              <w:rPr/>
              <w:t> </w:t>
            </w:r>
          </w:p>
        </w:tc>
        <w:tc>
          <w:tcPr>
            <w:tcW w:w="250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XWELL, Inc.</w:t>
            </w:r>
          </w:p>
        </w:tc>
      </w:tr>
      <w:tr>
        <w:trPr/>
        <w:tc>
          <w:tcPr>
            <w:tcW w:w="165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June 16, 2023</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Scott R. Milford</w:t>
            </w:r>
          </w:p>
        </w:tc>
      </w:tr>
      <w:tr>
        <w:trPr/>
        <w:tc>
          <w:tcPr>
            <w:tcW w:w="165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Scott R. Milford</w:t>
            </w:r>
          </w:p>
        </w:tc>
      </w:tr>
      <w:tr>
        <w:trPr/>
        <w:tc>
          <w:tcPr>
            <w:tcW w:w="165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686</Words>
  <Characters>3721</Characters>
  <CharactersWithSpaces>4417</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