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March 10, 2016, announcing certain financial results for the fiscal year ended December 31, 2015 and update on the Company’s ongoing business operations.</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March 10, 2016.</w:t>
            </w:r>
          </w:p>
        </w:tc>
      </w:tr>
      <w:tr>
        <w:trPr>
          <w:trHeight w:val="1093"/>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10, 2016</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FULL YEAR RESULTS FOR 2015 AND PROVIDES UPDATE ON ONGOING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 March 10, 2016 - Vringo, Inc. (NASDAQ: VRNG), a diversified technology company, </w:t>
      </w:r>
      <w:r>
        <w:rPr>
          <w:rFonts w:ascii="Arial" w:cs="Arial" w:eastAsia="Arial" w:hAnsi="Arial"/>
          <w:sz w:val="18"/>
          <w:szCs w:val="18"/>
          <w:color w:val="181818"/>
        </w:rPr>
        <w:t>today announced</w:t>
      </w:r>
      <w:r>
        <w:rPr>
          <w:rFonts w:ascii="Arial" w:cs="Arial" w:eastAsia="Arial" w:hAnsi="Arial"/>
          <w:sz w:val="18"/>
          <w:szCs w:val="18"/>
          <w:color w:val="auto"/>
        </w:rPr>
        <w:t xml:space="preserve"> operating results for the year ended December 31, 2015 in its Annual Report on Form 10-K filed with the Securities and Exchange Commission and provided an update on its ongoing business operations.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“2015 was a transformational year for Vringo. In October, we acquired two businesses, Fli Charge, a wire-free power technology company, and Group Mobile, a supplier of built-to-order rugged computers, mobile devices and accessories. Shortly after, in December, we entered into a Global Settlement and License Agreement with ZTE Corporation, which resolved all outstanding disputes between Vringo and ZTE. We now have a proven patent portfolio which we will seek to continually license actively,” said Andrew Perlman, Chief Executive Officer of Vringo.</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our solid financial position makes Vringo an excellent platform for growth. In addition, it enables us to execute on our existing business strategy as well as pursue additional opportunities which we believe will create shareholder value,” concluded Mr. Perlman.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 Charge</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Designed a new product line, including cases for the most popular Apple and Samsung smartphones, charging pads and universal adapters, including the USB PowerDisc and the PowerCoin.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Exhibited at CES 2016 in Las Vegas resulting in positive feedback and a healthy pipeline of licensing and partnership opportunities.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Advanced discussions with new partners in the education, furniture, automotive, hospitality, power tool, aviation and vaporizer markets, among others.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Extended and expanded our license agreement with Bretford Manufacturing, a leading designer and manufacturer of smart furniture.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Partnered with MITO Corporation to commercialize aftermarket automotive power and charging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Introduced ReVive, a 36-watt wire-free power solution for the automotive and transportation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1F1F1F"/>
        </w:rPr>
      </w:pPr>
      <w:r>
        <w:rPr>
          <w:rFonts w:ascii="Arial" w:cs="Arial" w:eastAsia="Arial" w:hAnsi="Arial"/>
          <w:sz w:val="18"/>
          <w:szCs w:val="18"/>
          <w:color w:val="auto"/>
        </w:rPr>
        <w:t xml:space="preserve">Received two Global Media Awards for ReVive at SEMA, </w:t>
      </w:r>
      <w:r>
        <w:rPr>
          <w:rFonts w:ascii="Arial" w:cs="Arial" w:eastAsia="Arial" w:hAnsi="Arial"/>
          <w:sz w:val="18"/>
          <w:szCs w:val="18"/>
          <w:color w:val="1F1F1F"/>
        </w:rPr>
        <w:t>a premier automotive specialty products trade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Mobile</w:t>
      </w:r>
    </w:p>
    <w:p>
      <w:pPr>
        <w:spacing w:after="0" w:line="22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Partnered with Xplore Technologies to land a large blanket purchase order consisting of 200 Motion by Xplore rugged tablets per year over a three-year sales agreement with a market leader in sensor-assisted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Panasonic Toughbook 20, a rugged 2-in-1 device, which can be used as both a laptop and a tablet, to the product 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Sonim Technologies’ line of rugged smartphones and accessories to product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Became the first non-carrier distribution partner of Sonim Ultra Rugged LTE Phones.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Expanded our sales team, with the hire of an eastern region sales manager, Doug Carter, as well as two new inside sales representatives.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Broadened our product offering with 10 cutting edge devices from existing partners and added CAT as a supplier of mobile devices.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key new backup, antivirus, recycling and customer asset trade-in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Year Ended December 31, 2015</w:t>
      </w:r>
    </w:p>
    <w:p>
      <w:pPr>
        <w:spacing w:after="0" w:line="229"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Vringo had approximately $27 million in cash and court deposits as of December 31, 2015. Most of the amount held as court deposits was subsequently returned to us in Q1 2016.</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outstanding debt was $4.1 million as of December 31, 2015 and is $1.7 million as of March 10, 2016.</w:t>
      </w:r>
    </w:p>
    <w:p>
      <w:pPr>
        <w:spacing w:after="0" w:line="225" w:lineRule="exact"/>
        <w:rPr>
          <w:rFonts w:ascii="Arial" w:cs="Arial" w:eastAsia="Arial" w:hAnsi="Arial"/>
          <w:sz w:val="18"/>
          <w:szCs w:val="18"/>
          <w:color w:val="auto"/>
        </w:rPr>
      </w:pPr>
    </w:p>
    <w:p>
      <w:pPr>
        <w:jc w:val="both"/>
        <w:ind w:left="340" w:right="20" w:hanging="332"/>
        <w:spacing w:after="0" w:line="28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year ended December 31, 2015, we recorded total revenue of $22.7 million, which is an increase of 1,492% as compared to the year ended December 31, 2014. The increase in 2015 was mainly due to our Intellectual Property operating segment for the $21.5 million received in connection with an executed confidential settlement and license agreement with ZTE, as well as revenue generated by our Group Mobile segment.</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legal costs were $18.5 million (including stock based compensation of $0.8 million) for the year ended December 31, 2015, which represents a decrease of 27% from prior year. This decrease was primarily due to the timing and nature of consulting and patent litigation costs related to legal proceedings against ZTE, ASUSTeK Computer, Inc. and Google, Inc.</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year ended December 31, 2015, total general and administrative expenses, net of non-cash items such as stock based compensation, decreased by 14% to $6.0 million as compared to the prior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loss per share improved to $1.09 as of December 31, 2015 from $12.36 as of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Vringo, Inc. is a diversified technology company engaged in the innovation, development, commercialization and monetization of three operating segments; Fli Charge, Group Mobile, and Intellectual Property. Fli Charge is dedicated to the licensing and commercialization of wire-free power technologies. Group Mobile is dedicated to the marketing and sale of rugged computing devices. Intellectual Property portfolio consists of over 600 patents and patent applications covering telecom infrastructure, internet search, ad-insertion, mobile and wire-free charging technologies; visit: </w:t>
      </w:r>
      <w:r>
        <w:rPr>
          <w:rFonts w:ascii="Arial" w:cs="Arial" w:eastAsia="Arial" w:hAnsi="Arial"/>
          <w:sz w:val="18"/>
          <w:szCs w:val="18"/>
          <w:u w:val="single" w:color="auto"/>
          <w:color w:val="0000FF"/>
        </w:rPr>
        <w:t>www.vringo.com</w:t>
      </w:r>
      <w:r>
        <w:rPr>
          <w:rFonts w:ascii="Arial" w:cs="Arial" w:eastAsia="Arial" w:hAnsi="Arial"/>
          <w:sz w:val="18"/>
          <w:szCs w:val="18"/>
          <w:color w:val="auto"/>
        </w:rPr>
        <w:t xml:space="preserve"> | </w:t>
      </w:r>
      <w:r>
        <w:rPr>
          <w:rFonts w:ascii="Arial" w:cs="Arial" w:eastAsia="Arial" w:hAnsi="Arial"/>
          <w:sz w:val="18"/>
          <w:szCs w:val="18"/>
          <w:u w:val="single" w:color="auto"/>
          <w:color w:val="0000FF"/>
        </w:rPr>
        <w:t>www.flicharge.com</w:t>
      </w:r>
      <w:r>
        <w:rPr>
          <w:rFonts w:ascii="Arial" w:cs="Arial" w:eastAsia="Arial" w:hAnsi="Arial"/>
          <w:sz w:val="18"/>
          <w:szCs w:val="18"/>
          <w:color w:val="auto"/>
        </w:rPr>
        <w:t xml:space="preserve"> | </w:t>
      </w:r>
      <w:r>
        <w:rPr>
          <w:rFonts w:ascii="Arial" w:cs="Arial" w:eastAsia="Arial" w:hAnsi="Arial"/>
          <w:sz w:val="18"/>
          <w:szCs w:val="18"/>
          <w:u w:val="single" w:color="auto"/>
          <w:color w:val="0000FF"/>
        </w:rPr>
        <w:t>www.groupmobile.com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our liquidity and other risks and uncertainties and other factors discussed from time to time in our filings with the Securities and Exchange Commission ("SEC"), including our annual report on Form 10-K filed with the SEC on March 10, 2016. Vringo expressly disclaims any obligation to publicly update any forward-looking statements contained herein,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2019-12-08T15:12:07Z</dcterms:created>
  <dcterms:modified xsi:type="dcterms:W3CDTF">2019-12-08T15:12:07Z</dcterms:modified>
</cp:coreProperties>
</file>