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Vringo, Inc.</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92911N302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13d-1(b)</w:t>
      </w:r>
    </w:p>
    <w:p>
      <w:pPr>
        <w:spacing w:after="0" w:line="192" w:lineRule="exact"/>
        <w:rPr>
          <w:rFonts w:ascii="Arial" w:cs="Arial" w:eastAsia="Arial" w:hAnsi="Arial"/>
          <w:sz w:val="18"/>
          <w:szCs w:val="18"/>
          <w:color w:val="auto"/>
        </w:rPr>
      </w:pPr>
    </w:p>
    <w:p>
      <w:pPr>
        <w:ind w:left="580" w:hanging="572"/>
        <w:spacing w:after="0" w:line="207" w:lineRule="exact"/>
        <w:tabs>
          <w:tab w:leader="none" w:pos="58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2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 Rule 13d-1(d)</w:t>
      </w:r>
    </w:p>
    <w:p>
      <w:pPr>
        <w:spacing w:after="0" w:line="225" w:lineRule="exact"/>
        <w:rPr>
          <w:sz w:val="24"/>
          <w:szCs w:val="24"/>
          <w:color w:val="auto"/>
        </w:rPr>
      </w:pPr>
    </w:p>
    <w:p>
      <w:pPr>
        <w:ind w:left="240" w:right="80" w:hanging="232"/>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92911N302</w:t>
      </w:r>
    </w:p>
    <w:p>
      <w:pPr>
        <w:spacing w:after="0" w:line="149" w:lineRule="exact"/>
        <w:rPr>
          <w:sz w:val="20"/>
          <w:szCs w:val="20"/>
          <w:color w:val="auto"/>
        </w:rPr>
      </w:pPr>
    </w:p>
    <w:p>
      <w:pPr>
        <w:ind w:left="580" w:hanging="46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7560"/>
        <w:spacing w:after="0" w:line="403" w:lineRule="auto"/>
        <w:rPr>
          <w:rFonts w:ascii="Arial" w:cs="Arial" w:eastAsia="Arial" w:hAnsi="Arial"/>
          <w:sz w:val="14"/>
          <w:szCs w:val="14"/>
          <w:color w:val="auto"/>
        </w:rPr>
      </w:pPr>
      <w:r>
        <w:rPr>
          <w:rFonts w:ascii="Arial" w:cs="Arial" w:eastAsia="Arial" w:hAnsi="Arial"/>
          <w:sz w:val="14"/>
          <w:szCs w:val="14"/>
          <w:color w:val="auto"/>
        </w:rPr>
        <w:t>I.R.S. Identification Nos. of above persons (entities only) Iroquois Capital Management L.L.C.</w:t>
      </w:r>
    </w:p>
    <w:p>
      <w:pPr>
        <w:spacing w:after="0" w:line="1" w:lineRule="exact"/>
        <w:rPr>
          <w:rFonts w:ascii="Arial" w:cs="Arial" w:eastAsia="Arial" w:hAnsi="Arial"/>
          <w:sz w:val="14"/>
          <w:szCs w:val="14"/>
          <w:color w:val="auto"/>
        </w:rPr>
      </w:pPr>
    </w:p>
    <w:p>
      <w:pPr>
        <w:ind w:left="580" w:hanging="46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35" w:lineRule="exact"/>
        <w:rPr>
          <w:rFonts w:ascii="Arial" w:cs="Arial" w:eastAsia="Arial" w:hAnsi="Arial"/>
          <w:sz w:val="14"/>
          <w:szCs w:val="14"/>
          <w:color w:val="auto"/>
        </w:rPr>
      </w:pPr>
    </w:p>
    <w:p>
      <w:pPr>
        <w:ind w:left="840" w:hanging="269"/>
        <w:spacing w:after="0"/>
        <w:tabs>
          <w:tab w:leader="none" w:pos="84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t>
      </w:r>
    </w:p>
    <w:p>
      <w:pPr>
        <w:ind w:left="840" w:hanging="269"/>
        <w:spacing w:after="0"/>
        <w:tabs>
          <w:tab w:leader="none" w:pos="840" w:val="left"/>
        </w:tabs>
        <w:numPr>
          <w:ilvl w:val="1"/>
          <w:numId w:val="3"/>
        </w:numPr>
        <w:rPr>
          <w:rFonts w:ascii="Arial" w:cs="Arial" w:eastAsia="Arial" w:hAnsi="Arial"/>
          <w:sz w:val="14"/>
          <w:szCs w:val="14"/>
          <w:color w:val="auto"/>
        </w:rPr>
      </w:pPr>
      <w:r>
        <w:rPr>
          <w:rFonts w:ascii="Arial" w:cs="Arial" w:eastAsia="Arial" w:hAnsi="Arial"/>
          <w:sz w:val="14"/>
          <w:szCs w:val="14"/>
          <w:color w:val="auto"/>
        </w:rPr>
        <w:t>o</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46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4373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7388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gridSpan w:val="2"/>
          </w:tcPr>
          <w:p>
            <w:pPr>
              <w:jc w:val="right"/>
              <w:ind w:right="148"/>
              <w:spacing w:after="0"/>
              <w:rPr>
                <w:sz w:val="20"/>
                <w:szCs w:val="20"/>
                <w:color w:val="auto"/>
              </w:rPr>
            </w:pPr>
            <w:r>
              <w:rPr>
                <w:rFonts w:ascii="Arial" w:cs="Arial" w:eastAsia="Arial" w:hAnsi="Arial"/>
                <w:sz w:val="14"/>
                <w:szCs w:val="14"/>
                <w:color w:val="auto"/>
              </w:rPr>
              <w:t>Delaware</w:t>
            </w:r>
          </w:p>
        </w:tc>
        <w:tc>
          <w:tcPr>
            <w:tcW w:w="10080" w:type="dxa"/>
            <w:vAlign w:val="bottom"/>
          </w:tcPr>
          <w:p>
            <w:pPr>
              <w:spacing w:after="0"/>
              <w:rPr>
                <w:sz w:val="15"/>
                <w:szCs w:val="15"/>
                <w:color w:val="auto"/>
              </w:rPr>
            </w:pPr>
          </w:p>
        </w:tc>
      </w:tr>
      <w:tr>
        <w:trPr>
          <w:trHeight w:val="80"/>
        </w:trPr>
        <w:tc>
          <w:tcPr>
            <w:tcW w:w="9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80" w:type="dxa"/>
            <w:vAlign w:val="bottom"/>
            <w:tcBorders>
              <w:bottom w:val="single" w:sz="8" w:color="auto"/>
            </w:tcBorders>
          </w:tcPr>
          <w:p>
            <w:pPr>
              <w:spacing w:after="0"/>
              <w:rPr>
                <w:sz w:val="6"/>
                <w:szCs w:val="6"/>
                <w:color w:val="auto"/>
              </w:rPr>
            </w:pPr>
          </w:p>
        </w:tc>
      </w:tr>
      <w:tr>
        <w:trPr>
          <w:trHeight w:val="123"/>
        </w:trPr>
        <w:tc>
          <w:tcPr>
            <w:tcW w:w="920" w:type="dxa"/>
            <w:vAlign w:val="bottom"/>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420" w:type="dxa"/>
            <w:vAlign w:val="bottom"/>
          </w:tcPr>
          <w:p>
            <w:pPr>
              <w:jc w:val="right"/>
              <w:ind w:right="68"/>
              <w:spacing w:after="0" w:line="123" w:lineRule="exact"/>
              <w:rPr>
                <w:sz w:val="20"/>
                <w:szCs w:val="20"/>
                <w:color w:val="auto"/>
              </w:rPr>
            </w:pPr>
            <w:r>
              <w:rPr>
                <w:rFonts w:ascii="Arial" w:cs="Arial" w:eastAsia="Arial" w:hAnsi="Arial"/>
                <w:sz w:val="14"/>
                <w:szCs w:val="14"/>
                <w:color w:val="auto"/>
              </w:rPr>
              <w:t>(5)</w:t>
            </w:r>
          </w:p>
        </w:tc>
        <w:tc>
          <w:tcPr>
            <w:tcW w:w="10080" w:type="dxa"/>
            <w:vAlign w:val="bottom"/>
          </w:tcPr>
          <w:p>
            <w:pPr>
              <w:ind w:left="140"/>
              <w:spacing w:after="0" w:line="123" w:lineRule="exact"/>
              <w:rPr>
                <w:sz w:val="20"/>
                <w:szCs w:val="20"/>
                <w:color w:val="auto"/>
              </w:rPr>
            </w:pPr>
            <w:r>
              <w:rPr>
                <w:rFonts w:ascii="Arial" w:cs="Arial" w:eastAsia="Arial" w:hAnsi="Arial"/>
                <w:sz w:val="14"/>
                <w:szCs w:val="14"/>
                <w:color w:val="auto"/>
              </w:rPr>
              <w:t>Sole voting power</w:t>
            </w: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20" w:type="dxa"/>
            <w:vAlign w:val="bottom"/>
          </w:tcPr>
          <w:p>
            <w:pPr>
              <w:spacing w:after="0"/>
              <w:rPr>
                <w:sz w:val="12"/>
                <w:szCs w:val="12"/>
                <w:color w:val="auto"/>
              </w:rPr>
            </w:pPr>
          </w:p>
        </w:tc>
        <w:tc>
          <w:tcPr>
            <w:tcW w:w="10080" w:type="dxa"/>
            <w:vAlign w:val="bottom"/>
          </w:tcPr>
          <w:p>
            <w:pPr>
              <w:spacing w:after="0"/>
              <w:rPr>
                <w:sz w:val="12"/>
                <w:szCs w:val="12"/>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beneficially</w:t>
            </w:r>
          </w:p>
        </w:tc>
        <w:tc>
          <w:tcPr>
            <w:tcW w:w="420" w:type="dxa"/>
            <w:vAlign w:val="bottom"/>
          </w:tcPr>
          <w:p>
            <w:pPr>
              <w:spacing w:after="0"/>
              <w:rPr>
                <w:sz w:val="12"/>
                <w:szCs w:val="12"/>
                <w:color w:val="auto"/>
              </w:rPr>
            </w:pPr>
          </w:p>
        </w:tc>
        <w:tc>
          <w:tcPr>
            <w:tcW w:w="10080" w:type="dxa"/>
            <w:vAlign w:val="bottom"/>
          </w:tcPr>
          <w:p>
            <w:pPr>
              <w:ind w:left="140"/>
              <w:spacing w:after="0" w:line="149" w:lineRule="exact"/>
              <w:rPr>
                <w:sz w:val="20"/>
                <w:szCs w:val="20"/>
                <w:color w:val="auto"/>
              </w:rPr>
            </w:pPr>
            <w:r>
              <w:rPr>
                <w:rFonts w:ascii="Arial" w:cs="Arial" w:eastAsia="Arial" w:hAnsi="Arial"/>
                <w:sz w:val="14"/>
                <w:szCs w:val="14"/>
                <w:color w:val="auto"/>
              </w:rPr>
              <w:t>0</w:t>
            </w:r>
          </w:p>
        </w:tc>
      </w:tr>
      <w:tr>
        <w:trPr>
          <w:trHeight w:val="161"/>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owned by</w:t>
            </w:r>
          </w:p>
        </w:tc>
        <w:tc>
          <w:tcPr>
            <w:tcW w:w="420" w:type="dxa"/>
            <w:vAlign w:val="bottom"/>
            <w:tcBorders>
              <w:bottom w:val="single" w:sz="8" w:color="auto"/>
            </w:tcBorders>
          </w:tcPr>
          <w:p>
            <w:pPr>
              <w:spacing w:after="0"/>
              <w:rPr>
                <w:sz w:val="13"/>
                <w:szCs w:val="13"/>
                <w:color w:val="auto"/>
              </w:rPr>
            </w:pPr>
          </w:p>
        </w:tc>
        <w:tc>
          <w:tcPr>
            <w:tcW w:w="10080" w:type="dxa"/>
            <w:vAlign w:val="bottom"/>
            <w:tcBorders>
              <w:bottom w:val="single" w:sz="8" w:color="auto"/>
            </w:tcBorders>
          </w:tcPr>
          <w:p>
            <w:pPr>
              <w:spacing w:after="0"/>
              <w:rPr>
                <w:sz w:val="13"/>
                <w:szCs w:val="13"/>
                <w:color w:val="auto"/>
              </w:rPr>
            </w:pPr>
          </w:p>
        </w:tc>
      </w:tr>
      <w:tr>
        <w:trPr>
          <w:trHeight w:val="122"/>
        </w:trPr>
        <w:tc>
          <w:tcPr>
            <w:tcW w:w="920" w:type="dxa"/>
            <w:vAlign w:val="bottom"/>
          </w:tcPr>
          <w:p>
            <w:pPr>
              <w:jc w:val="center"/>
              <w:spacing w:after="0" w:line="122" w:lineRule="exact"/>
              <w:rPr>
                <w:sz w:val="20"/>
                <w:szCs w:val="20"/>
                <w:color w:val="auto"/>
              </w:rPr>
            </w:pPr>
            <w:r>
              <w:rPr>
                <w:rFonts w:ascii="Arial" w:cs="Arial" w:eastAsia="Arial" w:hAnsi="Arial"/>
                <w:sz w:val="14"/>
                <w:szCs w:val="14"/>
                <w:color w:val="auto"/>
                <w:w w:val="85"/>
              </w:rPr>
              <w:t>each</w:t>
            </w:r>
          </w:p>
        </w:tc>
        <w:tc>
          <w:tcPr>
            <w:tcW w:w="420" w:type="dxa"/>
            <w:vAlign w:val="bottom"/>
          </w:tcPr>
          <w:p>
            <w:pPr>
              <w:jc w:val="right"/>
              <w:ind w:right="68"/>
              <w:spacing w:after="0" w:line="122" w:lineRule="exact"/>
              <w:rPr>
                <w:sz w:val="20"/>
                <w:szCs w:val="20"/>
                <w:color w:val="auto"/>
              </w:rPr>
            </w:pPr>
            <w:r>
              <w:rPr>
                <w:rFonts w:ascii="Arial" w:cs="Arial" w:eastAsia="Arial" w:hAnsi="Arial"/>
                <w:sz w:val="14"/>
                <w:szCs w:val="14"/>
                <w:color w:val="auto"/>
              </w:rPr>
              <w:t>(6)</w:t>
            </w:r>
          </w:p>
        </w:tc>
        <w:tc>
          <w:tcPr>
            <w:tcW w:w="10080" w:type="dxa"/>
            <w:vAlign w:val="bottom"/>
          </w:tcPr>
          <w:p>
            <w:pPr>
              <w:ind w:left="140"/>
              <w:spacing w:after="0" w:line="122" w:lineRule="exact"/>
              <w:rPr>
                <w:sz w:val="20"/>
                <w:szCs w:val="20"/>
                <w:color w:val="auto"/>
              </w:rPr>
            </w:pPr>
            <w:r>
              <w:rPr>
                <w:rFonts w:ascii="Arial" w:cs="Arial" w:eastAsia="Arial" w:hAnsi="Arial"/>
                <w:sz w:val="14"/>
                <w:szCs w:val="14"/>
                <w:color w:val="auto"/>
              </w:rPr>
              <w:t>Shared voting power</w:t>
            </w: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4"/>
              </w:rPr>
              <w:t>reporting</w:t>
            </w:r>
          </w:p>
        </w:tc>
        <w:tc>
          <w:tcPr>
            <w:tcW w:w="420" w:type="dxa"/>
            <w:vAlign w:val="bottom"/>
          </w:tcPr>
          <w:p>
            <w:pPr>
              <w:spacing w:after="0"/>
              <w:rPr>
                <w:sz w:val="12"/>
                <w:szCs w:val="12"/>
                <w:color w:val="auto"/>
              </w:rPr>
            </w:pPr>
          </w:p>
        </w:tc>
        <w:tc>
          <w:tcPr>
            <w:tcW w:w="10080" w:type="dxa"/>
            <w:vAlign w:val="bottom"/>
          </w:tcPr>
          <w:p>
            <w:pPr>
              <w:ind w:left="140"/>
              <w:spacing w:after="0" w:line="149" w:lineRule="exact"/>
              <w:rPr>
                <w:sz w:val="20"/>
                <w:szCs w:val="20"/>
                <w:color w:val="auto"/>
              </w:rPr>
            </w:pPr>
            <w:r>
              <w:rPr>
                <w:rFonts w:ascii="Arial" w:cs="Arial" w:eastAsia="Arial" w:hAnsi="Arial"/>
                <w:sz w:val="14"/>
                <w:szCs w:val="14"/>
                <w:color w:val="auto"/>
              </w:rPr>
              <w:t>39,268 shares of Common Stock</w:t>
            </w: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88"/>
              </w:rPr>
              <w:t>person</w:t>
            </w:r>
          </w:p>
        </w:tc>
        <w:tc>
          <w:tcPr>
            <w:tcW w:w="420" w:type="dxa"/>
            <w:vAlign w:val="bottom"/>
          </w:tcPr>
          <w:p>
            <w:pPr>
              <w:spacing w:after="0"/>
              <w:rPr>
                <w:sz w:val="12"/>
                <w:szCs w:val="12"/>
                <w:color w:val="auto"/>
              </w:rPr>
            </w:pPr>
          </w:p>
        </w:tc>
        <w:tc>
          <w:tcPr>
            <w:tcW w:w="10080" w:type="dxa"/>
            <w:vAlign w:val="bottom"/>
          </w:tcPr>
          <w:p>
            <w:pPr>
              <w:ind w:left="140"/>
              <w:spacing w:after="0" w:line="149" w:lineRule="exact"/>
              <w:rPr>
                <w:sz w:val="20"/>
                <w:szCs w:val="20"/>
                <w:color w:val="auto"/>
              </w:rPr>
            </w:pPr>
            <w:r>
              <w:rPr>
                <w:rFonts w:ascii="Arial" w:cs="Arial" w:eastAsia="Arial" w:hAnsi="Arial"/>
                <w:sz w:val="14"/>
                <w:szCs w:val="14"/>
                <w:color w:val="auto"/>
              </w:rPr>
              <w:t>Convertible Notes convertible into 420,610 shares of common stock</w:t>
            </w:r>
          </w:p>
        </w:tc>
      </w:tr>
      <w:tr>
        <w:trPr>
          <w:trHeight w:val="182"/>
        </w:trPr>
        <w:tc>
          <w:tcPr>
            <w:tcW w:w="920" w:type="dxa"/>
            <w:vAlign w:val="bottom"/>
          </w:tcPr>
          <w:p>
            <w:pPr>
              <w:jc w:val="center"/>
              <w:spacing w:after="0"/>
              <w:rPr>
                <w:sz w:val="20"/>
                <w:szCs w:val="20"/>
                <w:color w:val="auto"/>
              </w:rPr>
            </w:pPr>
            <w:r>
              <w:rPr>
                <w:rFonts w:ascii="Arial" w:cs="Arial" w:eastAsia="Arial" w:hAnsi="Arial"/>
                <w:sz w:val="14"/>
                <w:szCs w:val="14"/>
                <w:color w:val="auto"/>
              </w:rPr>
              <w:t>with:</w:t>
            </w:r>
          </w:p>
        </w:tc>
        <w:tc>
          <w:tcPr>
            <w:tcW w:w="420" w:type="dxa"/>
            <w:vAlign w:val="bottom"/>
          </w:tcPr>
          <w:p>
            <w:pPr>
              <w:spacing w:after="0"/>
              <w:rPr>
                <w:sz w:val="15"/>
                <w:szCs w:val="15"/>
                <w:color w:val="auto"/>
              </w:rPr>
            </w:pPr>
          </w:p>
        </w:tc>
        <w:tc>
          <w:tcPr>
            <w:tcW w:w="10080" w:type="dxa"/>
            <w:vAlign w:val="bottom"/>
          </w:tcPr>
          <w:p>
            <w:pPr>
              <w:ind w:left="140"/>
              <w:spacing w:after="0"/>
              <w:rPr>
                <w:sz w:val="20"/>
                <w:szCs w:val="20"/>
                <w:color w:val="auto"/>
              </w:rPr>
            </w:pPr>
            <w:r>
              <w:rPr>
                <w:rFonts w:ascii="Arial" w:cs="Arial" w:eastAsia="Arial" w:hAnsi="Arial"/>
                <w:sz w:val="14"/>
                <w:szCs w:val="14"/>
                <w:color w:val="auto"/>
              </w:rPr>
              <w:t>Warrants to purchase 537,500 shares of common stock (see Item 4)</w:t>
            </w:r>
          </w:p>
        </w:tc>
      </w:tr>
    </w:tbl>
    <w:p>
      <w:pPr>
        <w:ind w:left="1480" w:right="8620" w:hanging="450"/>
        <w:spacing w:after="0" w:line="403" w:lineRule="auto"/>
        <w:tabs>
          <w:tab w:leader="none" w:pos="1480" w:val="left"/>
        </w:tabs>
        <w:numPr>
          <w:ilvl w:val="2"/>
          <w:numId w:val="4"/>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480" w:hanging="450"/>
        <w:spacing w:after="0"/>
        <w:tabs>
          <w:tab w:leader="none" w:pos="1480" w:val="left"/>
        </w:tabs>
        <w:numPr>
          <w:ilvl w:val="2"/>
          <w:numId w:val="4"/>
        </w:numPr>
        <w:rPr>
          <w:rFonts w:ascii="Arial" w:cs="Arial" w:eastAsia="Arial" w:hAnsi="Arial"/>
          <w:sz w:val="14"/>
          <w:szCs w:val="14"/>
          <w:color w:val="auto"/>
        </w:rPr>
      </w:pPr>
      <w:r>
        <w:rPr>
          <w:rFonts w:ascii="Arial" w:cs="Arial" w:eastAsia="Arial" w:hAnsi="Arial"/>
          <w:sz w:val="14"/>
          <w:szCs w:val="14"/>
          <w:color w:val="auto"/>
        </w:rPr>
        <w:t>Shared dispositive power</w:t>
      </w:r>
    </w:p>
    <w:p>
      <w:pPr>
        <w:ind w:left="1480"/>
        <w:spacing w:after="0" w:line="221" w:lineRule="auto"/>
        <w:rPr>
          <w:rFonts w:ascii="Arial" w:cs="Arial" w:eastAsia="Arial" w:hAnsi="Arial"/>
          <w:sz w:val="14"/>
          <w:szCs w:val="14"/>
          <w:color w:val="auto"/>
        </w:rPr>
      </w:pPr>
      <w:r>
        <w:rPr>
          <w:rFonts w:ascii="Arial" w:cs="Arial" w:eastAsia="Arial" w:hAnsi="Arial"/>
          <w:sz w:val="14"/>
          <w:szCs w:val="14"/>
          <w:color w:val="auto"/>
        </w:rPr>
        <w:t>39,268 shares of Common Stock</w:t>
      </w:r>
    </w:p>
    <w:p>
      <w:pPr>
        <w:ind w:left="1480" w:right="6000"/>
        <w:spacing w:after="0" w:line="249" w:lineRule="auto"/>
        <w:rPr>
          <w:rFonts w:ascii="Arial" w:cs="Arial" w:eastAsia="Arial" w:hAnsi="Arial"/>
          <w:sz w:val="14"/>
          <w:szCs w:val="14"/>
          <w:color w:val="auto"/>
        </w:rPr>
      </w:pPr>
      <w:r>
        <w:rPr>
          <w:rFonts w:ascii="Arial" w:cs="Arial" w:eastAsia="Arial" w:hAnsi="Arial"/>
          <w:sz w:val="13"/>
          <w:szCs w:val="13"/>
          <w:color w:val="auto"/>
        </w:rPr>
        <w:t>Convertible Notes convertible into 420,610 shares of common stock Warrants to purchase 537,500 shares of common stock (see Item 4)</w:t>
      </w:r>
    </w:p>
    <w:p>
      <w:pPr>
        <w:ind w:left="580" w:hanging="469"/>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w:t>
      </w:r>
    </w:p>
    <w:p>
      <w:pPr>
        <w:spacing w:after="0" w:line="12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39,268 shares of Common Stock</w:t>
      </w:r>
    </w:p>
    <w:p>
      <w:pPr>
        <w:ind w:left="580" w:right="6920"/>
        <w:spacing w:after="0" w:line="270" w:lineRule="auto"/>
        <w:rPr>
          <w:rFonts w:ascii="Arial" w:cs="Arial" w:eastAsia="Arial" w:hAnsi="Arial"/>
          <w:sz w:val="14"/>
          <w:szCs w:val="14"/>
          <w:color w:val="auto"/>
        </w:rPr>
      </w:pPr>
      <w:r>
        <w:rPr>
          <w:rFonts w:ascii="Arial" w:cs="Arial" w:eastAsia="Arial" w:hAnsi="Arial"/>
          <w:sz w:val="12"/>
          <w:szCs w:val="12"/>
          <w:color w:val="auto"/>
        </w:rPr>
        <w:t>Convertible Notes convertible into 420,610 shares of common stock Warrants to purchase 537,500 shares of common stock (see Item 4)</w:t>
      </w:r>
    </w:p>
    <w:p>
      <w:pPr>
        <w:ind w:left="580" w:hanging="469"/>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Percent of class represented by amount in Row (9)</w:t>
      </w:r>
    </w:p>
    <w:p>
      <w:pPr>
        <w:spacing w:after="0" w:line="13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9.9% (see Item 4)*</w:t>
      </w:r>
    </w:p>
    <w:p>
      <w:pPr>
        <w:spacing w:after="0" w:line="95" w:lineRule="exact"/>
        <w:rPr>
          <w:rFonts w:ascii="Arial" w:cs="Arial" w:eastAsia="Arial" w:hAnsi="Arial"/>
          <w:sz w:val="14"/>
          <w:szCs w:val="14"/>
          <w:color w:val="auto"/>
        </w:rPr>
      </w:pPr>
    </w:p>
    <w:p>
      <w:pPr>
        <w:ind w:left="580" w:hanging="469"/>
        <w:spacing w:after="0"/>
        <w:tabs>
          <w:tab w:leader="none" w:pos="580" w:val="left"/>
        </w:tabs>
        <w:numPr>
          <w:ilvl w:val="1"/>
          <w:numId w:val="5"/>
        </w:numPr>
        <w:rPr>
          <w:rFonts w:ascii="Arial" w:cs="Arial" w:eastAsia="Arial" w:hAnsi="Arial"/>
          <w:sz w:val="14"/>
          <w:szCs w:val="14"/>
          <w:color w:val="auto"/>
        </w:rPr>
      </w:pPr>
      <w:r>
        <w:rPr>
          <w:rFonts w:ascii="Arial" w:cs="Arial" w:eastAsia="Arial" w:hAnsi="Arial"/>
          <w:sz w:val="14"/>
          <w:szCs w:val="14"/>
          <w:color w:val="auto"/>
        </w:rPr>
        <w:t>Type of reporting person (see instructions)</w:t>
      </w:r>
    </w:p>
    <w:p>
      <w:pPr>
        <w:spacing w:after="0" w:line="13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OO</w:t>
      </w:r>
    </w:p>
    <w:p>
      <w:pPr>
        <w:spacing w:after="0" w:line="316" w:lineRule="exact"/>
        <w:rPr>
          <w:rFonts w:ascii="Arial" w:cs="Arial" w:eastAsia="Arial" w:hAnsi="Arial"/>
          <w:sz w:val="14"/>
          <w:szCs w:val="14"/>
          <w:color w:val="auto"/>
        </w:rPr>
      </w:pPr>
    </w:p>
    <w:p>
      <w:pPr>
        <w:spacing w:after="0" w:line="276" w:lineRule="auto"/>
        <w:rPr>
          <w:rFonts w:ascii="Arial" w:cs="Arial" w:eastAsia="Arial" w:hAnsi="Arial"/>
          <w:sz w:val="14"/>
          <w:szCs w:val="14"/>
          <w:color w:val="auto"/>
        </w:rPr>
      </w:pPr>
      <w:r>
        <w:rPr>
          <w:rFonts w:ascii="Arial" w:cs="Arial" w:eastAsia="Arial" w:hAnsi="Arial"/>
          <w:sz w:val="17"/>
          <w:szCs w:val="17"/>
          <w:color w:val="auto"/>
        </w:rPr>
        <w:t>* 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CUSIP No. 92911N302</w:t>
      </w:r>
    </w:p>
    <w:p>
      <w:pPr>
        <w:spacing w:after="0" w:line="149" w:lineRule="exact"/>
        <w:rPr>
          <w:sz w:val="20"/>
          <w:szCs w:val="20"/>
          <w:color w:val="auto"/>
        </w:rPr>
      </w:pPr>
    </w:p>
    <w:p>
      <w:pPr>
        <w:ind w:left="580" w:hanging="46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7560"/>
        <w:spacing w:after="0" w:line="403" w:lineRule="auto"/>
        <w:rPr>
          <w:rFonts w:ascii="Arial" w:cs="Arial" w:eastAsia="Arial" w:hAnsi="Arial"/>
          <w:sz w:val="14"/>
          <w:szCs w:val="14"/>
          <w:color w:val="auto"/>
        </w:rPr>
      </w:pPr>
      <w:r>
        <w:rPr>
          <w:rFonts w:ascii="Arial" w:cs="Arial" w:eastAsia="Arial" w:hAnsi="Arial"/>
          <w:sz w:val="14"/>
          <w:szCs w:val="14"/>
          <w:color w:val="auto"/>
        </w:rPr>
        <w:t>I.R.S. Identification Nos. of above persons (entities only) Joshua Silverman</w:t>
      </w:r>
    </w:p>
    <w:p>
      <w:pPr>
        <w:spacing w:after="0" w:line="1" w:lineRule="exact"/>
        <w:rPr>
          <w:rFonts w:ascii="Arial" w:cs="Arial" w:eastAsia="Arial" w:hAnsi="Arial"/>
          <w:sz w:val="14"/>
          <w:szCs w:val="14"/>
          <w:color w:val="auto"/>
        </w:rPr>
      </w:pPr>
    </w:p>
    <w:p>
      <w:pPr>
        <w:ind w:left="580" w:hanging="46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35" w:lineRule="exact"/>
        <w:rPr>
          <w:rFonts w:ascii="Arial" w:cs="Arial" w:eastAsia="Arial" w:hAnsi="Arial"/>
          <w:sz w:val="14"/>
          <w:szCs w:val="14"/>
          <w:color w:val="auto"/>
        </w:rPr>
      </w:pPr>
    </w:p>
    <w:p>
      <w:pPr>
        <w:ind w:left="840" w:hanging="269"/>
        <w:spacing w:after="0"/>
        <w:tabs>
          <w:tab w:leader="none" w:pos="840" w:val="left"/>
        </w:tabs>
        <w:numPr>
          <w:ilvl w:val="1"/>
          <w:numId w:val="6"/>
        </w:numPr>
        <w:rPr>
          <w:rFonts w:ascii="Arial" w:cs="Arial" w:eastAsia="Arial" w:hAnsi="Arial"/>
          <w:sz w:val="14"/>
          <w:szCs w:val="14"/>
          <w:color w:val="auto"/>
        </w:rPr>
      </w:pPr>
      <w:r>
        <w:rPr>
          <w:rFonts w:ascii="Arial" w:cs="Arial" w:eastAsia="Arial" w:hAnsi="Arial"/>
          <w:sz w:val="14"/>
          <w:szCs w:val="14"/>
          <w:color w:val="auto"/>
        </w:rPr>
        <w:t>o</w:t>
      </w:r>
    </w:p>
    <w:p>
      <w:pPr>
        <w:ind w:left="840" w:hanging="269"/>
        <w:spacing w:after="0"/>
        <w:tabs>
          <w:tab w:leader="none" w:pos="840" w:val="left"/>
        </w:tabs>
        <w:numPr>
          <w:ilvl w:val="1"/>
          <w:numId w:val="6"/>
        </w:numPr>
        <w:rPr>
          <w:rFonts w:ascii="Arial" w:cs="Arial" w:eastAsia="Arial" w:hAnsi="Arial"/>
          <w:sz w:val="14"/>
          <w:szCs w:val="14"/>
          <w:color w:val="auto"/>
        </w:rPr>
      </w:pPr>
      <w:r>
        <w:rPr>
          <w:rFonts w:ascii="Arial" w:cs="Arial" w:eastAsia="Arial" w:hAnsi="Arial"/>
          <w:sz w:val="14"/>
          <w:szCs w:val="14"/>
          <w:color w:val="auto"/>
        </w:rPr>
        <w:t>o</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469"/>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4373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7388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20" w:type="dxa"/>
            <w:vAlign w:val="bottom"/>
            <w:gridSpan w:val="3"/>
          </w:tcPr>
          <w:p>
            <w:pPr>
              <w:ind w:left="580"/>
              <w:spacing w:after="0"/>
              <w:rPr>
                <w:sz w:val="20"/>
                <w:szCs w:val="20"/>
                <w:color w:val="auto"/>
              </w:rPr>
            </w:pPr>
            <w:r>
              <w:rPr>
                <w:rFonts w:ascii="Arial" w:cs="Arial" w:eastAsia="Arial" w:hAnsi="Arial"/>
                <w:sz w:val="14"/>
                <w:szCs w:val="14"/>
                <w:color w:val="auto"/>
              </w:rPr>
              <w:t>United States of America</w:t>
            </w:r>
          </w:p>
        </w:tc>
      </w:tr>
      <w:tr>
        <w:trPr>
          <w:trHeight w:val="80"/>
        </w:trPr>
        <w:tc>
          <w:tcPr>
            <w:tcW w:w="9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60" w:type="dxa"/>
            <w:vAlign w:val="bottom"/>
            <w:tcBorders>
              <w:bottom w:val="single" w:sz="8" w:color="auto"/>
            </w:tcBorders>
          </w:tcPr>
          <w:p>
            <w:pPr>
              <w:spacing w:after="0"/>
              <w:rPr>
                <w:sz w:val="6"/>
                <w:szCs w:val="6"/>
                <w:color w:val="auto"/>
              </w:rPr>
            </w:pPr>
          </w:p>
        </w:tc>
      </w:tr>
      <w:tr>
        <w:trPr>
          <w:trHeight w:val="123"/>
        </w:trPr>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420" w:type="dxa"/>
            <w:vAlign w:val="bottom"/>
          </w:tcPr>
          <w:p>
            <w:pPr>
              <w:jc w:val="right"/>
              <w:ind w:right="68"/>
              <w:spacing w:after="0" w:line="123" w:lineRule="exact"/>
              <w:rPr>
                <w:sz w:val="20"/>
                <w:szCs w:val="20"/>
                <w:color w:val="auto"/>
              </w:rPr>
            </w:pPr>
            <w:r>
              <w:rPr>
                <w:rFonts w:ascii="Arial" w:cs="Arial" w:eastAsia="Arial" w:hAnsi="Arial"/>
                <w:sz w:val="14"/>
                <w:szCs w:val="14"/>
                <w:color w:val="auto"/>
              </w:rPr>
              <w:t>(5)</w:t>
            </w:r>
          </w:p>
        </w:tc>
        <w:tc>
          <w:tcPr>
            <w:tcW w:w="10060" w:type="dxa"/>
            <w:vAlign w:val="bottom"/>
          </w:tcPr>
          <w:p>
            <w:pPr>
              <w:ind w:left="120"/>
              <w:spacing w:after="0" w:line="123" w:lineRule="exact"/>
              <w:rPr>
                <w:sz w:val="20"/>
                <w:szCs w:val="20"/>
                <w:color w:val="auto"/>
              </w:rPr>
            </w:pPr>
            <w:r>
              <w:rPr>
                <w:rFonts w:ascii="Arial" w:cs="Arial" w:eastAsia="Arial" w:hAnsi="Arial"/>
                <w:sz w:val="14"/>
                <w:szCs w:val="14"/>
                <w:color w:val="auto"/>
              </w:rPr>
              <w:t>Sole voting power</w:t>
            </w: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20" w:type="dxa"/>
            <w:vAlign w:val="bottom"/>
          </w:tcPr>
          <w:p>
            <w:pPr>
              <w:spacing w:after="0"/>
              <w:rPr>
                <w:sz w:val="12"/>
                <w:szCs w:val="12"/>
                <w:color w:val="auto"/>
              </w:rPr>
            </w:pPr>
          </w:p>
        </w:tc>
        <w:tc>
          <w:tcPr>
            <w:tcW w:w="10060" w:type="dxa"/>
            <w:vAlign w:val="bottom"/>
          </w:tcPr>
          <w:p>
            <w:pPr>
              <w:spacing w:after="0"/>
              <w:rPr>
                <w:sz w:val="12"/>
                <w:szCs w:val="12"/>
                <w:color w:val="auto"/>
              </w:rPr>
            </w:pP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8"/>
              </w:rPr>
              <w:t>beneficially</w:t>
            </w:r>
          </w:p>
        </w:tc>
        <w:tc>
          <w:tcPr>
            <w:tcW w:w="420" w:type="dxa"/>
            <w:vAlign w:val="bottom"/>
          </w:tcPr>
          <w:p>
            <w:pPr>
              <w:spacing w:after="0"/>
              <w:rPr>
                <w:sz w:val="12"/>
                <w:szCs w:val="12"/>
                <w:color w:val="auto"/>
              </w:rPr>
            </w:pPr>
          </w:p>
        </w:tc>
        <w:tc>
          <w:tcPr>
            <w:tcW w:w="10060" w:type="dxa"/>
            <w:vAlign w:val="bottom"/>
          </w:tcPr>
          <w:p>
            <w:pPr>
              <w:ind w:left="120"/>
              <w:spacing w:after="0" w:line="149" w:lineRule="exact"/>
              <w:rPr>
                <w:sz w:val="20"/>
                <w:szCs w:val="20"/>
                <w:color w:val="auto"/>
              </w:rPr>
            </w:pPr>
            <w:r>
              <w:rPr>
                <w:rFonts w:ascii="Arial" w:cs="Arial" w:eastAsia="Arial" w:hAnsi="Arial"/>
                <w:sz w:val="14"/>
                <w:szCs w:val="14"/>
                <w:color w:val="auto"/>
              </w:rPr>
              <w:t>0</w:t>
            </w:r>
          </w:p>
        </w:tc>
      </w:tr>
      <w:tr>
        <w:trPr>
          <w:trHeight w:val="161"/>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6"/>
              </w:rPr>
              <w:t>owned by</w:t>
            </w:r>
          </w:p>
        </w:tc>
        <w:tc>
          <w:tcPr>
            <w:tcW w:w="42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122"/>
        </w:trPr>
        <w:tc>
          <w:tcPr>
            <w:tcW w:w="940" w:type="dxa"/>
            <w:vAlign w:val="bottom"/>
          </w:tcPr>
          <w:p>
            <w:pPr>
              <w:jc w:val="center"/>
              <w:spacing w:after="0" w:line="122" w:lineRule="exact"/>
              <w:rPr>
                <w:sz w:val="20"/>
                <w:szCs w:val="20"/>
                <w:color w:val="auto"/>
              </w:rPr>
            </w:pPr>
            <w:r>
              <w:rPr>
                <w:rFonts w:ascii="Arial" w:cs="Arial" w:eastAsia="Arial" w:hAnsi="Arial"/>
                <w:sz w:val="14"/>
                <w:szCs w:val="14"/>
                <w:color w:val="auto"/>
                <w:w w:val="85"/>
              </w:rPr>
              <w:t>each</w:t>
            </w:r>
          </w:p>
        </w:tc>
        <w:tc>
          <w:tcPr>
            <w:tcW w:w="420" w:type="dxa"/>
            <w:vAlign w:val="bottom"/>
          </w:tcPr>
          <w:p>
            <w:pPr>
              <w:jc w:val="right"/>
              <w:ind w:right="68"/>
              <w:spacing w:after="0" w:line="122" w:lineRule="exact"/>
              <w:rPr>
                <w:sz w:val="20"/>
                <w:szCs w:val="20"/>
                <w:color w:val="auto"/>
              </w:rPr>
            </w:pPr>
            <w:r>
              <w:rPr>
                <w:rFonts w:ascii="Arial" w:cs="Arial" w:eastAsia="Arial" w:hAnsi="Arial"/>
                <w:sz w:val="14"/>
                <w:szCs w:val="14"/>
                <w:color w:val="auto"/>
              </w:rPr>
              <w:t>(6)</w:t>
            </w:r>
          </w:p>
        </w:tc>
        <w:tc>
          <w:tcPr>
            <w:tcW w:w="10060" w:type="dxa"/>
            <w:vAlign w:val="bottom"/>
          </w:tcPr>
          <w:p>
            <w:pPr>
              <w:ind w:left="120"/>
              <w:spacing w:after="0" w:line="122" w:lineRule="exact"/>
              <w:rPr>
                <w:sz w:val="20"/>
                <w:szCs w:val="20"/>
                <w:color w:val="auto"/>
              </w:rPr>
            </w:pPr>
            <w:r>
              <w:rPr>
                <w:rFonts w:ascii="Arial" w:cs="Arial" w:eastAsia="Arial" w:hAnsi="Arial"/>
                <w:sz w:val="14"/>
                <w:szCs w:val="14"/>
                <w:color w:val="auto"/>
              </w:rPr>
              <w:t>Shared voting power</w:t>
            </w: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reporting</w:t>
            </w:r>
          </w:p>
        </w:tc>
        <w:tc>
          <w:tcPr>
            <w:tcW w:w="420" w:type="dxa"/>
            <w:vAlign w:val="bottom"/>
          </w:tcPr>
          <w:p>
            <w:pPr>
              <w:spacing w:after="0"/>
              <w:rPr>
                <w:sz w:val="12"/>
                <w:szCs w:val="12"/>
                <w:color w:val="auto"/>
              </w:rPr>
            </w:pPr>
          </w:p>
        </w:tc>
        <w:tc>
          <w:tcPr>
            <w:tcW w:w="10060" w:type="dxa"/>
            <w:vAlign w:val="bottom"/>
          </w:tcPr>
          <w:p>
            <w:pPr>
              <w:ind w:left="120"/>
              <w:spacing w:after="0" w:line="149" w:lineRule="exact"/>
              <w:rPr>
                <w:sz w:val="20"/>
                <w:szCs w:val="20"/>
                <w:color w:val="auto"/>
              </w:rPr>
            </w:pPr>
            <w:r>
              <w:rPr>
                <w:rFonts w:ascii="Arial" w:cs="Arial" w:eastAsia="Arial" w:hAnsi="Arial"/>
                <w:sz w:val="14"/>
                <w:szCs w:val="14"/>
                <w:color w:val="auto"/>
              </w:rPr>
              <w:t>39,268 shares of Common Stock</w:t>
            </w: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person</w:t>
            </w:r>
          </w:p>
        </w:tc>
        <w:tc>
          <w:tcPr>
            <w:tcW w:w="420" w:type="dxa"/>
            <w:vAlign w:val="bottom"/>
          </w:tcPr>
          <w:p>
            <w:pPr>
              <w:spacing w:after="0"/>
              <w:rPr>
                <w:sz w:val="12"/>
                <w:szCs w:val="12"/>
                <w:color w:val="auto"/>
              </w:rPr>
            </w:pPr>
          </w:p>
        </w:tc>
        <w:tc>
          <w:tcPr>
            <w:tcW w:w="10060" w:type="dxa"/>
            <w:vAlign w:val="bottom"/>
          </w:tcPr>
          <w:p>
            <w:pPr>
              <w:ind w:left="120"/>
              <w:spacing w:after="0" w:line="149" w:lineRule="exact"/>
              <w:rPr>
                <w:sz w:val="20"/>
                <w:szCs w:val="20"/>
                <w:color w:val="auto"/>
              </w:rPr>
            </w:pPr>
            <w:r>
              <w:rPr>
                <w:rFonts w:ascii="Arial" w:cs="Arial" w:eastAsia="Arial" w:hAnsi="Arial"/>
                <w:sz w:val="14"/>
                <w:szCs w:val="14"/>
                <w:color w:val="auto"/>
              </w:rPr>
              <w:t>Convertible Notes convertible into 420,610 shares of common stock</w:t>
            </w:r>
          </w:p>
        </w:tc>
      </w:tr>
      <w:tr>
        <w:trPr>
          <w:trHeight w:val="182"/>
        </w:trPr>
        <w:tc>
          <w:tcPr>
            <w:tcW w:w="940" w:type="dxa"/>
            <w:vAlign w:val="bottom"/>
          </w:tcPr>
          <w:p>
            <w:pPr>
              <w:jc w:val="center"/>
              <w:spacing w:after="0"/>
              <w:rPr>
                <w:sz w:val="20"/>
                <w:szCs w:val="20"/>
                <w:color w:val="auto"/>
              </w:rPr>
            </w:pPr>
            <w:r>
              <w:rPr>
                <w:rFonts w:ascii="Arial" w:cs="Arial" w:eastAsia="Arial" w:hAnsi="Arial"/>
                <w:sz w:val="14"/>
                <w:szCs w:val="14"/>
                <w:color w:val="auto"/>
              </w:rPr>
              <w:t>with:</w:t>
            </w:r>
          </w:p>
        </w:tc>
        <w:tc>
          <w:tcPr>
            <w:tcW w:w="420" w:type="dxa"/>
            <w:vAlign w:val="bottom"/>
          </w:tcPr>
          <w:p>
            <w:pPr>
              <w:spacing w:after="0"/>
              <w:rPr>
                <w:sz w:val="15"/>
                <w:szCs w:val="15"/>
                <w:color w:val="auto"/>
              </w:rPr>
            </w:pPr>
          </w:p>
        </w:tc>
        <w:tc>
          <w:tcPr>
            <w:tcW w:w="10060" w:type="dxa"/>
            <w:vAlign w:val="bottom"/>
          </w:tcPr>
          <w:p>
            <w:pPr>
              <w:ind w:left="120"/>
              <w:spacing w:after="0"/>
              <w:rPr>
                <w:sz w:val="20"/>
                <w:szCs w:val="20"/>
                <w:color w:val="auto"/>
              </w:rPr>
            </w:pPr>
            <w:r>
              <w:rPr>
                <w:rFonts w:ascii="Arial" w:cs="Arial" w:eastAsia="Arial" w:hAnsi="Arial"/>
                <w:sz w:val="14"/>
                <w:szCs w:val="14"/>
                <w:color w:val="auto"/>
              </w:rPr>
              <w:t>Warrants to purchase 537,500 shares of common stock (see Item 4)</w:t>
            </w:r>
          </w:p>
        </w:tc>
      </w:tr>
    </w:tbl>
    <w:p>
      <w:pPr>
        <w:ind w:left="1480" w:right="8620" w:hanging="437"/>
        <w:spacing w:after="0" w:line="403" w:lineRule="auto"/>
        <w:tabs>
          <w:tab w:leader="none" w:pos="1480" w:val="left"/>
        </w:tabs>
        <w:numPr>
          <w:ilvl w:val="2"/>
          <w:numId w:val="7"/>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480" w:hanging="437"/>
        <w:spacing w:after="0"/>
        <w:tabs>
          <w:tab w:leader="none" w:pos="1480" w:val="left"/>
        </w:tabs>
        <w:numPr>
          <w:ilvl w:val="2"/>
          <w:numId w:val="7"/>
        </w:numPr>
        <w:rPr>
          <w:rFonts w:ascii="Arial" w:cs="Arial" w:eastAsia="Arial" w:hAnsi="Arial"/>
          <w:sz w:val="14"/>
          <w:szCs w:val="14"/>
          <w:color w:val="auto"/>
        </w:rPr>
      </w:pPr>
      <w:r>
        <w:rPr>
          <w:rFonts w:ascii="Arial" w:cs="Arial" w:eastAsia="Arial" w:hAnsi="Arial"/>
          <w:sz w:val="14"/>
          <w:szCs w:val="14"/>
          <w:color w:val="auto"/>
        </w:rPr>
        <w:t>Shared dispositive power</w:t>
      </w:r>
    </w:p>
    <w:p>
      <w:pPr>
        <w:ind w:left="1480"/>
        <w:spacing w:after="0" w:line="221" w:lineRule="auto"/>
        <w:rPr>
          <w:rFonts w:ascii="Arial" w:cs="Arial" w:eastAsia="Arial" w:hAnsi="Arial"/>
          <w:sz w:val="14"/>
          <w:szCs w:val="14"/>
          <w:color w:val="auto"/>
        </w:rPr>
      </w:pPr>
      <w:r>
        <w:rPr>
          <w:rFonts w:ascii="Arial" w:cs="Arial" w:eastAsia="Arial" w:hAnsi="Arial"/>
          <w:sz w:val="14"/>
          <w:szCs w:val="14"/>
          <w:color w:val="auto"/>
        </w:rPr>
        <w:t>39,268 shares of Common Stock</w:t>
      </w:r>
    </w:p>
    <w:p>
      <w:pPr>
        <w:ind w:left="1480" w:right="6000"/>
        <w:spacing w:after="0" w:line="249" w:lineRule="auto"/>
        <w:rPr>
          <w:rFonts w:ascii="Arial" w:cs="Arial" w:eastAsia="Arial" w:hAnsi="Arial"/>
          <w:sz w:val="14"/>
          <w:szCs w:val="14"/>
          <w:color w:val="auto"/>
        </w:rPr>
      </w:pPr>
      <w:r>
        <w:rPr>
          <w:rFonts w:ascii="Arial" w:cs="Arial" w:eastAsia="Arial" w:hAnsi="Arial"/>
          <w:sz w:val="13"/>
          <w:szCs w:val="13"/>
          <w:color w:val="auto"/>
        </w:rPr>
        <w:t>Convertible Notes convertible into 420,610 shares of common stock Warrants to purchase 537,500 shares of common stock (see Item 4)</w:t>
      </w:r>
    </w:p>
    <w:p>
      <w:pPr>
        <w:ind w:left="580" w:hanging="469"/>
        <w:spacing w:after="0"/>
        <w:tabs>
          <w:tab w:leader="none" w:pos="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w:t>
      </w:r>
    </w:p>
    <w:p>
      <w:pPr>
        <w:spacing w:after="0" w:line="12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39,268 shares of Common Stock</w:t>
      </w:r>
    </w:p>
    <w:p>
      <w:pPr>
        <w:ind w:left="580" w:right="6920"/>
        <w:spacing w:after="0" w:line="270" w:lineRule="auto"/>
        <w:rPr>
          <w:rFonts w:ascii="Arial" w:cs="Arial" w:eastAsia="Arial" w:hAnsi="Arial"/>
          <w:sz w:val="14"/>
          <w:szCs w:val="14"/>
          <w:color w:val="auto"/>
        </w:rPr>
      </w:pPr>
      <w:r>
        <w:rPr>
          <w:rFonts w:ascii="Arial" w:cs="Arial" w:eastAsia="Arial" w:hAnsi="Arial"/>
          <w:sz w:val="12"/>
          <w:szCs w:val="12"/>
          <w:color w:val="auto"/>
        </w:rPr>
        <w:t>Convertible Notes convertible into 420,610 shares of common stock Warrants to purchase 537,500 shares of common stock (see Item 4)</w:t>
      </w:r>
    </w:p>
    <w:p>
      <w:pPr>
        <w:ind w:left="580" w:hanging="469"/>
        <w:spacing w:after="0"/>
        <w:tabs>
          <w:tab w:leader="none" w:pos="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Percent of class represented by amount in Row (9)</w:t>
      </w:r>
    </w:p>
    <w:p>
      <w:pPr>
        <w:spacing w:after="0" w:line="13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9.9% (see Item 4)</w:t>
      </w:r>
    </w:p>
    <w:p>
      <w:pPr>
        <w:spacing w:after="0" w:line="95" w:lineRule="exact"/>
        <w:rPr>
          <w:rFonts w:ascii="Arial" w:cs="Arial" w:eastAsia="Arial" w:hAnsi="Arial"/>
          <w:sz w:val="14"/>
          <w:szCs w:val="14"/>
          <w:color w:val="auto"/>
        </w:rPr>
      </w:pPr>
    </w:p>
    <w:p>
      <w:pPr>
        <w:ind w:left="580" w:right="8400" w:hanging="469"/>
        <w:spacing w:after="0" w:line="474" w:lineRule="auto"/>
        <w:tabs>
          <w:tab w:leader="none" w:pos="580" w:val="left"/>
        </w:tabs>
        <w:numPr>
          <w:ilvl w:val="1"/>
          <w:numId w:val="8"/>
        </w:numPr>
        <w:rPr>
          <w:rFonts w:ascii="Arial" w:cs="Arial" w:eastAsia="Arial" w:hAnsi="Arial"/>
          <w:sz w:val="14"/>
          <w:szCs w:val="14"/>
          <w:color w:val="auto"/>
        </w:rPr>
      </w:pPr>
      <w:r>
        <w:rPr>
          <w:rFonts w:ascii="Arial" w:cs="Arial" w:eastAsia="Arial" w:hAnsi="Arial"/>
          <w:sz w:val="14"/>
          <w:szCs w:val="14"/>
          <w:color w:val="auto"/>
        </w:rPr>
        <w:t>Type of reporting person (see instructions) IN; HC</w:t>
      </w:r>
    </w:p>
    <w:p>
      <w:pPr>
        <w:spacing w:after="0" w:line="354" w:lineRule="exact"/>
        <w:rPr>
          <w:rFonts w:ascii="Arial" w:cs="Arial" w:eastAsia="Arial" w:hAnsi="Arial"/>
          <w:sz w:val="14"/>
          <w:szCs w:val="14"/>
          <w:color w:val="auto"/>
        </w:rPr>
      </w:pPr>
    </w:p>
    <w:p>
      <w:pPr>
        <w:spacing w:after="0" w:line="276" w:lineRule="auto"/>
        <w:rPr>
          <w:rFonts w:ascii="Arial" w:cs="Arial" w:eastAsia="Arial" w:hAnsi="Arial"/>
          <w:sz w:val="14"/>
          <w:szCs w:val="14"/>
          <w:color w:val="auto"/>
        </w:rPr>
      </w:pPr>
      <w:r>
        <w:rPr>
          <w:rFonts w:ascii="Arial" w:cs="Arial" w:eastAsia="Arial" w:hAnsi="Arial"/>
          <w:sz w:val="17"/>
          <w:szCs w:val="17"/>
          <w:color w:val="auto"/>
        </w:rPr>
        <w:t>* 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CUSIP No. 92911N302</w:t>
      </w:r>
    </w:p>
    <w:p>
      <w:pPr>
        <w:spacing w:after="0" w:line="149" w:lineRule="exact"/>
        <w:rPr>
          <w:sz w:val="20"/>
          <w:szCs w:val="20"/>
          <w:color w:val="auto"/>
        </w:rPr>
      </w:pPr>
    </w:p>
    <w:p>
      <w:pPr>
        <w:ind w:left="580" w:hanging="46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Names of reporting persons.</w:t>
      </w:r>
    </w:p>
    <w:p>
      <w:pPr>
        <w:ind w:left="580" w:right="7560"/>
        <w:spacing w:after="0" w:line="403" w:lineRule="auto"/>
        <w:rPr>
          <w:rFonts w:ascii="Arial" w:cs="Arial" w:eastAsia="Arial" w:hAnsi="Arial"/>
          <w:sz w:val="14"/>
          <w:szCs w:val="14"/>
          <w:color w:val="auto"/>
        </w:rPr>
      </w:pPr>
      <w:r>
        <w:rPr>
          <w:rFonts w:ascii="Arial" w:cs="Arial" w:eastAsia="Arial" w:hAnsi="Arial"/>
          <w:sz w:val="14"/>
          <w:szCs w:val="14"/>
          <w:color w:val="auto"/>
        </w:rPr>
        <w:t>I.R.S. Identification Nos. of above persons (entities only) Richard Abbe</w:t>
      </w:r>
    </w:p>
    <w:p>
      <w:pPr>
        <w:spacing w:after="0" w:line="1" w:lineRule="exact"/>
        <w:rPr>
          <w:rFonts w:ascii="Arial" w:cs="Arial" w:eastAsia="Arial" w:hAnsi="Arial"/>
          <w:sz w:val="14"/>
          <w:szCs w:val="14"/>
          <w:color w:val="auto"/>
        </w:rPr>
      </w:pPr>
    </w:p>
    <w:p>
      <w:pPr>
        <w:ind w:left="580" w:hanging="46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Check the appropriate box if a member of a group (see instructions)</w:t>
      </w:r>
    </w:p>
    <w:p>
      <w:pPr>
        <w:spacing w:after="0" w:line="135" w:lineRule="exact"/>
        <w:rPr>
          <w:rFonts w:ascii="Arial" w:cs="Arial" w:eastAsia="Arial" w:hAnsi="Arial"/>
          <w:sz w:val="14"/>
          <w:szCs w:val="14"/>
          <w:color w:val="auto"/>
        </w:rPr>
      </w:pPr>
    </w:p>
    <w:p>
      <w:pPr>
        <w:ind w:left="840" w:hanging="269"/>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o</w:t>
      </w:r>
    </w:p>
    <w:p>
      <w:pPr>
        <w:ind w:left="840" w:hanging="269"/>
        <w:spacing w:after="0"/>
        <w:tabs>
          <w:tab w:leader="none" w:pos="840" w:val="left"/>
        </w:tabs>
        <w:numPr>
          <w:ilvl w:val="1"/>
          <w:numId w:val="9"/>
        </w:numPr>
        <w:rPr>
          <w:rFonts w:ascii="Arial" w:cs="Arial" w:eastAsia="Arial" w:hAnsi="Arial"/>
          <w:sz w:val="14"/>
          <w:szCs w:val="14"/>
          <w:color w:val="auto"/>
        </w:rPr>
      </w:pPr>
      <w:r>
        <w:rPr>
          <w:rFonts w:ascii="Arial" w:cs="Arial" w:eastAsia="Arial" w:hAnsi="Arial"/>
          <w:sz w:val="14"/>
          <w:szCs w:val="14"/>
          <w:color w:val="auto"/>
        </w:rPr>
        <w:t>o</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149" w:lineRule="exact"/>
        <w:rPr>
          <w:rFonts w:ascii="Arial" w:cs="Arial" w:eastAsia="Arial" w:hAnsi="Arial"/>
          <w:sz w:val="14"/>
          <w:szCs w:val="14"/>
          <w:color w:val="auto"/>
        </w:rPr>
      </w:pPr>
    </w:p>
    <w:p>
      <w:pPr>
        <w:ind w:left="580" w:hanging="469"/>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7246620" cy="4364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649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420" w:type="dxa"/>
            <w:vAlign w:val="bottom"/>
            <w:gridSpan w:val="3"/>
          </w:tcPr>
          <w:p>
            <w:pPr>
              <w:ind w:left="580"/>
              <w:spacing w:after="0"/>
              <w:rPr>
                <w:sz w:val="20"/>
                <w:szCs w:val="20"/>
                <w:color w:val="auto"/>
              </w:rPr>
            </w:pPr>
            <w:r>
              <w:rPr>
                <w:rFonts w:ascii="Arial" w:cs="Arial" w:eastAsia="Arial" w:hAnsi="Arial"/>
                <w:sz w:val="14"/>
                <w:szCs w:val="14"/>
                <w:color w:val="auto"/>
              </w:rPr>
              <w:t>United States of America</w:t>
            </w:r>
          </w:p>
        </w:tc>
        <w:tc>
          <w:tcPr>
            <w:tcW w:w="0" w:type="dxa"/>
            <w:vAlign w:val="bottom"/>
          </w:tcPr>
          <w:p>
            <w:pPr>
              <w:spacing w:after="0"/>
              <w:rPr>
                <w:sz w:val="1"/>
                <w:szCs w:val="1"/>
                <w:color w:val="auto"/>
              </w:rPr>
            </w:pPr>
          </w:p>
        </w:tc>
      </w:tr>
      <w:tr>
        <w:trPr>
          <w:trHeight w:val="80"/>
        </w:trPr>
        <w:tc>
          <w:tcPr>
            <w:tcW w:w="9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420" w:type="dxa"/>
            <w:vAlign w:val="bottom"/>
          </w:tcPr>
          <w:p>
            <w:pPr>
              <w:jc w:val="right"/>
              <w:ind w:right="68"/>
              <w:spacing w:after="0" w:line="123" w:lineRule="exact"/>
              <w:rPr>
                <w:sz w:val="20"/>
                <w:szCs w:val="20"/>
                <w:color w:val="auto"/>
              </w:rPr>
            </w:pPr>
            <w:r>
              <w:rPr>
                <w:rFonts w:ascii="Arial" w:cs="Arial" w:eastAsia="Arial" w:hAnsi="Arial"/>
                <w:sz w:val="14"/>
                <w:szCs w:val="14"/>
                <w:color w:val="auto"/>
              </w:rPr>
              <w:t>(5)</w:t>
            </w:r>
          </w:p>
        </w:tc>
        <w:tc>
          <w:tcPr>
            <w:tcW w:w="10060" w:type="dxa"/>
            <w:vAlign w:val="bottom"/>
          </w:tcPr>
          <w:p>
            <w:pPr>
              <w:ind w:left="120"/>
              <w:spacing w:after="0" w:line="123" w:lineRule="exact"/>
              <w:rPr>
                <w:sz w:val="20"/>
                <w:szCs w:val="20"/>
                <w:color w:val="auto"/>
              </w:rPr>
            </w:pPr>
            <w:r>
              <w:rPr>
                <w:rFonts w:ascii="Arial" w:cs="Arial" w:eastAsia="Arial" w:hAnsi="Arial"/>
                <w:sz w:val="14"/>
                <w:szCs w:val="14"/>
                <w:color w:val="auto"/>
              </w:rPr>
              <w:t>Sole voting power</w:t>
            </w:r>
          </w:p>
        </w:tc>
        <w:tc>
          <w:tcPr>
            <w:tcW w:w="0" w:type="dxa"/>
            <w:vAlign w:val="bottom"/>
          </w:tcPr>
          <w:p>
            <w:pPr>
              <w:spacing w:after="0"/>
              <w:rPr>
                <w:sz w:val="1"/>
                <w:szCs w:val="1"/>
                <w:color w:val="auto"/>
              </w:rPr>
            </w:pP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20" w:type="dxa"/>
            <w:vAlign w:val="bottom"/>
          </w:tcPr>
          <w:p>
            <w:pPr>
              <w:spacing w:after="0"/>
              <w:rPr>
                <w:sz w:val="12"/>
                <w:szCs w:val="12"/>
                <w:color w:val="auto"/>
              </w:rPr>
            </w:pPr>
          </w:p>
        </w:tc>
        <w:tc>
          <w:tcPr>
            <w:tcW w:w="1006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1"/>
        </w:trPr>
        <w:tc>
          <w:tcPr>
            <w:tcW w:w="940" w:type="dxa"/>
            <w:vAlign w:val="bottom"/>
          </w:tcPr>
          <w:p>
            <w:pPr>
              <w:jc w:val="center"/>
              <w:spacing w:after="0"/>
              <w:rPr>
                <w:sz w:val="20"/>
                <w:szCs w:val="20"/>
                <w:color w:val="auto"/>
              </w:rPr>
            </w:pPr>
            <w:r>
              <w:rPr>
                <w:rFonts w:ascii="Arial" w:cs="Arial" w:eastAsia="Arial" w:hAnsi="Arial"/>
                <w:sz w:val="14"/>
                <w:szCs w:val="14"/>
                <w:color w:val="auto"/>
                <w:w w:val="98"/>
              </w:rPr>
              <w:t>beneficially</w:t>
            </w:r>
          </w:p>
        </w:tc>
        <w:tc>
          <w:tcPr>
            <w:tcW w:w="420" w:type="dxa"/>
            <w:vAlign w:val="bottom"/>
          </w:tcPr>
          <w:p>
            <w:pPr>
              <w:spacing w:after="0"/>
              <w:rPr>
                <w:sz w:val="13"/>
                <w:szCs w:val="13"/>
                <w:color w:val="auto"/>
              </w:rPr>
            </w:pP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40" w:type="dxa"/>
            <w:vAlign w:val="bottom"/>
          </w:tcPr>
          <w:p>
            <w:pPr>
              <w:jc w:val="center"/>
              <w:spacing w:after="0" w:line="137" w:lineRule="exact"/>
              <w:rPr>
                <w:sz w:val="20"/>
                <w:szCs w:val="20"/>
                <w:color w:val="auto"/>
              </w:rPr>
            </w:pPr>
            <w:r>
              <w:rPr>
                <w:rFonts w:ascii="Arial" w:cs="Arial" w:eastAsia="Arial" w:hAnsi="Arial"/>
                <w:sz w:val="14"/>
                <w:szCs w:val="14"/>
                <w:color w:val="auto"/>
                <w:w w:val="96"/>
              </w:rPr>
              <w:t>owned by</w:t>
            </w:r>
          </w:p>
        </w:tc>
        <w:tc>
          <w:tcPr>
            <w:tcW w:w="420" w:type="dxa"/>
            <w:vAlign w:val="bottom"/>
          </w:tcPr>
          <w:p>
            <w:pPr>
              <w:spacing w:after="0"/>
              <w:rPr>
                <w:sz w:val="11"/>
                <w:szCs w:val="11"/>
                <w:color w:val="auto"/>
              </w:rPr>
            </w:pPr>
          </w:p>
        </w:tc>
        <w:tc>
          <w:tcPr>
            <w:tcW w:w="10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85"/>
              </w:rPr>
              <w:t>each</w:t>
            </w:r>
          </w:p>
        </w:tc>
        <w:tc>
          <w:tcPr>
            <w:tcW w:w="42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7"/>
              </w:rPr>
              <w:t>reporting</w:t>
            </w:r>
          </w:p>
        </w:tc>
        <w:tc>
          <w:tcPr>
            <w:tcW w:w="420" w:type="dxa"/>
            <w:vAlign w:val="bottom"/>
          </w:tcPr>
          <w:p>
            <w:pPr>
              <w:jc w:val="right"/>
              <w:ind w:right="68"/>
              <w:spacing w:after="0" w:line="123" w:lineRule="exact"/>
              <w:rPr>
                <w:sz w:val="20"/>
                <w:szCs w:val="20"/>
                <w:color w:val="auto"/>
              </w:rPr>
            </w:pPr>
            <w:r>
              <w:rPr>
                <w:rFonts w:ascii="Arial" w:cs="Arial" w:eastAsia="Arial" w:hAnsi="Arial"/>
                <w:sz w:val="14"/>
                <w:szCs w:val="14"/>
                <w:color w:val="auto"/>
              </w:rPr>
              <w:t>(6)</w:t>
            </w:r>
          </w:p>
        </w:tc>
        <w:tc>
          <w:tcPr>
            <w:tcW w:w="10060" w:type="dxa"/>
            <w:vAlign w:val="bottom"/>
          </w:tcPr>
          <w:p>
            <w:pPr>
              <w:ind w:left="120"/>
              <w:spacing w:after="0" w:line="123" w:lineRule="exact"/>
              <w:rPr>
                <w:sz w:val="20"/>
                <w:szCs w:val="20"/>
                <w:color w:val="auto"/>
              </w:rPr>
            </w:pPr>
            <w:r>
              <w:rPr>
                <w:rFonts w:ascii="Arial" w:cs="Arial" w:eastAsia="Arial" w:hAnsi="Arial"/>
                <w:sz w:val="14"/>
                <w:szCs w:val="14"/>
                <w:color w:val="auto"/>
              </w:rPr>
              <w:t>Shared voting power</w:t>
            </w:r>
          </w:p>
        </w:tc>
        <w:tc>
          <w:tcPr>
            <w:tcW w:w="0" w:type="dxa"/>
            <w:vAlign w:val="bottom"/>
          </w:tcPr>
          <w:p>
            <w:pPr>
              <w:spacing w:after="0"/>
              <w:rPr>
                <w:sz w:val="1"/>
                <w:szCs w:val="1"/>
                <w:color w:val="auto"/>
              </w:rPr>
            </w:pP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8"/>
              </w:rPr>
              <w:t>person</w:t>
            </w:r>
          </w:p>
        </w:tc>
        <w:tc>
          <w:tcPr>
            <w:tcW w:w="420" w:type="dxa"/>
            <w:vAlign w:val="bottom"/>
          </w:tcPr>
          <w:p>
            <w:pPr>
              <w:spacing w:after="0"/>
              <w:rPr>
                <w:sz w:val="12"/>
                <w:szCs w:val="12"/>
                <w:color w:val="auto"/>
              </w:rPr>
            </w:pPr>
          </w:p>
        </w:tc>
        <w:tc>
          <w:tcPr>
            <w:tcW w:w="10060" w:type="dxa"/>
            <w:vAlign w:val="bottom"/>
          </w:tcPr>
          <w:p>
            <w:pPr>
              <w:ind w:left="120"/>
              <w:spacing w:after="0" w:line="149" w:lineRule="exact"/>
              <w:rPr>
                <w:sz w:val="20"/>
                <w:szCs w:val="20"/>
                <w:color w:val="auto"/>
              </w:rPr>
            </w:pPr>
            <w:r>
              <w:rPr>
                <w:rFonts w:ascii="Arial" w:cs="Arial" w:eastAsia="Arial" w:hAnsi="Arial"/>
                <w:sz w:val="14"/>
                <w:szCs w:val="14"/>
                <w:color w:val="auto"/>
              </w:rPr>
              <w:t>39,268 shares of Common Stock</w:t>
            </w:r>
          </w:p>
        </w:tc>
        <w:tc>
          <w:tcPr>
            <w:tcW w:w="0" w:type="dxa"/>
            <w:vAlign w:val="bottom"/>
          </w:tcPr>
          <w:p>
            <w:pPr>
              <w:spacing w:after="0"/>
              <w:rPr>
                <w:sz w:val="1"/>
                <w:szCs w:val="1"/>
                <w:color w:val="auto"/>
              </w:rPr>
            </w:pPr>
          </w:p>
        </w:tc>
      </w:tr>
      <w:tr>
        <w:trPr>
          <w:trHeight w:val="149"/>
        </w:trPr>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rPr>
              <w:t>with:</w:t>
            </w:r>
          </w:p>
        </w:tc>
        <w:tc>
          <w:tcPr>
            <w:tcW w:w="420" w:type="dxa"/>
            <w:vAlign w:val="bottom"/>
          </w:tcPr>
          <w:p>
            <w:pPr>
              <w:spacing w:after="0"/>
              <w:rPr>
                <w:sz w:val="12"/>
                <w:szCs w:val="12"/>
                <w:color w:val="auto"/>
              </w:rPr>
            </w:pPr>
          </w:p>
        </w:tc>
        <w:tc>
          <w:tcPr>
            <w:tcW w:w="10060" w:type="dxa"/>
            <w:vAlign w:val="bottom"/>
          </w:tcPr>
          <w:p>
            <w:pPr>
              <w:ind w:left="120"/>
              <w:spacing w:after="0" w:line="149" w:lineRule="exact"/>
              <w:rPr>
                <w:sz w:val="20"/>
                <w:szCs w:val="20"/>
                <w:color w:val="auto"/>
              </w:rPr>
            </w:pPr>
            <w:r>
              <w:rPr>
                <w:rFonts w:ascii="Arial" w:cs="Arial" w:eastAsia="Arial" w:hAnsi="Arial"/>
                <w:sz w:val="14"/>
                <w:szCs w:val="14"/>
                <w:color w:val="auto"/>
              </w:rPr>
              <w:t>Convertible Notes convertible into 420,610 shares of common stock</w:t>
            </w:r>
          </w:p>
        </w:tc>
        <w:tc>
          <w:tcPr>
            <w:tcW w:w="0" w:type="dxa"/>
            <w:vAlign w:val="bottom"/>
          </w:tcPr>
          <w:p>
            <w:pPr>
              <w:spacing w:after="0"/>
              <w:rPr>
                <w:sz w:val="1"/>
                <w:szCs w:val="1"/>
                <w:color w:val="auto"/>
              </w:rPr>
            </w:pPr>
          </w:p>
        </w:tc>
      </w:tr>
      <w:tr>
        <w:trPr>
          <w:trHeight w:val="174"/>
        </w:trPr>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tcPr>
          <w:p>
            <w:pPr>
              <w:ind w:left="120"/>
              <w:spacing w:after="0"/>
              <w:rPr>
                <w:sz w:val="20"/>
                <w:szCs w:val="20"/>
                <w:color w:val="auto"/>
              </w:rPr>
            </w:pPr>
            <w:r>
              <w:rPr>
                <w:rFonts w:ascii="Arial" w:cs="Arial" w:eastAsia="Arial" w:hAnsi="Arial"/>
                <w:sz w:val="14"/>
                <w:szCs w:val="14"/>
                <w:color w:val="auto"/>
              </w:rPr>
              <w:t>Warrants to purchase 537,500 shares of common stock (see Item 4)</w:t>
            </w:r>
          </w:p>
        </w:tc>
        <w:tc>
          <w:tcPr>
            <w:tcW w:w="0" w:type="dxa"/>
            <w:vAlign w:val="bottom"/>
          </w:tcPr>
          <w:p>
            <w:pPr>
              <w:spacing w:after="0"/>
              <w:rPr>
                <w:sz w:val="1"/>
                <w:szCs w:val="1"/>
                <w:color w:val="auto"/>
              </w:rPr>
            </w:pPr>
          </w:p>
        </w:tc>
      </w:tr>
    </w:tbl>
    <w:p>
      <w:pPr>
        <w:ind w:left="1480" w:right="8620" w:hanging="437"/>
        <w:spacing w:after="0" w:line="403" w:lineRule="auto"/>
        <w:tabs>
          <w:tab w:leader="none" w:pos="1480" w:val="left"/>
        </w:tabs>
        <w:numPr>
          <w:ilvl w:val="2"/>
          <w:numId w:val="10"/>
        </w:numPr>
        <w:rPr>
          <w:rFonts w:ascii="Arial" w:cs="Arial" w:eastAsia="Arial" w:hAnsi="Arial"/>
          <w:sz w:val="14"/>
          <w:szCs w:val="14"/>
          <w:color w:val="auto"/>
        </w:rPr>
      </w:pPr>
      <w:r>
        <w:rPr>
          <w:rFonts w:ascii="Arial" w:cs="Arial" w:eastAsia="Arial" w:hAnsi="Arial"/>
          <w:sz w:val="14"/>
          <w:szCs w:val="14"/>
          <w:color w:val="auto"/>
        </w:rPr>
        <w:t>Sole dispositive power 0</w:t>
      </w:r>
    </w:p>
    <w:p>
      <w:pPr>
        <w:ind w:left="1480" w:hanging="437"/>
        <w:spacing w:after="0"/>
        <w:tabs>
          <w:tab w:leader="none" w:pos="1480" w:val="left"/>
        </w:tabs>
        <w:numPr>
          <w:ilvl w:val="2"/>
          <w:numId w:val="10"/>
        </w:numPr>
        <w:rPr>
          <w:rFonts w:ascii="Arial" w:cs="Arial" w:eastAsia="Arial" w:hAnsi="Arial"/>
          <w:sz w:val="14"/>
          <w:szCs w:val="14"/>
          <w:color w:val="auto"/>
        </w:rPr>
      </w:pPr>
      <w:r>
        <w:rPr>
          <w:rFonts w:ascii="Arial" w:cs="Arial" w:eastAsia="Arial" w:hAnsi="Arial"/>
          <w:sz w:val="14"/>
          <w:szCs w:val="14"/>
          <w:color w:val="auto"/>
        </w:rPr>
        <w:t>Shared dispositive power</w:t>
      </w:r>
    </w:p>
    <w:p>
      <w:pPr>
        <w:ind w:left="1480"/>
        <w:spacing w:after="0" w:line="221" w:lineRule="auto"/>
        <w:rPr>
          <w:rFonts w:ascii="Arial" w:cs="Arial" w:eastAsia="Arial" w:hAnsi="Arial"/>
          <w:sz w:val="14"/>
          <w:szCs w:val="14"/>
          <w:color w:val="auto"/>
        </w:rPr>
      </w:pPr>
      <w:r>
        <w:rPr>
          <w:rFonts w:ascii="Arial" w:cs="Arial" w:eastAsia="Arial" w:hAnsi="Arial"/>
          <w:sz w:val="14"/>
          <w:szCs w:val="14"/>
          <w:color w:val="auto"/>
        </w:rPr>
        <w:t>39,268 shares of Common Stock</w:t>
      </w:r>
    </w:p>
    <w:p>
      <w:pPr>
        <w:ind w:left="1480" w:right="6000"/>
        <w:spacing w:after="0" w:line="249" w:lineRule="auto"/>
        <w:rPr>
          <w:rFonts w:ascii="Arial" w:cs="Arial" w:eastAsia="Arial" w:hAnsi="Arial"/>
          <w:sz w:val="14"/>
          <w:szCs w:val="14"/>
          <w:color w:val="auto"/>
        </w:rPr>
      </w:pPr>
      <w:r>
        <w:rPr>
          <w:rFonts w:ascii="Arial" w:cs="Arial" w:eastAsia="Arial" w:hAnsi="Arial"/>
          <w:sz w:val="13"/>
          <w:szCs w:val="13"/>
          <w:color w:val="auto"/>
        </w:rPr>
        <w:t>Convertible Notes convertible into 420,610 shares of common stock Warrants to purchase 537,500 shares of common stock (see Item 4)</w:t>
      </w:r>
    </w:p>
    <w:p>
      <w:pPr>
        <w:ind w:left="580" w:right="7180" w:hanging="469"/>
        <w:spacing w:after="0" w:line="221" w:lineRule="auto"/>
        <w:tabs>
          <w:tab w:leader="none" w:pos="5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39,268 shares of Common Stock</w:t>
      </w:r>
    </w:p>
    <w:p>
      <w:pPr>
        <w:ind w:left="580" w:right="6920"/>
        <w:spacing w:after="0" w:line="270" w:lineRule="auto"/>
        <w:rPr>
          <w:rFonts w:ascii="Arial" w:cs="Arial" w:eastAsia="Arial" w:hAnsi="Arial"/>
          <w:sz w:val="14"/>
          <w:szCs w:val="14"/>
          <w:color w:val="auto"/>
        </w:rPr>
      </w:pPr>
      <w:r>
        <w:rPr>
          <w:rFonts w:ascii="Arial" w:cs="Arial" w:eastAsia="Arial" w:hAnsi="Arial"/>
          <w:sz w:val="12"/>
          <w:szCs w:val="12"/>
          <w:color w:val="auto"/>
        </w:rPr>
        <w:t>Convertible Notes convertible into 420,610 shares of common stock Warrants to purchase 537,500 shares of common stock (see Item 4)</w:t>
      </w:r>
    </w:p>
    <w:p>
      <w:pPr>
        <w:ind w:left="580" w:hanging="469"/>
        <w:spacing w:after="0"/>
        <w:tabs>
          <w:tab w:leader="none" w:pos="5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(see instructions)</w:t>
      </w:r>
    </w:p>
    <w:p>
      <w:pPr>
        <w:spacing w:after="0" w:line="137" w:lineRule="exact"/>
        <w:rPr>
          <w:rFonts w:ascii="Arial" w:cs="Arial" w:eastAsia="Arial" w:hAnsi="Arial"/>
          <w:sz w:val="14"/>
          <w:szCs w:val="14"/>
          <w:color w:val="auto"/>
        </w:rPr>
      </w:pPr>
    </w:p>
    <w:p>
      <w:pPr>
        <w:ind w:left="580" w:hanging="469"/>
        <w:spacing w:after="0"/>
        <w:tabs>
          <w:tab w:leader="none" w:pos="5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Percent of class represented by amount in Row (9)</w:t>
      </w:r>
    </w:p>
    <w:p>
      <w:pPr>
        <w:spacing w:after="0" w:line="13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9.9% (see Item 4)</w:t>
      </w:r>
    </w:p>
    <w:p>
      <w:pPr>
        <w:spacing w:after="0" w:line="95" w:lineRule="exact"/>
        <w:rPr>
          <w:rFonts w:ascii="Arial" w:cs="Arial" w:eastAsia="Arial" w:hAnsi="Arial"/>
          <w:sz w:val="14"/>
          <w:szCs w:val="14"/>
          <w:color w:val="auto"/>
        </w:rPr>
      </w:pPr>
    </w:p>
    <w:p>
      <w:pPr>
        <w:ind w:left="580" w:right="8400" w:hanging="469"/>
        <w:spacing w:after="0" w:line="474" w:lineRule="auto"/>
        <w:tabs>
          <w:tab w:leader="none" w:pos="58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Type of reporting person (see instructions) IN; HC</w:t>
      </w:r>
    </w:p>
    <w:p>
      <w:pPr>
        <w:spacing w:after="0" w:line="138" w:lineRule="exact"/>
        <w:rPr>
          <w:rFonts w:ascii="Arial" w:cs="Arial" w:eastAsia="Arial" w:hAnsi="Arial"/>
          <w:sz w:val="14"/>
          <w:szCs w:val="14"/>
          <w:color w:val="auto"/>
        </w:rPr>
      </w:pPr>
    </w:p>
    <w:p>
      <w:pPr>
        <w:spacing w:after="0" w:line="276" w:lineRule="auto"/>
        <w:rPr>
          <w:rFonts w:ascii="Arial" w:cs="Arial" w:eastAsia="Arial" w:hAnsi="Arial"/>
          <w:sz w:val="14"/>
          <w:szCs w:val="14"/>
          <w:color w:val="auto"/>
        </w:rPr>
      </w:pPr>
      <w:r>
        <w:rPr>
          <w:rFonts w:ascii="Arial" w:cs="Arial" w:eastAsia="Arial" w:hAnsi="Arial"/>
          <w:sz w:val="17"/>
          <w:szCs w:val="17"/>
          <w:color w:val="auto"/>
        </w:rPr>
        <w:t>* The Convertible Notes may not be converted, and the warrants are not exercisable, to the extent that the holder or any of its affiliates would own more than a maximum of 9.99% of the outstanding common stock of the Issuer after such conversion or exercise. The securities reported in rows (6), (8) and (9) show the number of shares of common stock that would be issuable upon full conversion of the Convertible Notes, and full exercise of the warrants, and do not give effect to the foregoing limitations. Therefore, the actual number of shares of common stock beneficially owned by the reporting person, after giving effect to these limitations,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 w:name="page5"/>
    <w:bookmarkEnd w:id="4"/>
    <w:p>
      <w:pPr>
        <w:ind w:right="100" w:firstLine="648"/>
        <w:spacing w:after="0" w:line="259" w:lineRule="auto"/>
        <w:rPr>
          <w:sz w:val="20"/>
          <w:szCs w:val="20"/>
          <w:color w:val="auto"/>
        </w:rPr>
      </w:pPr>
      <w:r>
        <w:rPr>
          <w:rFonts w:ascii="Arial" w:cs="Arial" w:eastAsia="Arial" w:hAnsi="Arial"/>
          <w:sz w:val="18"/>
          <w:szCs w:val="18"/>
          <w:color w:val="auto"/>
        </w:rPr>
        <w:t>This Amendment No. 1 (this “Amendment”) amends the statement on Schedule 13G filed on May 12, 2015 (the “Original Schedule 13G”) with respect to the Common Stock, $0.001 par value (the “Common Stock”) of Vringo, Inc., a Delaware corporation (the “Company”). Capitalized terms used herein and not otherwise defined in this Amendment have the meanings set forth in the Original Schedule 13G. This Amendment amends and restates Item 4 in its entirety as set forth below.</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and (b):</w:t>
      </w:r>
    </w:p>
    <w:p>
      <w:pPr>
        <w:spacing w:after="0" w:line="225" w:lineRule="exact"/>
        <w:rPr>
          <w:sz w:val="20"/>
          <w:szCs w:val="20"/>
          <w:color w:val="auto"/>
        </w:rPr>
      </w:pPr>
    </w:p>
    <w:p>
      <w:pPr>
        <w:ind w:left="260"/>
        <w:spacing w:after="0" w:line="288" w:lineRule="auto"/>
        <w:rPr>
          <w:sz w:val="20"/>
          <w:szCs w:val="20"/>
          <w:color w:val="auto"/>
        </w:rPr>
      </w:pPr>
      <w:r>
        <w:rPr>
          <w:rFonts w:ascii="Arial" w:cs="Arial" w:eastAsia="Arial" w:hAnsi="Arial"/>
          <w:sz w:val="16"/>
          <w:szCs w:val="16"/>
          <w:color w:val="auto"/>
        </w:rPr>
        <w:t>As of the date of the event that requires this filing, each of the Reporting Persons may deemed to beneficially own (i) 39,268 shares of Common Stock, (ii) $4,206,095 principal amount of Senior Secured Convertible Notes (the “Convertible Notes”) convertible into 420,610 shares of common stock of the Issuer, and (iii) warrants (the “Warrants”) to purchase an aggregate of 537,500 shares of common stock of the Issuer. Of such shares, (a) 26,009 shares of Common Stock were held by Iroquois Master Fund Ltd. (the “Fund”) and 13,259 shares of Common Stock were held by Iroquois Capital Investment Group LLC (“ICIG”), (b) 336,488 shares of common stock are issuable upon Convertible Notes held by the Fund and 84,122 shares of common stock are issuable upon Convertible Notes held by ICIG, and (c) 430,000 shares of Common Stock are issuable upon exercise of Warrants held by the Fund and 107,500 shares of Common Stock are issuable upon exercise of Warrants held by ICIG. The foregoing amount of shares issuable upon conversion of the Convertible Notes does not include any shares that the Issuer may elect to issue, at its option, to the Fund and ICIG in payment of certain amounts due under the Convertible Notes. The Convertible Notes may not be converted, and the Warrants are not exercisable, to the extent that the holder or any of its affiliates would own more than a maximum of 9.99% of the outstanding common stock of the Issuer after such conversion or exercise.</w:t>
      </w:r>
    </w:p>
    <w:p>
      <w:pPr>
        <w:spacing w:after="0" w:line="169" w:lineRule="exact"/>
        <w:rPr>
          <w:sz w:val="20"/>
          <w:szCs w:val="20"/>
          <w:color w:val="auto"/>
        </w:rPr>
      </w:pPr>
    </w:p>
    <w:p>
      <w:pPr>
        <w:ind w:left="260" w:right="220"/>
        <w:spacing w:after="0" w:line="342" w:lineRule="auto"/>
        <w:rPr>
          <w:sz w:val="20"/>
          <w:szCs w:val="20"/>
          <w:color w:val="auto"/>
        </w:rPr>
      </w:pPr>
      <w:r>
        <w:rPr>
          <w:rFonts w:ascii="Arial" w:cs="Arial" w:eastAsia="Arial" w:hAnsi="Arial"/>
          <w:sz w:val="16"/>
          <w:szCs w:val="16"/>
          <w:color w:val="auto"/>
        </w:rPr>
        <w:t>Mr. Abbe and Mr. Silverman are the members of Iroquois who have the authority and responsibility for the investments made on behalf of the Fund and ICIG. As such, Mr. Abbe and Mr. Silverman may be deemed to be the beneficial owner of all shares of common stock held by the Fund and ICIG.</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(c)(i) Number of shares as to which each of the Reporting Persons has:</w:t>
      </w:r>
    </w:p>
    <w:p>
      <w:pPr>
        <w:spacing w:after="0" w:line="225" w:lineRule="exact"/>
        <w:rPr>
          <w:sz w:val="20"/>
          <w:szCs w:val="20"/>
          <w:color w:val="auto"/>
        </w:rPr>
      </w:pPr>
    </w:p>
    <w:p>
      <w:pPr>
        <w:ind w:left="380" w:hanging="214"/>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440" w:hanging="274"/>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9.99% (as described in Item 4(a) above).</w:t>
      </w:r>
    </w:p>
    <w:p>
      <w:pPr>
        <w:spacing w:after="0" w:line="225" w:lineRule="exact"/>
        <w:rPr>
          <w:rFonts w:ascii="Arial" w:cs="Arial" w:eastAsia="Arial" w:hAnsi="Arial"/>
          <w:sz w:val="18"/>
          <w:szCs w:val="18"/>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480" w:hanging="314"/>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9.99% (as described in Item 4(a) above).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right="60" w:firstLine="416"/>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 w:name="page6"/>
    <w:bookmarkEnd w:id="5"/>
    <w:p>
      <w:pPr>
        <w:jc w:val="center"/>
        <w:ind w:right="-5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Silverman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3087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Richard Abbe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Abbe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12383557v.1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880"/>
      </w:cols>
      <w:pgMar w:left="240" w:top="40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4">
    <w:nsid w:val="515F007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7">
    <w:nsid w:val="4DB127F8"/>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10">
    <w:nsid w:val="1190CDE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2019-12-08T14:26:06Z</dcterms:created>
  <dcterms:modified xsi:type="dcterms:W3CDTF">2019-12-08T14:26:06Z</dcterms:modified>
</cp:coreProperties>
</file>