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July 26, 2012</w:t>
      </w:r>
    </w:p>
    <w:p>
      <w:pPr>
        <w:spacing w:after="0" w:line="225" w:lineRule="exact"/>
        <w:rPr>
          <w:sz w:val="24"/>
          <w:szCs w:val="24"/>
          <w:color w:val="auto"/>
        </w:rPr>
      </w:pPr>
    </w:p>
    <w:p>
      <w:pPr>
        <w:ind w:left="9380"/>
        <w:spacing w:after="0"/>
        <w:rPr>
          <w:sz w:val="20"/>
          <w:szCs w:val="20"/>
          <w:color w:val="auto"/>
        </w:rPr>
      </w:pPr>
      <w:r>
        <w:rPr>
          <w:rFonts w:ascii="Arial" w:cs="Arial" w:eastAsia="Arial" w:hAnsi="Arial"/>
          <w:sz w:val="18"/>
          <w:szCs w:val="18"/>
          <w:b w:val="1"/>
          <w:bCs w:val="1"/>
          <w:color w:val="auto"/>
        </w:rPr>
        <w:t>Registration No. 333-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S-8</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VRINGO,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120" w:type="dxa"/>
        <w:tblCellMar>
          <w:top w:w="0" w:type="dxa"/>
          <w:left w:w="0" w:type="dxa"/>
          <w:bottom w:w="0" w:type="dxa"/>
          <w:right w:w="0" w:type="dxa"/>
        </w:tblCellMar>
      </w:tblPr>
      <w:tr>
        <w:trPr>
          <w:trHeight w:val="216"/>
        </w:trPr>
        <w:tc>
          <w:tcPr>
            <w:tcW w:w="4740" w:type="dxa"/>
            <w:vAlign w:val="bottom"/>
          </w:tcPr>
          <w:p>
            <w:pPr>
              <w:jc w:val="center"/>
              <w:ind w:right="2310"/>
              <w:spacing w:after="0"/>
              <w:rPr>
                <w:sz w:val="20"/>
                <w:szCs w:val="20"/>
                <w:color w:val="auto"/>
              </w:rPr>
            </w:pPr>
            <w:r>
              <w:rPr>
                <w:rFonts w:ascii="Arial" w:cs="Arial" w:eastAsia="Arial" w:hAnsi="Arial"/>
                <w:sz w:val="18"/>
                <w:szCs w:val="18"/>
                <w:b w:val="1"/>
                <w:bCs w:val="1"/>
                <w:color w:val="auto"/>
                <w:w w:val="93"/>
              </w:rPr>
              <w:t>Delaware</w:t>
            </w:r>
          </w:p>
        </w:tc>
        <w:tc>
          <w:tcPr>
            <w:tcW w:w="4180" w:type="dxa"/>
            <w:vAlign w:val="bottom"/>
          </w:tcPr>
          <w:p>
            <w:pPr>
              <w:jc w:val="center"/>
              <w:ind w:left="229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4740" w:type="dxa"/>
            <w:vAlign w:val="bottom"/>
          </w:tcPr>
          <w:p>
            <w:pPr>
              <w:jc w:val="center"/>
              <w:ind w:right="2310"/>
              <w:spacing w:after="0"/>
              <w:rPr>
                <w:sz w:val="20"/>
                <w:szCs w:val="20"/>
                <w:color w:val="auto"/>
              </w:rPr>
            </w:pPr>
            <w:r>
              <w:rPr>
                <w:rFonts w:ascii="Arial" w:cs="Arial" w:eastAsia="Arial" w:hAnsi="Arial"/>
                <w:sz w:val="18"/>
                <w:szCs w:val="18"/>
                <w:b w:val="1"/>
                <w:bCs w:val="1"/>
                <w:color w:val="auto"/>
                <w:w w:val="91"/>
              </w:rPr>
              <w:t>(State or other jurisdiction of</w:t>
            </w:r>
          </w:p>
        </w:tc>
        <w:tc>
          <w:tcPr>
            <w:tcW w:w="4180" w:type="dxa"/>
            <w:vAlign w:val="bottom"/>
          </w:tcPr>
          <w:p>
            <w:pPr>
              <w:jc w:val="center"/>
              <w:ind w:left="22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740" w:type="dxa"/>
            <w:vAlign w:val="bottom"/>
          </w:tcPr>
          <w:p>
            <w:pPr>
              <w:jc w:val="center"/>
              <w:ind w:right="2310"/>
              <w:spacing w:after="0"/>
              <w:rPr>
                <w:sz w:val="20"/>
                <w:szCs w:val="20"/>
                <w:color w:val="auto"/>
              </w:rPr>
            </w:pPr>
            <w:r>
              <w:rPr>
                <w:rFonts w:ascii="Arial" w:cs="Arial" w:eastAsia="Arial" w:hAnsi="Arial"/>
                <w:sz w:val="18"/>
                <w:szCs w:val="18"/>
                <w:b w:val="1"/>
                <w:bCs w:val="1"/>
                <w:color w:val="auto"/>
                <w:w w:val="91"/>
              </w:rPr>
              <w:t>incorporation or organization)</w:t>
            </w:r>
          </w:p>
        </w:tc>
        <w:tc>
          <w:tcPr>
            <w:tcW w:w="4180" w:type="dxa"/>
            <w:vAlign w:val="bottom"/>
          </w:tcPr>
          <w:p>
            <w:pPr>
              <w:jc w:val="center"/>
              <w:ind w:left="2290"/>
              <w:spacing w:after="0"/>
              <w:rPr>
                <w:sz w:val="20"/>
                <w:szCs w:val="20"/>
                <w:color w:val="auto"/>
              </w:rPr>
            </w:pPr>
            <w:r>
              <w:rPr>
                <w:rFonts w:ascii="Arial" w:cs="Arial" w:eastAsia="Arial" w:hAnsi="Arial"/>
                <w:sz w:val="18"/>
                <w:szCs w:val="18"/>
                <w:b w:val="1"/>
                <w:bCs w:val="1"/>
                <w:color w:val="auto"/>
                <w:w w:val="94"/>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44 W. 28th Street, Suite 1414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525-4319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7" w:lineRule="exact"/>
        <w:rPr>
          <w:sz w:val="24"/>
          <w:szCs w:val="24"/>
          <w:color w:val="auto"/>
        </w:rPr>
      </w:pPr>
    </w:p>
    <w:p>
      <w:pPr>
        <w:jc w:val="center"/>
        <w:spacing w:after="0" w:line="275" w:lineRule="auto"/>
        <w:rPr>
          <w:sz w:val="20"/>
          <w:szCs w:val="20"/>
          <w:color w:val="auto"/>
        </w:rPr>
      </w:pPr>
      <w:r>
        <w:rPr>
          <w:rFonts w:ascii="Arial" w:cs="Arial" w:eastAsia="Arial" w:hAnsi="Arial"/>
          <w:sz w:val="18"/>
          <w:szCs w:val="18"/>
          <w:b w:val="1"/>
          <w:bCs w:val="1"/>
          <w:color w:val="auto"/>
        </w:rPr>
        <w:t>VRINGO, INC. 2012 EMPLOYEE, DIRECTOR AND CONSULTANT EQUITY INCENTIVE PLAN INNOVATE/PROTECT, INC. 2011 EQUITY INCENTIVE PLAN (Full title of the plan)</w:t>
      </w:r>
    </w:p>
    <w:p>
      <w:pPr>
        <w:spacing w:after="0" w:line="390"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Andrew D. Perlman</w:t>
      </w:r>
    </w:p>
    <w:p>
      <w:pPr>
        <w:spacing w:after="0" w:line="27"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ind w:left="5260"/>
        <w:spacing w:after="0"/>
        <w:rPr>
          <w:sz w:val="20"/>
          <w:szCs w:val="20"/>
          <w:color w:val="auto"/>
        </w:rPr>
      </w:pPr>
      <w:r>
        <w:rPr>
          <w:rFonts w:ascii="Arial" w:cs="Arial" w:eastAsia="Arial" w:hAnsi="Arial"/>
          <w:sz w:val="18"/>
          <w:szCs w:val="18"/>
          <w:b w:val="1"/>
          <w:bCs w:val="1"/>
          <w:color w:val="auto"/>
        </w:rPr>
        <w:t>Vringo, Inc.</w:t>
      </w:r>
    </w:p>
    <w:p>
      <w:pPr>
        <w:spacing w:after="0" w:line="9"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44 W. 28th Street, Suite 1414</w:t>
      </w:r>
    </w:p>
    <w:p>
      <w:pPr>
        <w:spacing w:after="0" w:line="9"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New York, New York 10001</w:t>
      </w:r>
    </w:p>
    <w:p>
      <w:pPr>
        <w:spacing w:after="0" w:line="9"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(646) 525-4319</w:t>
      </w:r>
    </w:p>
    <w:p>
      <w:pPr>
        <w:spacing w:after="0" w:line="9"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(Name, address and telephone number, including area code, of agent for service)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Kenneth R. Koch,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Jeffrey P. Schultz,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Chrysler Center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666 Third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10013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935-3000</w:t>
      </w:r>
    </w:p>
    <w:p>
      <w:pPr>
        <w:spacing w:after="0" w:line="211"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3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680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580" w:type="dxa"/>
            <w:vAlign w:val="bottom"/>
          </w:tcPr>
          <w:p>
            <w:pPr>
              <w:ind w:left="1540"/>
              <w:spacing w:after="0"/>
              <w:rPr>
                <w:sz w:val="20"/>
                <w:szCs w:val="20"/>
                <w:color w:val="auto"/>
              </w:rPr>
            </w:pPr>
            <w:r>
              <w:rPr>
                <w:rFonts w:ascii="Arial" w:cs="Arial" w:eastAsia="Arial" w:hAnsi="Arial"/>
                <w:sz w:val="18"/>
                <w:szCs w:val="18"/>
                <w:color w:val="auto"/>
              </w:rPr>
              <w:t>Accelerated filer</w:t>
            </w:r>
          </w:p>
        </w:tc>
        <w:tc>
          <w:tcPr>
            <w:tcW w:w="10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680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580" w:type="dxa"/>
            <w:vAlign w:val="bottom"/>
          </w:tcPr>
          <w:p>
            <w:pPr>
              <w:ind w:left="1540"/>
              <w:spacing w:after="0"/>
              <w:rPr>
                <w:sz w:val="20"/>
                <w:szCs w:val="20"/>
                <w:color w:val="auto"/>
              </w:rPr>
            </w:pPr>
            <w:r>
              <w:rPr>
                <w:rFonts w:ascii="Arial" w:cs="Arial" w:eastAsia="Arial" w:hAnsi="Arial"/>
                <w:sz w:val="18"/>
                <w:szCs w:val="18"/>
                <w:color w:val="auto"/>
                <w:w w:val="93"/>
              </w:rPr>
              <w:t>Smaller reporting company</w:t>
            </w:r>
          </w:p>
        </w:tc>
        <w:tc>
          <w:tcPr>
            <w:tcW w:w="10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r>
      <w:tr>
        <w:trPr>
          <w:trHeight w:val="628"/>
        </w:trPr>
        <w:tc>
          <w:tcPr>
            <w:tcW w:w="68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4440" w:type="dxa"/>
            <w:vAlign w:val="bottom"/>
            <w:gridSpan w:val="8"/>
          </w:tcPr>
          <w:p>
            <w:pPr>
              <w:ind w:left="80"/>
              <w:spacing w:after="0"/>
              <w:rPr>
                <w:sz w:val="20"/>
                <w:szCs w:val="20"/>
                <w:color w:val="auto"/>
              </w:rPr>
            </w:pPr>
            <w:r>
              <w:rPr>
                <w:rFonts w:ascii="Arial" w:cs="Arial" w:eastAsia="Arial" w:hAnsi="Arial"/>
                <w:sz w:val="18"/>
                <w:szCs w:val="18"/>
                <w:b w:val="1"/>
                <w:bCs w:val="1"/>
                <w:color w:val="auto"/>
              </w:rPr>
              <w:t>CALCULATION OF REGISTRATION FEE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Proposed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Proposed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Maximum</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3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Maximum</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Aggregate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3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Amount To Be</w:t>
            </w:r>
          </w:p>
        </w:tc>
        <w:tc>
          <w:tcPr>
            <w:tcW w:w="160" w:type="dxa"/>
            <w:vAlign w:val="bottom"/>
          </w:tcPr>
          <w:p>
            <w:pPr>
              <w:spacing w:after="0"/>
              <w:rPr>
                <w:sz w:val="18"/>
                <w:szCs w:val="18"/>
                <w:color w:val="auto"/>
              </w:rPr>
            </w:pPr>
          </w:p>
        </w:tc>
        <w:tc>
          <w:tcPr>
            <w:tcW w:w="14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Offering Price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Offering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Registration</w:t>
            </w:r>
          </w:p>
        </w:tc>
      </w:tr>
      <w:tr>
        <w:trPr>
          <w:trHeight w:val="270"/>
        </w:trPr>
        <w:tc>
          <w:tcPr>
            <w:tcW w:w="3900" w:type="dxa"/>
            <w:vAlign w:val="bottom"/>
          </w:tcPr>
          <w:p>
            <w:pPr>
              <w:ind w:left="1100"/>
              <w:spacing w:after="0"/>
              <w:rPr>
                <w:sz w:val="20"/>
                <w:szCs w:val="20"/>
                <w:color w:val="auto"/>
              </w:rPr>
            </w:pPr>
            <w:r>
              <w:rPr>
                <w:rFonts w:ascii="Arial" w:cs="Arial" w:eastAsia="Arial" w:hAnsi="Arial"/>
                <w:sz w:val="18"/>
                <w:szCs w:val="18"/>
                <w:b w:val="1"/>
                <w:bCs w:val="1"/>
                <w:color w:val="auto"/>
                <w:w w:val="91"/>
              </w:rPr>
              <w:t>Title of Securities To Be Registered</w:t>
            </w: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60" w:type="dxa"/>
            <w:vAlign w:val="bottom"/>
            <w:gridSpan w:val="2"/>
          </w:tcPr>
          <w:p>
            <w:pPr>
              <w:jc w:val="center"/>
              <w:ind w:right="220"/>
              <w:spacing w:after="0" w:line="269" w:lineRule="exact"/>
              <w:rPr>
                <w:sz w:val="20"/>
                <w:szCs w:val="20"/>
                <w:color w:val="auto"/>
              </w:rPr>
            </w:pPr>
            <w:r>
              <w:rPr>
                <w:rFonts w:ascii="Arial" w:cs="Arial" w:eastAsia="Arial" w:hAnsi="Arial"/>
                <w:sz w:val="18"/>
                <w:szCs w:val="18"/>
                <w:b w:val="1"/>
                <w:bCs w:val="1"/>
                <w:color w:val="auto"/>
                <w:w w:val="85"/>
              </w:rPr>
              <w:t>Registered</w:t>
            </w:r>
            <w:r>
              <w:rPr>
                <w:rFonts w:ascii="Arial" w:cs="Arial" w:eastAsia="Arial" w:hAnsi="Arial"/>
                <w:sz w:val="30"/>
                <w:szCs w:val="30"/>
                <w:b w:val="1"/>
                <w:bCs w:val="1"/>
                <w:color w:val="auto"/>
                <w:w w:val="85"/>
                <w:vertAlign w:val="superscript"/>
              </w:rPr>
              <w:t>(1)</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gridSpan w:val="2"/>
          </w:tcPr>
          <w:p>
            <w:pPr>
              <w:jc w:val="center"/>
              <w:ind w:right="300"/>
              <w:spacing w:after="0" w:line="269" w:lineRule="exact"/>
              <w:rPr>
                <w:sz w:val="20"/>
                <w:szCs w:val="20"/>
                <w:color w:val="auto"/>
              </w:rPr>
            </w:pPr>
            <w:r>
              <w:rPr>
                <w:rFonts w:ascii="Arial" w:cs="Arial" w:eastAsia="Arial" w:hAnsi="Arial"/>
                <w:sz w:val="18"/>
                <w:szCs w:val="18"/>
                <w:b w:val="1"/>
                <w:bCs w:val="1"/>
                <w:color w:val="auto"/>
                <w:w w:val="86"/>
              </w:rPr>
              <w:t>Per Share</w:t>
            </w:r>
            <w:r>
              <w:rPr>
                <w:rFonts w:ascii="Arial" w:cs="Arial" w:eastAsia="Arial" w:hAnsi="Arial"/>
                <w:sz w:val="30"/>
                <w:szCs w:val="30"/>
                <w:b w:val="1"/>
                <w:bCs w:val="1"/>
                <w:color w:val="auto"/>
                <w:w w:val="86"/>
                <w:vertAlign w:val="superscript"/>
              </w:rPr>
              <w:t>(2)</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ind w:right="300"/>
              <w:spacing w:after="0" w:line="269" w:lineRule="exact"/>
              <w:rPr>
                <w:sz w:val="20"/>
                <w:szCs w:val="20"/>
                <w:color w:val="auto"/>
              </w:rPr>
            </w:pPr>
            <w:r>
              <w:rPr>
                <w:rFonts w:ascii="Arial" w:cs="Arial" w:eastAsia="Arial" w:hAnsi="Arial"/>
                <w:sz w:val="18"/>
                <w:szCs w:val="18"/>
                <w:b w:val="1"/>
                <w:bCs w:val="1"/>
                <w:color w:val="auto"/>
                <w:w w:val="84"/>
              </w:rPr>
              <w:t>Price</w:t>
            </w:r>
            <w:r>
              <w:rPr>
                <w:rFonts w:ascii="Arial" w:cs="Arial" w:eastAsia="Arial" w:hAnsi="Arial"/>
                <w:sz w:val="30"/>
                <w:szCs w:val="30"/>
                <w:b w:val="1"/>
                <w:bCs w:val="1"/>
                <w:color w:val="auto"/>
                <w:w w:val="84"/>
                <w:vertAlign w:val="superscript"/>
              </w:rPr>
              <w:t>(2)</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Fee</w:t>
            </w:r>
          </w:p>
        </w:tc>
      </w:tr>
      <w:tr>
        <w:trPr>
          <w:trHeight w:val="195"/>
        </w:trPr>
        <w:tc>
          <w:tcPr>
            <w:tcW w:w="4900" w:type="dxa"/>
            <w:vAlign w:val="bottom"/>
            <w:tcBorders>
              <w:top w:val="single" w:sz="8" w:color="auto"/>
            </w:tcBorders>
            <w:gridSpan w:val="2"/>
            <w:shd w:val="clear" w:color="auto" w:fill="CCFFCC"/>
          </w:tcPr>
          <w:p>
            <w:pPr>
              <w:spacing w:after="0" w:line="195" w:lineRule="exact"/>
              <w:rPr>
                <w:sz w:val="20"/>
                <w:szCs w:val="20"/>
                <w:color w:val="auto"/>
              </w:rPr>
            </w:pPr>
            <w:r>
              <w:rPr>
                <w:rFonts w:ascii="Arial" w:cs="Arial" w:eastAsia="Arial" w:hAnsi="Arial"/>
                <w:sz w:val="18"/>
                <w:szCs w:val="18"/>
                <w:color w:val="auto"/>
                <w:w w:val="92"/>
              </w:rPr>
              <w:t>Common Stock, $0.01 par value: Reserved for issuance under the</w:t>
            </w:r>
          </w:p>
        </w:tc>
        <w:tc>
          <w:tcPr>
            <w:tcW w:w="220" w:type="dxa"/>
            <w:vAlign w:val="bottom"/>
            <w:tcBorders>
              <w:top w:val="single" w:sz="8" w:color="CCFFCC"/>
            </w:tcBorders>
            <w:shd w:val="clear" w:color="auto" w:fill="CCFFCC"/>
          </w:tcPr>
          <w:p>
            <w:pPr>
              <w:spacing w:after="0"/>
              <w:rPr>
                <w:sz w:val="16"/>
                <w:szCs w:val="16"/>
                <w:color w:val="auto"/>
              </w:rPr>
            </w:pPr>
          </w:p>
        </w:tc>
        <w:tc>
          <w:tcPr>
            <w:tcW w:w="1500" w:type="dxa"/>
            <w:vAlign w:val="bottom"/>
            <w:tcBorders>
              <w:top w:val="single" w:sz="8" w:color="auto"/>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120" w:type="dxa"/>
            <w:vAlign w:val="bottom"/>
            <w:tcBorders>
              <w:top w:val="single" w:sz="8" w:color="auto"/>
            </w:tcBorders>
            <w:shd w:val="clear" w:color="auto" w:fill="CCFFCC"/>
          </w:tcPr>
          <w:p>
            <w:pPr>
              <w:spacing w:after="0"/>
              <w:rPr>
                <w:sz w:val="16"/>
                <w:szCs w:val="16"/>
                <w:color w:val="auto"/>
              </w:rPr>
            </w:pPr>
          </w:p>
        </w:tc>
        <w:tc>
          <w:tcPr>
            <w:tcW w:w="1120" w:type="dxa"/>
            <w:vAlign w:val="bottom"/>
            <w:tcBorders>
              <w:top w:val="single" w:sz="8" w:color="auto"/>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160" w:type="dxa"/>
            <w:vAlign w:val="bottom"/>
            <w:tcBorders>
              <w:top w:val="single" w:sz="8" w:color="auto"/>
            </w:tcBorders>
            <w:shd w:val="clear" w:color="auto" w:fill="CCFFCC"/>
          </w:tcPr>
          <w:p>
            <w:pPr>
              <w:spacing w:after="0"/>
              <w:rPr>
                <w:sz w:val="16"/>
                <w:szCs w:val="16"/>
                <w:color w:val="auto"/>
              </w:rPr>
            </w:pPr>
          </w:p>
        </w:tc>
        <w:tc>
          <w:tcPr>
            <w:tcW w:w="1080" w:type="dxa"/>
            <w:vAlign w:val="bottom"/>
            <w:tcBorders>
              <w:top w:val="single" w:sz="8" w:color="auto"/>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120" w:type="dxa"/>
            <w:vAlign w:val="bottom"/>
            <w:tcBorders>
              <w:top w:val="single" w:sz="8" w:color="auto"/>
            </w:tcBorders>
            <w:shd w:val="clear" w:color="auto" w:fill="CCFFCC"/>
          </w:tcPr>
          <w:p>
            <w:pPr>
              <w:spacing w:after="0"/>
              <w:rPr>
                <w:sz w:val="16"/>
                <w:szCs w:val="16"/>
                <w:color w:val="auto"/>
              </w:rPr>
            </w:pPr>
          </w:p>
        </w:tc>
        <w:tc>
          <w:tcPr>
            <w:tcW w:w="114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r>
      <w:tr>
        <w:trPr>
          <w:trHeight w:val="230"/>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Vringo, Inc. 2012 Employee,</w:t>
            </w:r>
          </w:p>
        </w:tc>
        <w:tc>
          <w:tcPr>
            <w:tcW w:w="100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6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6,500,000 shares</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3.64</w:t>
            </w: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23,660,000</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2,711.45</w:t>
            </w:r>
          </w:p>
        </w:tc>
      </w:tr>
      <w:tr>
        <w:trPr>
          <w:trHeight w:val="257"/>
        </w:trPr>
        <w:tc>
          <w:tcPr>
            <w:tcW w:w="3900" w:type="dxa"/>
            <w:vAlign w:val="bottom"/>
          </w:tcPr>
          <w:p>
            <w:pPr>
              <w:spacing w:after="0"/>
              <w:rPr>
                <w:sz w:val="20"/>
                <w:szCs w:val="20"/>
                <w:color w:val="auto"/>
              </w:rPr>
            </w:pPr>
            <w:r>
              <w:rPr>
                <w:rFonts w:ascii="Arial" w:cs="Arial" w:eastAsia="Arial" w:hAnsi="Arial"/>
                <w:sz w:val="18"/>
                <w:szCs w:val="18"/>
                <w:color w:val="auto"/>
              </w:rPr>
              <w:t>Director and Consultant Equity Incentive Plan</w:t>
            </w: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gridSpan w:val="2"/>
          </w:tcPr>
          <w:p>
            <w:pPr>
              <w:jc w:val="right"/>
              <w:ind w:right="160"/>
              <w:spacing w:after="0" w:line="256" w:lineRule="exact"/>
              <w:rPr>
                <w:sz w:val="20"/>
                <w:szCs w:val="20"/>
                <w:color w:val="auto"/>
              </w:rPr>
            </w:pPr>
            <w:r>
              <w:rPr>
                <w:rFonts w:ascii="Arial" w:cs="Arial" w:eastAsia="Arial" w:hAnsi="Arial"/>
                <w:sz w:val="18"/>
                <w:szCs w:val="18"/>
                <w:color w:val="auto"/>
                <w:w w:val="90"/>
              </w:rPr>
              <w:t>9,100,000 shares</w:t>
            </w:r>
            <w:r>
              <w:rPr>
                <w:rFonts w:ascii="Arial" w:cs="Arial" w:eastAsia="Arial" w:hAnsi="Arial"/>
                <w:sz w:val="29"/>
                <w:szCs w:val="29"/>
                <w:b w:val="1"/>
                <w:bCs w:val="1"/>
                <w:color w:val="auto"/>
                <w:w w:val="90"/>
                <w:vertAlign w:val="superscript"/>
              </w:rPr>
              <w:t>(3)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3.64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33,124,000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3,796.00</w:t>
            </w:r>
          </w:p>
        </w:tc>
      </w:tr>
      <w:tr>
        <w:trPr>
          <w:trHeight w:val="230"/>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Common Stock, $0.01 par value</w:t>
            </w:r>
          </w:p>
        </w:tc>
        <w:tc>
          <w:tcPr>
            <w:tcW w:w="100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6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41,178 shares</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0.994</w:t>
            </w: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40,930.93</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4.69</w:t>
            </w:r>
          </w:p>
        </w:tc>
      </w:tr>
      <w:tr>
        <w:trPr>
          <w:trHeight w:val="224"/>
        </w:trPr>
        <w:tc>
          <w:tcPr>
            <w:tcW w:w="3900" w:type="dxa"/>
            <w:vAlign w:val="bottom"/>
            <w:tcBorders>
              <w:top w:val="single" w:sz="8" w:color="auto"/>
            </w:tcBorders>
          </w:tcPr>
          <w:p>
            <w:pPr>
              <w:ind w:left="226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15,641,178 shares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56,824,930.93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6,512.14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-746125</wp:posOffset>
            </wp:positionV>
            <wp:extent cx="7246620" cy="737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737235"/>
                    </a:xfrm>
                    <a:prstGeom prst="rect">
                      <a:avLst/>
                    </a:prstGeom>
                    <a:noFill/>
                  </pic:spPr>
                </pic:pic>
              </a:graphicData>
            </a:graphic>
          </wp:anchor>
        </w:drawing>
      </w:r>
    </w:p>
    <w:p>
      <w:pPr>
        <w:spacing w:after="0" w:line="167" w:lineRule="exact"/>
        <w:rPr>
          <w:sz w:val="20"/>
          <w:szCs w:val="20"/>
          <w:color w:val="auto"/>
        </w:rPr>
      </w:pPr>
    </w:p>
    <w:p>
      <w:pPr>
        <w:ind w:left="460" w:right="20" w:hanging="330"/>
        <w:spacing w:after="0" w:line="272"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This registration statement on Form S−8 (this “Registration Statement”) covers (i) 15,600,000 shares of common stock, par value $0.01 per share, of Vringo, Inc. (the “Registrant”), available for issuance under the Registrant’s 2012 Employee, Director and Consultant Equity Incentive Plan (the “2012 Plan”), and (ii) 41,178 of shares of common stock of the Registrant issuable upon exercise of stock options granted to Donald E. Stout, a member of the board of directors of the Registrant, which were assumed by the Registrant in connection with the consummation of the merger on July 19, 2012 and are subject to Innovate/Protect, Inc. 2011 Equity Incentive Plan. In accordance with Rule 416 under the Securities Act of 1933, as amended, this Registration Statement shall be deemed to cover any additional shares of common stock, which may be issued upon recapitalizations, stock dividends, stock splits or similar transactions. No additional registration fee is included for these shares.</w:t>
      </w:r>
    </w:p>
    <w:p>
      <w:pPr>
        <w:spacing w:after="0" w:line="177" w:lineRule="exact"/>
        <w:rPr>
          <w:rFonts w:ascii="Arial" w:cs="Arial" w:eastAsia="Arial" w:hAnsi="Arial"/>
          <w:sz w:val="17"/>
          <w:szCs w:val="17"/>
          <w:color w:val="auto"/>
        </w:rPr>
      </w:pPr>
    </w:p>
    <w:p>
      <w:pPr>
        <w:jc w:val="both"/>
        <w:ind w:left="460" w:right="140" w:hanging="330"/>
        <w:spacing w:after="0" w:line="297"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in accordance with Rule 457(c) and 457(h)(1) promulgated under the Securities Act of 1933, as amended, solely for purposes of calculating the registration fee. In the case of shares of Common Stock to be issued in connection with equity awards that have not yet been granted, the price per share and aggregate offering price are based on the average of the high and low sale prices per share of Registrant’s common stock as reported on the NYSE MKT on July 19, 2012 within five business days prior to filing this Registration Statement. In the case of shares of Common Stock which may be issued upon exercise of outstanding options, the fee is calculated on the basis of the price at which the options may be exercised.</w:t>
      </w:r>
    </w:p>
    <w:p>
      <w:pPr>
        <w:spacing w:after="0" w:line="158" w:lineRule="exact"/>
        <w:rPr>
          <w:rFonts w:ascii="Arial" w:cs="Arial" w:eastAsia="Arial" w:hAnsi="Arial"/>
          <w:sz w:val="16"/>
          <w:szCs w:val="16"/>
          <w:color w:val="auto"/>
        </w:rPr>
      </w:pPr>
    </w:p>
    <w:p>
      <w:pPr>
        <w:ind w:left="460" w:right="500" w:hanging="330"/>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common stock available for issuance pursuant to the 2012 Plan that have been carried over from the Company’s 2006 Stock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u w:val="single" w:color="auto"/>
          <w:color w:val="auto"/>
        </w:rPr>
        <w:t>EXPLANATORY NOTE</w:t>
      </w:r>
    </w:p>
    <w:p>
      <w:pPr>
        <w:spacing w:after="0" w:line="229" w:lineRule="exact"/>
        <w:rPr>
          <w:sz w:val="20"/>
          <w:szCs w:val="20"/>
          <w:color w:val="auto"/>
        </w:rPr>
      </w:pPr>
    </w:p>
    <w:p>
      <w:pPr>
        <w:ind w:right="780" w:firstLine="441"/>
        <w:spacing w:after="0" w:line="277" w:lineRule="auto"/>
        <w:rPr>
          <w:sz w:val="20"/>
          <w:szCs w:val="20"/>
          <w:color w:val="auto"/>
        </w:rPr>
      </w:pPr>
      <w:r>
        <w:rPr>
          <w:rFonts w:ascii="Arial" w:cs="Arial" w:eastAsia="Arial" w:hAnsi="Arial"/>
          <w:sz w:val="18"/>
          <w:szCs w:val="18"/>
          <w:color w:val="auto"/>
        </w:rPr>
        <w:t>In accordance with the instructional Note to Part I of Form S-8 as promulgated by the Securities and Exchange Commission (the “SEC”), the information specified by Part I of Form S-8 has been omitted from this Registration Statement on Form S-8.</w:t>
      </w:r>
    </w:p>
    <w:p>
      <w:pPr>
        <w:spacing w:after="0" w:line="170" w:lineRule="exact"/>
        <w:rPr>
          <w:sz w:val="20"/>
          <w:szCs w:val="20"/>
          <w:color w:val="auto"/>
        </w:rPr>
      </w:pPr>
    </w:p>
    <w:p>
      <w:pPr>
        <w:ind w:right="100" w:firstLine="441"/>
        <w:spacing w:after="0" w:line="279" w:lineRule="auto"/>
        <w:rPr>
          <w:sz w:val="20"/>
          <w:szCs w:val="20"/>
          <w:color w:val="auto"/>
        </w:rPr>
      </w:pPr>
      <w:r>
        <w:rPr>
          <w:rFonts w:ascii="Arial" w:cs="Arial" w:eastAsia="Arial" w:hAnsi="Arial"/>
          <w:sz w:val="17"/>
          <w:szCs w:val="17"/>
          <w:color w:val="auto"/>
        </w:rPr>
        <w:t>This Registration Statement on Form S-8 hereby registers 15,600,000 shares of common stock for issuance under the Vringo, Inc. 2012 Employee, Director and Consultant Equity Incentive Plan (the “2012 Plan”). On July 19, 2012, Vringo, Inc. (the “Company”) stockholders approved the adoption of the 2012 Plan. The 2012 Plan allows the Company, under the direction of the Compensation Committee of the Board of Directors, to make grants of stock options, restricted and unrestricted stock awards and other stock-based awards to employees, consultants and directors.</w:t>
      </w:r>
    </w:p>
    <w:p>
      <w:pPr>
        <w:spacing w:after="0" w:line="171"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The 2012 Plan replaces the Company’s 2006 Stock Option Plan (the “2006 Plan”) which is terminated with the remaining 9,100,000 authorized shares thereunder cancelled on July 19, 2012, the date of the approval of the 2012 Plan by the Company’s stockholders.</w:t>
      </w:r>
    </w:p>
    <w:p>
      <w:pPr>
        <w:spacing w:after="0" w:line="170" w:lineRule="exact"/>
        <w:rPr>
          <w:sz w:val="20"/>
          <w:szCs w:val="20"/>
          <w:color w:val="auto"/>
        </w:rPr>
      </w:pPr>
    </w:p>
    <w:p>
      <w:pPr>
        <w:ind w:right="140" w:firstLine="441"/>
        <w:spacing w:after="0" w:line="276" w:lineRule="auto"/>
        <w:rPr>
          <w:sz w:val="20"/>
          <w:szCs w:val="20"/>
          <w:color w:val="auto"/>
        </w:rPr>
      </w:pPr>
      <w:r>
        <w:rPr>
          <w:rFonts w:ascii="Arial" w:cs="Arial" w:eastAsia="Arial" w:hAnsi="Arial"/>
          <w:sz w:val="17"/>
          <w:szCs w:val="17"/>
          <w:color w:val="auto"/>
        </w:rPr>
        <w:t>In addition to the 6,500,000 shares of common stock initially authorized for issuance under the 2012 Plan, the 2012 Plan allows for the issuance of (i) 9,100,000 shares of common stock previously authorized but unissued under the 2006 Plan, and (ii) any shares of common stock that are represented by awards granted under the 2006 Plan that are forfeited, expire or are cancelled without delivery of shares of common stock or which result in the forfeiture of shares of common stock back to the Company on or after July 19, 2012, the date of the 2012 Plan approval by the stockholders of the Company, provided, however, that no more than 3,200,000 shares shall be added to the 2012 Plan.</w:t>
      </w:r>
    </w:p>
    <w:p>
      <w:pPr>
        <w:spacing w:after="0" w:line="173" w:lineRule="exact"/>
        <w:rPr>
          <w:sz w:val="20"/>
          <w:szCs w:val="20"/>
          <w:color w:val="auto"/>
        </w:rPr>
      </w:pPr>
    </w:p>
    <w:p>
      <w:pPr>
        <w:jc w:val="both"/>
        <w:ind w:right="220" w:firstLine="441"/>
        <w:spacing w:after="0" w:line="286" w:lineRule="auto"/>
        <w:rPr>
          <w:sz w:val="20"/>
          <w:szCs w:val="20"/>
          <w:color w:val="auto"/>
        </w:rPr>
      </w:pPr>
      <w:r>
        <w:rPr>
          <w:rFonts w:ascii="Arial" w:cs="Arial" w:eastAsia="Arial" w:hAnsi="Arial"/>
          <w:sz w:val="17"/>
          <w:szCs w:val="17"/>
          <w:color w:val="auto"/>
        </w:rPr>
        <w:t>In addition, this Registration Statement on Form S-8 hereby registers a total of additional 41,178 shares of common stock issuable upon exercise of a stock option granted to Donald E. Stout, a member of the board of directors of the Company, which were assumed by the Registrant in connection with the consummation of the merger on July 19, 2012 and are subject to Innovate/Protect, Inc. 2011 Equity Incentive Plan.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right="600" w:firstLine="881"/>
        <w:spacing w:after="0" w:line="277" w:lineRule="auto"/>
        <w:rPr>
          <w:sz w:val="20"/>
          <w:szCs w:val="20"/>
          <w:color w:val="auto"/>
        </w:rPr>
      </w:pPr>
      <w:r>
        <w:rPr>
          <w:rFonts w:ascii="Arial" w:cs="Arial" w:eastAsia="Arial" w:hAnsi="Arial"/>
          <w:sz w:val="18"/>
          <w:szCs w:val="18"/>
          <w:color w:val="auto"/>
        </w:rPr>
        <w:t>The following documents, together with any amendments thereof, filed with the SEC pursuant to the Securities Exchange Act of 1934, as amended, (the “Exchange Act”) are incorporated herein by reference:</w:t>
      </w:r>
    </w:p>
    <w:p>
      <w:pPr>
        <w:spacing w:after="0" w:line="170" w:lineRule="exact"/>
        <w:rPr>
          <w:sz w:val="20"/>
          <w:szCs w:val="20"/>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2011, filed with the SEC on March 30, 2012;</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2012, filed with the SEC on May 15, 2012;</w:t>
      </w:r>
    </w:p>
    <w:p>
      <w:pPr>
        <w:spacing w:after="0" w:line="225" w:lineRule="exact"/>
        <w:rPr>
          <w:rFonts w:ascii="Arial" w:cs="Arial" w:eastAsia="Arial" w:hAnsi="Arial"/>
          <w:sz w:val="18"/>
          <w:szCs w:val="18"/>
          <w:color w:val="auto"/>
        </w:rPr>
      </w:pPr>
    </w:p>
    <w:p>
      <w:pPr>
        <w:ind w:left="920" w:hanging="453"/>
        <w:spacing w:after="0" w:line="277" w:lineRule="auto"/>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Current Reports on Form 8-K dated February 7, 2012, February 14, 2012, February 15, 2012, March 14, 2012, April 25, 2012, June 19, 2012 and July 20, 2012 (2 Current Reports); and</w:t>
      </w:r>
    </w:p>
    <w:p>
      <w:pPr>
        <w:spacing w:after="0" w:line="170" w:lineRule="exact"/>
        <w:rPr>
          <w:rFonts w:ascii="Arial" w:cs="Arial" w:eastAsia="Arial" w:hAnsi="Arial"/>
          <w:sz w:val="18"/>
          <w:szCs w:val="18"/>
          <w:color w:val="auto"/>
        </w:rPr>
      </w:pPr>
    </w:p>
    <w:p>
      <w:pPr>
        <w:ind w:left="920" w:right="100" w:hanging="453"/>
        <w:spacing w:after="0" w:line="277" w:lineRule="auto"/>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June 16, 2010, including any amendment or reports filed for the purpose of updating such description.</w:t>
      </w:r>
    </w:p>
    <w:p>
      <w:pPr>
        <w:spacing w:after="0" w:line="170" w:lineRule="exact"/>
        <w:rPr>
          <w:sz w:val="20"/>
          <w:szCs w:val="20"/>
          <w:color w:val="auto"/>
        </w:rPr>
      </w:pPr>
    </w:p>
    <w:p>
      <w:pPr>
        <w:ind w:right="60" w:firstLine="881"/>
        <w:spacing w:after="0" w:line="259" w:lineRule="auto"/>
        <w:rPr>
          <w:sz w:val="20"/>
          <w:szCs w:val="20"/>
          <w:color w:val="auto"/>
        </w:rPr>
      </w:pPr>
      <w:r>
        <w:rPr>
          <w:rFonts w:ascii="Arial" w:cs="Arial" w:eastAsia="Arial" w:hAnsi="Arial"/>
          <w:sz w:val="18"/>
          <w:szCs w:val="18"/>
          <w:color w:val="auto"/>
        </w:rPr>
        <w:t>All reports and other documents subsequently filed by the Company pursuant to Sections 13(a), 13(c), 14 and 15(d) of the Exchange Act, prior to the filing of a post-effective amendment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w:t>
      </w:r>
    </w:p>
    <w:p>
      <w:pPr>
        <w:spacing w:after="0" w:line="187" w:lineRule="exact"/>
        <w:rPr>
          <w:sz w:val="20"/>
          <w:szCs w:val="20"/>
          <w:color w:val="auto"/>
        </w:rPr>
      </w:pPr>
    </w:p>
    <w:p>
      <w:pPr>
        <w:ind w:right="480" w:firstLine="881"/>
        <w:spacing w:after="0" w:line="259" w:lineRule="auto"/>
        <w:rPr>
          <w:sz w:val="20"/>
          <w:szCs w:val="20"/>
          <w:color w:val="auto"/>
        </w:rPr>
      </w:pPr>
      <w:r>
        <w:rPr>
          <w:rFonts w:ascii="Arial" w:cs="Arial" w:eastAsia="Arial" w:hAnsi="Arial"/>
          <w:sz w:val="18"/>
          <w:szCs w:val="18"/>
          <w:color w:val="auto"/>
        </w:rPr>
        <w:t>Any statement contained in a document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part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 w:name="page4"/>
    <w:bookmarkEnd w:id="3"/>
    <w:p>
      <w:pPr>
        <w:ind w:right="20" w:firstLine="486"/>
        <w:spacing w:after="0" w:line="277" w:lineRule="auto"/>
        <w:rPr>
          <w:sz w:val="20"/>
          <w:szCs w:val="20"/>
          <w:color w:val="auto"/>
        </w:rPr>
      </w:pPr>
      <w:r>
        <w:rPr>
          <w:rFonts w:ascii="Arial" w:cs="Arial" w:eastAsia="Arial" w:hAnsi="Arial"/>
          <w:sz w:val="18"/>
          <w:szCs w:val="18"/>
          <w:color w:val="auto"/>
        </w:rPr>
        <w:t>Notwithstanding the foregoing provisions, no document, or portion of or exhibit to a document, that is “furnished” to (rather than “filed” with) the SEC shall be incorporated or deemed to be incorporated by reference in this Registration Statement.</w:t>
      </w:r>
    </w:p>
    <w:p>
      <w:pPr>
        <w:spacing w:after="0" w:line="170"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We will provide without charge to each person to whom this prospectus is delivered, upon written or oral request of that person, a copy of all documents incorporated by reference into the Registration Statement of which this prospectus is a part, other than exhibits to those documents (unless such exhibits are specifically incorporated by reference into such documents). Requests for such documents should be directed to the Secretary, Vringo, Inc., 44 W. 28th Street, New York, New York 10003, Telephone (646) 525-4319.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The validity of the issuance of the shares of common stock registered under this Registration Statement has been passed upon for the Registrant by Mintz, Levin, Cohn, Ferris, Glovsky and Popeo, P.C.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sz w:val="20"/>
          <w:szCs w:val="20"/>
          <w:color w:val="auto"/>
        </w:rPr>
      </w:pPr>
    </w:p>
    <w:p>
      <w:pPr>
        <w:ind w:right="100" w:firstLine="486"/>
        <w:spacing w:after="0" w:line="342" w:lineRule="auto"/>
        <w:rPr>
          <w:sz w:val="20"/>
          <w:szCs w:val="20"/>
          <w:color w:val="auto"/>
        </w:rPr>
      </w:pPr>
      <w:r>
        <w:rPr>
          <w:rFonts w:ascii="Arial" w:cs="Arial" w:eastAsia="Arial" w:hAnsi="Arial"/>
          <w:sz w:val="16"/>
          <w:szCs w:val="16"/>
          <w:color w:val="auto"/>
        </w:rPr>
        <w:t>The amended and restated certificate of incorporation of the Company provides that all directors, officers, employees and agents of the registrant shall be entitled to be indemnified by the Company to the fullest extent permitted by Section 145 of the Delaware General Corporation Law (“DGCL”).</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Article EIGHTH of the Company’s amended and restated certificate of incorporation provides:</w:t>
      </w:r>
    </w:p>
    <w:p>
      <w:pPr>
        <w:spacing w:after="0" w:line="225"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“The Corporation shall, to the fullest extent permitted by the provisions of Section 145 of the DGCL, as the same may be amended and supplemented from time to time, indemnify any and all persons whom it shall have power to indemnify under said section from and against any and all of the expenses, liabilities or other matters referred to in or covered by said section as amended or supplemented (or any successor),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89"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Pursuant to the Company’s bylaws, the directors and officers of the Company shall, to the fullest extent permitted by the DGCL, also have the right to receive from the Company an advancement of expenses incurred in defending any proceeding in advance of its final disposition. To the extent required under the DGCL, an advancement of expenses incurred by a director or officer in his or her capacity as a director or officer (and not in any other capacity in which service was or is rendered by such individual, including, without limitation, service to an employee benefit plan) shall be made only upon delivery to the Company of an undertaking, by or on behalf of such director or officer, to repay all amounts so advanced if it shall ultimately be determined that such director or officer is not entitled to be indemnified for such expenses. The Company is not required to provide indemnification or advance expenses in connection with</w:t>
      </w:r>
    </w:p>
    <w:p>
      <w:pPr>
        <w:spacing w:after="0" w:line="5" w:lineRule="exact"/>
        <w:rPr>
          <w:sz w:val="20"/>
          <w:szCs w:val="20"/>
          <w:color w:val="auto"/>
        </w:rPr>
      </w:pPr>
    </w:p>
    <w:p>
      <w:pPr>
        <w:ind w:right="40" w:firstLine="8"/>
        <w:spacing w:after="0" w:line="254"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proceeding initiated by a director or officer of the Company unless such proceeding was authorized by the Board of Directors or otherwise required by law; (ii) any proceeding providing for disgorgement of profits pursuant to Section 16(b) of the Securities Exchange Act of 1934, as amended; (iii) and for amounts for which payment is actually made to or on behalf of such person under any statute, insurance policy or indemnity provisions or law; or (iv) any prohibition by applicable law.</w:t>
      </w:r>
    </w:p>
    <w:p>
      <w:pPr>
        <w:spacing w:after="0" w:line="190"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Pursuant to the Company’s certificate of incorporation, the Company may also maintain a directors’ and officers’ insurance policy which insures the Company and any of its directors, officers, employees, agents or other entities, against expense, liability or loss asserted against such persons in such capacity whether or not the Company would have the power to indemnify such person under the DGCL.</w:t>
      </w:r>
    </w:p>
    <w:p>
      <w:pPr>
        <w:spacing w:after="0" w:line="181"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may be permitted to the Company’s directors, officers, and controlling persons pursuant to the foregoing provisions, or otherwise, the Company has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the court of appropriate jurisdiction the question whether such indemnification by the Company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ind w:right="220" w:firstLine="486"/>
        <w:spacing w:after="0" w:line="277" w:lineRule="auto"/>
        <w:rPr>
          <w:sz w:val="20"/>
          <w:szCs w:val="20"/>
          <w:color w:val="auto"/>
        </w:rPr>
      </w:pPr>
      <w:r>
        <w:rPr>
          <w:rFonts w:ascii="Arial" w:cs="Arial" w:eastAsia="Arial" w:hAnsi="Arial"/>
          <w:sz w:val="18"/>
          <w:szCs w:val="18"/>
          <w:color w:val="auto"/>
        </w:rPr>
        <w:t>At present, there is no pending litigation or proceeding involving any of our directors or executive officers as to which indemnification is required or permitted, and we are not aware of any threatened litigation or proceeding that may result in a claim for indemnification.</w:t>
      </w:r>
    </w:p>
    <w:p>
      <w:pPr>
        <w:spacing w:after="0" w:line="170"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We have an insurance policy covering our officers and directors with respect to certain liabilities, including liabilities arising under the Securities Act of 1933, as amended, or the Securities Act,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w:t>
            </w:r>
          </w:p>
        </w:tc>
        <w:tc>
          <w:tcPr>
            <w:tcW w:w="10380" w:type="dxa"/>
            <w:vAlign w:val="bottom"/>
          </w:tcPr>
          <w:p>
            <w:pPr>
              <w:ind w:left="4740"/>
              <w:spacing w:after="0"/>
              <w:rPr>
                <w:sz w:val="20"/>
                <w:szCs w:val="20"/>
                <w:color w:val="auto"/>
              </w:rPr>
            </w:pPr>
            <w:r>
              <w:rPr>
                <w:rFonts w:ascii="Arial" w:cs="Arial" w:eastAsia="Arial" w:hAnsi="Arial"/>
                <w:sz w:val="18"/>
                <w:szCs w:val="18"/>
                <w:b w:val="1"/>
                <w:bCs w:val="1"/>
                <w:color w:val="auto"/>
              </w:rPr>
              <w:t>Description</w:t>
            </w:r>
          </w:p>
        </w:tc>
      </w:tr>
      <w:tr>
        <w:trPr>
          <w:trHeight w:val="234"/>
        </w:trPr>
        <w:tc>
          <w:tcPr>
            <w:tcW w:w="1040" w:type="dxa"/>
            <w:vAlign w:val="bottom"/>
            <w:gridSpan w:val="2"/>
          </w:tcPr>
          <w:p>
            <w:pPr>
              <w:ind w:left="340"/>
              <w:spacing w:after="0"/>
              <w:rPr>
                <w:sz w:val="20"/>
                <w:szCs w:val="20"/>
                <w:color w:val="auto"/>
              </w:rPr>
            </w:pPr>
            <w:r>
              <w:rPr>
                <w:rFonts w:ascii="Arial" w:cs="Arial" w:eastAsia="Arial" w:hAnsi="Arial"/>
                <w:sz w:val="18"/>
                <w:szCs w:val="18"/>
                <w:b w:val="1"/>
                <w:bCs w:val="1"/>
                <w:color w:val="auto"/>
              </w:rPr>
              <w:t>No.</w:t>
            </w:r>
          </w:p>
        </w:tc>
        <w:tc>
          <w:tcPr>
            <w:tcW w:w="10380" w:type="dxa"/>
            <w:vAlign w:val="bottom"/>
          </w:tcPr>
          <w:p>
            <w:pPr>
              <w:spacing w:after="0"/>
              <w:rPr>
                <w:sz w:val="20"/>
                <w:szCs w:val="20"/>
                <w:color w:val="auto"/>
              </w:rPr>
            </w:pPr>
          </w:p>
        </w:tc>
      </w:tr>
      <w:tr>
        <w:trPr>
          <w:trHeight w:val="411"/>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3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Amended and Restated Certificate of Incorporation (incorporated by reference from the Registrant’s Registration Statement on Form S-1 filed</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on May 18, 2010 (File No. 333-164575))</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Amended and Restated Bylaws (incorporated by reference from the Registrant’s Registration Statement on Form S-1 filed on January 29, 2010</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(File No. 333-164575))</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Opinion of Mintz, Levin, Cohn, Ferris, Glovsky and Popeo, P.C.</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Consent of Somekh Chaikin, a member firm of KPMG International, Independent Registered Public Accounting Firm</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Consent of Grant Thornton LLP</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Consent of Mintz, Levin, Cohn, Ferris, Glovsky and Popeo, P.C. (included in Exhibit 5.1)</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Power of Attorney (included on signature page)</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4"/>
              </w:rPr>
              <w:t>Vringo, Inc. 2012 Employee, Director and Consultant Equity Incentive Plan (incorporated by reference from our Registration Statement on</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S-4 originally filed on April 6, 2012 (File No. 333-180609))</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of Stock Option Agreement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of Restricted Stock Unit Agreement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Innovate/Protect, Inc. 2011 Equity Incentive Plan</w:t>
            </w:r>
          </w:p>
        </w:tc>
      </w:tr>
    </w:tbl>
    <w:p>
      <w:pPr>
        <w:spacing w:after="0" w:line="215"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jc w:val="both"/>
        <w:ind w:left="964" w:hanging="315"/>
        <w:spacing w:after="0" w:line="272" w:lineRule="auto"/>
        <w:tabs>
          <w:tab w:leader="none" w:pos="964"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twenty percent (20%) change in the maximum aggregate offering price set forth in the “Calculation of Registration Fee” table in the effective registration statement; and</w:t>
      </w:r>
    </w:p>
    <w:p>
      <w:pPr>
        <w:spacing w:after="0" w:line="177" w:lineRule="exact"/>
        <w:rPr>
          <w:rFonts w:ascii="Arial" w:cs="Arial" w:eastAsia="Arial" w:hAnsi="Arial"/>
          <w:sz w:val="17"/>
          <w:szCs w:val="17"/>
          <w:color w:val="auto"/>
        </w:rPr>
      </w:pPr>
    </w:p>
    <w:p>
      <w:pPr>
        <w:ind w:left="964" w:hanging="315"/>
        <w:spacing w:after="0" w:line="277" w:lineRule="auto"/>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ind w:left="644"/>
        <w:spacing w:after="0" w:line="259"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1(a)(i) and 1(a)(ii) do not apply if the registration statement is on Form S-3 or Form S-8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required to be included in a post-effective amendment by those paragraphs is contained in periodic reports filed with or furnished to the SEC by the Registrant pursuant to Section 13 or Section 15(d) of the Securities Exchange Act of 1934 that are incorporated by reference herein.</w:t>
      </w:r>
    </w:p>
    <w:p>
      <w:pPr>
        <w:spacing w:after="0" w:line="187" w:lineRule="exact"/>
        <w:rPr>
          <w:sz w:val="20"/>
          <w:szCs w:val="20"/>
          <w:color w:val="auto"/>
        </w:rPr>
      </w:pPr>
    </w:p>
    <w:p>
      <w:pPr>
        <w:jc w:val="both"/>
        <w:ind w:left="644" w:hanging="320"/>
        <w:spacing w:after="0" w:line="264" w:lineRule="auto"/>
        <w:tabs>
          <w:tab w:leader="none" w:pos="644" w:val="left"/>
        </w:tabs>
        <w:numPr>
          <w:ilvl w:val="1"/>
          <w:numId w:val="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644" w:hanging="320"/>
        <w:spacing w:after="0" w:line="277" w:lineRule="auto"/>
        <w:tabs>
          <w:tab w:leader="none" w:pos="644"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jc w:val="both"/>
        <w:ind w:left="324" w:hanging="324"/>
        <w:spacing w:after="0" w:line="276" w:lineRule="auto"/>
        <w:tabs>
          <w:tab w:leader="none" w:pos="324"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72" w:lineRule="exact"/>
        <w:rPr>
          <w:rFonts w:ascii="Arial" w:cs="Arial" w:eastAsia="Arial" w:hAnsi="Arial"/>
          <w:sz w:val="17"/>
          <w:szCs w:val="17"/>
          <w:color w:val="auto"/>
        </w:rPr>
      </w:pPr>
    </w:p>
    <w:p>
      <w:pPr>
        <w:jc w:val="both"/>
        <w:ind w:left="324" w:hanging="324"/>
        <w:spacing w:after="0" w:line="271" w:lineRule="auto"/>
        <w:tabs>
          <w:tab w:leader="none" w:pos="324" w:val="left"/>
        </w:tabs>
        <w:numPr>
          <w:ilvl w:val="0"/>
          <w:numId w:val="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396875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80" w:firstLine="881"/>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New York, on July 26, 2012.</w:t>
      </w:r>
    </w:p>
    <w:p>
      <w:pPr>
        <w:spacing w:after="0" w:line="17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Andrew D. Perlman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-130810</wp:posOffset>
            </wp:positionV>
            <wp:extent cx="26758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We, the undersigned officers and directors of Vringo, Inc., hereby severally constitute and appoint Andrew Perlman and Ellen Cohl and each or any one of them, his true and lawful attorney-in-fact and agent,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spacing w:after="0" w:line="178"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ind w:left="1120"/>
              <w:spacing w:after="0"/>
              <w:rPr>
                <w:sz w:val="20"/>
                <w:szCs w:val="20"/>
                <w:color w:val="auto"/>
              </w:rPr>
            </w:pPr>
            <w:r>
              <w:rPr>
                <w:rFonts w:ascii="Arial" w:cs="Arial" w:eastAsia="Arial" w:hAnsi="Arial"/>
                <w:sz w:val="18"/>
                <w:szCs w:val="18"/>
                <w:b w:val="1"/>
                <w:bCs w:val="1"/>
                <w:color w:val="auto"/>
              </w:rPr>
              <w:t>Signature</w:t>
            </w:r>
          </w:p>
        </w:tc>
        <w:tc>
          <w:tcPr>
            <w:tcW w:w="6020" w:type="dxa"/>
            <w:vAlign w:val="bottom"/>
          </w:tcPr>
          <w:p>
            <w:pPr>
              <w:jc w:val="center"/>
              <w:ind w:left="290"/>
              <w:spacing w:after="0"/>
              <w:rPr>
                <w:sz w:val="20"/>
                <w:szCs w:val="20"/>
                <w:color w:val="auto"/>
              </w:rPr>
            </w:pPr>
            <w:r>
              <w:rPr>
                <w:rFonts w:ascii="Arial" w:cs="Arial" w:eastAsia="Arial" w:hAnsi="Arial"/>
                <w:sz w:val="18"/>
                <w:szCs w:val="18"/>
                <w:b w:val="1"/>
                <w:bCs w:val="1"/>
                <w:color w:val="auto"/>
                <w:w w:val="97"/>
              </w:rPr>
              <w:t>Title</w:t>
            </w:r>
          </w:p>
        </w:tc>
        <w:tc>
          <w:tcPr>
            <w:tcW w:w="2420" w:type="dxa"/>
            <w:vAlign w:val="bottom"/>
          </w:tcPr>
          <w:p>
            <w:pPr>
              <w:jc w:val="center"/>
              <w:ind w:left="610"/>
              <w:spacing w:after="0"/>
              <w:rPr>
                <w:sz w:val="20"/>
                <w:szCs w:val="20"/>
                <w:color w:val="auto"/>
              </w:rPr>
            </w:pPr>
            <w:r>
              <w:rPr>
                <w:rFonts w:ascii="Arial" w:cs="Arial" w:eastAsia="Arial" w:hAnsi="Arial"/>
                <w:sz w:val="18"/>
                <w:szCs w:val="18"/>
                <w:b w:val="1"/>
                <w:bCs w:val="1"/>
                <w:color w:val="auto"/>
                <w:w w:val="92"/>
              </w:rPr>
              <w:t>Date</w:t>
            </w:r>
          </w:p>
        </w:tc>
      </w:tr>
      <w:tr>
        <w:trPr>
          <w:trHeight w:val="432"/>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/s/ Andrew D. Perlman</w:t>
            </w:r>
          </w:p>
        </w:tc>
        <w:tc>
          <w:tcPr>
            <w:tcW w:w="6020" w:type="dxa"/>
            <w:vAlign w:val="bottom"/>
          </w:tcPr>
          <w:p>
            <w:pPr>
              <w:jc w:val="center"/>
              <w:ind w:left="290"/>
              <w:spacing w:after="0"/>
              <w:rPr>
                <w:sz w:val="20"/>
                <w:szCs w:val="20"/>
                <w:color w:val="auto"/>
              </w:rPr>
            </w:pPr>
            <w:r>
              <w:rPr>
                <w:rFonts w:ascii="Arial" w:cs="Arial" w:eastAsia="Arial" w:hAnsi="Arial"/>
                <w:sz w:val="18"/>
                <w:szCs w:val="18"/>
                <w:color w:val="auto"/>
                <w:w w:val="93"/>
              </w:rPr>
              <w:t>Chief Executive Officer and Director</w:t>
            </w:r>
          </w:p>
        </w:tc>
        <w:tc>
          <w:tcPr>
            <w:tcW w:w="2420" w:type="dxa"/>
            <w:vAlign w:val="bottom"/>
          </w:tcPr>
          <w:p>
            <w:pPr>
              <w:jc w:val="center"/>
              <w:ind w:left="630"/>
              <w:spacing w:after="0"/>
              <w:rPr>
                <w:sz w:val="20"/>
                <w:szCs w:val="20"/>
                <w:color w:val="auto"/>
              </w:rPr>
            </w:pPr>
            <w:r>
              <w:rPr>
                <w:rFonts w:ascii="Arial" w:cs="Arial" w:eastAsia="Arial" w:hAnsi="Arial"/>
                <w:sz w:val="18"/>
                <w:szCs w:val="18"/>
                <w:color w:val="auto"/>
                <w:w w:val="91"/>
              </w:rPr>
              <w:t>July 26, 2012</w:t>
            </w:r>
          </w:p>
        </w:tc>
      </w:tr>
      <w:tr>
        <w:trPr>
          <w:trHeight w:val="224"/>
        </w:trPr>
        <w:tc>
          <w:tcPr>
            <w:tcW w:w="2980" w:type="dxa"/>
            <w:vAlign w:val="bottom"/>
          </w:tcPr>
          <w:p>
            <w:pPr>
              <w:spacing w:after="0"/>
              <w:rPr>
                <w:sz w:val="20"/>
                <w:szCs w:val="20"/>
                <w:color w:val="auto"/>
              </w:rPr>
            </w:pPr>
            <w:r>
              <w:rPr>
                <w:rFonts w:ascii="Arial" w:cs="Arial" w:eastAsia="Arial" w:hAnsi="Arial"/>
                <w:sz w:val="18"/>
                <w:szCs w:val="18"/>
                <w:color w:val="auto"/>
              </w:rPr>
              <w:t>Andrew D. Perlman</w:t>
            </w:r>
          </w:p>
        </w:tc>
        <w:tc>
          <w:tcPr>
            <w:tcW w:w="6020" w:type="dxa"/>
            <w:vAlign w:val="bottom"/>
          </w:tcPr>
          <w:p>
            <w:pPr>
              <w:jc w:val="center"/>
              <w:ind w:left="350"/>
              <w:spacing w:after="0"/>
              <w:rPr>
                <w:sz w:val="20"/>
                <w:szCs w:val="20"/>
                <w:color w:val="auto"/>
              </w:rPr>
            </w:pPr>
            <w:r>
              <w:rPr>
                <w:rFonts w:ascii="Arial" w:cs="Arial" w:eastAsia="Arial" w:hAnsi="Arial"/>
                <w:sz w:val="18"/>
                <w:szCs w:val="18"/>
                <w:color w:val="auto"/>
                <w:w w:val="94"/>
              </w:rPr>
              <w:t>(principal executive officer)</w:t>
            </w:r>
          </w:p>
        </w:tc>
        <w:tc>
          <w:tcPr>
            <w:tcW w:w="2420" w:type="dxa"/>
            <w:vAlign w:val="bottom"/>
          </w:tcPr>
          <w:p>
            <w:pPr>
              <w:spacing w:after="0"/>
              <w:rPr>
                <w:sz w:val="19"/>
                <w:szCs w:val="19"/>
                <w:color w:val="auto"/>
              </w:rPr>
            </w:pPr>
          </w:p>
        </w:tc>
      </w:tr>
      <w:tr>
        <w:trPr>
          <w:trHeight w:val="418"/>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/s/ Ellen Cohl</w:t>
            </w:r>
          </w:p>
        </w:tc>
        <w:tc>
          <w:tcPr>
            <w:tcW w:w="6020" w:type="dxa"/>
            <w:vAlign w:val="bottom"/>
          </w:tcPr>
          <w:p>
            <w:pPr>
              <w:jc w:val="center"/>
              <w:ind w:left="310"/>
              <w:spacing w:after="0"/>
              <w:rPr>
                <w:sz w:val="20"/>
                <w:szCs w:val="20"/>
                <w:color w:val="auto"/>
              </w:rPr>
            </w:pPr>
            <w:r>
              <w:rPr>
                <w:rFonts w:ascii="Arial" w:cs="Arial" w:eastAsia="Arial" w:hAnsi="Arial"/>
                <w:sz w:val="18"/>
                <w:szCs w:val="18"/>
                <w:color w:val="auto"/>
                <w:w w:val="94"/>
              </w:rPr>
              <w:t>Chief Financial Officer (principal</w:t>
            </w:r>
          </w:p>
        </w:tc>
        <w:tc>
          <w:tcPr>
            <w:tcW w:w="2420" w:type="dxa"/>
            <w:vAlign w:val="bottom"/>
          </w:tcPr>
          <w:p>
            <w:pPr>
              <w:jc w:val="center"/>
              <w:ind w:left="630"/>
              <w:spacing w:after="0"/>
              <w:rPr>
                <w:sz w:val="20"/>
                <w:szCs w:val="20"/>
                <w:color w:val="auto"/>
              </w:rPr>
            </w:pPr>
            <w:r>
              <w:rPr>
                <w:rFonts w:ascii="Arial" w:cs="Arial" w:eastAsia="Arial" w:hAnsi="Arial"/>
                <w:sz w:val="18"/>
                <w:szCs w:val="18"/>
                <w:color w:val="auto"/>
                <w:w w:val="91"/>
              </w:rPr>
              <w:t>July 26, 2012</w:t>
            </w:r>
          </w:p>
        </w:tc>
      </w:tr>
      <w:tr>
        <w:trPr>
          <w:trHeight w:val="224"/>
        </w:trPr>
        <w:tc>
          <w:tcPr>
            <w:tcW w:w="2980" w:type="dxa"/>
            <w:vAlign w:val="bottom"/>
          </w:tcPr>
          <w:p>
            <w:pPr>
              <w:spacing w:after="0"/>
              <w:rPr>
                <w:sz w:val="20"/>
                <w:szCs w:val="20"/>
                <w:color w:val="auto"/>
              </w:rPr>
            </w:pPr>
            <w:r>
              <w:rPr>
                <w:rFonts w:ascii="Arial" w:cs="Arial" w:eastAsia="Arial" w:hAnsi="Arial"/>
                <w:sz w:val="18"/>
                <w:szCs w:val="18"/>
                <w:color w:val="auto"/>
              </w:rPr>
              <w:t>Ellen Cohl</w:t>
            </w:r>
          </w:p>
        </w:tc>
        <w:tc>
          <w:tcPr>
            <w:tcW w:w="6020" w:type="dxa"/>
            <w:vAlign w:val="bottom"/>
          </w:tcPr>
          <w:p>
            <w:pPr>
              <w:jc w:val="center"/>
              <w:ind w:left="310"/>
              <w:spacing w:after="0"/>
              <w:rPr>
                <w:sz w:val="20"/>
                <w:szCs w:val="20"/>
                <w:color w:val="auto"/>
              </w:rPr>
            </w:pPr>
            <w:r>
              <w:rPr>
                <w:rFonts w:ascii="Arial" w:cs="Arial" w:eastAsia="Arial" w:hAnsi="Arial"/>
                <w:sz w:val="18"/>
                <w:szCs w:val="18"/>
                <w:color w:val="auto"/>
                <w:w w:val="92"/>
              </w:rPr>
              <w:t>financial and accounting officer)</w:t>
            </w:r>
          </w:p>
        </w:tc>
        <w:tc>
          <w:tcPr>
            <w:tcW w:w="2420" w:type="dxa"/>
            <w:vAlign w:val="bottom"/>
          </w:tcPr>
          <w:p>
            <w:pPr>
              <w:spacing w:after="0"/>
              <w:rPr>
                <w:sz w:val="19"/>
                <w:szCs w:val="19"/>
                <w:color w:val="auto"/>
              </w:rPr>
            </w:pPr>
          </w:p>
        </w:tc>
      </w:tr>
      <w:tr>
        <w:trPr>
          <w:trHeight w:val="418"/>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/s/ Seth M. Siegel</w:t>
            </w:r>
          </w:p>
        </w:tc>
        <w:tc>
          <w:tcPr>
            <w:tcW w:w="6020" w:type="dxa"/>
            <w:vAlign w:val="bottom"/>
          </w:tcPr>
          <w:p>
            <w:pPr>
              <w:jc w:val="center"/>
              <w:ind w:left="310"/>
              <w:spacing w:after="0"/>
              <w:rPr>
                <w:sz w:val="20"/>
                <w:szCs w:val="20"/>
                <w:color w:val="auto"/>
              </w:rPr>
            </w:pPr>
            <w:r>
              <w:rPr>
                <w:rFonts w:ascii="Arial" w:cs="Arial" w:eastAsia="Arial" w:hAnsi="Arial"/>
                <w:sz w:val="18"/>
                <w:szCs w:val="18"/>
                <w:color w:val="auto"/>
                <w:w w:val="91"/>
              </w:rPr>
              <w:t>Chairman of the Board</w:t>
            </w:r>
          </w:p>
        </w:tc>
        <w:tc>
          <w:tcPr>
            <w:tcW w:w="2420" w:type="dxa"/>
            <w:vAlign w:val="bottom"/>
          </w:tcPr>
          <w:p>
            <w:pPr>
              <w:jc w:val="center"/>
              <w:ind w:left="630"/>
              <w:spacing w:after="0"/>
              <w:rPr>
                <w:sz w:val="20"/>
                <w:szCs w:val="20"/>
                <w:color w:val="auto"/>
              </w:rPr>
            </w:pPr>
            <w:r>
              <w:rPr>
                <w:rFonts w:ascii="Arial" w:cs="Arial" w:eastAsia="Arial" w:hAnsi="Arial"/>
                <w:sz w:val="18"/>
                <w:szCs w:val="18"/>
                <w:color w:val="auto"/>
                <w:w w:val="91"/>
              </w:rPr>
              <w:t>July 26, 2012</w:t>
            </w:r>
          </w:p>
        </w:tc>
      </w:tr>
      <w:tr>
        <w:trPr>
          <w:trHeight w:val="224"/>
        </w:trPr>
        <w:tc>
          <w:tcPr>
            <w:tcW w:w="2980" w:type="dxa"/>
            <w:vAlign w:val="bottom"/>
          </w:tcPr>
          <w:p>
            <w:pPr>
              <w:spacing w:after="0"/>
              <w:rPr>
                <w:sz w:val="20"/>
                <w:szCs w:val="20"/>
                <w:color w:val="auto"/>
              </w:rPr>
            </w:pPr>
            <w:r>
              <w:rPr>
                <w:rFonts w:ascii="Arial" w:cs="Arial" w:eastAsia="Arial" w:hAnsi="Arial"/>
                <w:sz w:val="18"/>
                <w:szCs w:val="18"/>
                <w:color w:val="auto"/>
              </w:rPr>
              <w:t>Seth M. Siegel</w:t>
            </w:r>
          </w:p>
        </w:tc>
        <w:tc>
          <w:tcPr>
            <w:tcW w:w="60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18"/>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/s/ Andrew K. Lang</w:t>
            </w:r>
          </w:p>
        </w:tc>
        <w:tc>
          <w:tcPr>
            <w:tcW w:w="6020" w:type="dxa"/>
            <w:vAlign w:val="bottom"/>
          </w:tcPr>
          <w:p>
            <w:pPr>
              <w:jc w:val="center"/>
              <w:ind w:left="290"/>
              <w:spacing w:after="0"/>
              <w:rPr>
                <w:sz w:val="20"/>
                <w:szCs w:val="20"/>
                <w:color w:val="auto"/>
              </w:rPr>
            </w:pPr>
            <w:r>
              <w:rPr>
                <w:rFonts w:ascii="Arial" w:cs="Arial" w:eastAsia="Arial" w:hAnsi="Arial"/>
                <w:sz w:val="18"/>
                <w:szCs w:val="18"/>
                <w:color w:val="auto"/>
                <w:w w:val="92"/>
              </w:rPr>
              <w:t>Chief Technology Officer and Director</w:t>
            </w:r>
          </w:p>
        </w:tc>
        <w:tc>
          <w:tcPr>
            <w:tcW w:w="2420" w:type="dxa"/>
            <w:vAlign w:val="bottom"/>
          </w:tcPr>
          <w:p>
            <w:pPr>
              <w:jc w:val="center"/>
              <w:ind w:left="630"/>
              <w:spacing w:after="0"/>
              <w:rPr>
                <w:sz w:val="20"/>
                <w:szCs w:val="20"/>
                <w:color w:val="auto"/>
              </w:rPr>
            </w:pPr>
            <w:r>
              <w:rPr>
                <w:rFonts w:ascii="Arial" w:cs="Arial" w:eastAsia="Arial" w:hAnsi="Arial"/>
                <w:sz w:val="18"/>
                <w:szCs w:val="18"/>
                <w:color w:val="auto"/>
                <w:w w:val="91"/>
              </w:rPr>
              <w:t>July 26, 2012</w:t>
            </w:r>
          </w:p>
        </w:tc>
      </w:tr>
      <w:tr>
        <w:trPr>
          <w:trHeight w:val="224"/>
        </w:trPr>
        <w:tc>
          <w:tcPr>
            <w:tcW w:w="2980" w:type="dxa"/>
            <w:vAlign w:val="bottom"/>
          </w:tcPr>
          <w:p>
            <w:pPr>
              <w:spacing w:after="0"/>
              <w:rPr>
                <w:sz w:val="20"/>
                <w:szCs w:val="20"/>
                <w:color w:val="auto"/>
              </w:rPr>
            </w:pPr>
            <w:r>
              <w:rPr>
                <w:rFonts w:ascii="Arial" w:cs="Arial" w:eastAsia="Arial" w:hAnsi="Arial"/>
                <w:sz w:val="18"/>
                <w:szCs w:val="18"/>
                <w:color w:val="auto"/>
              </w:rPr>
              <w:t>Andrew K. Lang</w:t>
            </w:r>
          </w:p>
        </w:tc>
        <w:tc>
          <w:tcPr>
            <w:tcW w:w="60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18"/>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/s/ Alexander R. Berger</w:t>
            </w:r>
          </w:p>
        </w:tc>
        <w:tc>
          <w:tcPr>
            <w:tcW w:w="6020" w:type="dxa"/>
            <w:vAlign w:val="bottom"/>
          </w:tcPr>
          <w:p>
            <w:pPr>
              <w:jc w:val="center"/>
              <w:ind w:left="290"/>
              <w:spacing w:after="0"/>
              <w:rPr>
                <w:sz w:val="20"/>
                <w:szCs w:val="20"/>
                <w:color w:val="auto"/>
              </w:rPr>
            </w:pPr>
            <w:r>
              <w:rPr>
                <w:rFonts w:ascii="Arial" w:cs="Arial" w:eastAsia="Arial" w:hAnsi="Arial"/>
                <w:sz w:val="18"/>
                <w:szCs w:val="18"/>
                <w:color w:val="auto"/>
                <w:w w:val="91"/>
              </w:rPr>
              <w:t>Chief Operating Officer, Secretary and Director</w:t>
            </w:r>
          </w:p>
        </w:tc>
        <w:tc>
          <w:tcPr>
            <w:tcW w:w="2420" w:type="dxa"/>
            <w:vAlign w:val="bottom"/>
          </w:tcPr>
          <w:p>
            <w:pPr>
              <w:jc w:val="center"/>
              <w:ind w:left="630"/>
              <w:spacing w:after="0"/>
              <w:rPr>
                <w:sz w:val="20"/>
                <w:szCs w:val="20"/>
                <w:color w:val="auto"/>
              </w:rPr>
            </w:pPr>
            <w:r>
              <w:rPr>
                <w:rFonts w:ascii="Arial" w:cs="Arial" w:eastAsia="Arial" w:hAnsi="Arial"/>
                <w:sz w:val="18"/>
                <w:szCs w:val="18"/>
                <w:color w:val="auto"/>
                <w:w w:val="91"/>
              </w:rPr>
              <w:t>July 26, 2012</w:t>
            </w:r>
          </w:p>
        </w:tc>
      </w:tr>
      <w:tr>
        <w:trPr>
          <w:trHeight w:val="224"/>
        </w:trPr>
        <w:tc>
          <w:tcPr>
            <w:tcW w:w="2980" w:type="dxa"/>
            <w:vAlign w:val="bottom"/>
          </w:tcPr>
          <w:p>
            <w:pPr>
              <w:spacing w:after="0"/>
              <w:rPr>
                <w:sz w:val="20"/>
                <w:szCs w:val="20"/>
                <w:color w:val="auto"/>
              </w:rPr>
            </w:pPr>
            <w:r>
              <w:rPr>
                <w:rFonts w:ascii="Arial" w:cs="Arial" w:eastAsia="Arial" w:hAnsi="Arial"/>
                <w:sz w:val="18"/>
                <w:szCs w:val="18"/>
                <w:color w:val="auto"/>
              </w:rPr>
              <w:t>Alexander R. Berger</w:t>
            </w:r>
          </w:p>
        </w:tc>
        <w:tc>
          <w:tcPr>
            <w:tcW w:w="60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18"/>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/s/ John Engelman</w:t>
            </w:r>
          </w:p>
        </w:tc>
        <w:tc>
          <w:tcPr>
            <w:tcW w:w="6020" w:type="dxa"/>
            <w:vAlign w:val="bottom"/>
          </w:tcPr>
          <w:p>
            <w:pPr>
              <w:jc w:val="center"/>
              <w:ind w:left="29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ind w:left="630"/>
              <w:spacing w:after="0"/>
              <w:rPr>
                <w:sz w:val="20"/>
                <w:szCs w:val="20"/>
                <w:color w:val="auto"/>
              </w:rPr>
            </w:pPr>
            <w:r>
              <w:rPr>
                <w:rFonts w:ascii="Arial" w:cs="Arial" w:eastAsia="Arial" w:hAnsi="Arial"/>
                <w:sz w:val="18"/>
                <w:szCs w:val="18"/>
                <w:color w:val="auto"/>
                <w:w w:val="91"/>
              </w:rPr>
              <w:t>July 26, 2012</w:t>
            </w:r>
          </w:p>
        </w:tc>
      </w:tr>
      <w:tr>
        <w:trPr>
          <w:trHeight w:val="224"/>
        </w:trPr>
        <w:tc>
          <w:tcPr>
            <w:tcW w:w="2980" w:type="dxa"/>
            <w:vAlign w:val="bottom"/>
          </w:tcPr>
          <w:p>
            <w:pPr>
              <w:spacing w:after="0"/>
              <w:rPr>
                <w:sz w:val="20"/>
                <w:szCs w:val="20"/>
                <w:color w:val="auto"/>
              </w:rPr>
            </w:pPr>
            <w:r>
              <w:rPr>
                <w:rFonts w:ascii="Arial" w:cs="Arial" w:eastAsia="Arial" w:hAnsi="Arial"/>
                <w:sz w:val="18"/>
                <w:szCs w:val="18"/>
                <w:color w:val="auto"/>
              </w:rPr>
              <w:t>John Engelman</w:t>
            </w:r>
          </w:p>
        </w:tc>
        <w:tc>
          <w:tcPr>
            <w:tcW w:w="60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18"/>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/s/ Donald E. Stout</w:t>
            </w:r>
          </w:p>
        </w:tc>
        <w:tc>
          <w:tcPr>
            <w:tcW w:w="6020" w:type="dxa"/>
            <w:vAlign w:val="bottom"/>
          </w:tcPr>
          <w:p>
            <w:pPr>
              <w:jc w:val="center"/>
              <w:ind w:left="29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ind w:left="630"/>
              <w:spacing w:after="0"/>
              <w:rPr>
                <w:sz w:val="20"/>
                <w:szCs w:val="20"/>
                <w:color w:val="auto"/>
              </w:rPr>
            </w:pPr>
            <w:r>
              <w:rPr>
                <w:rFonts w:ascii="Arial" w:cs="Arial" w:eastAsia="Arial" w:hAnsi="Arial"/>
                <w:sz w:val="18"/>
                <w:szCs w:val="18"/>
                <w:color w:val="auto"/>
                <w:w w:val="91"/>
              </w:rPr>
              <w:t>July 26, 2012</w:t>
            </w:r>
          </w:p>
        </w:tc>
      </w:tr>
      <w:tr>
        <w:trPr>
          <w:trHeight w:val="224"/>
        </w:trPr>
        <w:tc>
          <w:tcPr>
            <w:tcW w:w="2980" w:type="dxa"/>
            <w:vAlign w:val="bottom"/>
          </w:tcPr>
          <w:p>
            <w:pPr>
              <w:spacing w:after="0"/>
              <w:rPr>
                <w:sz w:val="20"/>
                <w:szCs w:val="20"/>
                <w:color w:val="auto"/>
              </w:rPr>
            </w:pPr>
            <w:r>
              <w:rPr>
                <w:rFonts w:ascii="Arial" w:cs="Arial" w:eastAsia="Arial" w:hAnsi="Arial"/>
                <w:sz w:val="18"/>
                <w:szCs w:val="18"/>
                <w:color w:val="auto"/>
              </w:rPr>
              <w:t>Donald E. Stout</w:t>
            </w:r>
          </w:p>
        </w:tc>
        <w:tc>
          <w:tcPr>
            <w:tcW w:w="60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18"/>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/s/ H. Van Sinclair</w:t>
            </w:r>
          </w:p>
        </w:tc>
        <w:tc>
          <w:tcPr>
            <w:tcW w:w="6020" w:type="dxa"/>
            <w:vAlign w:val="bottom"/>
          </w:tcPr>
          <w:p>
            <w:pPr>
              <w:jc w:val="center"/>
              <w:ind w:left="29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ind w:left="630"/>
              <w:spacing w:after="0"/>
              <w:rPr>
                <w:sz w:val="20"/>
                <w:szCs w:val="20"/>
                <w:color w:val="auto"/>
              </w:rPr>
            </w:pPr>
            <w:r>
              <w:rPr>
                <w:rFonts w:ascii="Arial" w:cs="Arial" w:eastAsia="Arial" w:hAnsi="Arial"/>
                <w:sz w:val="18"/>
                <w:szCs w:val="18"/>
                <w:color w:val="auto"/>
                <w:w w:val="91"/>
              </w:rPr>
              <w:t>July 26, 2012</w:t>
            </w:r>
          </w:p>
        </w:tc>
      </w:tr>
      <w:tr>
        <w:trPr>
          <w:trHeight w:val="224"/>
        </w:trPr>
        <w:tc>
          <w:tcPr>
            <w:tcW w:w="2980" w:type="dxa"/>
            <w:vAlign w:val="bottom"/>
          </w:tcPr>
          <w:p>
            <w:pPr>
              <w:spacing w:after="0"/>
              <w:rPr>
                <w:sz w:val="20"/>
                <w:szCs w:val="20"/>
                <w:color w:val="auto"/>
              </w:rPr>
            </w:pPr>
            <w:r>
              <w:rPr>
                <w:rFonts w:ascii="Arial" w:cs="Arial" w:eastAsia="Arial" w:hAnsi="Arial"/>
                <w:sz w:val="18"/>
                <w:szCs w:val="18"/>
                <w:color w:val="auto"/>
              </w:rPr>
              <w:t>H. Van Sinclair</w:t>
            </w:r>
          </w:p>
        </w:tc>
        <w:tc>
          <w:tcPr>
            <w:tcW w:w="60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634"/>
        </w:trPr>
        <w:tc>
          <w:tcPr>
            <w:tcW w:w="29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14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04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w:t>
            </w:r>
          </w:p>
        </w:tc>
        <w:tc>
          <w:tcPr>
            <w:tcW w:w="10380" w:type="dxa"/>
            <w:vAlign w:val="bottom"/>
          </w:tcPr>
          <w:p>
            <w:pPr>
              <w:ind w:left="4740"/>
              <w:spacing w:after="0"/>
              <w:rPr>
                <w:sz w:val="20"/>
                <w:szCs w:val="20"/>
                <w:color w:val="auto"/>
              </w:rPr>
            </w:pPr>
            <w:r>
              <w:rPr>
                <w:rFonts w:ascii="Arial" w:cs="Arial" w:eastAsia="Arial" w:hAnsi="Arial"/>
                <w:sz w:val="18"/>
                <w:szCs w:val="18"/>
                <w:b w:val="1"/>
                <w:bCs w:val="1"/>
                <w:color w:val="auto"/>
              </w:rPr>
              <w:t>Description</w:t>
            </w:r>
          </w:p>
        </w:tc>
      </w:tr>
      <w:tr>
        <w:trPr>
          <w:trHeight w:val="234"/>
        </w:trPr>
        <w:tc>
          <w:tcPr>
            <w:tcW w:w="1040" w:type="dxa"/>
            <w:vAlign w:val="bottom"/>
            <w:gridSpan w:val="2"/>
          </w:tcPr>
          <w:p>
            <w:pPr>
              <w:ind w:left="340"/>
              <w:spacing w:after="0"/>
              <w:rPr>
                <w:sz w:val="20"/>
                <w:szCs w:val="20"/>
                <w:color w:val="auto"/>
              </w:rPr>
            </w:pPr>
            <w:r>
              <w:rPr>
                <w:rFonts w:ascii="Arial" w:cs="Arial" w:eastAsia="Arial" w:hAnsi="Arial"/>
                <w:sz w:val="18"/>
                <w:szCs w:val="18"/>
                <w:b w:val="1"/>
                <w:bCs w:val="1"/>
                <w:color w:val="auto"/>
              </w:rPr>
              <w:t>No.</w:t>
            </w:r>
          </w:p>
        </w:tc>
        <w:tc>
          <w:tcPr>
            <w:tcW w:w="10380" w:type="dxa"/>
            <w:vAlign w:val="bottom"/>
          </w:tcPr>
          <w:p>
            <w:pPr>
              <w:spacing w:after="0"/>
              <w:rPr>
                <w:sz w:val="20"/>
                <w:szCs w:val="20"/>
                <w:color w:val="auto"/>
              </w:rPr>
            </w:pPr>
          </w:p>
        </w:tc>
      </w:tr>
      <w:tr>
        <w:trPr>
          <w:trHeight w:val="411"/>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3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Amended and Restated Certificate of Incorporation (incorporated by reference from the Registrant’s Registration Statement on Form S-1 filed</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on May 18, 2010 (File No. 333-164575))</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Amended and Restated Bylaws (incorporated by reference from the Registrant’s Registration Statement on Form S-1 filed on January 29, 2010</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(File No. 333-164575))</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Opinion of Mintz, Levin, Cohn, Ferris, Glovsky and Popeo, P.C.</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Consent of Somekh Chaikin, a member firm of KPMG International, Independent Registered Public Accounting Firm</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Consent of Grant Thornton LLP</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Consent of Mintz, Levin, Cohn, Ferris, Glovsky and Popeo, P.C. (included in Exhibit 5.1)</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Power of Attorney (included on signature page)</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4"/>
              </w:rPr>
              <w:t>Vringo, Inc. 2012 Employee, Director and Consultant Equity Incentive Plan (incorporated by reference from our Registration Statement on</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S-4 originally filed on April 6, 2012 (File No. 333-180609))</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of Stock Option Agreement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of Restricted Stock Unit Agreement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Innovate/Protect, Inc. 2011 Equity Incentive Plan</w:t>
            </w:r>
          </w:p>
        </w:tc>
      </w:tr>
    </w:tbl>
    <w:p>
      <w:pPr>
        <w:spacing w:after="0" w:line="215"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49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ind w:left="10580"/>
        <w:spacing w:after="0"/>
        <w:rPr>
          <w:sz w:val="20"/>
          <w:szCs w:val="20"/>
          <w:color w:val="auto"/>
        </w:rPr>
      </w:pPr>
      <w:r>
        <w:rPr>
          <w:rFonts w:ascii="Arial" w:cs="Arial" w:eastAsia="Arial" w:hAnsi="Arial"/>
          <w:sz w:val="16"/>
          <w:szCs w:val="16"/>
          <w:b w:val="1"/>
          <w:bCs w:val="1"/>
          <w:color w:val="auto"/>
        </w:rPr>
        <w:t>Exhibit 5.1</w:t>
      </w:r>
    </w:p>
    <w:p>
      <w:pPr>
        <w:spacing w:after="0" w:line="252" w:lineRule="exact"/>
        <w:rPr>
          <w:sz w:val="20"/>
          <w:szCs w:val="20"/>
          <w:color w:val="auto"/>
        </w:rPr>
      </w:pPr>
    </w:p>
    <w:p>
      <w:pPr>
        <w:jc w:val="right"/>
        <w:ind w:right="100"/>
        <w:spacing w:after="0"/>
        <w:rPr>
          <w:sz w:val="20"/>
          <w:szCs w:val="20"/>
          <w:color w:val="auto"/>
        </w:rPr>
      </w:pPr>
      <w:r>
        <w:rPr>
          <w:rFonts w:ascii="Arial" w:cs="Arial" w:eastAsia="Arial" w:hAnsi="Arial"/>
          <w:sz w:val="18"/>
          <w:szCs w:val="18"/>
          <w:i w:val="1"/>
          <w:iCs w:val="1"/>
          <w:color w:val="auto"/>
        </w:rPr>
        <w:t>666 Third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-121920</wp:posOffset>
            </wp:positionV>
            <wp:extent cx="2470150" cy="694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70150" cy="694690"/>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i w:val="1"/>
          <w:iCs w:val="1"/>
          <w:color w:val="auto"/>
        </w:rPr>
        <w:t>New York, New York 10017</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i w:val="1"/>
          <w:iCs w:val="1"/>
          <w:color w:val="auto"/>
        </w:rPr>
        <w:t>212-935-3000</w:t>
      </w:r>
    </w:p>
    <w:p>
      <w:pPr>
        <w:spacing w:after="0" w:line="9" w:lineRule="exact"/>
        <w:rPr>
          <w:sz w:val="20"/>
          <w:szCs w:val="20"/>
          <w:color w:val="auto"/>
        </w:rPr>
      </w:pPr>
    </w:p>
    <w:p>
      <w:pPr>
        <w:ind w:left="10060"/>
        <w:spacing w:after="0"/>
        <w:rPr>
          <w:sz w:val="20"/>
          <w:szCs w:val="20"/>
          <w:color w:val="auto"/>
        </w:rPr>
      </w:pPr>
      <w:r>
        <w:rPr>
          <w:rFonts w:ascii="Arial" w:cs="Arial" w:eastAsia="Arial" w:hAnsi="Arial"/>
          <w:sz w:val="17"/>
          <w:szCs w:val="17"/>
          <w:i w:val="1"/>
          <w:iCs w:val="1"/>
          <w:color w:val="auto"/>
        </w:rPr>
        <w:t>212-983-3115 fax</w:t>
      </w:r>
    </w:p>
    <w:p>
      <w:pPr>
        <w:spacing w:after="0" w:line="21" w:lineRule="exact"/>
        <w:rPr>
          <w:sz w:val="20"/>
          <w:szCs w:val="20"/>
          <w:color w:val="auto"/>
        </w:rPr>
      </w:pPr>
    </w:p>
    <w:p>
      <w:pPr>
        <w:ind w:left="10200"/>
        <w:spacing w:after="0"/>
        <w:rPr>
          <w:sz w:val="20"/>
          <w:szCs w:val="20"/>
          <w:color w:val="auto"/>
        </w:rPr>
      </w:pPr>
      <w:r>
        <w:rPr>
          <w:rFonts w:ascii="Arial" w:cs="Arial" w:eastAsia="Arial" w:hAnsi="Arial"/>
          <w:sz w:val="17"/>
          <w:szCs w:val="17"/>
          <w:i w:val="1"/>
          <w:iCs w:val="1"/>
          <w:color w:val="auto"/>
        </w:rPr>
        <w:t>www.mintz.com</w:t>
      </w:r>
    </w:p>
    <w:p>
      <w:pPr>
        <w:spacing w:after="0" w:line="200" w:lineRule="exact"/>
        <w:rPr>
          <w:sz w:val="20"/>
          <w:szCs w:val="20"/>
          <w:color w:val="auto"/>
        </w:rPr>
      </w:pPr>
    </w:p>
    <w:p>
      <w:pPr>
        <w:spacing w:after="0" w:line="252"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July 26,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44 W. 28th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10001</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00" w:firstLine="441"/>
        <w:spacing w:after="0" w:line="272" w:lineRule="auto"/>
        <w:rPr>
          <w:sz w:val="20"/>
          <w:szCs w:val="20"/>
          <w:color w:val="auto"/>
        </w:rPr>
      </w:pPr>
      <w:r>
        <w:rPr>
          <w:rFonts w:ascii="Arial" w:cs="Arial" w:eastAsia="Arial" w:hAnsi="Arial"/>
          <w:sz w:val="17"/>
          <w:szCs w:val="17"/>
          <w:color w:val="auto"/>
        </w:rPr>
        <w:t>We have acted as legal counsel to Vringo, Inc., a Delaware corporation (the “Company”), in connection with the preparation and filing with the Securities and Exchange Commission (the “Commission”) of a Registration Statement on Form S-8 (the “Registration Statement”), pursuant to which the Company is registering the issuance under the Securities Act of 1933, as amended (the “Securities Act”), of an aggregate of 15,641,178 shares (the “Shares”) of the Company’s common stock, $0.01 par value per share that may be issued pursuant to the Vringo, Inc. 2012 Employee, Director and Consultant Equity Incentive Plan (the “2012 Plan”), including 41,178 shares that are subject to Innovate/Protect, Inc. 2011 Equity Incentive Plan (“I/P Plan”). This opinion is being rendered in connection with the filing of the Registration Statement with the Commission. All capitalized terms used herein and not otherwise defined shall have the respective meanings given to them in the Registration Statement.</w:t>
      </w:r>
    </w:p>
    <w:p>
      <w:pPr>
        <w:spacing w:after="0" w:line="178"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In connection with this opinion, we have examined the Company’s Certificate of Incorporation and Bylaws, each as currently in effect; such other records of the corporate proceedings of the Company and certificates of the Company’s officers as we have deemed relevant; and the Registration Statement and the exhibits thereto.</w:t>
      </w:r>
    </w:p>
    <w:p>
      <w:pPr>
        <w:spacing w:after="0" w:line="18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In our examination, we have assumed the genuineness of all signatures, the legal capacity of natural persons, the authenticity of all documents submitted to us as originals, the conformity to original documents of all documents submitted to us as certified or photostatic copies and the authenticity of the originals of such copies. In addition, we have assumed that the Company will receive any required consideration in accordance with the terms of the 2012 Plan.</w:t>
      </w:r>
    </w:p>
    <w:p>
      <w:pPr>
        <w:spacing w:after="0" w:line="187"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Our opinions are limited to the General Corporation Laws of the State of Delaware (including the applicable provisions of the Delaware Constitution and the reported judicial decisions interpreting such laws) and the United States federal laws, and we express no opinion with respect to the laws of any other jurisdiction. No opinion is expressed herein with respect to the qualification of the Shares under the securities or blue sky laws of any state or any foreign jurisdiction.</w:t>
      </w:r>
    </w:p>
    <w:p>
      <w:pPr>
        <w:spacing w:after="0" w:line="187" w:lineRule="exact"/>
        <w:rPr>
          <w:sz w:val="20"/>
          <w:szCs w:val="20"/>
          <w:color w:val="auto"/>
        </w:rPr>
      </w:pPr>
    </w:p>
    <w:p>
      <w:pPr>
        <w:jc w:val="both"/>
        <w:ind w:right="40" w:firstLine="486"/>
        <w:spacing w:after="0" w:line="286" w:lineRule="auto"/>
        <w:rPr>
          <w:sz w:val="20"/>
          <w:szCs w:val="20"/>
          <w:color w:val="auto"/>
        </w:rPr>
      </w:pPr>
      <w:r>
        <w:rPr>
          <w:rFonts w:ascii="Arial" w:cs="Arial" w:eastAsia="Arial" w:hAnsi="Arial"/>
          <w:sz w:val="17"/>
          <w:szCs w:val="17"/>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OSTON</w:t>
      </w:r>
      <w:r>
        <w:rPr>
          <w:rFonts w:ascii="Arial" w:cs="Arial" w:eastAsia="Arial" w:hAnsi="Arial"/>
          <w:sz w:val="18"/>
          <w:szCs w:val="18"/>
          <w:color w:val="auto"/>
        </w:rPr>
        <w:t xml:space="preserve"> | W</w:t>
      </w:r>
      <w:r>
        <w:rPr>
          <w:rFonts w:ascii="Arial" w:cs="Arial" w:eastAsia="Arial" w:hAnsi="Arial"/>
          <w:sz w:val="12"/>
          <w:szCs w:val="12"/>
          <w:color w:val="auto"/>
        </w:rPr>
        <w:t>ASHINGTON</w:t>
      </w:r>
      <w:r>
        <w:rPr>
          <w:rFonts w:ascii="Arial" w:cs="Arial" w:eastAsia="Arial" w:hAnsi="Arial"/>
          <w:sz w:val="18"/>
          <w:szCs w:val="18"/>
          <w:color w:val="auto"/>
        </w:rPr>
        <w:t xml:space="preserve"> | N</w:t>
      </w:r>
      <w:r>
        <w:rPr>
          <w:rFonts w:ascii="Arial" w:cs="Arial" w:eastAsia="Arial" w:hAnsi="Arial"/>
          <w:sz w:val="12"/>
          <w:szCs w:val="12"/>
          <w:color w:val="auto"/>
        </w:rPr>
        <w:t>EW</w:t>
      </w:r>
      <w:r>
        <w:rPr>
          <w:rFonts w:ascii="Arial" w:cs="Arial" w:eastAsia="Arial" w:hAnsi="Arial"/>
          <w:sz w:val="18"/>
          <w:szCs w:val="18"/>
          <w:color w:val="auto"/>
        </w:rPr>
        <w:t xml:space="preserve"> Y</w:t>
      </w:r>
      <w:r>
        <w:rPr>
          <w:rFonts w:ascii="Arial" w:cs="Arial" w:eastAsia="Arial" w:hAnsi="Arial"/>
          <w:sz w:val="12"/>
          <w:szCs w:val="12"/>
          <w:color w:val="auto"/>
        </w:rPr>
        <w:t>ORK</w:t>
      </w:r>
      <w:r>
        <w:rPr>
          <w:rFonts w:ascii="Arial" w:cs="Arial" w:eastAsia="Arial" w:hAnsi="Arial"/>
          <w:sz w:val="18"/>
          <w:szCs w:val="18"/>
          <w:color w:val="auto"/>
        </w:rPr>
        <w:t xml:space="preserve"> | S</w:t>
      </w:r>
      <w:r>
        <w:rPr>
          <w:rFonts w:ascii="Arial" w:cs="Arial" w:eastAsia="Arial" w:hAnsi="Arial"/>
          <w:sz w:val="12"/>
          <w:szCs w:val="12"/>
          <w:color w:val="auto"/>
        </w:rPr>
        <w:t>TAMFORD</w:t>
      </w:r>
      <w:r>
        <w:rPr>
          <w:rFonts w:ascii="Arial" w:cs="Arial" w:eastAsia="Arial" w:hAnsi="Arial"/>
          <w:sz w:val="18"/>
          <w:szCs w:val="18"/>
          <w:color w:val="auto"/>
        </w:rPr>
        <w:t xml:space="preserve"> | L</w:t>
      </w:r>
      <w:r>
        <w:rPr>
          <w:rFonts w:ascii="Arial" w:cs="Arial" w:eastAsia="Arial" w:hAnsi="Arial"/>
          <w:sz w:val="12"/>
          <w:szCs w:val="12"/>
          <w:color w:val="auto"/>
        </w:rPr>
        <w:t>OS</w:t>
      </w:r>
      <w:r>
        <w:rPr>
          <w:rFonts w:ascii="Arial" w:cs="Arial" w:eastAsia="Arial" w:hAnsi="Arial"/>
          <w:sz w:val="18"/>
          <w:szCs w:val="18"/>
          <w:color w:val="auto"/>
        </w:rPr>
        <w:t xml:space="preserve"> A</w:t>
      </w:r>
      <w:r>
        <w:rPr>
          <w:rFonts w:ascii="Arial" w:cs="Arial" w:eastAsia="Arial" w:hAnsi="Arial"/>
          <w:sz w:val="12"/>
          <w:szCs w:val="12"/>
          <w:color w:val="auto"/>
        </w:rPr>
        <w:t>NGELES</w:t>
      </w:r>
      <w:r>
        <w:rPr>
          <w:rFonts w:ascii="Arial" w:cs="Arial" w:eastAsia="Arial" w:hAnsi="Arial"/>
          <w:sz w:val="18"/>
          <w:szCs w:val="18"/>
          <w:color w:val="auto"/>
        </w:rPr>
        <w:t xml:space="preserve"> | P</w:t>
      </w:r>
      <w:r>
        <w:rPr>
          <w:rFonts w:ascii="Arial" w:cs="Arial" w:eastAsia="Arial" w:hAnsi="Arial"/>
          <w:sz w:val="12"/>
          <w:szCs w:val="12"/>
          <w:color w:val="auto"/>
        </w:rPr>
        <w:t>ALO</w:t>
      </w:r>
      <w:r>
        <w:rPr>
          <w:rFonts w:ascii="Arial" w:cs="Arial" w:eastAsia="Arial" w:hAnsi="Arial"/>
          <w:sz w:val="18"/>
          <w:szCs w:val="18"/>
          <w:color w:val="auto"/>
        </w:rPr>
        <w:t xml:space="preserve"> A</w:t>
      </w:r>
      <w:r>
        <w:rPr>
          <w:rFonts w:ascii="Arial" w:cs="Arial" w:eastAsia="Arial" w:hAnsi="Arial"/>
          <w:sz w:val="12"/>
          <w:szCs w:val="12"/>
          <w:color w:val="auto"/>
        </w:rPr>
        <w:t>LTO</w:t>
      </w:r>
      <w:r>
        <w:rPr>
          <w:rFonts w:ascii="Arial" w:cs="Arial" w:eastAsia="Arial" w:hAnsi="Arial"/>
          <w:sz w:val="18"/>
          <w:szCs w:val="18"/>
          <w:color w:val="auto"/>
        </w:rPr>
        <w:t xml:space="preserve"> | S</w:t>
      </w:r>
      <w:r>
        <w:rPr>
          <w:rFonts w:ascii="Arial" w:cs="Arial" w:eastAsia="Arial" w:hAnsi="Arial"/>
          <w:sz w:val="12"/>
          <w:szCs w:val="12"/>
          <w:color w:val="auto"/>
        </w:rPr>
        <w:t>AN</w:t>
      </w:r>
      <w:r>
        <w:rPr>
          <w:rFonts w:ascii="Arial" w:cs="Arial" w:eastAsia="Arial" w:hAnsi="Arial"/>
          <w:sz w:val="18"/>
          <w:szCs w:val="18"/>
          <w:color w:val="auto"/>
        </w:rPr>
        <w:t xml:space="preserve"> D</w:t>
      </w:r>
      <w:r>
        <w:rPr>
          <w:rFonts w:ascii="Arial" w:cs="Arial" w:eastAsia="Arial" w:hAnsi="Arial"/>
          <w:sz w:val="12"/>
          <w:szCs w:val="12"/>
          <w:color w:val="auto"/>
        </w:rPr>
        <w:t>IEGO</w:t>
      </w:r>
      <w:r>
        <w:rPr>
          <w:rFonts w:ascii="Arial" w:cs="Arial" w:eastAsia="Arial" w:hAnsi="Arial"/>
          <w:sz w:val="18"/>
          <w:szCs w:val="18"/>
          <w:color w:val="auto"/>
        </w:rPr>
        <w:t xml:space="preserve"> | L</w:t>
      </w:r>
      <w:r>
        <w:rPr>
          <w:rFonts w:ascii="Arial" w:cs="Arial" w:eastAsia="Arial" w:hAnsi="Arial"/>
          <w:sz w:val="12"/>
          <w:szCs w:val="12"/>
          <w:color w:val="auto"/>
        </w:rPr>
        <w:t>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INTZ</w:t>
      </w:r>
      <w:r>
        <w:rPr>
          <w:rFonts w:ascii="Arial" w:cs="Arial" w:eastAsia="Arial" w:hAnsi="Arial"/>
          <w:sz w:val="18"/>
          <w:szCs w:val="18"/>
          <w:b w:val="1"/>
          <w:bCs w:val="1"/>
          <w:color w:val="auto"/>
        </w:rPr>
        <w:t>, L</w:t>
      </w:r>
      <w:r>
        <w:rPr>
          <w:rFonts w:ascii="Arial" w:cs="Arial" w:eastAsia="Arial" w:hAnsi="Arial"/>
          <w:sz w:val="12"/>
          <w:szCs w:val="12"/>
          <w:b w:val="1"/>
          <w:bCs w:val="1"/>
          <w:color w:val="auto"/>
        </w:rPr>
        <w:t>EVIN</w:t>
      </w:r>
      <w:r>
        <w:rPr>
          <w:rFonts w:ascii="Arial" w:cs="Arial" w:eastAsia="Arial" w:hAnsi="Arial"/>
          <w:sz w:val="18"/>
          <w:szCs w:val="18"/>
          <w:b w:val="1"/>
          <w:bCs w:val="1"/>
          <w:color w:val="auto"/>
        </w:rPr>
        <w:t>, C</w:t>
      </w:r>
      <w:r>
        <w:rPr>
          <w:rFonts w:ascii="Arial" w:cs="Arial" w:eastAsia="Arial" w:hAnsi="Arial"/>
          <w:sz w:val="12"/>
          <w:szCs w:val="12"/>
          <w:b w:val="1"/>
          <w:bCs w:val="1"/>
          <w:color w:val="auto"/>
        </w:rPr>
        <w:t>OHN</w:t>
      </w:r>
      <w:r>
        <w:rPr>
          <w:rFonts w:ascii="Arial" w:cs="Arial" w:eastAsia="Arial" w:hAnsi="Arial"/>
          <w:sz w:val="18"/>
          <w:szCs w:val="18"/>
          <w:b w:val="1"/>
          <w:bCs w:val="1"/>
          <w:color w:val="auto"/>
        </w:rPr>
        <w:t>, F</w:t>
      </w:r>
      <w:r>
        <w:rPr>
          <w:rFonts w:ascii="Arial" w:cs="Arial" w:eastAsia="Arial" w:hAnsi="Arial"/>
          <w:sz w:val="12"/>
          <w:szCs w:val="12"/>
          <w:b w:val="1"/>
          <w:bCs w:val="1"/>
          <w:color w:val="auto"/>
        </w:rPr>
        <w:t>ERRIS</w:t>
      </w:r>
      <w:r>
        <w:rPr>
          <w:rFonts w:ascii="Arial" w:cs="Arial" w:eastAsia="Arial" w:hAnsi="Arial"/>
          <w:sz w:val="18"/>
          <w:szCs w:val="18"/>
          <w:b w:val="1"/>
          <w:bCs w:val="1"/>
          <w:color w:val="auto"/>
        </w:rPr>
        <w:t>, G</w:t>
      </w:r>
      <w:r>
        <w:rPr>
          <w:rFonts w:ascii="Arial" w:cs="Arial" w:eastAsia="Arial" w:hAnsi="Arial"/>
          <w:sz w:val="12"/>
          <w:szCs w:val="12"/>
          <w:b w:val="1"/>
          <w:bCs w:val="1"/>
          <w:color w:val="auto"/>
        </w:rPr>
        <w:t>LOVSKY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OPEO</w:t>
      </w:r>
      <w:r>
        <w:rPr>
          <w:rFonts w:ascii="Arial" w:cs="Arial" w:eastAsia="Arial" w:hAnsi="Arial"/>
          <w:sz w:val="18"/>
          <w:szCs w:val="18"/>
          <w:b w:val="1"/>
          <w:bCs w:val="1"/>
          <w:color w:val="auto"/>
        </w:rPr>
        <w:t>, P.C.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July 26,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27"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Based upon the foregoing, we are of the opinion that the Shares, when issued and delivered in accordance with the terms of the 2012 Plan or I/P Plan, as applicable, will be duly authorized, validly issued, fully paid and non-assessable.</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We understand that you wish to file this opinion with the Commission as an exhibit to the Registration Statement in accordance with the requirements of Item 601(b)(5) of Regulation S-K promulgated under the Securities Act, and we hereby consent thereto. In giving this consent, we do not admit that we are within the category of persons whose consent is required under Section 7 of the Securities Act or the rules and regulations of the Commission promulgated thereunder.</w:t>
      </w:r>
    </w:p>
    <w:p>
      <w:pPr>
        <w:spacing w:after="0" w:line="18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Mintz, Levin, Cohn, Ferris, Glovsky and Popeo, P.C.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consent to the use of our report dated March 30, 2012, with respect to the consolidated balance sheets of Vringo, Inc. and Subsidiary (a Development Stage Company) (“the Company”) as of December 31, 2011 and 2010, and the related consolidated statements of operations, stockholders' equity (deficit) and cash flows for each of the years in the two-year period ended December 31, 2011, and for the cumulative period from January 9, 2006 (inception of operations) through December 31, 2011 incorporated herein by reference.</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report contains an explanatory paragraph that states that the Company has suffered recurring losses from operations and has a deficit in stockholders’ equity, that raise substantial doubt about its ability to continue as a going concern. The consolidated financial statements do not include any adjustments that might result from the outcome of that uncertainty.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Somekh Chaikin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Somekh Chaikin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(Isr.)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KPMG International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Jerusalem,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22"/>
          <w:szCs w:val="22"/>
          <w:b w:val="1"/>
          <w:bCs w:val="1"/>
          <w:color w:val="auto"/>
        </w:rPr>
        <w:t>EXHIBIT 23.2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have issued our report dated March 2, 2012 with respect to the consolidated financial statements of Innovate/Protect Inc. included in the Current Report on Form 8-K, dated July 20, 2012, of Vringo Inc., which is incorporated by reference in this Registration Statement. We consent to the incorporation by reference in the Registration Statement of the aforementioned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22"/>
          <w:szCs w:val="22"/>
          <w:b w:val="1"/>
          <w:bCs w:val="1"/>
          <w:color w:val="auto"/>
        </w:rPr>
        <w:t>Exhibit 99.2</w:t>
      </w:r>
    </w:p>
    <w:p>
      <w:pPr>
        <w:spacing w:after="0" w:line="246" w:lineRule="exact"/>
        <w:rPr>
          <w:sz w:val="20"/>
          <w:szCs w:val="20"/>
          <w:color w:val="auto"/>
        </w:rPr>
      </w:pPr>
    </w:p>
    <w:p>
      <w:pPr>
        <w:ind w:left="9900"/>
        <w:spacing w:after="0"/>
        <w:rPr>
          <w:sz w:val="20"/>
          <w:szCs w:val="20"/>
          <w:color w:val="auto"/>
        </w:rPr>
      </w:pPr>
      <w:r>
        <w:rPr>
          <w:rFonts w:ascii="Arial" w:cs="Arial" w:eastAsia="Arial" w:hAnsi="Arial"/>
          <w:sz w:val="16"/>
          <w:szCs w:val="16"/>
          <w:color w:val="auto"/>
        </w:rPr>
        <w:t>Option No.________</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Grant Notice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 Option Grant under the Company’s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Vringo, Inc. 2012 Employee, Director and Consultant Equity Incentive Plan</w:t>
      </w:r>
    </w:p>
    <w:p>
      <w:pPr>
        <w:spacing w:after="0" w:line="211"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and Address of Participant: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Date of Option Grant:</w:t>
      </w:r>
    </w:p>
    <w:p>
      <w:pPr>
        <w:spacing w:after="0" w:line="238" w:lineRule="exact"/>
        <w:rPr>
          <w:rFonts w:ascii="Arial" w:cs="Arial" w:eastAsia="Arial" w:hAnsi="Arial"/>
          <w:sz w:val="18"/>
          <w:szCs w:val="18"/>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Grant:</w:t>
      </w:r>
    </w:p>
    <w:p>
      <w:pPr>
        <w:spacing w:after="0" w:line="238" w:lineRule="exact"/>
        <w:rPr>
          <w:rFonts w:ascii="Arial" w:cs="Arial" w:eastAsia="Arial" w:hAnsi="Arial"/>
          <w:sz w:val="18"/>
          <w:szCs w:val="18"/>
          <w:color w:val="auto"/>
        </w:rPr>
      </w:pPr>
    </w:p>
    <w:p>
      <w:pPr>
        <w:jc w:val="both"/>
        <w:ind w:left="580" w:right="8480" w:hanging="572"/>
        <w:spacing w:after="0" w:line="342"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Maximum Number of Shares for which this Option is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-48895</wp:posOffset>
            </wp:positionV>
            <wp:extent cx="32499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4993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-469265</wp:posOffset>
            </wp:positionV>
            <wp:extent cx="32499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4993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-751840</wp:posOffset>
            </wp:positionV>
            <wp:extent cx="32499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4993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-1035050</wp:posOffset>
            </wp:positionV>
            <wp:extent cx="32499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4993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-1181100</wp:posOffset>
            </wp:positionV>
            <wp:extent cx="32499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4993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-1326515</wp:posOffset>
            </wp:positionV>
            <wp:extent cx="32499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117" w:lineRule="exact"/>
        <w:rPr>
          <w:sz w:val="20"/>
          <w:szCs w:val="20"/>
          <w:color w:val="auto"/>
        </w:rPr>
      </w:pPr>
    </w:p>
    <w:p>
      <w:pPr>
        <w:spacing w:after="0"/>
        <w:tabs>
          <w:tab w:leader="none" w:pos="560" w:val="left"/>
          <w:tab w:leader="none" w:pos="628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Exercise (purchase) price per share: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5"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Option Expiration Date:</w:t>
      </w:r>
    </w:p>
    <w:p>
      <w:pPr>
        <w:spacing w:after="0" w:line="238" w:lineRule="exact"/>
        <w:rPr>
          <w:rFonts w:ascii="Arial" w:cs="Arial" w:eastAsia="Arial" w:hAnsi="Arial"/>
          <w:sz w:val="18"/>
          <w:szCs w:val="18"/>
          <w:color w:val="auto"/>
        </w:rPr>
      </w:pP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Vesting Commencement Date:</w:t>
      </w:r>
    </w:p>
    <w:p>
      <w:pPr>
        <w:spacing w:after="0" w:line="238"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Vesting Schedule: This Option shall become exercisable (and the Shares issued upon exercise shall be vested) as follows provided the Participant is an Employee, director or Consultant of the Company or of an Affiliate on the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-439420</wp:posOffset>
            </wp:positionV>
            <wp:extent cx="32499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4993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-722630</wp:posOffset>
            </wp:positionV>
            <wp:extent cx="32499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4520" w:type="dxa"/>
            <w:vAlign w:val="bottom"/>
            <w:gridSpan w:val="5"/>
          </w:tcPr>
          <w:p>
            <w:pPr>
              <w:ind w:left="1100"/>
              <w:spacing w:after="0"/>
              <w:rPr>
                <w:sz w:val="20"/>
                <w:szCs w:val="20"/>
                <w:color w:val="auto"/>
              </w:rPr>
            </w:pPr>
            <w:r>
              <w:rPr>
                <w:rFonts w:ascii="Arial" w:cs="Arial" w:eastAsia="Arial" w:hAnsi="Arial"/>
                <w:sz w:val="18"/>
                <w:szCs w:val="18"/>
                <w:b w:val="1"/>
                <w:bCs w:val="1"/>
                <w:color w:val="auto"/>
                <w:w w:val="97"/>
              </w:rPr>
              <w:t>[Insert Vesting Schedule - sample below]</w:t>
            </w:r>
          </w:p>
        </w:tc>
      </w:tr>
      <w:tr>
        <w:trPr>
          <w:trHeight w:val="392"/>
        </w:trPr>
        <w:tc>
          <w:tcPr>
            <w:tcW w:w="3380" w:type="dxa"/>
            <w:vAlign w:val="bottom"/>
          </w:tcPr>
          <w:p>
            <w:pPr>
              <w:jc w:val="center"/>
              <w:ind w:right="1170"/>
              <w:spacing w:after="0"/>
              <w:rPr>
                <w:sz w:val="20"/>
                <w:szCs w:val="20"/>
                <w:color w:val="auto"/>
              </w:rPr>
            </w:pPr>
            <w:r>
              <w:rPr>
                <w:rFonts w:ascii="Arial" w:cs="Arial" w:eastAsia="Arial" w:hAnsi="Arial"/>
                <w:sz w:val="18"/>
                <w:szCs w:val="18"/>
                <w:b w:val="1"/>
                <w:bCs w:val="1"/>
                <w:color w:val="auto"/>
                <w:w w:val="92"/>
              </w:rPr>
              <w:t>[On the first anniversary of</w:t>
            </w:r>
          </w:p>
        </w:tc>
        <w:tc>
          <w:tcPr>
            <w:tcW w:w="3280" w:type="dxa"/>
            <w:vAlign w:val="bottom"/>
            <w:gridSpan w:val="3"/>
          </w:tcPr>
          <w:p>
            <w:pPr>
              <w:ind w:left="2120"/>
              <w:spacing w:after="0"/>
              <w:rPr>
                <w:sz w:val="20"/>
                <w:szCs w:val="20"/>
                <w:color w:val="auto"/>
              </w:rPr>
            </w:pPr>
            <w:r>
              <w:rPr>
                <w:rFonts w:ascii="Arial" w:cs="Arial" w:eastAsia="Arial" w:hAnsi="Arial"/>
                <w:sz w:val="18"/>
                <w:szCs w:val="18"/>
                <w:b w:val="1"/>
                <w:bCs w:val="1"/>
                <w:color w:val="auto"/>
              </w:rPr>
              <w:t>up to</w:t>
            </w: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Shares</w:t>
            </w:r>
          </w:p>
        </w:tc>
      </w:tr>
      <w:tr>
        <w:trPr>
          <w:trHeight w:val="237"/>
        </w:trPr>
        <w:tc>
          <w:tcPr>
            <w:tcW w:w="3380" w:type="dxa"/>
            <w:vAlign w:val="bottom"/>
          </w:tcPr>
          <w:p>
            <w:pPr>
              <w:jc w:val="center"/>
              <w:ind w:right="1130"/>
              <w:spacing w:after="0"/>
              <w:rPr>
                <w:sz w:val="20"/>
                <w:szCs w:val="20"/>
                <w:color w:val="auto"/>
              </w:rPr>
            </w:pPr>
            <w:r>
              <w:rPr>
                <w:rFonts w:ascii="Arial" w:cs="Arial" w:eastAsia="Arial" w:hAnsi="Arial"/>
                <w:sz w:val="18"/>
                <w:szCs w:val="18"/>
                <w:b w:val="1"/>
                <w:bCs w:val="1"/>
                <w:color w:val="auto"/>
                <w:w w:val="89"/>
              </w:rPr>
              <w:t>the Vesting Start Date</w:t>
            </w:r>
          </w:p>
        </w:tc>
        <w:tc>
          <w:tcPr>
            <w:tcW w:w="256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92"/>
        </w:trPr>
        <w:tc>
          <w:tcPr>
            <w:tcW w:w="3380" w:type="dxa"/>
            <w:vAlign w:val="bottom"/>
          </w:tcPr>
          <w:p>
            <w:pPr>
              <w:spacing w:after="0"/>
              <w:rPr>
                <w:sz w:val="20"/>
                <w:szCs w:val="20"/>
                <w:color w:val="auto"/>
              </w:rPr>
            </w:pPr>
            <w:r>
              <w:rPr>
                <w:rFonts w:ascii="Arial" w:cs="Arial" w:eastAsia="Arial" w:hAnsi="Arial"/>
                <w:sz w:val="18"/>
                <w:szCs w:val="18"/>
                <w:b w:val="1"/>
                <w:bCs w:val="1"/>
                <w:color w:val="auto"/>
              </w:rPr>
              <w:t>On the second anniversary of</w:t>
            </w:r>
          </w:p>
        </w:tc>
        <w:tc>
          <w:tcPr>
            <w:tcW w:w="3280" w:type="dxa"/>
            <w:vAlign w:val="bottom"/>
            <w:gridSpan w:val="3"/>
          </w:tcPr>
          <w:p>
            <w:pPr>
              <w:ind w:left="2120"/>
              <w:spacing w:after="0"/>
              <w:rPr>
                <w:sz w:val="20"/>
                <w:szCs w:val="20"/>
                <w:color w:val="auto"/>
              </w:rPr>
            </w:pPr>
            <w:r>
              <w:rPr>
                <w:rFonts w:ascii="Arial" w:cs="Arial" w:eastAsia="Arial" w:hAnsi="Arial"/>
                <w:sz w:val="18"/>
                <w:szCs w:val="18"/>
                <w:b w:val="1"/>
                <w:bCs w:val="1"/>
                <w:color w:val="auto"/>
              </w:rPr>
              <w:t>an additional</w:t>
            </w:r>
          </w:p>
        </w:tc>
        <w:tc>
          <w:tcPr>
            <w:tcW w:w="62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Arial" w:cs="Arial" w:eastAsia="Arial" w:hAnsi="Arial"/>
                <w:sz w:val="18"/>
                <w:szCs w:val="18"/>
                <w:b w:val="1"/>
                <w:bCs w:val="1"/>
                <w:color w:val="auto"/>
                <w:w w:val="93"/>
              </w:rPr>
              <w:t>Shares</w:t>
            </w:r>
          </w:p>
        </w:tc>
      </w:tr>
      <w:tr>
        <w:trPr>
          <w:trHeight w:val="237"/>
        </w:trPr>
        <w:tc>
          <w:tcPr>
            <w:tcW w:w="3380" w:type="dxa"/>
            <w:vAlign w:val="bottom"/>
          </w:tcPr>
          <w:p>
            <w:pPr>
              <w:jc w:val="center"/>
              <w:ind w:right="1130"/>
              <w:spacing w:after="0"/>
              <w:rPr>
                <w:sz w:val="20"/>
                <w:szCs w:val="20"/>
                <w:color w:val="auto"/>
              </w:rPr>
            </w:pPr>
            <w:r>
              <w:rPr>
                <w:rFonts w:ascii="Arial" w:cs="Arial" w:eastAsia="Arial" w:hAnsi="Arial"/>
                <w:sz w:val="18"/>
                <w:szCs w:val="18"/>
                <w:b w:val="1"/>
                <w:bCs w:val="1"/>
                <w:color w:val="auto"/>
                <w:w w:val="89"/>
              </w:rPr>
              <w:t>the Vesting Start Date</w:t>
            </w:r>
          </w:p>
        </w:tc>
        <w:tc>
          <w:tcPr>
            <w:tcW w:w="2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620" w:type="dxa"/>
            <w:vAlign w:val="bottom"/>
          </w:tcPr>
          <w:p>
            <w:pPr>
              <w:spacing w:after="0"/>
              <w:rPr>
                <w:sz w:val="20"/>
                <w:szCs w:val="20"/>
                <w:color w:val="auto"/>
              </w:rPr>
            </w:pPr>
          </w:p>
        </w:tc>
      </w:tr>
      <w:tr>
        <w:trPr>
          <w:trHeight w:val="392"/>
        </w:trPr>
        <w:tc>
          <w:tcPr>
            <w:tcW w:w="3380" w:type="dxa"/>
            <w:vAlign w:val="bottom"/>
          </w:tcPr>
          <w:p>
            <w:pPr>
              <w:jc w:val="center"/>
              <w:ind w:right="1170"/>
              <w:spacing w:after="0"/>
              <w:rPr>
                <w:sz w:val="20"/>
                <w:szCs w:val="20"/>
                <w:color w:val="auto"/>
              </w:rPr>
            </w:pPr>
            <w:r>
              <w:rPr>
                <w:rFonts w:ascii="Arial" w:cs="Arial" w:eastAsia="Arial" w:hAnsi="Arial"/>
                <w:sz w:val="18"/>
                <w:szCs w:val="18"/>
                <w:b w:val="1"/>
                <w:bCs w:val="1"/>
                <w:color w:val="auto"/>
                <w:w w:val="92"/>
              </w:rPr>
              <w:t>On the third anniversary of</w:t>
            </w:r>
          </w:p>
        </w:tc>
        <w:tc>
          <w:tcPr>
            <w:tcW w:w="3280" w:type="dxa"/>
            <w:vAlign w:val="bottom"/>
            <w:gridSpan w:val="3"/>
          </w:tcPr>
          <w:p>
            <w:pPr>
              <w:ind w:left="2120"/>
              <w:spacing w:after="0"/>
              <w:rPr>
                <w:sz w:val="20"/>
                <w:szCs w:val="20"/>
                <w:color w:val="auto"/>
              </w:rPr>
            </w:pPr>
            <w:r>
              <w:rPr>
                <w:rFonts w:ascii="Arial" w:cs="Arial" w:eastAsia="Arial" w:hAnsi="Arial"/>
                <w:sz w:val="18"/>
                <w:szCs w:val="18"/>
                <w:b w:val="1"/>
                <w:bCs w:val="1"/>
                <w:color w:val="auto"/>
              </w:rPr>
              <w:t>an additional</w:t>
            </w:r>
          </w:p>
        </w:tc>
        <w:tc>
          <w:tcPr>
            <w:tcW w:w="62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Arial" w:cs="Arial" w:eastAsia="Arial" w:hAnsi="Arial"/>
                <w:sz w:val="18"/>
                <w:szCs w:val="18"/>
                <w:b w:val="1"/>
                <w:bCs w:val="1"/>
                <w:color w:val="auto"/>
                <w:w w:val="84"/>
              </w:rPr>
              <w:t>Shares]</w:t>
            </w:r>
          </w:p>
        </w:tc>
      </w:tr>
      <w:tr>
        <w:trPr>
          <w:trHeight w:val="237"/>
        </w:trPr>
        <w:tc>
          <w:tcPr>
            <w:tcW w:w="3380" w:type="dxa"/>
            <w:vAlign w:val="bottom"/>
          </w:tcPr>
          <w:p>
            <w:pPr>
              <w:jc w:val="center"/>
              <w:ind w:right="1130"/>
              <w:spacing w:after="0"/>
              <w:rPr>
                <w:sz w:val="20"/>
                <w:szCs w:val="20"/>
                <w:color w:val="auto"/>
              </w:rPr>
            </w:pPr>
            <w:r>
              <w:rPr>
                <w:rFonts w:ascii="Arial" w:cs="Arial" w:eastAsia="Arial" w:hAnsi="Arial"/>
                <w:sz w:val="18"/>
                <w:szCs w:val="18"/>
                <w:b w:val="1"/>
                <w:bCs w:val="1"/>
                <w:color w:val="auto"/>
                <w:w w:val="89"/>
              </w:rPr>
              <w:t>the Vesting Start Date</w:t>
            </w:r>
          </w:p>
        </w:tc>
        <w:tc>
          <w:tcPr>
            <w:tcW w:w="2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620" w:type="dxa"/>
            <w:vAlign w:val="bottom"/>
          </w:tcPr>
          <w:p>
            <w:pPr>
              <w:spacing w:after="0"/>
              <w:rPr>
                <w:sz w:val="20"/>
                <w:szCs w:val="20"/>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rights are cumulative and are subject to the other terms and conditions of this Agreement and the Plan.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and the Participant acknowledge receipt of this Stock Option Grant Notice and agree to the terms of the Stock Option Agreement attached hereto and incorporated by reference herein, the Company’s 2012 Employee, Director and Consultant Equity Incentive Plan and the terms of this Option Grant as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3" w:name="page14"/>
    <w:bookmarkEnd w:id="13"/>
    <w:p>
      <w:pPr>
        <w:ind w:left="452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14605</wp:posOffset>
            </wp:positionV>
            <wp:extent cx="2898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-130810</wp:posOffset>
            </wp:positionV>
            <wp:extent cx="28987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-130175</wp:posOffset>
            </wp:positionV>
            <wp:extent cx="36188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VRINGO,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 OPTION AGREEMENT - INCORPORATED TERMS AND CONDITIONS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AGREEMENT made as of the date of grant set forth in the Stock Option Grant Notice by and between Vringo, Inc. (the “Company”), a Delaware corporation, and the individual whose name appears on the Stock Option Grant Notice (the “Participant”).</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WHEREAS, the Company desires to grant to the Participant an Option to purchase shares of its common stock, $0.01 par value per share (the “Shares”), under and for the purposes set forth in the Company’s 2012 Employee, Director and Consultant Equity Incentive Plan (the “Plan”);</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Company and the Participant understand and agree that any terms used and not defined herein have the same meanings as in the Plan;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the Company and the Participant each intend that the Option granted herein shall be of the type set forth in the Stock Option Grant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Notice.</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hereinafter set forth and for other good and valuable consideration, the parties hereto agree as follows:</w:t>
      </w:r>
    </w:p>
    <w:p>
      <w:pPr>
        <w:spacing w:after="0" w:line="170" w:lineRule="exact"/>
        <w:rPr>
          <w:sz w:val="20"/>
          <w:szCs w:val="20"/>
          <w:color w:val="auto"/>
        </w:rPr>
      </w:pPr>
    </w:p>
    <w:p>
      <w:pPr>
        <w:ind w:left="1240" w:hanging="584"/>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w:t>
      </w:r>
    </w:p>
    <w:p>
      <w:pPr>
        <w:spacing w:after="0" w:line="225" w:lineRule="exact"/>
        <w:rPr>
          <w:sz w:val="20"/>
          <w:szCs w:val="20"/>
          <w:color w:val="auto"/>
        </w:rPr>
      </w:pPr>
    </w:p>
    <w:p>
      <w:pPr>
        <w:jc w:val="both"/>
        <w:ind w:firstLine="1232"/>
        <w:spacing w:after="0" w:line="286" w:lineRule="auto"/>
        <w:rPr>
          <w:sz w:val="20"/>
          <w:szCs w:val="20"/>
          <w:color w:val="auto"/>
        </w:rPr>
      </w:pPr>
      <w:r>
        <w:rPr>
          <w:rFonts w:ascii="Arial" w:cs="Arial" w:eastAsia="Arial" w:hAnsi="Arial"/>
          <w:sz w:val="17"/>
          <w:szCs w:val="17"/>
          <w:color w:val="auto"/>
        </w:rPr>
        <w:t>The Company hereby grants to the Participant the right and option to purchase all or any part of an aggregate of the number of Shares set forth in the Stock Option Grant Notice, on the terms and conditions and subject to all the limitations set forth herein, under United States securities and tax laws, and in the Plan, which is incorporated herein by reference. The Participant acknowledges receipt of a copy of the Plan.</w:t>
      </w:r>
    </w:p>
    <w:p>
      <w:pPr>
        <w:spacing w:after="0" w:line="166" w:lineRule="exact"/>
        <w:rPr>
          <w:sz w:val="20"/>
          <w:szCs w:val="20"/>
          <w:color w:val="auto"/>
        </w:rPr>
      </w:pPr>
    </w:p>
    <w:p>
      <w:pPr>
        <w:ind w:left="1240" w:hanging="584"/>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w:t>
      </w:r>
    </w:p>
    <w:p>
      <w:pPr>
        <w:spacing w:after="0" w:line="225"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8"/>
          <w:szCs w:val="18"/>
          <w:color w:val="auto"/>
        </w:rPr>
        <w:t>The exercise price of the Shares covered by the Option shall be the amount per Share set forth in the Stock Option Grant Notice, subject to adjustment, as provided in the Plan, in the event of a stock split, reverse stock split or other events affecting the holders of Shares after the date hereof (the “Exercise Price”). Payment shall be made in accordance with Paragraph 9 of the Plan.</w:t>
      </w:r>
    </w:p>
    <w:p>
      <w:pPr>
        <w:spacing w:after="0" w:line="181" w:lineRule="exact"/>
        <w:rPr>
          <w:sz w:val="20"/>
          <w:szCs w:val="20"/>
          <w:color w:val="auto"/>
        </w:rPr>
      </w:pPr>
    </w:p>
    <w:p>
      <w:pPr>
        <w:ind w:left="1240" w:hanging="584"/>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EXERCISABILITY OF OPTION</w:t>
      </w:r>
      <w:r>
        <w:rPr>
          <w:rFonts w:ascii="Arial" w:cs="Arial" w:eastAsia="Arial" w:hAnsi="Arial"/>
          <w:sz w:val="18"/>
          <w:szCs w:val="18"/>
          <w:color w:val="auto"/>
        </w:rPr>
        <w:t>.</w:t>
      </w:r>
    </w:p>
    <w:p>
      <w:pPr>
        <w:spacing w:after="0" w:line="225" w:lineRule="exact"/>
        <w:rPr>
          <w:sz w:val="20"/>
          <w:szCs w:val="20"/>
          <w:color w:val="auto"/>
        </w:rPr>
      </w:pPr>
    </w:p>
    <w:p>
      <w:pPr>
        <w:jc w:val="both"/>
        <w:ind w:firstLine="1232"/>
        <w:spacing w:after="0" w:line="277" w:lineRule="auto"/>
        <w:rPr>
          <w:sz w:val="20"/>
          <w:szCs w:val="20"/>
          <w:color w:val="auto"/>
        </w:rPr>
      </w:pPr>
      <w:r>
        <w:rPr>
          <w:rFonts w:ascii="Arial" w:cs="Arial" w:eastAsia="Arial" w:hAnsi="Arial"/>
          <w:sz w:val="18"/>
          <w:szCs w:val="18"/>
          <w:color w:val="auto"/>
        </w:rPr>
        <w:t>Subject to the terms and conditions set forth in this Agreement and the Plan, the Option granted hereby shall become vested and exercisable as set forth in the Stock Option Grant Notice and is subject to the other terms and conditions of this Agreement and the Plan.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Notwithstanding the foregoing, in the event of a Change of Control (as defined in the Plan), __% of the Shares which would have vested in each vesting installment remaining under this Option will be vested and exercisable for purposes of Paragraph 24(b) of the Plan unless this Option has otherwise expired or been terminated pursuant to its terms or the terms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 w:name="page16"/>
    <w:bookmarkEnd w:id="15"/>
    <w:p>
      <w:pPr>
        <w:ind w:left="1240" w:hanging="584"/>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w:t>
      </w:r>
    </w:p>
    <w:p>
      <w:pPr>
        <w:spacing w:after="0" w:line="225" w:lineRule="exact"/>
        <w:rPr>
          <w:sz w:val="20"/>
          <w:szCs w:val="20"/>
          <w:color w:val="auto"/>
        </w:rPr>
      </w:pPr>
    </w:p>
    <w:p>
      <w:pPr>
        <w:jc w:val="both"/>
        <w:ind w:firstLine="1232"/>
        <w:spacing w:after="0" w:line="259" w:lineRule="auto"/>
        <w:rPr>
          <w:sz w:val="20"/>
          <w:szCs w:val="20"/>
          <w:color w:val="auto"/>
        </w:rPr>
      </w:pPr>
      <w:r>
        <w:rPr>
          <w:rFonts w:ascii="Arial" w:cs="Arial" w:eastAsia="Arial" w:hAnsi="Arial"/>
          <w:sz w:val="18"/>
          <w:szCs w:val="18"/>
          <w:color w:val="auto"/>
        </w:rPr>
        <w:t>This Option shall terminate on the Option Expiration Date as specified in the Stock Option Grant Notice and, if this Option is designated in the Stock Option Grant Notice as an ISO and the Participant owns as of the date hereof more than 10% of the total combined voting power of all classes of capital stock of the Company or an Affiliate, such date may not be more than five years from the date of this Agreement, but shall be subject to earlier termination as provided herein or in the Plan.</w:t>
      </w:r>
    </w:p>
    <w:p>
      <w:pPr>
        <w:spacing w:after="0" w:line="187" w:lineRule="exact"/>
        <w:rPr>
          <w:sz w:val="20"/>
          <w:szCs w:val="20"/>
          <w:color w:val="auto"/>
        </w:rPr>
      </w:pPr>
    </w:p>
    <w:p>
      <w:pPr>
        <w:jc w:val="both"/>
        <w:ind w:firstLine="1232"/>
        <w:spacing w:after="0" w:line="255" w:lineRule="auto"/>
        <w:rPr>
          <w:sz w:val="20"/>
          <w:szCs w:val="20"/>
          <w:color w:val="auto"/>
        </w:rPr>
      </w:pPr>
      <w:r>
        <w:rPr>
          <w:rFonts w:ascii="Arial" w:cs="Arial" w:eastAsia="Arial" w:hAnsi="Arial"/>
          <w:sz w:val="18"/>
          <w:szCs w:val="18"/>
          <w:color w:val="auto"/>
        </w:rPr>
        <w:t>If the Participant ceases to be an Employee, director or Consultant of the Company or of an Affiliate for any reason other than the death or Disability of the Participant, or termination of the Participant for Cause (the “Termination Date”), the Option to the extent then vested and exercisable pursuant to Section 3 hereof as of the Termination Date, and not previously terminated in accordance with this Agreement, may be exercised within three months after the Termination Date, or on or prior to the Option Expiration Date as specified in the Stock Option Grant Notice, whichever is earlier, but may not be exercised thereafter except as set forth below. In such event, the unvested portion of the Option shall not be exercisable and shall expire and be cancelled on the Termination Date.</w:t>
      </w:r>
    </w:p>
    <w:p>
      <w:pPr>
        <w:spacing w:after="0" w:line="193" w:lineRule="exact"/>
        <w:rPr>
          <w:sz w:val="20"/>
          <w:szCs w:val="20"/>
          <w:color w:val="auto"/>
        </w:rPr>
      </w:pPr>
    </w:p>
    <w:p>
      <w:pPr>
        <w:jc w:val="both"/>
        <w:ind w:right="20" w:firstLine="1232"/>
        <w:spacing w:after="0" w:line="255" w:lineRule="auto"/>
        <w:rPr>
          <w:sz w:val="20"/>
          <w:szCs w:val="20"/>
          <w:color w:val="auto"/>
        </w:rPr>
      </w:pPr>
      <w:r>
        <w:rPr>
          <w:rFonts w:ascii="Arial" w:cs="Arial" w:eastAsia="Arial" w:hAnsi="Arial"/>
          <w:sz w:val="18"/>
          <w:szCs w:val="18"/>
          <w:color w:val="auto"/>
        </w:rPr>
        <w:t>If this Option is designated in the Stock Option Grant Notice as an ISO and the Participant ceases to be an Employee of the Company or of an Affiliate but continues after termination of employment to provide service to the Company or an Affiliate as a director or Consultant, this Option shall continue to vest in accordance with Section 3 above as if this Option had not terminated until the Participant is no longer providing services to the Company. In such case, this Option shall automatically convert and be deemed a Non-Qualified Option as of the date that is three months from termination of the Participant's employment and this Option shall continue on the same terms and conditions set forth herein until such Participant is no longer providing service to the Company or an Affiliate.</w:t>
      </w:r>
    </w:p>
    <w:p>
      <w:pPr>
        <w:spacing w:after="0" w:line="193"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8"/>
          <w:szCs w:val="18"/>
          <w:color w:val="auto"/>
        </w:rPr>
        <w:t>Notwithstanding the foregoing, in the event of the Participant’s Disability or death within three months after the Termination Date, the Participant or the Participant’s Survivors may exercise the Option within one year after the Termination Date, but in no event after the Option Expiration Date as specified in the Stock Option Grant Notice.</w:t>
      </w:r>
    </w:p>
    <w:p>
      <w:pPr>
        <w:spacing w:after="0" w:line="181" w:lineRule="exact"/>
        <w:rPr>
          <w:sz w:val="20"/>
          <w:szCs w:val="20"/>
          <w:color w:val="auto"/>
        </w:rPr>
      </w:pPr>
    </w:p>
    <w:p>
      <w:pPr>
        <w:jc w:val="both"/>
        <w:ind w:firstLine="1232"/>
        <w:spacing w:after="0" w:line="297" w:lineRule="auto"/>
        <w:rPr>
          <w:sz w:val="20"/>
          <w:szCs w:val="20"/>
          <w:color w:val="auto"/>
        </w:rPr>
      </w:pPr>
      <w:r>
        <w:rPr>
          <w:rFonts w:ascii="Arial" w:cs="Arial" w:eastAsia="Arial" w:hAnsi="Arial"/>
          <w:sz w:val="16"/>
          <w:szCs w:val="16"/>
          <w:color w:val="auto"/>
        </w:rPr>
        <w:t>In the event the Participant’s service is terminated by the Company or an Affiliate for Cause, the Participant’s right to exercise any unexercised portion of this Option even if vested shall cease immediately as of the time the Participant is notified his or her service is terminated for Cause, and this Option shall thereupon terminate. Notwithstanding anything herein to the contrary, if subsequent to the Participant’s termination, but prior to the exercise of the Option, the Administrator determines that, either prior or subsequent to the Participant’s termination, the Participant engaged in conduct which would constitute Cause, then the Participant shall immediately cease to have any right to exercise the Option and this Option shall thereupon terminate.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6" w:name="page17"/>
    <w:bookmarkEnd w:id="16"/>
    <w:p>
      <w:pPr>
        <w:jc w:val="both"/>
        <w:ind w:firstLine="1232"/>
        <w:spacing w:after="0" w:line="264" w:lineRule="auto"/>
        <w:rPr>
          <w:sz w:val="20"/>
          <w:szCs w:val="20"/>
          <w:color w:val="auto"/>
        </w:rPr>
      </w:pPr>
      <w:r>
        <w:rPr>
          <w:rFonts w:ascii="Arial" w:cs="Arial" w:eastAsia="Arial" w:hAnsi="Arial"/>
          <w:sz w:val="18"/>
          <w:szCs w:val="18"/>
          <w:color w:val="auto"/>
        </w:rPr>
        <w:t>In the event of the Disability of the Participant, as determined in accordance with the Plan, the Option shall be exercisable within one year after the Participant’s termination of service due to Disability or, if earlier, on or prior to the Option Expiration Date as specified in the Stock Option Grant Notice. In such event, the Option shall be exercisable:</w:t>
      </w:r>
    </w:p>
    <w:p>
      <w:pPr>
        <w:spacing w:after="0" w:line="181" w:lineRule="exact"/>
        <w:rPr>
          <w:sz w:val="20"/>
          <w:szCs w:val="20"/>
          <w:color w:val="auto"/>
        </w:rPr>
      </w:pPr>
    </w:p>
    <w:p>
      <w:pPr>
        <w:ind w:left="1960" w:hanging="655"/>
        <w:spacing w:after="0" w:line="277" w:lineRule="auto"/>
        <w:tabs>
          <w:tab w:leader="none" w:pos="205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the extent that the Option has become exercisable but has not been exercised as of the date of the Participant’s termination of service due to Disability; and</w:t>
      </w:r>
    </w:p>
    <w:p>
      <w:pPr>
        <w:spacing w:after="0" w:line="170" w:lineRule="exact"/>
        <w:rPr>
          <w:rFonts w:ascii="Arial" w:cs="Arial" w:eastAsia="Arial" w:hAnsi="Arial"/>
          <w:sz w:val="18"/>
          <w:szCs w:val="18"/>
          <w:color w:val="auto"/>
        </w:rPr>
      </w:pPr>
    </w:p>
    <w:p>
      <w:pPr>
        <w:jc w:val="both"/>
        <w:ind w:left="1960" w:hanging="655"/>
        <w:spacing w:after="0" w:line="259" w:lineRule="auto"/>
        <w:tabs>
          <w:tab w:leader="none" w:pos="1984"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event rights to exercise the Option accrue periodically, to the extent of a pro rata portion through the date of the Participant’s termination of service due to Disability of any additional vesting rights that would have accrued on the next vesting date had the Participant not become Disabled. The proration shall be based upon the number of days accrued in the current vesting period prior to the date of the Participant’s termination of service due to Disability.</w:t>
      </w:r>
    </w:p>
    <w:p>
      <w:pPr>
        <w:spacing w:after="0" w:line="187"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8"/>
          <w:szCs w:val="18"/>
          <w:color w:val="auto"/>
        </w:rPr>
        <w:t>In the event of the death of the Participant while an Employee, director or Consultant of the Company or of an Affiliate, the Option shall be exercisable by the Participant’s Survivors within one year after the date of death of the Participant or, if earlier, on or prior to the Option Expiration Date as specified in the Stock Option Grant Notice. In such event, the Option shall be exercisable:</w:t>
      </w:r>
    </w:p>
    <w:p>
      <w:pPr>
        <w:spacing w:after="0" w:line="181" w:lineRule="exact"/>
        <w:rPr>
          <w:sz w:val="20"/>
          <w:szCs w:val="20"/>
          <w:color w:val="auto"/>
        </w:rPr>
      </w:pPr>
    </w:p>
    <w:p>
      <w:pPr>
        <w:ind w:left="1960" w:hanging="655"/>
        <w:spacing w:after="0"/>
        <w:tabs>
          <w:tab w:leader="none" w:pos="1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to the extent that the Option has become exercisable but has not been exercised as of the date of death; and</w:t>
      </w:r>
    </w:p>
    <w:p>
      <w:pPr>
        <w:spacing w:after="0" w:line="225" w:lineRule="exact"/>
        <w:rPr>
          <w:rFonts w:ascii="Arial" w:cs="Arial" w:eastAsia="Arial" w:hAnsi="Arial"/>
          <w:sz w:val="18"/>
          <w:szCs w:val="18"/>
          <w:color w:val="auto"/>
        </w:rPr>
      </w:pPr>
    </w:p>
    <w:p>
      <w:pPr>
        <w:jc w:val="both"/>
        <w:ind w:left="1960" w:hanging="655"/>
        <w:spacing w:after="0" w:line="286" w:lineRule="auto"/>
        <w:tabs>
          <w:tab w:leader="none" w:pos="2063" w:val="left"/>
        </w:tabs>
        <w:numPr>
          <w:ilvl w:val="1"/>
          <w:numId w:val="15"/>
        </w:numPr>
        <w:rPr>
          <w:rFonts w:ascii="Arial" w:cs="Arial" w:eastAsia="Arial" w:hAnsi="Arial"/>
          <w:sz w:val="17"/>
          <w:szCs w:val="17"/>
          <w:color w:val="auto"/>
        </w:rPr>
      </w:pPr>
      <w:r>
        <w:rPr>
          <w:rFonts w:ascii="Arial" w:cs="Arial" w:eastAsia="Arial" w:hAnsi="Arial"/>
          <w:sz w:val="17"/>
          <w:szCs w:val="17"/>
          <w:color w:val="auto"/>
        </w:rPr>
        <w:t>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w:t>
      </w:r>
    </w:p>
    <w:p>
      <w:pPr>
        <w:spacing w:after="0" w:line="165" w:lineRule="exact"/>
        <w:rPr>
          <w:rFonts w:ascii="Arial" w:cs="Arial" w:eastAsia="Arial" w:hAnsi="Arial"/>
          <w:sz w:val="17"/>
          <w:szCs w:val="17"/>
          <w:color w:val="auto"/>
        </w:rPr>
      </w:pPr>
    </w:p>
    <w:p>
      <w:pPr>
        <w:ind w:left="1240" w:hanging="584"/>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METHOD OF EXERCISING OPTION.</w:t>
      </w:r>
    </w:p>
    <w:p>
      <w:pPr>
        <w:spacing w:after="0" w:line="225"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6"/>
          <w:szCs w:val="16"/>
          <w:color w:val="auto"/>
        </w:rPr>
        <w:t>Subject to the terms and conditions of this Agreement, the Option may be exercised by written notice to the Company or its designee, in</w:t>
      </w:r>
    </w:p>
    <w:p>
      <w:pPr>
        <w:spacing w:after="0" w:line="4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substantially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(or in such other form acceptable to the Company, which may include electronic notice). Such notice shall state the number of Shares with respect to which the Option is being exercised and shall be signed by the person exercising the Option (which signature may be provided electronically in a form acceptable to the Company). Payment of the Exercise Price for such Shares shall be made in accordance with Paragraph 9 of the Plan. The Company shall deliver such Shares as soon as practicable after the notice shall be received, provided, however, that the Company may delay issuance of such Shares until completion of any action or obtaining of any consent, which the Company deems necessary under any applicable law (including, without limitation, state securities or “blue sky” laws). The Shares as to which the Option shall have been so exercised shall be registered in the Company’s share register in the name of the person so exercising the Option (or, if the Option shall be exercised by the Participant and if the Participant shall so request in the notice exercising the Option, shall be registered in the Company’s share register in the name of the Participant and another person jointly, with right of survivorship) and shall be delivered as provided above to or upon the written order of the person exercising the Option. In the event the Option shall be exercised, pursuant to Section 4 hereof, by any person other than the Participant, such notice shall be accompanied by appropriate proof of the right of such person to exercise the Option. All Shares that shall be purchased upon the exercise of the Option as provided herein shall be fully paid and nonassessable.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 w:name="page18"/>
    <w:bookmarkEnd w:id="17"/>
    <w:p>
      <w:pPr>
        <w:ind w:left="1240" w:hanging="584"/>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PARTIAL EXERCISE</w:t>
      </w:r>
      <w:r>
        <w:rPr>
          <w:rFonts w:ascii="Arial" w:cs="Arial" w:eastAsia="Arial" w:hAnsi="Arial"/>
          <w:sz w:val="18"/>
          <w:szCs w:val="18"/>
          <w:color w:val="auto"/>
        </w:rPr>
        <w:t>.</w:t>
      </w:r>
    </w:p>
    <w:p>
      <w:pPr>
        <w:spacing w:after="0" w:line="225" w:lineRule="exact"/>
        <w:rPr>
          <w:sz w:val="20"/>
          <w:szCs w:val="20"/>
          <w:color w:val="auto"/>
        </w:rPr>
      </w:pPr>
    </w:p>
    <w:p>
      <w:pPr>
        <w:ind w:right="20" w:firstLine="1232"/>
        <w:spacing w:after="0" w:line="277" w:lineRule="auto"/>
        <w:rPr>
          <w:sz w:val="20"/>
          <w:szCs w:val="20"/>
          <w:color w:val="auto"/>
        </w:rPr>
      </w:pPr>
      <w:r>
        <w:rPr>
          <w:rFonts w:ascii="Arial" w:cs="Arial" w:eastAsia="Arial" w:hAnsi="Arial"/>
          <w:sz w:val="18"/>
          <w:szCs w:val="18"/>
          <w:color w:val="auto"/>
        </w:rPr>
        <w:t>Exercise of this Option to the extent above stated may be made in part at any time and from time to time within the above limits, except that no fractional share shall be issued pursuant to this Option.</w:t>
      </w:r>
    </w:p>
    <w:p>
      <w:pPr>
        <w:spacing w:after="0" w:line="170" w:lineRule="exact"/>
        <w:rPr>
          <w:sz w:val="20"/>
          <w:szCs w:val="20"/>
          <w:color w:val="auto"/>
        </w:rPr>
      </w:pPr>
    </w:p>
    <w:p>
      <w:pPr>
        <w:ind w:left="1240" w:hanging="584"/>
        <w:spacing w:after="0"/>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NON-ASSIGNABILITY</w:t>
      </w:r>
      <w:r>
        <w:rPr>
          <w:rFonts w:ascii="Arial" w:cs="Arial" w:eastAsia="Arial" w:hAnsi="Arial"/>
          <w:sz w:val="18"/>
          <w:szCs w:val="18"/>
          <w:color w:val="auto"/>
        </w:rPr>
        <w:t>.</w:t>
      </w:r>
    </w:p>
    <w:p>
      <w:pPr>
        <w:spacing w:after="0" w:line="225" w:lineRule="exact"/>
        <w:rPr>
          <w:sz w:val="20"/>
          <w:szCs w:val="20"/>
          <w:color w:val="auto"/>
        </w:rPr>
      </w:pPr>
    </w:p>
    <w:p>
      <w:pPr>
        <w:jc w:val="both"/>
        <w:ind w:firstLine="1232"/>
        <w:spacing w:after="0" w:line="272" w:lineRule="auto"/>
        <w:rPr>
          <w:sz w:val="20"/>
          <w:szCs w:val="20"/>
          <w:color w:val="auto"/>
        </w:rPr>
      </w:pPr>
      <w:r>
        <w:rPr>
          <w:rFonts w:ascii="Arial" w:cs="Arial" w:eastAsia="Arial" w:hAnsi="Arial"/>
          <w:sz w:val="17"/>
          <w:szCs w:val="17"/>
          <w:color w:val="auto"/>
        </w:rPr>
        <w:t>The Option shall not be transferable by the Participant otherwise than by will or by the laws of descent and distribution. If this Option is a Non-Qualified Option then it may also be transferred pursuant to a qualified domestic relations order as defined by the Code or Title I of the Employee Retirement Income Security Act or the rules thereunder</w:t>
      </w:r>
      <w:r>
        <w:rPr>
          <w:rFonts w:ascii="Arial" w:cs="Arial" w:eastAsia="Arial" w:hAnsi="Arial"/>
          <w:sz w:val="17"/>
          <w:szCs w:val="17"/>
          <w:b w:val="1"/>
          <w:bCs w:val="1"/>
          <w:color w:val="auto"/>
        </w:rPr>
        <w:t>.</w:t>
      </w:r>
      <w:r>
        <w:rPr>
          <w:rFonts w:ascii="Arial" w:cs="Arial" w:eastAsia="Arial" w:hAnsi="Arial"/>
          <w:sz w:val="17"/>
          <w:szCs w:val="17"/>
          <w:color w:val="auto"/>
        </w:rPr>
        <w:t xml:space="preserve"> Except as provided above in this paragraph, the Option shall be exercisable, during the Participant’s lifetime, only by the Participant (or, in the event of legal incapacity or incompetency, by the Participant’s guardian or representative) and shall not be assigned, pledged or hypothecated in any way (whether by operation of law or otherwise) and shall not be subject to execution, attachment or similar process. Any attempted transfer, assignment, pledge, hypothecation or other disposition of the Option or of any rights granted hereunder contrary to the provisions of this Section 7, or the levy of any attachment or similar process upon the Option shall be null and void.</w:t>
      </w:r>
    </w:p>
    <w:p>
      <w:pPr>
        <w:spacing w:after="0" w:line="178" w:lineRule="exact"/>
        <w:rPr>
          <w:sz w:val="20"/>
          <w:szCs w:val="20"/>
          <w:color w:val="auto"/>
        </w:rPr>
      </w:pPr>
    </w:p>
    <w:p>
      <w:pPr>
        <w:ind w:left="1240" w:hanging="584"/>
        <w:spacing w:after="0"/>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NO RIGHTS AS STOCKHOLDER UNTIL EXERCISE</w:t>
      </w:r>
      <w:r>
        <w:rPr>
          <w:rFonts w:ascii="Arial" w:cs="Arial" w:eastAsia="Arial" w:hAnsi="Arial"/>
          <w:sz w:val="18"/>
          <w:szCs w:val="18"/>
          <w:color w:val="auto"/>
        </w:rPr>
        <w:t>.</w:t>
      </w:r>
    </w:p>
    <w:p>
      <w:pPr>
        <w:spacing w:after="0" w:line="225" w:lineRule="exact"/>
        <w:rPr>
          <w:sz w:val="20"/>
          <w:szCs w:val="20"/>
          <w:color w:val="auto"/>
        </w:rPr>
      </w:pPr>
    </w:p>
    <w:p>
      <w:pPr>
        <w:jc w:val="both"/>
        <w:ind w:firstLine="1232"/>
        <w:spacing w:after="0" w:line="312" w:lineRule="auto"/>
        <w:rPr>
          <w:sz w:val="20"/>
          <w:szCs w:val="20"/>
          <w:color w:val="auto"/>
        </w:rPr>
      </w:pPr>
      <w:r>
        <w:rPr>
          <w:rFonts w:ascii="Arial" w:cs="Arial" w:eastAsia="Arial" w:hAnsi="Arial"/>
          <w:sz w:val="16"/>
          <w:szCs w:val="16"/>
          <w:color w:val="auto"/>
        </w:rPr>
        <w:t>The Participant shall have no rights as a stockholder with respect to Shares subject to this Agreement until registration of the Shares in the Company’s share register in the name of the Participant. Except as is expressly provided in the Plan with respect to certain changes in the capitalization of the Company, no adjustment shall be made for dividends or similar rights for which the record date is prior to the date of such registration.</w:t>
      </w:r>
    </w:p>
    <w:p>
      <w:pPr>
        <w:spacing w:after="0" w:line="147" w:lineRule="exact"/>
        <w:rPr>
          <w:sz w:val="20"/>
          <w:szCs w:val="20"/>
          <w:color w:val="auto"/>
        </w:rPr>
      </w:pPr>
    </w:p>
    <w:p>
      <w:pPr>
        <w:ind w:left="1240" w:hanging="584"/>
        <w:spacing w:after="0"/>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1232"/>
        <w:spacing w:after="0" w:line="259" w:lineRule="auto"/>
        <w:rPr>
          <w:sz w:val="20"/>
          <w:szCs w:val="20"/>
          <w:color w:val="auto"/>
        </w:rPr>
      </w:pPr>
      <w:r>
        <w:rPr>
          <w:rFonts w:ascii="Arial" w:cs="Arial" w:eastAsia="Arial" w:hAnsi="Arial"/>
          <w:sz w:val="18"/>
          <w:szCs w:val="18"/>
          <w:color w:val="auto"/>
        </w:rPr>
        <w:t>The Plan contains provisions covering the treatment of Options in a number of contingencies such as stock splits and mergers. Provisions in the Plan for adjustment with respect to stock subject to Options and the related provisions with respect to successors to the business of the Company are hereby made applicable hereunder and are incorporated herein by reference, including, but not limited to, the acceleration of vesting provision contained in Paragraph 24(b) of the Plan.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8" w:name="page19"/>
    <w:bookmarkEnd w:id="18"/>
    <w:p>
      <w:pPr>
        <w:ind w:left="1280" w:hanging="624"/>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sz w:val="20"/>
          <w:szCs w:val="20"/>
          <w:color w:val="auto"/>
        </w:rPr>
      </w:pPr>
    </w:p>
    <w:p>
      <w:pPr>
        <w:jc w:val="both"/>
        <w:ind w:firstLine="1232"/>
        <w:spacing w:after="0" w:line="290" w:lineRule="auto"/>
        <w:rPr>
          <w:sz w:val="20"/>
          <w:szCs w:val="20"/>
          <w:color w:val="auto"/>
        </w:rPr>
      </w:pPr>
      <w:r>
        <w:rPr>
          <w:rFonts w:ascii="Arial" w:cs="Arial" w:eastAsia="Arial" w:hAnsi="Arial"/>
          <w:sz w:val="16"/>
          <w:szCs w:val="16"/>
          <w:color w:val="auto"/>
        </w:rPr>
        <w:t>The Participant acknowledges that any income or other taxes due from him or her with respect to this Option or the Shares issuable pursuant to this Option shall be the Participant’s responsibility. The Participant acknowledges and agrees that (i) the Participant was free to use professional advisors of his or her choice in connection with this Agreement, has received advice from his or her professional advisors in connection with this Agreement, understands its meaning and import, and is entering into this Agreement freely and without coercion or duress; (ii) the Participant has not received and is not relying upon any advice, representations or assurances made by or on behalf of the Company or any Affiliate or any employee of or counsel to the Company or any Affiliate regarding any tax or other effects or implications of the Option, the Shares or other matters contemplated by this Agreement; and (iii) neither the Administrator, the Company, its Affiliates, nor any of its officers or directors, shall be held liable for any applicable costs, taxes, or penalties associated with the Option if, in fact, the Internal Revenue Service were to determine that the Option constitutes deferred compensation under Section 409A of the Code.</w:t>
      </w:r>
    </w:p>
    <w:p>
      <w:pPr>
        <w:spacing w:after="0" w:line="166" w:lineRule="exact"/>
        <w:rPr>
          <w:sz w:val="20"/>
          <w:szCs w:val="20"/>
          <w:color w:val="auto"/>
        </w:rPr>
      </w:pPr>
    </w:p>
    <w:p>
      <w:pPr>
        <w:jc w:val="both"/>
        <w:ind w:firstLine="1232"/>
        <w:spacing w:after="0" w:line="255" w:lineRule="auto"/>
        <w:rPr>
          <w:sz w:val="20"/>
          <w:szCs w:val="20"/>
          <w:color w:val="auto"/>
        </w:rPr>
      </w:pPr>
      <w:r>
        <w:rPr>
          <w:rFonts w:ascii="Arial" w:cs="Arial" w:eastAsia="Arial" w:hAnsi="Arial"/>
          <w:sz w:val="18"/>
          <w:szCs w:val="18"/>
          <w:color w:val="auto"/>
        </w:rPr>
        <w:t>If this Option is designated in the Stock Option Grant Notice as a Non-Qualified Option or if the Option is an ISO and is converted into a Non-Qualified Option and such Non-Qualified Option is exercised, the Participant agrees that the Company may withhold from the Participant’s remuneration, if any, the minimum statutory amount of federal, state and local withholding taxes attributable to such amount that is considered compensation includable in such person’s gross income. At the Company’s discretion, the amount required to be withheld may be withheld in cash from such remuneration, or in kind from the Shares otherwise deliverable to the Participant on exercise of the Option. The Participant further agrees that, if the Company does not withhold an amount from the Participant’s remuneration sufficient to satisfy the Company’s income tax withholding obligation, the Participant will reimburse the Company on demand, in cash, for the amount under-withheld.</w:t>
      </w:r>
    </w:p>
    <w:p>
      <w:pPr>
        <w:spacing w:after="0" w:line="189" w:lineRule="exact"/>
        <w:rPr>
          <w:sz w:val="20"/>
          <w:szCs w:val="20"/>
          <w:color w:val="auto"/>
        </w:rPr>
      </w:pPr>
    </w:p>
    <w:p>
      <w:pPr>
        <w:ind w:left="1280" w:hanging="624"/>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PURCHASE FOR INVESTMENT</w:t>
      </w:r>
      <w:r>
        <w:rPr>
          <w:rFonts w:ascii="Arial" w:cs="Arial" w:eastAsia="Arial" w:hAnsi="Arial"/>
          <w:sz w:val="18"/>
          <w:szCs w:val="18"/>
          <w:color w:val="auto"/>
        </w:rPr>
        <w:t>.</w:t>
      </w:r>
    </w:p>
    <w:p>
      <w:pPr>
        <w:spacing w:after="0" w:line="225" w:lineRule="exact"/>
        <w:rPr>
          <w:sz w:val="20"/>
          <w:szCs w:val="20"/>
          <w:color w:val="auto"/>
        </w:rPr>
      </w:pPr>
    </w:p>
    <w:p>
      <w:pPr>
        <w:jc w:val="both"/>
        <w:ind w:firstLine="1232"/>
        <w:spacing w:after="0" w:line="312" w:lineRule="auto"/>
        <w:rPr>
          <w:sz w:val="20"/>
          <w:szCs w:val="20"/>
          <w:color w:val="auto"/>
        </w:rPr>
      </w:pPr>
      <w:r>
        <w:rPr>
          <w:rFonts w:ascii="Arial" w:cs="Arial" w:eastAsia="Arial" w:hAnsi="Arial"/>
          <w:sz w:val="16"/>
          <w:szCs w:val="16"/>
          <w:color w:val="auto"/>
        </w:rPr>
        <w:t>Unless the offering and sale of the Shares to be issued upon the particular exercise of the Option shall have been effectively registered under the Securities Act, the Company shall be under no obligation to issue the Shares covered by such exercise unless the Company has determined that such exercise and issuance would be exempt from the registration requirements of the Securities Act and until the following conditions have been fulfilled:</w:t>
      </w:r>
    </w:p>
    <w:p>
      <w:pPr>
        <w:spacing w:after="0" w:line="147" w:lineRule="exact"/>
        <w:rPr>
          <w:sz w:val="20"/>
          <w:szCs w:val="20"/>
          <w:color w:val="auto"/>
        </w:rPr>
      </w:pPr>
    </w:p>
    <w:p>
      <w:pPr>
        <w:jc w:val="both"/>
        <w:ind w:left="1960" w:hanging="655"/>
        <w:spacing w:after="0" w:line="279" w:lineRule="auto"/>
        <w:tabs>
          <w:tab w:leader="none" w:pos="1963"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person(s) who exercise the Option shall warrant to the Company, at the time of such exercise, that such person(s) are acquiring such Shares for their own respective accounts, for investment, and not with a view to, or for sale in connection with, the distribution of any such Shares, in which event the person(s) acquiring such Shares shall be bound by the provisions of the following legend which shall be endorsed upon any certificate(s) evidencing the Shares issued pursuant to such exercise: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jc w:val="both"/>
        <w:ind w:left="1960"/>
        <w:spacing w:after="0" w:line="257" w:lineRule="auto"/>
        <w:rPr>
          <w:sz w:val="20"/>
          <w:szCs w:val="20"/>
          <w:color w:val="auto"/>
        </w:rPr>
      </w:pPr>
      <w:r>
        <w:rPr>
          <w:rFonts w:ascii="Arial" w:cs="Arial" w:eastAsia="Arial" w:hAnsi="Arial"/>
          <w:sz w:val="18"/>
          <w:szCs w:val="18"/>
          <w:color w:val="auto"/>
        </w:rPr>
        <w:t>“The shares represented by this certificate have been taken for investment and they may not be sold or otherwise transferred by any person, including a pledgee, unless (1) either (a) a Registration Statement with respect to such shares shall be effective under the Securities Act of 1933, as amended, or (b) the Company shall have received an opinion of counsel satisfactory to it that an exemption from registration under such Act is then available, and (2) there shall have been compliance with all applicable state securities laws;” and</w:t>
      </w:r>
    </w:p>
    <w:p>
      <w:pPr>
        <w:spacing w:after="0" w:line="188" w:lineRule="exact"/>
        <w:rPr>
          <w:sz w:val="20"/>
          <w:szCs w:val="20"/>
          <w:color w:val="auto"/>
        </w:rPr>
      </w:pPr>
    </w:p>
    <w:p>
      <w:pPr>
        <w:jc w:val="both"/>
        <w:ind w:left="1960" w:hanging="7"/>
        <w:spacing w:after="0" w:line="302" w:lineRule="auto"/>
        <w:tabs>
          <w:tab w:leader="none" w:pos="2746" w:val="left"/>
        </w:tabs>
        <w:numPr>
          <w:ilvl w:val="1"/>
          <w:numId w:val="24"/>
        </w:numPr>
        <w:rPr>
          <w:rFonts w:ascii="Arial" w:cs="Arial" w:eastAsia="Arial" w:hAnsi="Arial"/>
          <w:sz w:val="16"/>
          <w:szCs w:val="16"/>
          <w:color w:val="auto"/>
        </w:rPr>
      </w:pPr>
      <w:r>
        <w:rPr>
          <w:rFonts w:ascii="Arial" w:cs="Arial" w:eastAsia="Arial" w:hAnsi="Arial"/>
          <w:sz w:val="16"/>
          <w:szCs w:val="16"/>
          <w:color w:val="auto"/>
        </w:rPr>
        <w:t>If the Company so requires, the Company shall have received an opinion of its counsel that the Shares may be issued upon such particular exercise in compliance with the Securities Act without registration thereunder. Without limiting the generality of the foregoing, the Company may delay issuance of the Shares until completion of any action or obtaining of any consent, which the Company deems necessary under any applicable law (including without limitation state securities or “blue sky” laws).</w:t>
      </w:r>
    </w:p>
    <w:p>
      <w:pPr>
        <w:spacing w:after="0" w:line="154" w:lineRule="exact"/>
        <w:rPr>
          <w:rFonts w:ascii="Arial" w:cs="Arial" w:eastAsia="Arial" w:hAnsi="Arial"/>
          <w:sz w:val="16"/>
          <w:szCs w:val="16"/>
          <w:color w:val="auto"/>
        </w:rPr>
      </w:pPr>
    </w:p>
    <w:p>
      <w:pPr>
        <w:ind w:left="1280" w:hanging="624"/>
        <w:spacing w:after="0"/>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SHARES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12.1 The Participant agrees that in the event the Company proposes to offer for sale to the public any of its equity securities and such Participant is requested by the Company and any underwriter engaged by the Company in connection with such offering to sign an agreement restricting the sale or other transfer of Shares, then it will promptly sign such agreement and will not transfer, whether in privately negotiated transactions or to the public in open market transactions or otherwise, any Shares or other securities of the Company held by him or her during such period as is determined by the Company and the underwriters, not to exceed 180 days following the closing of the offering, plus such additional period of time as may be required to comply with Marketplace Rule 2711 of the National Association of Securities Dealers, Inc. or similar rules thereto (such period, the “Lock-Up Period”). Such agreement shall be in writing and in form and substance reasonably satisfactory to the Company and such underwriter and pursuant to customary and prevailing terms and conditions. Notwithstanding whether the Participant has signed such an agreement, the Company may impose stop-transfer instructions with respect to the Shares or other securities of the Company subject to the foregoing restrictions until the end of the Lock-Up Period.</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12.2 The Participant acknowledges and agrees that neither the Company, its shareholders nor its directors and officers, has any duty or obligation to disclose to the Participant any material information regarding the business of the Company or affecting the value of the Shares before, at the time of, or following a termination of the service of the Participant by the Company, including, without limitation, any information concerning plans for the Company to make a public offering of its securities or to be acquired by or merged with or into another firm or entity.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 w:name="page21"/>
    <w:bookmarkEnd w:id="20"/>
    <w:p>
      <w:pPr>
        <w:ind w:left="1280" w:hanging="624"/>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NO OBLIGATION TO MAINTAIN RELATIONSHIP</w:t>
      </w:r>
      <w:r>
        <w:rPr>
          <w:rFonts w:ascii="Arial" w:cs="Arial" w:eastAsia="Arial" w:hAnsi="Arial"/>
          <w:sz w:val="18"/>
          <w:szCs w:val="18"/>
          <w:color w:val="auto"/>
        </w:rPr>
        <w:t>.</w:t>
      </w:r>
    </w:p>
    <w:p>
      <w:pPr>
        <w:spacing w:after="0" w:line="225" w:lineRule="exact"/>
        <w:rPr>
          <w:sz w:val="20"/>
          <w:szCs w:val="20"/>
          <w:color w:val="auto"/>
        </w:rPr>
      </w:pPr>
    </w:p>
    <w:p>
      <w:pPr>
        <w:jc w:val="both"/>
        <w:ind w:firstLine="1232"/>
        <w:spacing w:after="0" w:line="253" w:lineRule="auto"/>
        <w:rPr>
          <w:sz w:val="20"/>
          <w:szCs w:val="20"/>
          <w:color w:val="auto"/>
        </w:rPr>
      </w:pPr>
      <w:r>
        <w:rPr>
          <w:rFonts w:ascii="Arial" w:cs="Arial" w:eastAsia="Arial" w:hAnsi="Arial"/>
          <w:sz w:val="18"/>
          <w:szCs w:val="18"/>
          <w:color w:val="auto"/>
        </w:rPr>
        <w:t>The Participant acknowledges that: (i) the Company is not by the Plan or this Option obligated to continue the Participant as an employee, director or Consultant of the Company or an Affiliate; (ii) the Plan is discretionary in nature and may be suspended or terminated by the Company at any time; (iii) the grant of the Option is a one-time benefit which does not create any contractual or other right to receive future grants of options, or benefits in lieu of options; (iv) all determinations with respect to any such future grants, including, but not limited to, the times when options shall be granted, the number of shares subject to each option, the option price, and the time or times when each option shall be exercisable, will be at the sole discretion of the Company; (v) the Participant’s participation in the Plan is voluntary; (vi) the value of the Option is an extraordinary item of compensation which is outside the scope of the Participant’s employment or consulting contract, if any; and (vii) the Option is not part of normal or expected compensation for purposes of calculating any severance, resignation, redundancy, end of service payments, bonuses, long-service awards, pension or retirement benefits or similar payments.</w:t>
      </w:r>
    </w:p>
    <w:p>
      <w:pPr>
        <w:spacing w:after="0" w:line="197" w:lineRule="exact"/>
        <w:rPr>
          <w:sz w:val="20"/>
          <w:szCs w:val="20"/>
          <w:color w:val="auto"/>
        </w:rPr>
      </w:pPr>
    </w:p>
    <w:p>
      <w:pPr>
        <w:ind w:left="1280" w:hanging="624"/>
        <w:spacing w:after="0"/>
        <w:tabs>
          <w:tab w:leader="none" w:pos="12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IF OPTION IS INTENDED TO BE AN ISO</w:t>
      </w:r>
      <w:r>
        <w:rPr>
          <w:rFonts w:ascii="Arial" w:cs="Arial" w:eastAsia="Arial" w:hAnsi="Arial"/>
          <w:sz w:val="18"/>
          <w:szCs w:val="18"/>
          <w:color w:val="auto"/>
        </w:rPr>
        <w:t>.</w:t>
      </w:r>
    </w:p>
    <w:p>
      <w:pPr>
        <w:spacing w:after="0" w:line="225" w:lineRule="exact"/>
        <w:rPr>
          <w:sz w:val="20"/>
          <w:szCs w:val="20"/>
          <w:color w:val="auto"/>
        </w:rPr>
      </w:pPr>
    </w:p>
    <w:p>
      <w:pPr>
        <w:jc w:val="both"/>
        <w:ind w:firstLine="1232"/>
        <w:spacing w:after="0" w:line="297" w:lineRule="auto"/>
        <w:rPr>
          <w:sz w:val="20"/>
          <w:szCs w:val="20"/>
          <w:color w:val="auto"/>
        </w:rPr>
      </w:pPr>
      <w:r>
        <w:rPr>
          <w:rFonts w:ascii="Arial" w:cs="Arial" w:eastAsia="Arial" w:hAnsi="Arial"/>
          <w:sz w:val="16"/>
          <w:szCs w:val="16"/>
          <w:color w:val="auto"/>
        </w:rPr>
        <w:t>If this Option is designated in the Stock Option Grant Notice as an ISO so that the Participant (or the Participant’s Survivors) may qualify for the favorable tax treatment provided to holders of Options that meet the standards of Section 422 of the Code then any provision of this Agreement or the Plan which conflicts with the Code so that this Option would not be deemed an ISO is null and void and any ambiguities shall be resolved so that the Option qualifies as an ISO. The Participant should consult with the Participant’s own tax advisors regarding the tax effects of the Option and the requirements necessary to obtain favorable tax treatment under Section 422 of the Code, including, but not limited to, holding period requirements.</w:t>
      </w:r>
    </w:p>
    <w:p>
      <w:pPr>
        <w:spacing w:after="0" w:line="158" w:lineRule="exact"/>
        <w:rPr>
          <w:sz w:val="20"/>
          <w:szCs w:val="20"/>
          <w:color w:val="auto"/>
        </w:rPr>
      </w:pPr>
    </w:p>
    <w:p>
      <w:pPr>
        <w:jc w:val="both"/>
        <w:ind w:firstLine="1232"/>
        <w:spacing w:after="0" w:line="297" w:lineRule="auto"/>
        <w:rPr>
          <w:sz w:val="20"/>
          <w:szCs w:val="20"/>
          <w:color w:val="auto"/>
        </w:rPr>
      </w:pPr>
      <w:r>
        <w:rPr>
          <w:rFonts w:ascii="Arial" w:cs="Arial" w:eastAsia="Arial" w:hAnsi="Arial"/>
          <w:sz w:val="16"/>
          <w:szCs w:val="16"/>
          <w:color w:val="auto"/>
        </w:rPr>
        <w:t>Notwithstanding the foregoing, to the extent that the Option is designated in the Stock Option Grant Notice as an ISO and is not deemed to be an ISO pursuant to Section 422(d) of the Code because the aggregate Fair Market Value (determined as of the Date of Option Grant) of any of the Shares with respect to which this ISO is granted becomes exercisable for the first time during any calendar year in excess of $100,000, the portion of the Option representing such excess value shall be treated as a Non-Qualified Option and the Participant shall be deemed to have taxable income measured by the difference between the then Fair Market Value of the Shares received upon exercise and the price paid for such Shares pursuant to this Agreement.</w:t>
      </w:r>
    </w:p>
    <w:p>
      <w:pPr>
        <w:spacing w:after="0" w:line="158"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8"/>
          <w:szCs w:val="18"/>
          <w:color w:val="auto"/>
        </w:rPr>
        <w:t>Neither the Company nor any Affiliate shall have any liability to the Participant, or any other party, if the Option (or any part thereof) that is intended to be an ISO is not an ISO or for any action taken by the Administrator, including without limitation the conversion of an ISO to a Non-Qualified Option.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1" w:name="page22"/>
    <w:bookmarkEnd w:id="21"/>
    <w:p>
      <w:pPr>
        <w:ind w:left="1280" w:hanging="624"/>
        <w:spacing w:after="0"/>
        <w:tabs>
          <w:tab w:leader="none" w:pos="12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NOTICE TO COMPANY OF DISQUALIFYING DISPOSITION OF AN ISO</w:t>
      </w:r>
      <w:r>
        <w:rPr>
          <w:rFonts w:ascii="Arial" w:cs="Arial" w:eastAsia="Arial" w:hAnsi="Arial"/>
          <w:sz w:val="18"/>
          <w:szCs w:val="18"/>
          <w:color w:val="auto"/>
        </w:rPr>
        <w:t>.</w:t>
      </w:r>
    </w:p>
    <w:p>
      <w:pPr>
        <w:spacing w:after="0" w:line="225" w:lineRule="exact"/>
        <w:rPr>
          <w:sz w:val="20"/>
          <w:szCs w:val="20"/>
          <w:color w:val="auto"/>
        </w:rPr>
      </w:pPr>
    </w:p>
    <w:p>
      <w:pPr>
        <w:jc w:val="both"/>
        <w:ind w:firstLine="1232"/>
        <w:spacing w:after="0" w:line="255" w:lineRule="auto"/>
        <w:rPr>
          <w:sz w:val="20"/>
          <w:szCs w:val="20"/>
          <w:color w:val="auto"/>
        </w:rPr>
      </w:pPr>
      <w:r>
        <w:rPr>
          <w:rFonts w:ascii="Arial" w:cs="Arial" w:eastAsia="Arial" w:hAnsi="Arial"/>
          <w:sz w:val="18"/>
          <w:szCs w:val="18"/>
          <w:color w:val="auto"/>
        </w:rPr>
        <w:t>If this Option is designated in the Stock Option Grant Notice as an ISO then the Participant agrees to notify the Company in writing immediately after the Participant makes a Disqualifying Disposition of any of the Shares acquired pursuant to the exercise of the ISO. A Disqualifying Disposition is defined in Section 424(c) of the Code and includes any disposition (including any sale) of such Shares before the later of (a) two years after the date the Participant was granted the ISO or (b) one year after the date the Participant acquired Shares by exercising the ISO, except as otherwise provided in Section 424(c) of the Code. If the Participant has died before the Shares are sold, these holding period requirements do not apply and no Disqualifying Disposition can occur thereafter.</w:t>
      </w:r>
    </w:p>
    <w:p>
      <w:pPr>
        <w:spacing w:after="0" w:line="193" w:lineRule="exact"/>
        <w:rPr>
          <w:sz w:val="20"/>
          <w:szCs w:val="20"/>
          <w:color w:val="auto"/>
        </w:rPr>
      </w:pPr>
    </w:p>
    <w:p>
      <w:pPr>
        <w:ind w:left="1280" w:hanging="624"/>
        <w:spacing w:after="0"/>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ind w:firstLine="1232"/>
        <w:spacing w:after="0" w:line="277" w:lineRule="auto"/>
        <w:rPr>
          <w:sz w:val="20"/>
          <w:szCs w:val="20"/>
          <w:color w:val="auto"/>
        </w:rPr>
      </w:pPr>
      <w:r>
        <w:rPr>
          <w:rFonts w:ascii="Arial" w:cs="Arial" w:eastAsia="Arial" w:hAnsi="Arial"/>
          <w:sz w:val="18"/>
          <w:szCs w:val="18"/>
          <w:color w:val="auto"/>
        </w:rPr>
        <w:t>Any notices required or permitted by the terms of this Agreement or the Plan shall be given by recognized courier service, facsimile, registered or certified mail, return receipt requested, addressed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Vringo, Inc.</w:t>
      </w:r>
    </w:p>
    <w:p>
      <w:pPr>
        <w:ind w:left="1240"/>
        <w:spacing w:after="0" w:line="195" w:lineRule="auto"/>
        <w:rPr>
          <w:sz w:val="20"/>
          <w:szCs w:val="20"/>
          <w:color w:val="auto"/>
        </w:rPr>
      </w:pPr>
      <w:r>
        <w:rPr>
          <w:rFonts w:ascii="Arial" w:cs="Arial" w:eastAsia="Arial" w:hAnsi="Arial"/>
          <w:sz w:val="18"/>
          <w:szCs w:val="18"/>
          <w:color w:val="auto"/>
        </w:rPr>
        <w:t>44 West 28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Suite 1414</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New York, New York 10001</w:t>
      </w:r>
    </w:p>
    <w:p>
      <w:pPr>
        <w:spacing w:after="0" w:line="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Attention: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Participant at the address set forth on the Stock Option Grant Notice</w:t>
      </w:r>
    </w:p>
    <w:p>
      <w:pPr>
        <w:spacing w:after="0" w:line="225"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or to such other address or addresses of which notice in the same manner has previously been given. Any such notice shall be deemed to have been given upon the earlier of receipt, one business day following delivery to a recognized courier service or three business days following mailing by registered or certified mail.</w:t>
      </w:r>
    </w:p>
    <w:p>
      <w:pPr>
        <w:spacing w:after="0" w:line="181" w:lineRule="exact"/>
        <w:rPr>
          <w:sz w:val="20"/>
          <w:szCs w:val="20"/>
          <w:color w:val="auto"/>
        </w:rPr>
      </w:pPr>
    </w:p>
    <w:p>
      <w:pPr>
        <w:ind w:left="1280" w:hanging="624"/>
        <w:spacing w:after="0"/>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225" w:lineRule="exact"/>
        <w:rPr>
          <w:sz w:val="20"/>
          <w:szCs w:val="20"/>
          <w:color w:val="auto"/>
        </w:rPr>
      </w:pPr>
    </w:p>
    <w:p>
      <w:pPr>
        <w:jc w:val="both"/>
        <w:ind w:firstLine="1232"/>
        <w:spacing w:after="0" w:line="259" w:lineRule="auto"/>
        <w:rPr>
          <w:sz w:val="20"/>
          <w:szCs w:val="20"/>
          <w:color w:val="auto"/>
        </w:rPr>
      </w:pPr>
      <w:r>
        <w:rPr>
          <w:rFonts w:ascii="Arial" w:cs="Arial" w:eastAsia="Arial" w:hAnsi="Arial"/>
          <w:sz w:val="18"/>
          <w:szCs w:val="18"/>
          <w:color w:val="auto"/>
        </w:rPr>
        <w:t>This Agreement shall be governed by and construed in accordance with the laws of the State of Delaware without giving effect to the conflict of law principles thereof. For the purpose of litigating any dispute that arises under this Agreement, the parties hereby consent to exclusive jurisdiction in New York and agree that such litigation shall be conducted in the state courts of New York or the federal courts of the United States for the District of New York.</w:t>
      </w:r>
    </w:p>
    <w:p>
      <w:pPr>
        <w:spacing w:after="0" w:line="187" w:lineRule="exact"/>
        <w:rPr>
          <w:sz w:val="20"/>
          <w:szCs w:val="20"/>
          <w:color w:val="auto"/>
        </w:rPr>
      </w:pPr>
    </w:p>
    <w:p>
      <w:pPr>
        <w:ind w:left="1280" w:hanging="624"/>
        <w:spacing w:after="0"/>
        <w:tabs>
          <w:tab w:leader="none" w:pos="12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BENEFIT OF AGREEMENT</w:t>
      </w:r>
      <w:r>
        <w:rPr>
          <w:rFonts w:ascii="Arial" w:cs="Arial" w:eastAsia="Arial" w:hAnsi="Arial"/>
          <w:sz w:val="18"/>
          <w:szCs w:val="18"/>
          <w:color w:val="auto"/>
        </w:rPr>
        <w:t>.</w:t>
      </w:r>
    </w:p>
    <w:p>
      <w:pPr>
        <w:spacing w:after="0" w:line="225" w:lineRule="exact"/>
        <w:rPr>
          <w:sz w:val="20"/>
          <w:szCs w:val="20"/>
          <w:color w:val="auto"/>
        </w:rPr>
      </w:pPr>
    </w:p>
    <w:p>
      <w:pPr>
        <w:ind w:firstLine="1232"/>
        <w:spacing w:after="0" w:line="277" w:lineRule="auto"/>
        <w:rPr>
          <w:sz w:val="20"/>
          <w:szCs w:val="20"/>
          <w:color w:val="auto"/>
        </w:rPr>
      </w:pPr>
      <w:r>
        <w:rPr>
          <w:rFonts w:ascii="Arial" w:cs="Arial" w:eastAsia="Arial" w:hAnsi="Arial"/>
          <w:sz w:val="18"/>
          <w:szCs w:val="18"/>
          <w:color w:val="auto"/>
        </w:rPr>
        <w:t>Subject to the provisions of the Plan and the other provisions hereof, this Agreement shall be for the benefit of and shall be binding upon the heirs, executors, administrators, successors and assigns of the parties hereto.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2" w:name="page23"/>
    <w:bookmarkEnd w:id="22"/>
    <w:p>
      <w:pPr>
        <w:ind w:left="1280" w:hanging="624"/>
        <w:spacing w:after="0"/>
        <w:tabs>
          <w:tab w:leader="none" w:pos="128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w:t>
      </w:r>
    </w:p>
    <w:p>
      <w:pPr>
        <w:spacing w:after="0" w:line="225" w:lineRule="exact"/>
        <w:rPr>
          <w:sz w:val="20"/>
          <w:szCs w:val="20"/>
          <w:color w:val="auto"/>
        </w:rPr>
      </w:pPr>
    </w:p>
    <w:p>
      <w:pPr>
        <w:jc w:val="both"/>
        <w:ind w:firstLine="1232"/>
        <w:spacing w:after="0" w:line="279" w:lineRule="auto"/>
        <w:rPr>
          <w:sz w:val="20"/>
          <w:szCs w:val="20"/>
          <w:color w:val="auto"/>
        </w:rPr>
      </w:pPr>
      <w:r>
        <w:rPr>
          <w:rFonts w:ascii="Arial" w:cs="Arial" w:eastAsia="Arial" w:hAnsi="Arial"/>
          <w:sz w:val="17"/>
          <w:szCs w:val="17"/>
          <w:color w:val="auto"/>
        </w:rPr>
        <w:t>This Agreement, together with the Plan, embodies the entire agreement and understanding between the parties hereto with respect to the subject matter hereof and supersedes all prior oral or written agreements and understandings relating to the subject matter hereof. No statement, representation, warranty, covenant or agreement not expressly set forth in this Agreement shall affect or be used to interpret, change or restrict, the express terms and provisions of this Agreement, provided, however, in any event, this Agreement shall be subject to and governed by the Plan.</w:t>
      </w:r>
    </w:p>
    <w:p>
      <w:pPr>
        <w:spacing w:after="0" w:line="171" w:lineRule="exact"/>
        <w:rPr>
          <w:sz w:val="20"/>
          <w:szCs w:val="20"/>
          <w:color w:val="auto"/>
        </w:rPr>
      </w:pPr>
    </w:p>
    <w:p>
      <w:pPr>
        <w:ind w:left="1280" w:hanging="624"/>
        <w:spacing w:after="0"/>
        <w:tabs>
          <w:tab w:leader="none" w:pos="128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MODIFICATIONS AND AMENDMENTS</w:t>
      </w:r>
      <w:r>
        <w:rPr>
          <w:rFonts w:ascii="Arial" w:cs="Arial" w:eastAsia="Arial" w:hAnsi="Arial"/>
          <w:sz w:val="18"/>
          <w:szCs w:val="18"/>
          <w:color w:val="auto"/>
        </w:rPr>
        <w:t>.</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The terms and provisions of this Agreement may be modified or amended as provided in the Plan.</w:t>
      </w:r>
    </w:p>
    <w:p>
      <w:pPr>
        <w:spacing w:after="0" w:line="225" w:lineRule="exact"/>
        <w:rPr>
          <w:sz w:val="20"/>
          <w:szCs w:val="20"/>
          <w:color w:val="auto"/>
        </w:rPr>
      </w:pPr>
    </w:p>
    <w:p>
      <w:pPr>
        <w:ind w:left="1280" w:hanging="624"/>
        <w:spacing w:after="0"/>
        <w:tabs>
          <w:tab w:leader="none" w:pos="12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WAIVERS AND CONSENTS</w:t>
      </w:r>
      <w:r>
        <w:rPr>
          <w:rFonts w:ascii="Arial" w:cs="Arial" w:eastAsia="Arial" w:hAnsi="Arial"/>
          <w:sz w:val="18"/>
          <w:szCs w:val="18"/>
          <w:color w:val="auto"/>
        </w:rPr>
        <w:t>.</w:t>
      </w:r>
    </w:p>
    <w:p>
      <w:pPr>
        <w:spacing w:after="0" w:line="225" w:lineRule="exact"/>
        <w:rPr>
          <w:sz w:val="20"/>
          <w:szCs w:val="20"/>
          <w:color w:val="auto"/>
        </w:rPr>
      </w:pPr>
    </w:p>
    <w:p>
      <w:pPr>
        <w:jc w:val="both"/>
        <w:ind w:firstLine="1232"/>
        <w:spacing w:after="0" w:line="302" w:lineRule="auto"/>
        <w:rPr>
          <w:sz w:val="20"/>
          <w:szCs w:val="20"/>
          <w:color w:val="auto"/>
        </w:rPr>
      </w:pPr>
      <w:r>
        <w:rPr>
          <w:rFonts w:ascii="Arial" w:cs="Arial" w:eastAsia="Arial" w:hAnsi="Arial"/>
          <w:sz w:val="16"/>
          <w:szCs w:val="16"/>
          <w:color w:val="auto"/>
        </w:rPr>
        <w:t>Except as provided in the Plan,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54" w:lineRule="exact"/>
        <w:rPr>
          <w:sz w:val="20"/>
          <w:szCs w:val="20"/>
          <w:color w:val="auto"/>
        </w:rPr>
      </w:pPr>
    </w:p>
    <w:p>
      <w:pPr>
        <w:ind w:left="1280" w:hanging="624"/>
        <w:spacing w:after="0"/>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w:t>
      </w:r>
    </w:p>
    <w:p>
      <w:pPr>
        <w:spacing w:after="0" w:line="225" w:lineRule="exact"/>
        <w:rPr>
          <w:sz w:val="20"/>
          <w:szCs w:val="20"/>
          <w:color w:val="auto"/>
        </w:rPr>
      </w:pPr>
    </w:p>
    <w:p>
      <w:pPr>
        <w:jc w:val="both"/>
        <w:ind w:firstLine="1232"/>
        <w:spacing w:after="0" w:line="279" w:lineRule="auto"/>
        <w:rPr>
          <w:sz w:val="20"/>
          <w:szCs w:val="20"/>
          <w:color w:val="auto"/>
        </w:rPr>
      </w:pPr>
      <w:r>
        <w:rPr>
          <w:rFonts w:ascii="Arial" w:cs="Arial" w:eastAsia="Arial" w:hAnsi="Arial"/>
          <w:sz w:val="17"/>
          <w:szCs w:val="17"/>
          <w:color w:val="auto"/>
        </w:rPr>
        <w:t>By entering into this Agreement, 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options and the administration of the Plan; and (ii) authorizes the Company and each Affiliate to store and transmit such information in electronic form for the purposes set forth in this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NOTICE OF EXERCISE OF STOCK OPTION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[Form for Shares </w:t>
      </w:r>
      <w:r>
        <w:rPr>
          <w:rFonts w:ascii="Arial" w:cs="Arial" w:eastAsia="Arial" w:hAnsi="Arial"/>
          <w:sz w:val="18"/>
          <w:szCs w:val="18"/>
          <w:b w:val="1"/>
          <w:bCs w:val="1"/>
          <w:u w:val="single" w:color="auto"/>
          <w:color w:val="auto"/>
        </w:rPr>
        <w:t>registered</w:t>
      </w:r>
      <w:r>
        <w:rPr>
          <w:rFonts w:ascii="Arial" w:cs="Arial" w:eastAsia="Arial" w:hAnsi="Arial"/>
          <w:sz w:val="18"/>
          <w:szCs w:val="18"/>
          <w:b w:val="1"/>
          <w:bCs w:val="1"/>
          <w:color w:val="auto"/>
        </w:rPr>
        <w:t xml:space="preserve"> in the United States]</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Vringo, Inc.</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IMPORTANT NOTICE: This form of Notice of Exercise may only be used at such time as the Company has filed a Registration Statement with the Securities and Exchange Commission under which the issuance of the Shares for which this exercise is being made is registered and such Registration Statement remains effective.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 hereby exercise my Stock Option to purchase _________ shares (the “Shares”) of the common stock, $0.01 par value, of Vringo, Inc.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“Company”), at the exercise price of $________ per share, pursuant to and subject to the terms of that Stock Option Grant Notice dated _______________,</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20__.</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 understand the nature of the investment I am making and the financial risks thereof. I am aware that it is my responsibility to have consulted with competent tax and legal advisors about the relevant national, state and local income tax and securities laws affecting the exercise of the Option and the purchase and subsequent sale of the Shares.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am paying the option exercise price for the Shares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36277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issue the Shares (check one):</w:t>
      </w:r>
    </w:p>
    <w:p>
      <w:pPr>
        <w:spacing w:after="0" w:line="225" w:lineRule="exact"/>
        <w:rPr>
          <w:sz w:val="20"/>
          <w:szCs w:val="20"/>
          <w:color w:val="auto"/>
        </w:rPr>
      </w:pPr>
    </w:p>
    <w:p>
      <w:pPr>
        <w:ind w:left="800" w:hanging="144"/>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me; or</w:t>
      </w:r>
    </w:p>
    <w:p>
      <w:pPr>
        <w:spacing w:after="0" w:line="225" w:lineRule="exact"/>
        <w:rPr>
          <w:rFonts w:ascii="Arial" w:cs="Arial" w:eastAsia="Arial" w:hAnsi="Arial"/>
          <w:sz w:val="18"/>
          <w:szCs w:val="18"/>
          <w:color w:val="auto"/>
        </w:rPr>
      </w:pPr>
    </w:p>
    <w:p>
      <w:pPr>
        <w:ind w:left="660" w:right="4240" w:hanging="4"/>
        <w:spacing w:after="0" w:line="528" w:lineRule="auto"/>
        <w:tabs>
          <w:tab w:leader="none" w:pos="7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me and ____________________________, as joint tenants with right of survivorship, at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408305</wp:posOffset>
            </wp:positionV>
            <wp:extent cx="36188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262890</wp:posOffset>
            </wp:positionV>
            <wp:extent cx="36188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116840</wp:posOffset>
            </wp:positionV>
            <wp:extent cx="36188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4" w:name="page25"/>
    <w:bookmarkEnd w:id="24"/>
    <w:p>
      <w:pPr>
        <w:ind w:left="660"/>
        <w:spacing w:after="0"/>
        <w:rPr>
          <w:sz w:val="20"/>
          <w:szCs w:val="20"/>
          <w:color w:val="auto"/>
        </w:rPr>
      </w:pPr>
      <w:r>
        <w:rPr>
          <w:rFonts w:ascii="Arial" w:cs="Arial" w:eastAsia="Arial" w:hAnsi="Arial"/>
          <w:sz w:val="16"/>
          <w:szCs w:val="16"/>
          <w:color w:val="auto"/>
        </w:rPr>
        <w:t>My mailing address for shareholder communications, if different from the address listed above,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595630</wp:posOffset>
            </wp:positionV>
            <wp:extent cx="36188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449580</wp:posOffset>
            </wp:positionV>
            <wp:extent cx="36188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304165</wp:posOffset>
            </wp:positionV>
            <wp:extent cx="36188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ectPr>
          <w:pgSz w:w="11900" w:h="16838" w:orient="portrait"/>
          <w:cols w:equalWidth="0" w:num="1">
            <w:col w:w="10219"/>
          </w:cols>
          <w:pgMar w:left="240" w:top="8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Accepted by: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Date of Receipt of Notice and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6277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55" w:lineRule="exact"/>
        <w:rPr>
          <w:sz w:val="20"/>
          <w:szCs w:val="20"/>
          <w:color w:val="auto"/>
        </w:rPr>
      </w:pPr>
    </w:p>
    <w:p>
      <w:pPr>
        <w:jc w:val="right"/>
        <w:ind w:right="2579"/>
        <w:spacing w:after="0"/>
        <w:rPr>
          <w:sz w:val="20"/>
          <w:szCs w:val="20"/>
          <w:color w:val="auto"/>
        </w:rPr>
      </w:pPr>
      <w:r>
        <w:rPr>
          <w:rFonts w:ascii="Arial" w:cs="Arial" w:eastAsia="Arial" w:hAnsi="Arial"/>
          <w:sz w:val="18"/>
          <w:szCs w:val="18"/>
          <w:color w:val="auto"/>
        </w:rPr>
        <w:t>Participant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36188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36188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36188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594" w:lineRule="exact"/>
        <w:rPr>
          <w:sz w:val="20"/>
          <w:szCs w:val="20"/>
          <w:color w:val="auto"/>
        </w:rPr>
      </w:pPr>
    </w:p>
    <w:p>
      <w:pPr>
        <w:sectPr>
          <w:pgSz w:w="11900" w:h="16838" w:orient="portrait"/>
          <w:cols w:equalWidth="0" w:num="2">
            <w:col w:w="5000" w:space="720"/>
            <w:col w:w="4499"/>
          </w:cols>
          <w:pgMar w:left="240" w:top="881" w:right="1440" w:bottom="1440" w:gutter="0" w:footer="0" w:header="0"/>
          <w:type w:val="continuous"/>
        </w:sectPr>
      </w:pPr>
    </w:p>
    <w:p>
      <w:pPr>
        <w:spacing w:after="0" w:line="264"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81" w:right="1440" w:bottom="1440" w:gutter="0" w:footer="0" w:header="0"/>
          <w:type w:val="continuous"/>
        </w:sectPr>
      </w:pPr>
    </w:p>
    <w:bookmarkStart w:id="25" w:name="page26"/>
    <w:bookmarkEnd w:id="25"/>
    <w:p>
      <w:pPr>
        <w:ind w:left="10300"/>
        <w:spacing w:after="0"/>
        <w:rPr>
          <w:sz w:val="20"/>
          <w:szCs w:val="20"/>
          <w:color w:val="auto"/>
        </w:rPr>
      </w:pPr>
      <w:r>
        <w:rPr>
          <w:rFonts w:ascii="Arial" w:cs="Arial" w:eastAsia="Arial" w:hAnsi="Arial"/>
          <w:sz w:val="19"/>
          <w:szCs w:val="19"/>
          <w:b w:val="1"/>
          <w:bCs w:val="1"/>
          <w:color w:val="auto"/>
        </w:rPr>
        <w:t>Exhibit 99.3</w:t>
      </w:r>
    </w:p>
    <w:p>
      <w:pPr>
        <w:spacing w:after="0" w:line="281" w:lineRule="exact"/>
        <w:rPr>
          <w:sz w:val="20"/>
          <w:szCs w:val="20"/>
          <w:color w:val="auto"/>
        </w:rPr>
      </w:pPr>
    </w:p>
    <w:p>
      <w:pPr>
        <w:ind w:left="8840"/>
        <w:spacing w:after="0"/>
        <w:rPr>
          <w:sz w:val="20"/>
          <w:szCs w:val="20"/>
          <w:color w:val="auto"/>
        </w:rPr>
      </w:pPr>
      <w:r>
        <w:rPr>
          <w:rFonts w:ascii="Arial" w:cs="Arial" w:eastAsia="Arial" w:hAnsi="Arial"/>
          <w:sz w:val="16"/>
          <w:szCs w:val="16"/>
          <w:color w:val="auto"/>
        </w:rPr>
        <w:t>Restricted Stock Unit No.________</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Grant Notice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Stock Unit Award Grant under the Company’s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Vringo, Inc. 2012 Employee, Director and Consultant Equity Incentive Plan</w:t>
      </w:r>
    </w:p>
    <w:p>
      <w:pPr>
        <w:spacing w:after="0" w:line="211" w:lineRule="exact"/>
        <w:rPr>
          <w:sz w:val="20"/>
          <w:szCs w:val="20"/>
          <w:color w:val="auto"/>
        </w:rPr>
      </w:pPr>
    </w:p>
    <w:p>
      <w:pPr>
        <w:ind w:left="720" w:hanging="712"/>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Name and Address of Participant: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720" w:hanging="712"/>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Date of Grant of</w:t>
      </w:r>
    </w:p>
    <w:p>
      <w:pPr>
        <w:spacing w:after="0" w:line="23"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Restricted Stock Unit Award:</w:t>
      </w:r>
    </w:p>
    <w:p>
      <w:pPr>
        <w:spacing w:after="0" w:line="224" w:lineRule="exact"/>
        <w:rPr>
          <w:rFonts w:ascii="Arial" w:cs="Arial" w:eastAsia="Arial" w:hAnsi="Arial"/>
          <w:sz w:val="18"/>
          <w:szCs w:val="18"/>
          <w:color w:val="auto"/>
        </w:rPr>
      </w:pPr>
    </w:p>
    <w:p>
      <w:pPr>
        <w:ind w:left="720" w:right="7780" w:hanging="712"/>
        <w:spacing w:after="0" w:line="342" w:lineRule="auto"/>
        <w:tabs>
          <w:tab w:leader="none" w:pos="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Maximum Number of Shares underlying Restricted Stock Unit Award:</w:t>
      </w:r>
    </w:p>
    <w:p>
      <w:pPr>
        <w:spacing w:after="0" w:line="137" w:lineRule="exact"/>
        <w:rPr>
          <w:rFonts w:ascii="Arial" w:cs="Arial" w:eastAsia="Arial" w:hAnsi="Arial"/>
          <w:sz w:val="16"/>
          <w:szCs w:val="16"/>
          <w:color w:val="auto"/>
        </w:rPr>
      </w:pPr>
    </w:p>
    <w:p>
      <w:pPr>
        <w:ind w:left="720" w:hanging="712"/>
        <w:spacing w:after="0" w:line="277"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Vesting of Award: This Restricted Stock Unit Award shall vest as follows provided the Participant is an Employee, director or Consultant of the Company or of an Affiliate on the applicable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-439420</wp:posOffset>
            </wp:positionV>
            <wp:extent cx="26758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75890" cy="8890"/>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-859790</wp:posOffset>
            </wp:positionV>
            <wp:extent cx="26758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75890" cy="8890"/>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-1280160</wp:posOffset>
            </wp:positionV>
            <wp:extent cx="26758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75890" cy="8890"/>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-1425575</wp:posOffset>
            </wp:positionV>
            <wp:extent cx="26758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75890" cy="8890"/>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-1571625</wp:posOffset>
            </wp:positionV>
            <wp:extent cx="26758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50" w:lineRule="exact"/>
        <w:rPr>
          <w:sz w:val="20"/>
          <w:szCs w:val="20"/>
          <w:color w:val="auto"/>
        </w:rPr>
      </w:pPr>
    </w:p>
    <w:p>
      <w:pPr>
        <w:ind w:left="700"/>
        <w:spacing w:after="0"/>
        <w:tabs>
          <w:tab w:leader="none" w:pos="6260" w:val="left"/>
        </w:tabs>
        <w:rPr>
          <w:sz w:val="20"/>
          <w:szCs w:val="20"/>
          <w:color w:val="auto"/>
        </w:rPr>
      </w:pPr>
      <w:r>
        <w:rPr>
          <w:rFonts w:ascii="Arial" w:cs="Arial" w:eastAsia="Arial" w:hAnsi="Arial"/>
          <w:sz w:val="18"/>
          <w:szCs w:val="18"/>
          <w:u w:val="single" w:color="auto"/>
          <w:color w:val="auto"/>
        </w:rPr>
        <w:t>Number of Restricted Stock Units</w:t>
      </w:r>
      <w:r>
        <w:rPr>
          <w:sz w:val="20"/>
          <w:szCs w:val="20"/>
          <w:color w:val="auto"/>
        </w:rPr>
        <w:tab/>
      </w:r>
      <w:r>
        <w:rPr>
          <w:rFonts w:ascii="Arial" w:cs="Arial" w:eastAsia="Arial" w:hAnsi="Arial"/>
          <w:sz w:val="16"/>
          <w:szCs w:val="16"/>
          <w:u w:val="single" w:color="auto"/>
          <w:color w:val="auto"/>
        </w:rPr>
        <w:t>Vesting Date</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[Notwithstanding the foregoing, in the event of a Change of Control, this Restricted Stock Unit Award shall fully vest and the Participant shall receive on the same day such event occurs such number of shares of Common Stock equivalent to the number of Restricted Stock Units subject to this Restricted Stock Unit Award which have not yet vested under this Agreement.]</w:t>
      </w:r>
    </w:p>
    <w:p>
      <w:pPr>
        <w:spacing w:after="0" w:line="1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and the Participant acknowledge receipt of this Restricted Stock Unit Award Grant Notice and agree to the terms of the Restricted Stock Unit Agreement attached hereto and incorporated by reference herein, the Company’s 2012 Employee, Director and Consultant Equity Incentive Plan and the terms of this Restricted Stock Unit Award as set forth above.</w:t>
      </w:r>
    </w:p>
    <w:p>
      <w:pPr>
        <w:spacing w:after="0" w:line="177"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-130810</wp:posOffset>
            </wp:positionV>
            <wp:extent cx="231521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ind w:left="6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22860</wp:posOffset>
            </wp:positionV>
            <wp:extent cx="23152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-121920</wp:posOffset>
            </wp:positionV>
            <wp:extent cx="23152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-127635</wp:posOffset>
            </wp:positionV>
            <wp:extent cx="28213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213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VRINGO, INC.</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b w:val="1"/>
          <w:bCs w:val="1"/>
          <w:u w:val="single" w:color="auto"/>
          <w:color w:val="auto"/>
        </w:rPr>
        <w:t>RESTRICTED STOCK UNIT AGREEMENT -</w:t>
      </w:r>
    </w:p>
    <w:p>
      <w:pPr>
        <w:spacing w:after="0" w:line="27" w:lineRule="exact"/>
        <w:rPr>
          <w:sz w:val="20"/>
          <w:szCs w:val="20"/>
          <w:color w:val="auto"/>
        </w:rPr>
      </w:pPr>
    </w:p>
    <w:p>
      <w:pPr>
        <w:ind w:left="3820"/>
        <w:spacing w:after="0"/>
        <w:rPr>
          <w:sz w:val="20"/>
          <w:szCs w:val="20"/>
          <w:color w:val="auto"/>
        </w:rPr>
      </w:pPr>
      <w:r>
        <w:rPr>
          <w:rFonts w:ascii="Arial" w:cs="Arial" w:eastAsia="Arial" w:hAnsi="Arial"/>
          <w:sz w:val="18"/>
          <w:szCs w:val="18"/>
          <w:b w:val="1"/>
          <w:bCs w:val="1"/>
          <w:u w:val="single" w:color="auto"/>
          <w:color w:val="auto"/>
        </w:rPr>
        <w:t>INCORPORATED TERMS AND CONDITIONS</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AGREEMENT made as of the date of grant set forth in the Restricted Stock Unit Award Grant Notice between Vringo, Inc. (the “Company”), a Delaware corporation, and the individual whose name appears on the Restricted Stock Unit Award Grant Notice (the “Participant”).</w:t>
      </w:r>
    </w:p>
    <w:p>
      <w:pPr>
        <w:spacing w:after="0" w:line="14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WHEREAS, the Company has adopted the Vringo Inc. 2012 Employee, Director and Consultant Equity Incentive Plan (the “Plan”), to promote the interests of the Company by providing an incentive for employees, directors and Consultants of the Company and its Affiliates;</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WHEREAS, pursuant to the provisions of the Plan, the Company desires to grant to the Participant restricted stock units (“RSUs”) related to the Company’s common stock, $0.01 par value per share (“Common Stock”), in accordance with the provisions of the Plan, all on the terms and conditions hereinafter set forth; and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and the Participant understand and agree that any terms used and not defined herein have the meanings ascribed to such terms in the Plan.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premises and the mutual covenants contained herein and for other good and valuable consideration, the receipt and sufficiency of which are hereby acknowledged, the parties hereto hereby agree as follows:</w:t>
      </w:r>
    </w:p>
    <w:p>
      <w:pPr>
        <w:spacing w:after="0" w:line="170" w:lineRule="exact"/>
        <w:rPr>
          <w:sz w:val="20"/>
          <w:szCs w:val="20"/>
          <w:color w:val="auto"/>
        </w:rPr>
      </w:pPr>
    </w:p>
    <w:p>
      <w:pPr>
        <w:jc w:val="both"/>
        <w:ind w:firstLine="656"/>
        <w:spacing w:after="0" w:line="259" w:lineRule="auto"/>
        <w:tabs>
          <w:tab w:leader="none" w:pos="1368"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Grant of Award</w:t>
      </w:r>
      <w:r>
        <w:rPr>
          <w:rFonts w:ascii="Arial" w:cs="Arial" w:eastAsia="Arial" w:hAnsi="Arial"/>
          <w:sz w:val="18"/>
          <w:szCs w:val="18"/>
          <w:color w:val="auto"/>
        </w:rPr>
        <w:t>. The Company hereby grants to the Participant the number of RSUs set forth in the Restricted Stock Unit Award Grant Notice (the “Award”) which represents a contingent entitlement of the Participant to receive shares of Common Stock, on the terms and conditions and subject to all the limitations set forth herein and in the Plan, which is incorporated herein by reference. The Participant acknowledges receipt of a copy of the Plan.</w:t>
      </w:r>
    </w:p>
    <w:p>
      <w:pPr>
        <w:spacing w:after="0" w:line="186" w:lineRule="exact"/>
        <w:rPr>
          <w:rFonts w:ascii="Arial" w:cs="Arial" w:eastAsia="Arial" w:hAnsi="Arial"/>
          <w:sz w:val="18"/>
          <w:szCs w:val="18"/>
          <w:color w:val="auto"/>
        </w:rPr>
      </w:pPr>
    </w:p>
    <w:p>
      <w:pPr>
        <w:ind w:left="1240" w:hanging="584"/>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Vesting of Award</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71" w:lineRule="auto"/>
        <w:tabs>
          <w:tab w:leader="none" w:pos="1509" w:val="left"/>
        </w:tabs>
        <w:numPr>
          <w:ilvl w:val="0"/>
          <w:numId w:val="39"/>
        </w:numPr>
        <w:rPr>
          <w:rFonts w:ascii="Arial" w:cs="Arial" w:eastAsia="Arial" w:hAnsi="Arial"/>
          <w:sz w:val="17"/>
          <w:szCs w:val="17"/>
          <w:color w:val="auto"/>
        </w:rPr>
      </w:pPr>
      <w:r>
        <w:rPr>
          <w:rFonts w:ascii="Arial" w:cs="Arial" w:eastAsia="Arial" w:hAnsi="Arial"/>
          <w:sz w:val="17"/>
          <w:szCs w:val="17"/>
          <w:color w:val="auto"/>
        </w:rPr>
        <w:t>Subject to the terms and conditions set forth in this Agreement and the Plan, the Award granted hereby shall vest as set forth in the Restricted Stock Unit Award Grant Notice and is subject to the other terms and conditions of this Agreement and the Plan. On each vesting date set forth in the Restricted Stock Unit Award Grant Notice, the Participant shall be entitled to receive such number of shares of Common Stock equivalent to the number of RSUs set forth opposite such vesting date provided that the Participant is employed or providing service to the Company or an Affiliate on such vesting date. Such shares of Common Stock shall thereafter be delivered by the Company to the Participant within five days of the applicable vesting date and in accordance with this Agreement and the Plan. The purchase price is $0.01 per share payable if and when shares of Common Stock are issued by the Company, which payment will be made by the Company on behalf of the Participant as compensation for the Participant’s prior service to the Company and which amount will be reported as income on the Participant’s W-2 (or other applicable form) in the year of payment.</w:t>
      </w:r>
    </w:p>
    <w:p>
      <w:pPr>
        <w:spacing w:after="0" w:line="178" w:lineRule="exact"/>
        <w:rPr>
          <w:rFonts w:ascii="Arial" w:cs="Arial" w:eastAsia="Arial" w:hAnsi="Arial"/>
          <w:sz w:val="17"/>
          <w:szCs w:val="17"/>
          <w:color w:val="auto"/>
        </w:rPr>
      </w:pPr>
    </w:p>
    <w:p>
      <w:pPr>
        <w:jc w:val="both"/>
        <w:ind w:firstLine="656"/>
        <w:spacing w:after="0" w:line="259" w:lineRule="auto"/>
        <w:tabs>
          <w:tab w:leader="none" w:pos="1498"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Except as otherwise set forth in this Agreement, if the Participant ceases to be employed or providing services for any reason by the Company or by an Affiliate (the “Termination”) prior to a vesting date set forth in the Restricted Stock Unit Award Grant Notice, then as of the date on which the Participant’s employment or service terminates, all unvested RSUs shall immediately be forfeited to the Company and this Agreement shall terminate and be of no further force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both"/>
        <w:ind w:firstLine="656"/>
        <w:spacing w:after="0" w:line="259" w:lineRule="auto"/>
        <w:tabs>
          <w:tab w:leader="none" w:pos="135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Effect of a For Cause Termination</w:t>
      </w:r>
      <w:r>
        <w:rPr>
          <w:rFonts w:ascii="Arial" w:cs="Arial" w:eastAsia="Arial" w:hAnsi="Arial"/>
          <w:sz w:val="18"/>
          <w:szCs w:val="18"/>
          <w:color w:val="auto"/>
        </w:rPr>
        <w:t>. Notwithstanding anything to the contrary contained in this Agreement, in the event the Company or an Affiliate terminates the Participant’s employment or service for Cause, all of the RSUs then held by the Participant shall be forfeited to the Company immediately as of the time the Participant is notified that he or she has been terminated for Cause or that he or she engaged in conduct which would constitute Cause and this Agreement shall terminate and be of no further force or effect.</w:t>
      </w:r>
    </w:p>
    <w:p>
      <w:pPr>
        <w:spacing w:after="0" w:line="187" w:lineRule="exact"/>
        <w:rPr>
          <w:sz w:val="20"/>
          <w:szCs w:val="20"/>
          <w:color w:val="auto"/>
        </w:rPr>
      </w:pPr>
    </w:p>
    <w:p>
      <w:pPr>
        <w:jc w:val="both"/>
        <w:ind w:firstLine="656"/>
        <w:spacing w:after="0" w:line="270" w:lineRule="auto"/>
        <w:tabs>
          <w:tab w:leader="none" w:pos="1355"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Prohibitions on Transfer and Sale</w:t>
      </w:r>
      <w:r>
        <w:rPr>
          <w:rFonts w:ascii="Arial" w:cs="Arial" w:eastAsia="Arial" w:hAnsi="Arial"/>
          <w:sz w:val="17"/>
          <w:szCs w:val="17"/>
          <w:color w:val="auto"/>
        </w:rPr>
        <w:t>. This Award (including any additional RSUs received by the Participant as a result of stock dividends, stock splits or any other similar transaction affecting the Company's securities without receipt of consideration) shall not be transferable by the Participant otherwise than (i) by will or by the laws of descent and distribution, or (ii) pursuant to a qualified domestic relations order as defined by the Internal Revenue Code or Title I of the Employee Retirement Income Security Act or the rules thereunder. Except as provided in the previous sentence, the shares of Common Stock to be issued pursuant to this Agreement shall be issued, during the Participant's lifetime, only to the Participant (or, in the event of legal incapacity or incompetence, to the Participant's guardian or representative). This Award shall not be assigned, pledged or hypothecated in any way (whether by operation of law or otherwise) and shall not be subject to execution, attachment or similar process. Any attempted transfer, assignment, pledge, hypothecation or other disposition of this Award or of any rights granted hereunder contrary to the provisions of this Section 3, or the levy of any attachment or similar process upon this Award shall be null and void.</w:t>
      </w:r>
    </w:p>
    <w:p>
      <w:pPr>
        <w:spacing w:after="0" w:line="181" w:lineRule="exact"/>
        <w:rPr>
          <w:rFonts w:ascii="Arial" w:cs="Arial" w:eastAsia="Arial" w:hAnsi="Arial"/>
          <w:sz w:val="17"/>
          <w:szCs w:val="17"/>
          <w:color w:val="auto"/>
        </w:rPr>
      </w:pPr>
    </w:p>
    <w:p>
      <w:pPr>
        <w:jc w:val="both"/>
        <w:ind w:firstLine="656"/>
        <w:spacing w:after="0" w:line="264" w:lineRule="auto"/>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The Plan contains provisions covering the treatment of RSUs and shares of Common Stock in a number of contingencies such as stock splits. Provisions in the Plan for adjustment with respect to this Award and the related provisions with respect to successors to the business of the Company are hereby made applicable hereunder and are incorporated herein by reference.</w:t>
      </w:r>
    </w:p>
    <w:p>
      <w:pPr>
        <w:spacing w:after="0" w:line="181" w:lineRule="exact"/>
        <w:rPr>
          <w:rFonts w:ascii="Arial" w:cs="Arial" w:eastAsia="Arial" w:hAnsi="Arial"/>
          <w:sz w:val="18"/>
          <w:szCs w:val="18"/>
          <w:color w:val="auto"/>
        </w:rPr>
      </w:pPr>
    </w:p>
    <w:p>
      <w:pPr>
        <w:jc w:val="both"/>
        <w:ind w:firstLine="656"/>
        <w:spacing w:after="0" w:line="272" w:lineRule="auto"/>
        <w:tabs>
          <w:tab w:leader="none" w:pos="1274"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Securities Law Compliance</w:t>
      </w:r>
      <w:r>
        <w:rPr>
          <w:rFonts w:ascii="Arial" w:cs="Arial" w:eastAsia="Arial" w:hAnsi="Arial"/>
          <w:sz w:val="17"/>
          <w:szCs w:val="17"/>
          <w:color w:val="auto"/>
        </w:rPr>
        <w:t>. The Participant specifically acknowledges and agrees that any sales of shares of Common Stock shall be made in accordance with the requirements of the Securities Act of 1933, as amended. The Company currently has an effective registration statement on file with the Securities and Exchange Commission with respect to the Common Stock to be granted hereunder. The Company intends to maintain this registration statement but has no obligation to do so. If the registration statement ceases to be effective for any reason or there is a restriction under foreign law, you will not be able to transfer or sell any of the shares of Common Stock issued to you pursuant to this Agreement unless exemptions from registration or filings under applicable securities laws are available. The Company shall not be obligated to either issue the Common Stock or permit the resale of any shares of Common Stock if such issuance or resale would violate any applicable securities law, rule or regulation.</w:t>
      </w:r>
    </w:p>
    <w:p>
      <w:pPr>
        <w:spacing w:after="0" w:line="177" w:lineRule="exact"/>
        <w:rPr>
          <w:rFonts w:ascii="Arial" w:cs="Arial" w:eastAsia="Arial" w:hAnsi="Arial"/>
          <w:sz w:val="17"/>
          <w:szCs w:val="17"/>
          <w:color w:val="auto"/>
        </w:rPr>
      </w:pPr>
    </w:p>
    <w:p>
      <w:pPr>
        <w:ind w:firstLine="656"/>
        <w:spacing w:after="0" w:line="277" w:lineRule="auto"/>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The Participant shall have no right as a stockholder, including voting and dividend rights, with respect to the RSUs subject to this Agreement.</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30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Incorporation of the Plan</w:t>
      </w:r>
      <w:r>
        <w:rPr>
          <w:rFonts w:ascii="Arial" w:cs="Arial" w:eastAsia="Arial" w:hAnsi="Arial"/>
          <w:sz w:val="18"/>
          <w:szCs w:val="18"/>
          <w:color w:val="auto"/>
        </w:rPr>
        <w:t>. The Participant specifically understands and agrees that the RSUs and the shares of Common Stock to be issued under the Plan will be issued to the Participant pursuant to the Plan, a copy of which Plan the Participant acknowledges he or she has read and understands and by which Plan he or she agrees to be bound. The provisions of the Plan are incorporated herein by reference.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both"/>
        <w:ind w:firstLine="656"/>
        <w:spacing w:after="0" w:line="255" w:lineRule="auto"/>
        <w:tabs>
          <w:tab w:leader="none" w:pos="1247"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Tax Liability of the Participant and Payment of Taxes</w:t>
      </w:r>
      <w:r>
        <w:rPr>
          <w:rFonts w:ascii="Arial" w:cs="Arial" w:eastAsia="Arial" w:hAnsi="Arial"/>
          <w:sz w:val="18"/>
          <w:szCs w:val="18"/>
          <w:color w:val="auto"/>
        </w:rPr>
        <w:t>. The Participant acknowledges and agrees that any income or other taxes due from the Participant with respect to this Award or the shares of Common Stock to be issued pursuant to this Agreement or otherwise sold shall be the Participant’s responsibility. Without limiting the foregoing, the Participant agrees that if under applicable law the Participant will owe taxes at each vesting date on the portion of the Award then vested the Company shall be entitled to immediate payment from the Participant of the amount of any tax required to be withheld by the Company. Any taxes or other amounts required to be withheld by the Company by applicable law or regulation shall be paid, at the option of the Company as follows:</w:t>
      </w:r>
    </w:p>
    <w:p>
      <w:pPr>
        <w:spacing w:after="0" w:line="193" w:lineRule="exact"/>
        <w:rPr>
          <w:rFonts w:ascii="Arial" w:cs="Arial" w:eastAsia="Arial" w:hAnsi="Arial"/>
          <w:sz w:val="18"/>
          <w:szCs w:val="18"/>
          <w:color w:val="auto"/>
        </w:rPr>
      </w:pPr>
    </w:p>
    <w:p>
      <w:pPr>
        <w:jc w:val="both"/>
        <w:ind w:firstLine="1305"/>
        <w:spacing w:after="0" w:line="257" w:lineRule="auto"/>
        <w:tabs>
          <w:tab w:leader="none" w:pos="2007" w:val="left"/>
        </w:tabs>
        <w:numPr>
          <w:ilvl w:val="2"/>
          <w:numId w:val="42"/>
        </w:numPr>
        <w:rPr>
          <w:rFonts w:ascii="Arial" w:cs="Arial" w:eastAsia="Arial" w:hAnsi="Arial"/>
          <w:sz w:val="18"/>
          <w:szCs w:val="18"/>
          <w:color w:val="auto"/>
        </w:rPr>
      </w:pPr>
      <w:r>
        <w:rPr>
          <w:rFonts w:ascii="Arial" w:cs="Arial" w:eastAsia="Arial" w:hAnsi="Arial"/>
          <w:sz w:val="18"/>
          <w:szCs w:val="18"/>
          <w:color w:val="auto"/>
        </w:rPr>
        <w:t>through reducing the number of shares of Common Stock entitled to be issued to the Participant on the applicable vesting date in an amount equal to the statutory minimum of the Participant’s total tax and other withholding obligations due and payable by the Company. Fractional shares will not be retained to satisfy any portion of the Company’s withholding obligation. Accordingly, the Participant agrees that in the event that the amount of withholding required would result in a fraction of a share being owed, that amount will be satisfied by withholding the fractional amount from the Participant’s paycheck;</w:t>
      </w:r>
    </w:p>
    <w:p>
      <w:pPr>
        <w:spacing w:after="0" w:line="188" w:lineRule="exact"/>
        <w:rPr>
          <w:rFonts w:ascii="Arial" w:cs="Arial" w:eastAsia="Arial" w:hAnsi="Arial"/>
          <w:sz w:val="18"/>
          <w:szCs w:val="18"/>
          <w:color w:val="auto"/>
        </w:rPr>
      </w:pPr>
    </w:p>
    <w:p>
      <w:pPr>
        <w:jc w:val="both"/>
        <w:ind w:firstLine="1305"/>
        <w:spacing w:after="0" w:line="286" w:lineRule="auto"/>
        <w:tabs>
          <w:tab w:leader="none" w:pos="2039" w:val="left"/>
        </w:tabs>
        <w:numPr>
          <w:ilvl w:val="2"/>
          <w:numId w:val="42"/>
        </w:numPr>
        <w:rPr>
          <w:rFonts w:ascii="Arial" w:cs="Arial" w:eastAsia="Arial" w:hAnsi="Arial"/>
          <w:sz w:val="17"/>
          <w:szCs w:val="17"/>
          <w:color w:val="auto"/>
        </w:rPr>
      </w:pPr>
      <w:r>
        <w:rPr>
          <w:rFonts w:ascii="Arial" w:cs="Arial" w:eastAsia="Arial" w:hAnsi="Arial"/>
          <w:sz w:val="17"/>
          <w:szCs w:val="17"/>
          <w:color w:val="auto"/>
        </w:rPr>
        <w:t>requiring the Participant to deposit with the Company an amount of cash equal to the amount determined by the Company to be required to be withheld with respect to the statutory minimum amount of the Participant’s total tax and other withholding obligations due and payable by the Company or otherwise withholding from the Participant’s paycheck an amount equal to such amounts due and payable by the Company; or</w:t>
      </w:r>
    </w:p>
    <w:p>
      <w:pPr>
        <w:spacing w:after="0" w:line="165" w:lineRule="exact"/>
        <w:rPr>
          <w:rFonts w:ascii="Arial" w:cs="Arial" w:eastAsia="Arial" w:hAnsi="Arial"/>
          <w:sz w:val="17"/>
          <w:szCs w:val="17"/>
          <w:color w:val="auto"/>
        </w:rPr>
      </w:pPr>
    </w:p>
    <w:p>
      <w:pPr>
        <w:jc w:val="both"/>
        <w:ind w:firstLine="1305"/>
        <w:spacing w:after="0" w:line="283" w:lineRule="auto"/>
        <w:tabs>
          <w:tab w:leader="none" w:pos="2025" w:val="left"/>
        </w:tabs>
        <w:numPr>
          <w:ilvl w:val="2"/>
          <w:numId w:val="42"/>
        </w:numPr>
        <w:rPr>
          <w:rFonts w:ascii="Arial" w:cs="Arial" w:eastAsia="Arial" w:hAnsi="Arial"/>
          <w:sz w:val="16"/>
          <w:szCs w:val="16"/>
          <w:color w:val="auto"/>
        </w:rPr>
      </w:pPr>
      <w:r>
        <w:rPr>
          <w:rFonts w:ascii="Arial" w:cs="Arial" w:eastAsia="Arial" w:hAnsi="Arial"/>
          <w:sz w:val="16"/>
          <w:szCs w:val="16"/>
          <w:color w:val="auto"/>
        </w:rPr>
        <w:t>if the Company believes that the sale of shares can be made in compliance with applicable securities laws, authorizing, at a time when the Participant is not in possession of material nonpublic information, the sale by the Participant on the applicable vesting date of such number of shares of Common Stock as the Company instructs a registered broker to sell to satisfy the Company’s withholding obligation, after deduction of the broker’s commission, and the broker shall be required to remit to the Company the cash necessary in order for the Company to satisfy its withholding obligation. To the extent the proceeds of such sale exceed the Company’s withholding obligation the Company agrees to pay such excess cash to the Participant as soon as practicable. In addition, if such sale is not sufficient to pay the Company’s withholding obligation the Participant agrees to pay to the Company as soon as practicable, including through additional payroll withholding, the amount of any withholding obligation that is not satisfied by the sale of shares of Common Stock. The Participant agrees to hold the Company and the broker harmless from all costs, damages or expenses relating to any such sale. The Participant acknowledges that the Company and the broker are under no obligation to arrange for such sale at any particular price. In connection with such sale of shares of Common Stock, the Participant shall execute any such documents requested by the broker in order to effectuate the sale of shares of Common Stock and payment of the withholding obligation to the Company. The Participant acknowledges that this paragraph is intended to comply with Section 10b5-1(c)(1(i)</w:t>
      </w:r>
    </w:p>
    <w:p>
      <w:pPr>
        <w:spacing w:after="0" w:line="4" w:lineRule="exact"/>
        <w:rPr>
          <w:rFonts w:ascii="Arial" w:cs="Arial" w:eastAsia="Arial" w:hAnsi="Arial"/>
          <w:sz w:val="16"/>
          <w:szCs w:val="16"/>
          <w:color w:val="auto"/>
        </w:rPr>
      </w:pPr>
    </w:p>
    <w:p>
      <w:pPr>
        <w:ind w:left="300" w:hanging="292"/>
        <w:spacing w:after="0"/>
        <w:tabs>
          <w:tab w:leader="none" w:pos="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under the Exchange Act.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shall not deliver any shares of Common Stock to the Participant until it is satisfied that all required withholdings have been made.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ind w:left="1300" w:right="6460" w:hanging="644"/>
        <w:spacing w:after="0" w:line="563" w:lineRule="auto"/>
        <w:tabs>
          <w:tab w:leader="none" w:pos="1237"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Participant Acknowledgements and Authorizations</w:t>
      </w:r>
      <w:r>
        <w:rPr>
          <w:rFonts w:ascii="Arial" w:cs="Arial" w:eastAsia="Arial" w:hAnsi="Arial"/>
          <w:sz w:val="16"/>
          <w:szCs w:val="16"/>
          <w:color w:val="auto"/>
        </w:rPr>
        <w:t>. The Participant acknowledges the following:</w:t>
      </w:r>
    </w:p>
    <w:p>
      <w:pPr>
        <w:spacing w:after="0" w:line="1" w:lineRule="exact"/>
        <w:rPr>
          <w:rFonts w:ascii="Arial" w:cs="Arial" w:eastAsia="Arial" w:hAnsi="Arial"/>
          <w:sz w:val="16"/>
          <w:szCs w:val="16"/>
          <w:color w:val="auto"/>
        </w:rPr>
      </w:pPr>
    </w:p>
    <w:p>
      <w:pPr>
        <w:ind w:left="2020" w:hanging="715"/>
        <w:spacing w:after="0"/>
        <w:tabs>
          <w:tab w:leader="none" w:pos="20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The Company is not by the Plan or this Award obligated to continue the Participant as an employee, director or Consultant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 or an Affiliate.</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Plan is discretionary in nature and may be suspended or terminated by the Company at any time.</w:t>
      </w:r>
    </w:p>
    <w:p>
      <w:pPr>
        <w:spacing w:after="0" w:line="225" w:lineRule="exact"/>
        <w:rPr>
          <w:rFonts w:ascii="Arial" w:cs="Arial" w:eastAsia="Arial" w:hAnsi="Arial"/>
          <w:sz w:val="18"/>
          <w:szCs w:val="18"/>
          <w:color w:val="auto"/>
        </w:rPr>
      </w:pPr>
    </w:p>
    <w:p>
      <w:pPr>
        <w:ind w:right="20" w:firstLine="1305"/>
        <w:spacing w:after="0" w:line="277" w:lineRule="auto"/>
        <w:tabs>
          <w:tab w:leader="none" w:pos="1959"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grant of this Award is considered a one-time benefit and does not create a contractual or other right to receive any other award under the Plan, benefits in lieu of awards or any other benefits in the future.</w:t>
      </w:r>
    </w:p>
    <w:p>
      <w:pPr>
        <w:spacing w:after="0" w:line="170" w:lineRule="exact"/>
        <w:rPr>
          <w:rFonts w:ascii="Arial" w:cs="Arial" w:eastAsia="Arial" w:hAnsi="Arial"/>
          <w:sz w:val="18"/>
          <w:szCs w:val="18"/>
          <w:color w:val="auto"/>
        </w:rPr>
      </w:pPr>
    </w:p>
    <w:p>
      <w:pPr>
        <w:ind w:firstLine="1305"/>
        <w:spacing w:after="0" w:line="277" w:lineRule="auto"/>
        <w:tabs>
          <w:tab w:leader="none" w:pos="2185"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Plan is a voluntary program of the Company and future awards, if any, will be at the sole discretion of the Company, including, but not limited to, the timing of any grant, the amount of any award, vesting provisions and the purchase price, if any.</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2185"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value of this Award is an extraordinary item of compensation outside of the scope of the Participant’s employment or consulting contract, if any. As such the Award is not part of normal or expected compensation for purposes of calculating any severance, resignation, redundancy, end of service payments, bonuses, long-service awards, pension or retirement benefits or similar payments. The future value of the shares of Common Stock is unknown and cannot be predicted with certainty.</w:t>
      </w:r>
    </w:p>
    <w:p>
      <w:pPr>
        <w:spacing w:after="0" w:line="186" w:lineRule="exact"/>
        <w:rPr>
          <w:rFonts w:ascii="Arial" w:cs="Arial" w:eastAsia="Arial" w:hAnsi="Arial"/>
          <w:sz w:val="18"/>
          <w:szCs w:val="18"/>
          <w:color w:val="auto"/>
        </w:rPr>
      </w:pPr>
    </w:p>
    <w:p>
      <w:pPr>
        <w:jc w:val="both"/>
        <w:ind w:firstLine="1305"/>
        <w:spacing w:after="0" w:line="259" w:lineRule="auto"/>
        <w:tabs>
          <w:tab w:leader="none" w:pos="2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the Award and the administration of the Plan; and (ii) authorizes the Company and its Affiliates to store and transmit such information in electronic form for the purposes set forth in this Agreement.</w:t>
      </w:r>
    </w:p>
    <w:p>
      <w:pPr>
        <w:spacing w:after="0" w:line="186" w:lineRule="exact"/>
        <w:rPr>
          <w:rFonts w:ascii="Arial" w:cs="Arial" w:eastAsia="Arial" w:hAnsi="Arial"/>
          <w:sz w:val="18"/>
          <w:szCs w:val="18"/>
          <w:color w:val="auto"/>
        </w:rPr>
      </w:pPr>
    </w:p>
    <w:p>
      <w:pPr>
        <w:ind w:firstLine="656"/>
        <w:spacing w:after="0" w:line="277" w:lineRule="auto"/>
        <w:tabs>
          <w:tab w:leader="none" w:pos="1526"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required or permitted by the terms of this Agreement or the Plan shall be given by recognized courier service, facsimile, registered or certified mail, return receipt requested, addressed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Vringo, Inc.</w:t>
      </w:r>
    </w:p>
    <w:p>
      <w:pPr>
        <w:ind w:left="980"/>
        <w:spacing w:after="0" w:line="195" w:lineRule="auto"/>
        <w:rPr>
          <w:sz w:val="20"/>
          <w:szCs w:val="20"/>
          <w:color w:val="auto"/>
        </w:rPr>
      </w:pPr>
      <w:r>
        <w:rPr>
          <w:rFonts w:ascii="Arial" w:cs="Arial" w:eastAsia="Arial" w:hAnsi="Arial"/>
          <w:sz w:val="18"/>
          <w:szCs w:val="18"/>
          <w:color w:val="auto"/>
        </w:rPr>
        <w:t>44 West 28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Suite 1414</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New York 10001</w:t>
      </w:r>
    </w:p>
    <w:p>
      <w:pPr>
        <w:spacing w:after="0" w:line="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Chief Financial Officer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Participant at the address set forth on the Restricted Stock Unit Award Grant Notice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 to such other address or addresses of which notice in the same manner has previously been given. Any such notice shall be deemed to have been given on the earliest of receipt, one business day following delivery by the sender to a recognized courier service, or three business days following mailing by registered or certified mail.</w:t>
      </w:r>
    </w:p>
    <w:p>
      <w:pPr>
        <w:spacing w:after="0" w:line="181" w:lineRule="exact"/>
        <w:rPr>
          <w:sz w:val="20"/>
          <w:szCs w:val="20"/>
          <w:color w:val="auto"/>
        </w:rPr>
      </w:pPr>
    </w:p>
    <w:p>
      <w:pPr>
        <w:ind w:left="1320" w:hanging="664"/>
        <w:spacing w:after="0"/>
        <w:tabs>
          <w:tab w:leader="none" w:pos="13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Assignment and Successors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987"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This Agreement is personal to the Participant and without the prior written consent of the Company shall not be assignable by the Participant otherwise than by will or the laws of descent and distribution. This Agreement shall inure to the benefit of and be enforceable by the Participant’s legal representatives.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ind w:left="1960" w:hanging="655"/>
        <w:spacing w:after="0"/>
        <w:tabs>
          <w:tab w:leader="none" w:pos="1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binding upon the Company and its successors and assigns.</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35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and enforced in accordance with the laws of the Delaware, without giving effect to the conflict of law principles thereof. For the purpose of litigating any dispute that arises under this Agreement, the parties hereby consent to exclusive jurisdiction in New York and agree that such litigation shall be conducted in the state courts of New York or the federal courts of the United States for the District of New York.</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48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to be invalid or unenforceable by a court of competent jurisdiction, then such provision or provisions shall be modified to the extent necessary to make such provision valid and enforceable, and to the extent that this is impossible, then such provision shall be deemed to be excised from this Agreement, and the validity, legality and enforceability of the rest of this Agreement shall not be affected thereby.</w:t>
      </w:r>
    </w:p>
    <w:p>
      <w:pPr>
        <w:spacing w:after="0" w:line="186" w:lineRule="exact"/>
        <w:rPr>
          <w:rFonts w:ascii="Arial" w:cs="Arial" w:eastAsia="Arial" w:hAnsi="Arial"/>
          <w:sz w:val="18"/>
          <w:szCs w:val="18"/>
          <w:color w:val="auto"/>
        </w:rPr>
      </w:pPr>
    </w:p>
    <w:p>
      <w:pPr>
        <w:jc w:val="both"/>
        <w:ind w:firstLine="656"/>
        <w:spacing w:after="0" w:line="302" w:lineRule="auto"/>
        <w:tabs>
          <w:tab w:leader="none" w:pos="1391"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Plan, constitutes the entire agreement and understanding between the parties hereto with respect to the subject matter hereof and supersedes all prior oral or written agreements and understandings relating to the subject matter hereof. No statement, representation, warranty, covenant or agreement not expressly set forth in this Agreement shall affect or be used to interpret, change or restrict the express terms and provisions of this Agreement provided, however, in any event, this Agreement shall be subject to and governed by the Plan.</w:t>
      </w:r>
    </w:p>
    <w:p>
      <w:pPr>
        <w:spacing w:after="0" w:line="154" w:lineRule="exact"/>
        <w:rPr>
          <w:rFonts w:ascii="Arial" w:cs="Arial" w:eastAsia="Arial" w:hAnsi="Arial"/>
          <w:sz w:val="16"/>
          <w:szCs w:val="16"/>
          <w:color w:val="auto"/>
        </w:rPr>
      </w:pPr>
    </w:p>
    <w:p>
      <w:pPr>
        <w:jc w:val="both"/>
        <w:ind w:firstLine="656"/>
        <w:spacing w:after="0" w:line="297" w:lineRule="auto"/>
        <w:tabs>
          <w:tab w:leader="none" w:pos="1485"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Modifications and Amendments; Waivers and Consents</w:t>
      </w:r>
      <w:r>
        <w:rPr>
          <w:rFonts w:ascii="Arial" w:cs="Arial" w:eastAsia="Arial" w:hAnsi="Arial"/>
          <w:sz w:val="16"/>
          <w:szCs w:val="16"/>
          <w:color w:val="auto"/>
        </w:rPr>
        <w:t>. The terms and provisions of this Agreement may be modified or amended as provided in the Plan. Except as provided in the Plan,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58" w:lineRule="exact"/>
        <w:rPr>
          <w:rFonts w:ascii="Arial" w:cs="Arial" w:eastAsia="Arial" w:hAnsi="Arial"/>
          <w:sz w:val="16"/>
          <w:szCs w:val="16"/>
          <w:color w:val="auto"/>
        </w:rPr>
      </w:pPr>
    </w:p>
    <w:p>
      <w:pPr>
        <w:jc w:val="both"/>
        <w:ind w:firstLine="656"/>
        <w:spacing w:after="0" w:line="264" w:lineRule="auto"/>
        <w:tabs>
          <w:tab w:leader="none" w:pos="1418"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The Award of RSUs evidenced by this Agreement is intended to be exempt from the nonqualified deferred compensation rules of Section 409A of the Code as a “short term deferral” (as that term is used in the final regulations and other guidance issued under Section 409A of the Code, including Treasury Regulation Section 1.409A-1(b)(4)(i)), and shall be construed accordingly.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22"/>
          <w:szCs w:val="22"/>
          <w:b w:val="1"/>
          <w:bCs w:val="1"/>
          <w:color w:val="auto"/>
        </w:rPr>
        <w:t>Exhibit 99.4</w:t>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LABRADOR SEARCH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EQUITY INCENTIVE PLAN</w:t>
      </w:r>
    </w:p>
    <w:p>
      <w:pPr>
        <w:spacing w:after="0" w:line="211" w:lineRule="exact"/>
        <w:rPr>
          <w:sz w:val="20"/>
          <w:szCs w:val="20"/>
          <w:color w:val="auto"/>
        </w:rPr>
      </w:pPr>
    </w:p>
    <w:p>
      <w:pPr>
        <w:jc w:val="both"/>
        <w:ind w:firstLine="656"/>
        <w:spacing w:after="0" w:line="297" w:lineRule="auto"/>
        <w:tabs>
          <w:tab w:leader="none" w:pos="828"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Purpose</w:t>
      </w:r>
      <w:r>
        <w:rPr>
          <w:rFonts w:ascii="Arial" w:cs="Arial" w:eastAsia="Arial" w:hAnsi="Arial"/>
          <w:sz w:val="16"/>
          <w:szCs w:val="16"/>
          <w:color w:val="auto"/>
        </w:rPr>
        <w:t>. The purpose of the Labrador Search Corporation 2011 Equity Incentive Plan is to provide a means through which the Company and its</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may attract and retain key personnel and to provide a means whereby directors, officers, managers, employees, consultants and advisors (and prospective directors, officers, managers, employees, consultants and advisors) of the Company and its Affiliates can acquire and maintain an equity interest in the Company, or be paid incentive compensation, which may (but need not) be measured by reference to the value of Common Shares, thereby strengthening their commitment to the welfare of the Company and its Affiliates and aligning their interests with those of the Company’s stockholders.</w:t>
      </w:r>
    </w:p>
    <w:p>
      <w:pPr>
        <w:spacing w:after="0" w:line="158" w:lineRule="exact"/>
        <w:rPr>
          <w:rFonts w:ascii="Arial" w:cs="Arial" w:eastAsia="Arial" w:hAnsi="Arial"/>
          <w:sz w:val="16"/>
          <w:szCs w:val="16"/>
          <w:color w:val="auto"/>
        </w:rPr>
      </w:pPr>
    </w:p>
    <w:p>
      <w:pPr>
        <w:ind w:left="840" w:hanging="184"/>
        <w:spacing w:after="0"/>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 The following definitions shall be applicable throughout this Plan:</w:t>
      </w:r>
    </w:p>
    <w:p>
      <w:pPr>
        <w:spacing w:after="0" w:line="225" w:lineRule="exact"/>
        <w:rPr>
          <w:rFonts w:ascii="Arial" w:cs="Arial" w:eastAsia="Arial" w:hAnsi="Arial"/>
          <w:sz w:val="18"/>
          <w:szCs w:val="18"/>
          <w:color w:val="auto"/>
        </w:rPr>
      </w:pPr>
    </w:p>
    <w:p>
      <w:pPr>
        <w:jc w:val="both"/>
        <w:ind w:firstLine="1305"/>
        <w:spacing w:after="0" w:line="276" w:lineRule="auto"/>
        <w:tabs>
          <w:tab w:leader="none" w:pos="1568" w:val="left"/>
        </w:tabs>
        <w:numPr>
          <w:ilvl w:val="1"/>
          <w:numId w:val="4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u w:val="single" w:color="auto"/>
          <w:color w:val="auto"/>
        </w:rPr>
        <w:t>Affiliate</w:t>
      </w:r>
      <w:r>
        <w:rPr>
          <w:rFonts w:ascii="Arial" w:cs="Arial" w:eastAsia="Arial" w:hAnsi="Arial"/>
          <w:sz w:val="17"/>
          <w:szCs w:val="17"/>
          <w:color w:val="auto"/>
        </w:rPr>
        <w:t>" means (i) any person or entity that directly or indirectly controls, is controlled by or is under common control with the Company and/or (ii) to the extent provided by the Committee, any person or entity in which the Company has a significant interest as determined by the Committee in its discretion. The term "control" (including, with correlative meaning, the terms "controlled by" and "under common control with"), as applied to any person or entity, means the possession, directly or indirectly, of the power to direct or cause the direction of the management and policies of such person or entity, whether through the ownership of voting or other securities, by contract or otherwise.</w:t>
      </w:r>
    </w:p>
    <w:p>
      <w:pPr>
        <w:spacing w:after="0" w:line="172" w:lineRule="exact"/>
        <w:rPr>
          <w:rFonts w:ascii="Arial" w:cs="Arial" w:eastAsia="Arial" w:hAnsi="Arial"/>
          <w:sz w:val="17"/>
          <w:szCs w:val="17"/>
          <w:color w:val="auto"/>
        </w:rPr>
      </w:pPr>
    </w:p>
    <w:p>
      <w:pPr>
        <w:ind w:firstLine="1305"/>
        <w:spacing w:after="0" w:line="277" w:lineRule="auto"/>
        <w:tabs>
          <w:tab w:leader="none" w:pos="1592" w:val="left"/>
        </w:tabs>
        <w:numPr>
          <w:ilvl w:val="1"/>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Award</w:t>
      </w:r>
      <w:r>
        <w:rPr>
          <w:rFonts w:ascii="Arial" w:cs="Arial" w:eastAsia="Arial" w:hAnsi="Arial"/>
          <w:sz w:val="18"/>
          <w:szCs w:val="18"/>
          <w:color w:val="auto"/>
        </w:rPr>
        <w:t>" means, individually or collectively, any Incentive Stock Option, Nonqualified Stock Option, Stock Appreciation Right, Restricted Stock, Restricted Stock Unit, Stock Bonus Award and Performance Compensation Award granted under this Plan.</w:t>
      </w:r>
    </w:p>
    <w:p>
      <w:pPr>
        <w:spacing w:after="0" w:line="170" w:lineRule="exact"/>
        <w:rPr>
          <w:rFonts w:ascii="Arial" w:cs="Arial" w:eastAsia="Arial" w:hAnsi="Arial"/>
          <w:sz w:val="18"/>
          <w:szCs w:val="18"/>
          <w:color w:val="auto"/>
        </w:rPr>
      </w:pPr>
    </w:p>
    <w:p>
      <w:pPr>
        <w:ind w:left="1540" w:hanging="235"/>
        <w:spacing w:after="0"/>
        <w:tabs>
          <w:tab w:leader="none" w:pos="15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Business Combination</w:t>
      </w:r>
      <w:r>
        <w:rPr>
          <w:rFonts w:ascii="Arial" w:cs="Arial" w:eastAsia="Arial" w:hAnsi="Arial"/>
          <w:sz w:val="18"/>
          <w:szCs w:val="18"/>
          <w:color w:val="auto"/>
        </w:rPr>
        <w:t>" has the meaning given such term in the definition of "Change in Control."</w:t>
      </w:r>
    </w:p>
    <w:p>
      <w:pPr>
        <w:spacing w:after="0" w:line="225" w:lineRule="exact"/>
        <w:rPr>
          <w:rFonts w:ascii="Arial" w:cs="Arial" w:eastAsia="Arial" w:hAnsi="Arial"/>
          <w:sz w:val="18"/>
          <w:szCs w:val="18"/>
          <w:color w:val="auto"/>
        </w:rPr>
      </w:pPr>
    </w:p>
    <w:p>
      <w:pPr>
        <w:ind w:firstLine="1305"/>
        <w:spacing w:after="0" w:line="277" w:lineRule="auto"/>
        <w:tabs>
          <w:tab w:leader="none" w:pos="1541" w:val="left"/>
        </w:tabs>
        <w:numPr>
          <w:ilvl w:val="1"/>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Business Day</w:t>
      </w:r>
      <w:r>
        <w:rPr>
          <w:rFonts w:ascii="Arial" w:cs="Arial" w:eastAsia="Arial" w:hAnsi="Arial"/>
          <w:sz w:val="18"/>
          <w:szCs w:val="18"/>
          <w:color w:val="auto"/>
        </w:rPr>
        <w:t>" means any day other than a Saturday, a Sunday or a day on which banking institutions in New York City are authorized or obligated by federal law or executive order to be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2" w:name="page33"/>
    <w:bookmarkEnd w:id="32"/>
    <w:p>
      <w:pPr>
        <w:jc w:val="both"/>
        <w:ind w:firstLine="1305"/>
        <w:spacing w:after="0" w:line="287" w:lineRule="auto"/>
        <w:tabs>
          <w:tab w:leader="none" w:pos="1548" w:val="left"/>
        </w:tabs>
        <w:numPr>
          <w:ilvl w:val="0"/>
          <w:numId w:val="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Cause</w:t>
      </w:r>
      <w:r>
        <w:rPr>
          <w:rFonts w:ascii="Arial" w:cs="Arial" w:eastAsia="Arial" w:hAnsi="Arial"/>
          <w:sz w:val="16"/>
          <w:szCs w:val="16"/>
          <w:color w:val="auto"/>
        </w:rPr>
        <w:t>" means, in the case of a particular Award, unless the applicable Award agreement states otherwise, (i) the Company or an Affiliate having "cause" to terminate a Participant’s employment or service, as defined in any employment or consulting agreement or similar document or policy between the Participant and the Company or an Affiliate in effect at the time of such termination or (ii) in the absence of any such employment or consulting agreement, document or policy (or the absence of any definition of "Cause" contained therein), (A) a continuing material breach or material default (including, without limitation, any material dereliction of duty) by Participant of any agreement between the Participant and the Company, except for any such breach or default which is caused by the physical disability of the Participant (as determined by a neutral physician), or a continuing failure by the Participant to follow the direction of a duly authorized representative of the Company; (B) gross negligence, willful misfeasance or breach of fiduciary duty by the Participant; (C) the commission by the Participant of an act of fraud, embezzlement or any felony or other crime of dishonesty in connection with the Participant’s duties; or (D) conviction of the Participant of a felony or any other crime that would materially and adversely affect: (i) the business reputation</w:t>
      </w:r>
    </w:p>
    <w:p>
      <w:pPr>
        <w:spacing w:after="0" w:line="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the Company or (ii) the performance of the Participant’s duties to the Company. Any determination of whether Cause exists shall be made by the Committee in its sole discretion.</w:t>
      </w:r>
    </w:p>
    <w:p>
      <w:pPr>
        <w:spacing w:after="0" w:line="170" w:lineRule="exact"/>
        <w:rPr>
          <w:sz w:val="20"/>
          <w:szCs w:val="20"/>
          <w:color w:val="auto"/>
        </w:rPr>
      </w:pPr>
    </w:p>
    <w:p>
      <w:pPr>
        <w:ind w:firstLine="1305"/>
        <w:spacing w:after="0" w:line="277" w:lineRule="auto"/>
        <w:tabs>
          <w:tab w:leader="none" w:pos="1565"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Change in Control</w:t>
      </w:r>
      <w:r>
        <w:rPr>
          <w:rFonts w:ascii="Arial" w:cs="Arial" w:eastAsia="Arial" w:hAnsi="Arial"/>
          <w:sz w:val="18"/>
          <w:szCs w:val="18"/>
          <w:color w:val="auto"/>
        </w:rPr>
        <w:t>" shall, in the case of a particular Award, unless the applicable Award agreement states otherwise or contains a different definition of "Change in Control," be deemed to occur upon:</w:t>
      </w:r>
    </w:p>
    <w:p>
      <w:pPr>
        <w:spacing w:after="0" w:line="170" w:lineRule="exact"/>
        <w:rPr>
          <w:rFonts w:ascii="Arial" w:cs="Arial" w:eastAsia="Arial" w:hAnsi="Arial"/>
          <w:sz w:val="18"/>
          <w:szCs w:val="18"/>
          <w:color w:val="auto"/>
        </w:rPr>
      </w:pPr>
    </w:p>
    <w:p>
      <w:pPr>
        <w:jc w:val="both"/>
        <w:ind w:firstLine="1953"/>
        <w:spacing w:after="0" w:line="279" w:lineRule="auto"/>
        <w:tabs>
          <w:tab w:leader="none" w:pos="2197" w:val="left"/>
        </w:tabs>
        <w:numPr>
          <w:ilvl w:val="1"/>
          <w:numId w:val="50"/>
        </w:numPr>
        <w:rPr>
          <w:rFonts w:ascii="Arial" w:cs="Arial" w:eastAsia="Arial" w:hAnsi="Arial"/>
          <w:sz w:val="17"/>
          <w:szCs w:val="17"/>
          <w:color w:val="auto"/>
        </w:rPr>
      </w:pPr>
      <w:r>
        <w:rPr>
          <w:rFonts w:ascii="Arial" w:cs="Arial" w:eastAsia="Arial" w:hAnsi="Arial"/>
          <w:sz w:val="17"/>
          <w:szCs w:val="17"/>
          <w:color w:val="auto"/>
        </w:rPr>
        <w:t>An acquisition (whether directly from the Company or otherwise) of any voting securities of the Company (the "</w:t>
      </w:r>
      <w:r>
        <w:rPr>
          <w:rFonts w:ascii="Arial" w:cs="Arial" w:eastAsia="Arial" w:hAnsi="Arial"/>
          <w:sz w:val="17"/>
          <w:szCs w:val="17"/>
          <w:i w:val="1"/>
          <w:iCs w:val="1"/>
          <w:u w:val="single" w:color="auto"/>
          <w:color w:val="auto"/>
        </w:rPr>
        <w:t>Voting</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Securities</w:t>
      </w:r>
      <w:r>
        <w:rPr>
          <w:rFonts w:ascii="Arial" w:cs="Arial" w:eastAsia="Arial" w:hAnsi="Arial"/>
          <w:sz w:val="17"/>
          <w:szCs w:val="17"/>
          <w:color w:val="auto"/>
        </w:rPr>
        <w:t>") by any "Person" (as the term person is used for purposes of Section 13(d) or 14(d) of the Securities and Exchange Act of 1934, as amended (the</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u w:val="single" w:color="auto"/>
          <w:color w:val="auto"/>
        </w:rPr>
        <w:t>Exchange Act</w:t>
      </w:r>
      <w:r>
        <w:rPr>
          <w:rFonts w:ascii="Arial" w:cs="Arial" w:eastAsia="Arial" w:hAnsi="Arial"/>
          <w:sz w:val="17"/>
          <w:szCs w:val="17"/>
          <w:color w:val="auto"/>
        </w:rPr>
        <w:t>")), immediately after which such Person has "Beneficial Ownership" (within the meaning of Rule 13d-3 promulgated under the Exchange Act) of more than fifty percent (50%) of the combined voting power of the Company’s then outstanding Voting Securities.</w:t>
      </w:r>
    </w:p>
    <w:p>
      <w:pPr>
        <w:spacing w:after="0" w:line="171" w:lineRule="exact"/>
        <w:rPr>
          <w:rFonts w:ascii="Arial" w:cs="Arial" w:eastAsia="Arial" w:hAnsi="Arial"/>
          <w:sz w:val="17"/>
          <w:szCs w:val="17"/>
          <w:color w:val="auto"/>
        </w:rPr>
      </w:pPr>
    </w:p>
    <w:p>
      <w:pPr>
        <w:ind w:right="20" w:firstLine="1953"/>
        <w:spacing w:after="0" w:line="342" w:lineRule="auto"/>
        <w:tabs>
          <w:tab w:leader="none" w:pos="2225"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individuals who constitute the members of the Board cease, by reason of a financing, merger, combination, acquisition, takeover or other non-ordinary course transaction affecting the Company, to constitute at least fifty-one percent (51%) of the members of the Board; or</w:t>
      </w:r>
    </w:p>
    <w:p>
      <w:pPr>
        <w:spacing w:after="0" w:line="123" w:lineRule="exact"/>
        <w:rPr>
          <w:rFonts w:ascii="Arial" w:cs="Arial" w:eastAsia="Arial" w:hAnsi="Arial"/>
          <w:sz w:val="16"/>
          <w:szCs w:val="16"/>
          <w:color w:val="auto"/>
        </w:rPr>
      </w:pPr>
    </w:p>
    <w:p>
      <w:pPr>
        <w:ind w:left="2260" w:hanging="307"/>
        <w:spacing w:after="0"/>
        <w:tabs>
          <w:tab w:leader="none" w:pos="22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consummation of:</w:t>
      </w:r>
    </w:p>
    <w:p>
      <w:pPr>
        <w:spacing w:after="0" w:line="225" w:lineRule="exact"/>
        <w:rPr>
          <w:rFonts w:ascii="Arial" w:cs="Arial" w:eastAsia="Arial" w:hAnsi="Arial"/>
          <w:sz w:val="18"/>
          <w:szCs w:val="18"/>
          <w:color w:val="auto"/>
        </w:rPr>
      </w:pPr>
    </w:p>
    <w:p>
      <w:pPr>
        <w:ind w:firstLine="2601"/>
        <w:spacing w:after="0" w:line="277" w:lineRule="auto"/>
        <w:tabs>
          <w:tab w:leader="none" w:pos="2909" w:val="left"/>
        </w:tabs>
        <w:numPr>
          <w:ilvl w:val="2"/>
          <w:numId w:val="50"/>
        </w:numPr>
        <w:rPr>
          <w:rFonts w:ascii="Arial" w:cs="Arial" w:eastAsia="Arial" w:hAnsi="Arial"/>
          <w:sz w:val="18"/>
          <w:szCs w:val="18"/>
          <w:color w:val="auto"/>
        </w:rPr>
      </w:pPr>
      <w:r>
        <w:rPr>
          <w:rFonts w:ascii="Arial" w:cs="Arial" w:eastAsia="Arial" w:hAnsi="Arial"/>
          <w:sz w:val="18"/>
          <w:szCs w:val="18"/>
          <w:color w:val="auto"/>
        </w:rPr>
        <w:t>A merger, consolidation or reorganization involving the Company, where either or both of the events described in clauses (i) or (ii) above would be the result;</w:t>
      </w:r>
    </w:p>
    <w:p>
      <w:pPr>
        <w:spacing w:after="0" w:line="170" w:lineRule="exact"/>
        <w:rPr>
          <w:rFonts w:ascii="Arial" w:cs="Arial" w:eastAsia="Arial" w:hAnsi="Arial"/>
          <w:sz w:val="18"/>
          <w:szCs w:val="18"/>
          <w:color w:val="auto"/>
        </w:rPr>
      </w:pPr>
    </w:p>
    <w:p>
      <w:pPr>
        <w:jc w:val="both"/>
        <w:ind w:firstLine="2601"/>
        <w:spacing w:after="0" w:line="312" w:lineRule="auto"/>
        <w:tabs>
          <w:tab w:leader="none" w:pos="2898" w:val="left"/>
        </w:tabs>
        <w:numPr>
          <w:ilvl w:val="2"/>
          <w:numId w:val="50"/>
        </w:numPr>
        <w:rPr>
          <w:rFonts w:ascii="Arial" w:cs="Arial" w:eastAsia="Arial" w:hAnsi="Arial"/>
          <w:sz w:val="16"/>
          <w:szCs w:val="16"/>
          <w:color w:val="auto"/>
        </w:rPr>
      </w:pPr>
      <w:r>
        <w:rPr>
          <w:rFonts w:ascii="Arial" w:cs="Arial" w:eastAsia="Arial" w:hAnsi="Arial"/>
          <w:sz w:val="16"/>
          <w:szCs w:val="16"/>
          <w:color w:val="auto"/>
        </w:rPr>
        <w:t>A liquidation or dissolution of or appointment of a receiver, rehabilitator, conservator or similar person for, or the filing by a third party of an involuntary bankruptcy against, the Company; provided, however, that to the extent necessary to comply with Section 409A of the Code, the occurrence of an event described in this subsection (B) shall not permit the settlement of Restricted Stock Units granted under this Plan; or</w:t>
      </w:r>
    </w:p>
    <w:p>
      <w:pPr>
        <w:spacing w:after="0" w:line="146" w:lineRule="exact"/>
        <w:rPr>
          <w:rFonts w:ascii="Arial" w:cs="Arial" w:eastAsia="Arial" w:hAnsi="Arial"/>
          <w:sz w:val="16"/>
          <w:szCs w:val="16"/>
          <w:color w:val="auto"/>
        </w:rPr>
      </w:pPr>
    </w:p>
    <w:p>
      <w:pPr>
        <w:ind w:right="20" w:firstLine="2601"/>
        <w:spacing w:after="0" w:line="277" w:lineRule="auto"/>
        <w:tabs>
          <w:tab w:leader="none" w:pos="2890" w:val="left"/>
        </w:tabs>
        <w:numPr>
          <w:ilvl w:val="2"/>
          <w:numId w:val="50"/>
        </w:numPr>
        <w:rPr>
          <w:rFonts w:ascii="Arial" w:cs="Arial" w:eastAsia="Arial" w:hAnsi="Arial"/>
          <w:sz w:val="18"/>
          <w:szCs w:val="18"/>
          <w:color w:val="auto"/>
        </w:rPr>
      </w:pPr>
      <w:r>
        <w:rPr>
          <w:rFonts w:ascii="Arial" w:cs="Arial" w:eastAsia="Arial" w:hAnsi="Arial"/>
          <w:sz w:val="18"/>
          <w:szCs w:val="18"/>
          <w:color w:val="auto"/>
        </w:rPr>
        <w:t>An agreement for the sale or other disposition of all or substantially all of the assets of the Company to any Person (other than a transfer to a subsidiary of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33" w:name="page34"/>
    <w:bookmarkEnd w:id="33"/>
    <w:p>
      <w:pPr>
        <w:jc w:val="both"/>
        <w:ind w:firstLine="1305"/>
        <w:spacing w:after="0" w:line="271" w:lineRule="auto"/>
        <w:tabs>
          <w:tab w:leader="none" w:pos="1551" w:val="left"/>
        </w:tabs>
        <w:numPr>
          <w:ilvl w:val="1"/>
          <w:numId w:val="5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u w:val="single" w:color="auto"/>
          <w:color w:val="auto"/>
        </w:rPr>
        <w:t>Closing Price</w:t>
      </w:r>
      <w:r>
        <w:rPr>
          <w:rFonts w:ascii="Arial" w:cs="Arial" w:eastAsia="Arial" w:hAnsi="Arial"/>
          <w:sz w:val="17"/>
          <w:szCs w:val="17"/>
          <w:color w:val="auto"/>
        </w:rPr>
        <w:t>" means (A) during such time as the Common Shares are registered under Section 12 of the Exchange Act, the closing price of the Common Shares as reported by an established stock exchange or automated quotation system on the day for which such value is to be determined, or, if no sale of the Common Shares shall have been made on any such stock exchange or automated quotation system that day, on the next preceding day on which there was a sale of such Common Stock, or (B) during any such time as the Common Shares are not listed upon an established stock exchange or automated quotation system, the mean between dealer "bid" and "ask" prices of the Common Shares in the over-the-counter market on the day for which such value is to be determined, as reported by the Financial Industry Regulatory Authority, Inc., or (C) during any such time as the Common Stock cannot be valued pursuant to (A) or (B) above, the fair market value shall be as determined by the Committee considering all relevant information including, by example and not by limitation, the services of an independent appraiser.</w:t>
      </w:r>
    </w:p>
    <w:p>
      <w:pPr>
        <w:spacing w:after="0" w:line="178" w:lineRule="exact"/>
        <w:rPr>
          <w:rFonts w:ascii="Arial" w:cs="Arial" w:eastAsia="Arial" w:hAnsi="Arial"/>
          <w:sz w:val="17"/>
          <w:szCs w:val="17"/>
          <w:color w:val="auto"/>
        </w:rPr>
      </w:pPr>
    </w:p>
    <w:p>
      <w:pPr>
        <w:jc w:val="both"/>
        <w:ind w:firstLine="1305"/>
        <w:spacing w:after="0" w:line="264" w:lineRule="auto"/>
        <w:tabs>
          <w:tab w:leader="none" w:pos="1511"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Code</w:t>
      </w:r>
      <w:r>
        <w:rPr>
          <w:rFonts w:ascii="Arial" w:cs="Arial" w:eastAsia="Arial" w:hAnsi="Arial"/>
          <w:sz w:val="18"/>
          <w:szCs w:val="18"/>
          <w:color w:val="auto"/>
        </w:rPr>
        <w:t>" means the Internal Revenue Code of 1986, as amended, and any successor thereto. References in this Plan to any section of the Code shall be deemed to include any regulations or other interpretative guidance under such section, and any amendments or successor provisions to such section, regulations or guidance.</w:t>
      </w:r>
    </w:p>
    <w:p>
      <w:pPr>
        <w:spacing w:after="0" w:line="181" w:lineRule="exact"/>
        <w:rPr>
          <w:rFonts w:ascii="Arial" w:cs="Arial" w:eastAsia="Arial" w:hAnsi="Arial"/>
          <w:sz w:val="18"/>
          <w:szCs w:val="18"/>
          <w:color w:val="auto"/>
        </w:rPr>
      </w:pPr>
    </w:p>
    <w:p>
      <w:pPr>
        <w:ind w:firstLine="1305"/>
        <w:spacing w:after="0" w:line="342" w:lineRule="auto"/>
        <w:tabs>
          <w:tab w:leader="none" w:pos="1525" w:val="left"/>
        </w:tabs>
        <w:numPr>
          <w:ilvl w:val="1"/>
          <w:numId w:val="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Committee</w:t>
      </w:r>
      <w:r>
        <w:rPr>
          <w:rFonts w:ascii="Arial" w:cs="Arial" w:eastAsia="Arial" w:hAnsi="Arial"/>
          <w:sz w:val="16"/>
          <w:szCs w:val="16"/>
          <w:color w:val="auto"/>
        </w:rPr>
        <w:t>" means a committee of at least two people as the Board may appoint to administer this Plan or, if no such committee has been established by the Board, the entire Board. Unless altered by an action of the Board, the Committee shall be the Compensation Committee of the Board.</w:t>
      </w:r>
    </w:p>
    <w:p>
      <w:pPr>
        <w:spacing w:after="0" w:line="123" w:lineRule="exact"/>
        <w:rPr>
          <w:rFonts w:ascii="Arial" w:cs="Arial" w:eastAsia="Arial" w:hAnsi="Arial"/>
          <w:sz w:val="16"/>
          <w:szCs w:val="16"/>
          <w:color w:val="auto"/>
        </w:rPr>
      </w:pPr>
    </w:p>
    <w:p>
      <w:pPr>
        <w:ind w:firstLine="1305"/>
        <w:spacing w:after="0" w:line="277" w:lineRule="auto"/>
        <w:tabs>
          <w:tab w:leader="none" w:pos="1551"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Common Shares</w:t>
      </w:r>
      <w:r>
        <w:rPr>
          <w:rFonts w:ascii="Arial" w:cs="Arial" w:eastAsia="Arial" w:hAnsi="Arial"/>
          <w:sz w:val="18"/>
          <w:szCs w:val="18"/>
          <w:color w:val="auto"/>
        </w:rPr>
        <w:t>" means the common stock, par value $.0001 per share, of the Company (and any stock or other securities into which such common shares may be converted or into which they may be exchanged).</w:t>
      </w:r>
    </w:p>
    <w:p>
      <w:pPr>
        <w:spacing w:after="0" w:line="170" w:lineRule="exact"/>
        <w:rPr>
          <w:rFonts w:ascii="Arial" w:cs="Arial" w:eastAsia="Arial" w:hAnsi="Arial"/>
          <w:sz w:val="18"/>
          <w:szCs w:val="18"/>
          <w:color w:val="auto"/>
        </w:rPr>
      </w:pPr>
    </w:p>
    <w:p>
      <w:pPr>
        <w:ind w:left="1520" w:hanging="215"/>
        <w:spacing w:after="0"/>
        <w:tabs>
          <w:tab w:leader="none" w:pos="15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Company</w:t>
      </w:r>
      <w:r>
        <w:rPr>
          <w:rFonts w:ascii="Arial" w:cs="Arial" w:eastAsia="Arial" w:hAnsi="Arial"/>
          <w:sz w:val="18"/>
          <w:szCs w:val="18"/>
          <w:color w:val="auto"/>
        </w:rPr>
        <w:t>" means Labrador Search Corporation, a Delaware corporation, together with its successors and assigns.</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5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u w:val="single" w:color="auto"/>
          <w:color w:val="auto"/>
        </w:rPr>
        <w:t>Date of Grant</w:t>
      </w:r>
      <w:r>
        <w:rPr>
          <w:rFonts w:ascii="Arial" w:cs="Arial" w:eastAsia="Arial" w:hAnsi="Arial"/>
          <w:sz w:val="17"/>
          <w:szCs w:val="17"/>
          <w:color w:val="auto"/>
        </w:rPr>
        <w:t>" means the date on which the granting of an Award is authorized, or such other date as may be specified in such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authorization.</w:t>
      </w:r>
    </w:p>
    <w:p>
      <w:pPr>
        <w:spacing w:after="0" w:line="210" w:lineRule="exact"/>
        <w:rPr>
          <w:rFonts w:ascii="Arial" w:cs="Arial" w:eastAsia="Arial" w:hAnsi="Arial"/>
          <w:sz w:val="17"/>
          <w:szCs w:val="17"/>
          <w:color w:val="auto"/>
        </w:rPr>
      </w:pPr>
    </w:p>
    <w:p>
      <w:pPr>
        <w:jc w:val="both"/>
        <w:ind w:firstLine="1305"/>
        <w:spacing w:after="0" w:line="288" w:lineRule="auto"/>
        <w:tabs>
          <w:tab w:leader="none" w:pos="1551" w:val="left"/>
        </w:tabs>
        <w:numPr>
          <w:ilvl w:val="1"/>
          <w:numId w:val="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Disability</w:t>
      </w:r>
      <w:r>
        <w:rPr>
          <w:rFonts w:ascii="Arial" w:cs="Arial" w:eastAsia="Arial" w:hAnsi="Arial"/>
          <w:sz w:val="16"/>
          <w:szCs w:val="16"/>
          <w:color w:val="auto"/>
        </w:rPr>
        <w:t>" means a "permanent and total" disability incurred by a Participant while in the employ of the Company or an Affiliate. For this purpose, a permanent and total disability shall mean that the Participant is unable to engage in any substantial gainful activity by reason of any medically determinable physical or mental impairment that can be expected to result in death or can be expected to last for a continuous period of not less than twelve</w:t>
      </w:r>
    </w:p>
    <w:p>
      <w:pPr>
        <w:ind w:left="360" w:hanging="352"/>
        <w:spacing w:after="0"/>
        <w:tabs>
          <w:tab w:leader="none" w:pos="3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months.</w:t>
      </w:r>
    </w:p>
    <w:p>
      <w:pPr>
        <w:spacing w:after="0" w:line="210" w:lineRule="exact"/>
        <w:rPr>
          <w:rFonts w:ascii="Arial" w:cs="Arial" w:eastAsia="Arial" w:hAnsi="Arial"/>
          <w:sz w:val="18"/>
          <w:szCs w:val="18"/>
          <w:color w:val="auto"/>
        </w:rPr>
      </w:pPr>
    </w:p>
    <w:p>
      <w:pPr>
        <w:ind w:left="1560" w:hanging="255"/>
        <w:spacing w:after="0"/>
        <w:tabs>
          <w:tab w:leader="none" w:pos="15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Effective Date</w:t>
      </w:r>
      <w:r>
        <w:rPr>
          <w:rFonts w:ascii="Arial" w:cs="Arial" w:eastAsia="Arial" w:hAnsi="Arial"/>
          <w:sz w:val="18"/>
          <w:szCs w:val="18"/>
          <w:color w:val="auto"/>
        </w:rPr>
        <w:t>" means the date as of which this Plan is adopted by the Board, subject to Section 3 of this Plan.</w:t>
      </w:r>
    </w:p>
    <w:p>
      <w:pPr>
        <w:spacing w:after="0" w:line="225" w:lineRule="exact"/>
        <w:rPr>
          <w:rFonts w:ascii="Arial" w:cs="Arial" w:eastAsia="Arial" w:hAnsi="Arial"/>
          <w:sz w:val="18"/>
          <w:szCs w:val="18"/>
          <w:color w:val="auto"/>
        </w:rPr>
      </w:pPr>
    </w:p>
    <w:p>
      <w:pPr>
        <w:ind w:firstLine="1305"/>
        <w:spacing w:after="0" w:line="277" w:lineRule="auto"/>
        <w:tabs>
          <w:tab w:leader="none" w:pos="1551" w:val="left"/>
        </w:tabs>
        <w:numPr>
          <w:ilvl w:val="1"/>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Eligible Director</w:t>
      </w:r>
      <w:r>
        <w:rPr>
          <w:rFonts w:ascii="Arial" w:cs="Arial" w:eastAsia="Arial" w:hAnsi="Arial"/>
          <w:sz w:val="18"/>
          <w:szCs w:val="18"/>
          <w:color w:val="auto"/>
        </w:rPr>
        <w:t>" means a person who is (i) a "non-employee director" within the meaning of Rule 16b-3 under the Exchange Act, and (ii) an "outside director" within the meaning of Section 162(m) of the Code.</w:t>
      </w:r>
    </w:p>
    <w:p>
      <w:pPr>
        <w:spacing w:after="0" w:line="170" w:lineRule="exact"/>
        <w:rPr>
          <w:rFonts w:ascii="Arial" w:cs="Arial" w:eastAsia="Arial" w:hAnsi="Arial"/>
          <w:sz w:val="18"/>
          <w:szCs w:val="18"/>
          <w:color w:val="auto"/>
        </w:rPr>
      </w:pPr>
    </w:p>
    <w:p>
      <w:pPr>
        <w:jc w:val="both"/>
        <w:ind w:firstLine="1305"/>
        <w:spacing w:after="0" w:line="255" w:lineRule="auto"/>
        <w:tabs>
          <w:tab w:leader="none" w:pos="1578" w:val="left"/>
        </w:tabs>
        <w:numPr>
          <w:ilvl w:val="1"/>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Eligible Person</w:t>
      </w:r>
      <w:r>
        <w:rPr>
          <w:rFonts w:ascii="Arial" w:cs="Arial" w:eastAsia="Arial" w:hAnsi="Arial"/>
          <w:sz w:val="18"/>
          <w:szCs w:val="18"/>
          <w:color w:val="auto"/>
        </w:rPr>
        <w:t xml:space="preserve">" means any (i) individual employed by the Company or an Affiliate;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no such employee covered by a collective bargaining agreement shall be an Eligible Person unless and to the extent that such eligibility is set forth in such collective bargaining agreement or in an agreement or instrument relating thereto; (ii) director of the Company or an Affiliate; (iii) consultant or advisor to the Company or an Affiliate, provided that if the Securities Act applies such persons must be eligible to be offered securities registrable on Form S-8 under the Securities Act; or (iv) prospective employees, directors, officers, consultants or advisors who have accepted offers of employment or consultancy from the Company or its Affiliates (and would satisfy the provisions of clauses (i) through (iii) above once he or she begins employment with or begins providing services to the Company or its Affiliates).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both"/>
        <w:ind w:firstLine="1305"/>
        <w:spacing w:after="0" w:line="264" w:lineRule="auto"/>
        <w:tabs>
          <w:tab w:leader="none" w:pos="1521"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Exchange Act</w:t>
      </w:r>
      <w:r>
        <w:rPr>
          <w:rFonts w:ascii="Arial" w:cs="Arial" w:eastAsia="Arial" w:hAnsi="Arial"/>
          <w:sz w:val="18"/>
          <w:szCs w:val="18"/>
          <w:color w:val="auto"/>
        </w:rPr>
        <w:t>" has the meaning given such term in the definition of "Change in Control," and any reference in this Plan to any section of (or rule promulgated under) the Exchange Act shall be deemed to include any rules, regulations or other interpretative guidance under such section or rule, and any amendments or successor provisions to such section, rules, regulations or guidance.</w:t>
      </w:r>
    </w:p>
    <w:p>
      <w:pPr>
        <w:spacing w:after="0" w:line="181" w:lineRule="exact"/>
        <w:rPr>
          <w:rFonts w:ascii="Arial" w:cs="Arial" w:eastAsia="Arial" w:hAnsi="Arial"/>
          <w:sz w:val="18"/>
          <w:szCs w:val="18"/>
          <w:color w:val="auto"/>
        </w:rPr>
      </w:pPr>
    </w:p>
    <w:p>
      <w:pPr>
        <w:ind w:left="1540" w:hanging="235"/>
        <w:spacing w:after="0"/>
        <w:tabs>
          <w:tab w:leader="none" w:pos="1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Exercise Price</w:t>
      </w:r>
      <w:r>
        <w:rPr>
          <w:rFonts w:ascii="Arial" w:cs="Arial" w:eastAsia="Arial" w:hAnsi="Arial"/>
          <w:sz w:val="18"/>
          <w:szCs w:val="18"/>
          <w:color w:val="auto"/>
        </w:rPr>
        <w:t>" has the meaning given such term in Section 7(b) of this Plan.</w:t>
      </w:r>
    </w:p>
    <w:p>
      <w:pPr>
        <w:spacing w:after="0" w:line="225" w:lineRule="exact"/>
        <w:rPr>
          <w:rFonts w:ascii="Arial" w:cs="Arial" w:eastAsia="Arial" w:hAnsi="Arial"/>
          <w:sz w:val="18"/>
          <w:szCs w:val="18"/>
          <w:color w:val="auto"/>
        </w:rPr>
      </w:pPr>
    </w:p>
    <w:p>
      <w:pPr>
        <w:jc w:val="both"/>
        <w:ind w:firstLine="1305"/>
        <w:spacing w:after="0" w:line="254" w:lineRule="auto"/>
        <w:tabs>
          <w:tab w:leader="none" w:pos="1552"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Fair Market Value</w:t>
      </w:r>
      <w:r>
        <w:rPr>
          <w:rFonts w:ascii="Arial" w:cs="Arial" w:eastAsia="Arial" w:hAnsi="Arial"/>
          <w:sz w:val="18"/>
          <w:szCs w:val="18"/>
          <w:color w:val="auto"/>
        </w:rPr>
        <w:t>", unless otherwise provided by the Committee in accordance with all applicable laws, rules regulations and standards, means, on a given date, (i) if the Common Stock (A) is listed on a national securities exchange or (B) is not listed on a national securities exchange, but is quoted by the OTC Markets Group, Inc. (www.otcmarkets.com) or any successor or alternative recognized over-the-counter market or another inter-dealer quotation system, on a last sale basis, the average selling price of the Common Stock reported on such national securities exchange or other inter-dealer quotation system, determined as the arithmetic mean of such selling prices over the thirty (30)-Business Day period preceding the Date of Grant, weighted based on the volume of trading of such Common Stock on each trading day during such period; or (ii) if the Common Stock is not listed on a national securities exchange or quoted in an inter-dealer quotation system on a last sale basis, the amount determined by the Committee in good faith to be the fair market value of the Common Stock.</w:t>
      </w:r>
    </w:p>
    <w:p>
      <w:pPr>
        <w:spacing w:after="0" w:line="192" w:lineRule="exact"/>
        <w:rPr>
          <w:rFonts w:ascii="Arial" w:cs="Arial" w:eastAsia="Arial" w:hAnsi="Arial"/>
          <w:sz w:val="18"/>
          <w:szCs w:val="18"/>
          <w:color w:val="auto"/>
        </w:rPr>
      </w:pPr>
    </w:p>
    <w:p>
      <w:pPr>
        <w:ind w:left="1560" w:hanging="255"/>
        <w:spacing w:after="0"/>
        <w:tabs>
          <w:tab w:leader="none" w:pos="15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Immediate Family Members</w:t>
      </w:r>
      <w:r>
        <w:rPr>
          <w:rFonts w:ascii="Arial" w:cs="Arial" w:eastAsia="Arial" w:hAnsi="Arial"/>
          <w:sz w:val="18"/>
          <w:szCs w:val="18"/>
          <w:color w:val="auto"/>
        </w:rPr>
        <w:t>" shall have the meaning set forth in Section 15(b) of this Plan.</w:t>
      </w:r>
    </w:p>
    <w:p>
      <w:pPr>
        <w:spacing w:after="0" w:line="225" w:lineRule="exact"/>
        <w:rPr>
          <w:rFonts w:ascii="Arial" w:cs="Arial" w:eastAsia="Arial" w:hAnsi="Arial"/>
          <w:sz w:val="18"/>
          <w:szCs w:val="18"/>
          <w:color w:val="auto"/>
        </w:rPr>
      </w:pPr>
    </w:p>
    <w:p>
      <w:pPr>
        <w:ind w:right="20" w:firstLine="1305"/>
        <w:spacing w:after="0" w:line="277" w:lineRule="auto"/>
        <w:tabs>
          <w:tab w:leader="none" w:pos="1551"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Incentive Stock Option</w:t>
      </w:r>
      <w:r>
        <w:rPr>
          <w:rFonts w:ascii="Arial" w:cs="Arial" w:eastAsia="Arial" w:hAnsi="Arial"/>
          <w:sz w:val="18"/>
          <w:szCs w:val="18"/>
          <w:color w:val="auto"/>
        </w:rPr>
        <w:t>" means an Option that is designated by the Committee as an incentive stock option as described in Section 422 of the Code and otherwise meets the requirements set forth in this Plan.</w:t>
      </w:r>
    </w:p>
    <w:p>
      <w:pPr>
        <w:spacing w:after="0" w:line="170" w:lineRule="exact"/>
        <w:rPr>
          <w:rFonts w:ascii="Arial" w:cs="Arial" w:eastAsia="Arial" w:hAnsi="Arial"/>
          <w:sz w:val="18"/>
          <w:szCs w:val="18"/>
          <w:color w:val="auto"/>
        </w:rPr>
      </w:pPr>
    </w:p>
    <w:p>
      <w:pPr>
        <w:ind w:left="1600" w:hanging="295"/>
        <w:spacing w:after="0"/>
        <w:tabs>
          <w:tab w:leader="none" w:pos="16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Indemnifiable Person</w:t>
      </w:r>
      <w:r>
        <w:rPr>
          <w:rFonts w:ascii="Arial" w:cs="Arial" w:eastAsia="Arial" w:hAnsi="Arial"/>
          <w:sz w:val="18"/>
          <w:szCs w:val="18"/>
          <w:color w:val="auto"/>
        </w:rPr>
        <w:t>" shall have the meaning set forth in Section 4(e) of this Plan.</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Intellectual Property Products</w:t>
      </w:r>
      <w:r>
        <w:rPr>
          <w:rFonts w:ascii="Arial" w:cs="Arial" w:eastAsia="Arial" w:hAnsi="Arial"/>
          <w:sz w:val="18"/>
          <w:szCs w:val="18"/>
          <w:color w:val="auto"/>
        </w:rPr>
        <w:t>" shall have the meaning set forth in Section 15(c) of this Plan.</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1551"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Mature Shares</w:t>
      </w:r>
      <w:r>
        <w:rPr>
          <w:rFonts w:ascii="Arial" w:cs="Arial" w:eastAsia="Arial" w:hAnsi="Arial"/>
          <w:sz w:val="18"/>
          <w:szCs w:val="18"/>
          <w:color w:val="auto"/>
        </w:rPr>
        <w:t>" means Common Shares owned by a Participant that are not subject to any pledge or security interest and that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either previously acquired by the Participant on the open market or meet such other requirements, if any, as the Committee may determine are necessary in order to avoid an accounting earnings charge on account of the use of such shares to pay the Exercise Price or satisfy a withholding obligation of the Participant.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ind w:left="-20" w:firstLine="1305"/>
        <w:spacing w:after="0" w:line="277" w:lineRule="auto"/>
        <w:tabs>
          <w:tab w:leader="none" w:pos="1521"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Negative Discretion</w:t>
      </w:r>
      <w:r>
        <w:rPr>
          <w:rFonts w:ascii="Arial" w:cs="Arial" w:eastAsia="Arial" w:hAnsi="Arial"/>
          <w:sz w:val="18"/>
          <w:szCs w:val="18"/>
          <w:color w:val="auto"/>
        </w:rPr>
        <w:t>" shall mean the discretion authorized by this Plan to be applied by the Committee to eliminate or reduce the size of a Performance Compensation Award consistent with Section 162(m) of the Code.</w:t>
      </w:r>
    </w:p>
    <w:p>
      <w:pPr>
        <w:spacing w:after="0" w:line="170" w:lineRule="exact"/>
        <w:rPr>
          <w:sz w:val="20"/>
          <w:szCs w:val="20"/>
          <w:color w:val="auto"/>
        </w:rPr>
      </w:pPr>
    </w:p>
    <w:p>
      <w:pPr>
        <w:ind w:left="1600" w:hanging="315"/>
        <w:spacing w:after="0"/>
        <w:tabs>
          <w:tab w:leader="none" w:pos="16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u w:val="single" w:color="auto"/>
          <w:color w:val="auto"/>
        </w:rPr>
        <w:t>Nonqualified Stock Option</w:t>
      </w:r>
      <w:r>
        <w:rPr>
          <w:rFonts w:ascii="Arial" w:cs="Arial" w:eastAsia="Arial" w:hAnsi="Arial"/>
          <w:sz w:val="17"/>
          <w:szCs w:val="17"/>
          <w:color w:val="auto"/>
        </w:rPr>
        <w:t>" means an Option that is not designated by the Committee as an Incentive Stock Option.</w:t>
      </w:r>
    </w:p>
    <w:p>
      <w:pPr>
        <w:spacing w:after="0" w:line="236" w:lineRule="exact"/>
        <w:rPr>
          <w:rFonts w:ascii="Arial" w:cs="Arial" w:eastAsia="Arial" w:hAnsi="Arial"/>
          <w:sz w:val="17"/>
          <w:szCs w:val="17"/>
          <w:color w:val="auto"/>
        </w:rPr>
      </w:pPr>
    </w:p>
    <w:p>
      <w:pPr>
        <w:ind w:left="1620" w:hanging="335"/>
        <w:spacing w:after="0"/>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Option</w:t>
      </w:r>
      <w:r>
        <w:rPr>
          <w:rFonts w:ascii="Arial" w:cs="Arial" w:eastAsia="Arial" w:hAnsi="Arial"/>
          <w:sz w:val="18"/>
          <w:szCs w:val="18"/>
          <w:color w:val="auto"/>
        </w:rPr>
        <w:t>" means an Award granted under Section 7 of this Plan.</w:t>
      </w:r>
    </w:p>
    <w:p>
      <w:pPr>
        <w:spacing w:after="0" w:line="225" w:lineRule="exact"/>
        <w:rPr>
          <w:rFonts w:ascii="Arial" w:cs="Arial" w:eastAsia="Arial" w:hAnsi="Arial"/>
          <w:sz w:val="18"/>
          <w:szCs w:val="18"/>
          <w:color w:val="auto"/>
        </w:rPr>
      </w:pPr>
    </w:p>
    <w:p>
      <w:pPr>
        <w:ind w:left="1600" w:hanging="315"/>
        <w:spacing w:after="0"/>
        <w:tabs>
          <w:tab w:leader="none" w:pos="1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Option Period</w:t>
      </w:r>
      <w:r>
        <w:rPr>
          <w:rFonts w:ascii="Arial" w:cs="Arial" w:eastAsia="Arial" w:hAnsi="Arial"/>
          <w:sz w:val="18"/>
          <w:szCs w:val="18"/>
          <w:color w:val="auto"/>
        </w:rPr>
        <w:t>" has the meaning given such term in Section 7(c) of this Plan.</w:t>
      </w:r>
    </w:p>
    <w:p>
      <w:pPr>
        <w:spacing w:after="0" w:line="225" w:lineRule="exact"/>
        <w:rPr>
          <w:rFonts w:ascii="Arial" w:cs="Arial" w:eastAsia="Arial" w:hAnsi="Arial"/>
          <w:sz w:val="18"/>
          <w:szCs w:val="18"/>
          <w:color w:val="auto"/>
        </w:rPr>
      </w:pPr>
    </w:p>
    <w:p>
      <w:pPr>
        <w:ind w:left="1620" w:hanging="335"/>
        <w:spacing w:after="0"/>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Outstanding Company Common Shares</w:t>
      </w:r>
      <w:r>
        <w:rPr>
          <w:rFonts w:ascii="Arial" w:cs="Arial" w:eastAsia="Arial" w:hAnsi="Arial"/>
          <w:sz w:val="18"/>
          <w:szCs w:val="18"/>
          <w:color w:val="auto"/>
        </w:rPr>
        <w:t>" has the meaning given such term in the definition of "Change in Control."</w:t>
      </w:r>
    </w:p>
    <w:p>
      <w:pPr>
        <w:spacing w:after="0" w:line="225" w:lineRule="exact"/>
        <w:rPr>
          <w:rFonts w:ascii="Arial" w:cs="Arial" w:eastAsia="Arial" w:hAnsi="Arial"/>
          <w:sz w:val="18"/>
          <w:szCs w:val="18"/>
          <w:color w:val="auto"/>
        </w:rPr>
      </w:pPr>
    </w:p>
    <w:p>
      <w:pPr>
        <w:ind w:left="1600" w:hanging="315"/>
        <w:spacing w:after="0"/>
        <w:tabs>
          <w:tab w:leader="none" w:pos="16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u w:val="single" w:color="auto"/>
          <w:color w:val="auto"/>
        </w:rPr>
        <w:t>Outstanding Company Voting Securities</w:t>
      </w:r>
      <w:r>
        <w:rPr>
          <w:rFonts w:ascii="Arial" w:cs="Arial" w:eastAsia="Arial" w:hAnsi="Arial"/>
          <w:sz w:val="17"/>
          <w:szCs w:val="17"/>
          <w:color w:val="auto"/>
        </w:rPr>
        <w:t>" has the meaning given such term in the definition of "Change in Control."</w:t>
      </w:r>
    </w:p>
    <w:p>
      <w:pPr>
        <w:spacing w:after="0" w:line="236" w:lineRule="exact"/>
        <w:rPr>
          <w:rFonts w:ascii="Arial" w:cs="Arial" w:eastAsia="Arial" w:hAnsi="Arial"/>
          <w:sz w:val="17"/>
          <w:szCs w:val="17"/>
          <w:color w:val="auto"/>
        </w:rPr>
      </w:pPr>
    </w:p>
    <w:p>
      <w:pPr>
        <w:ind w:left="-20" w:firstLine="1305"/>
        <w:spacing w:after="0" w:line="277" w:lineRule="auto"/>
        <w:tabs>
          <w:tab w:leader="none" w:pos="1572"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Participant</w:t>
      </w:r>
      <w:r>
        <w:rPr>
          <w:rFonts w:ascii="Arial" w:cs="Arial" w:eastAsia="Arial" w:hAnsi="Arial"/>
          <w:sz w:val="18"/>
          <w:szCs w:val="18"/>
          <w:color w:val="auto"/>
        </w:rPr>
        <w:t>" means an Eligible Person who has been selected by the Committee to participate in this Plan and to receive an Award pursuant to Section 6 of this Plan.</w:t>
      </w:r>
    </w:p>
    <w:p>
      <w:pPr>
        <w:spacing w:after="0" w:line="170" w:lineRule="exact"/>
        <w:rPr>
          <w:rFonts w:ascii="Arial" w:cs="Arial" w:eastAsia="Arial" w:hAnsi="Arial"/>
          <w:sz w:val="18"/>
          <w:szCs w:val="18"/>
          <w:color w:val="auto"/>
        </w:rPr>
      </w:pPr>
    </w:p>
    <w:p>
      <w:pPr>
        <w:ind w:left="-20" w:firstLine="1305"/>
        <w:spacing w:after="0" w:line="277" w:lineRule="auto"/>
        <w:tabs>
          <w:tab w:leader="none" w:pos="16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Performance Compensation Award</w:t>
      </w:r>
      <w:r>
        <w:rPr>
          <w:rFonts w:ascii="Arial" w:cs="Arial" w:eastAsia="Arial" w:hAnsi="Arial"/>
          <w:sz w:val="18"/>
          <w:szCs w:val="18"/>
          <w:color w:val="auto"/>
        </w:rPr>
        <w:t>" shall mean any Award designated by the Committee as a Performance Compensation Award pursuant to Section 11 of this Plan.</w:t>
      </w:r>
    </w:p>
    <w:p>
      <w:pPr>
        <w:spacing w:after="0" w:line="170" w:lineRule="exact"/>
        <w:rPr>
          <w:rFonts w:ascii="Arial" w:cs="Arial" w:eastAsia="Arial" w:hAnsi="Arial"/>
          <w:sz w:val="18"/>
          <w:szCs w:val="18"/>
          <w:color w:val="auto"/>
        </w:rPr>
      </w:pPr>
    </w:p>
    <w:p>
      <w:pPr>
        <w:ind w:left="-20" w:firstLine="1305"/>
        <w:spacing w:after="0" w:line="277" w:lineRule="auto"/>
        <w:tabs>
          <w:tab w:leader="none" w:pos="1621"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Performance Criteria</w:t>
      </w:r>
      <w:r>
        <w:rPr>
          <w:rFonts w:ascii="Arial" w:cs="Arial" w:eastAsia="Arial" w:hAnsi="Arial"/>
          <w:sz w:val="18"/>
          <w:szCs w:val="18"/>
          <w:color w:val="auto"/>
        </w:rPr>
        <w:t>" shall mean the criterion or criteria that the Committee shall select for purposes of establishing the Performance Goal(s) for a Performance Period with respect to any Performance Compensation Award under this Plan.</w:t>
      </w:r>
    </w:p>
    <w:p>
      <w:pPr>
        <w:spacing w:after="0" w:line="170" w:lineRule="exact"/>
        <w:rPr>
          <w:rFonts w:ascii="Arial" w:cs="Arial" w:eastAsia="Arial" w:hAnsi="Arial"/>
          <w:sz w:val="18"/>
          <w:szCs w:val="18"/>
          <w:color w:val="auto"/>
        </w:rPr>
      </w:pPr>
    </w:p>
    <w:p>
      <w:pPr>
        <w:jc w:val="both"/>
        <w:ind w:left="-20" w:firstLine="1305"/>
        <w:spacing w:after="0" w:line="264" w:lineRule="auto"/>
        <w:tabs>
          <w:tab w:leader="none" w:pos="1568"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Performance Formula</w:t>
      </w:r>
      <w:r>
        <w:rPr>
          <w:rFonts w:ascii="Arial" w:cs="Arial" w:eastAsia="Arial" w:hAnsi="Arial"/>
          <w:sz w:val="18"/>
          <w:szCs w:val="18"/>
          <w:color w:val="auto"/>
        </w:rPr>
        <w:t>" shall mean, for a Performance Period, the one or more objective formulae applied against the relevant Performance Goal to determine, with regard to the Performance Compensation Award of a particular Participant, whether all, some portion but less than all, or none of the Performance Compensation Award has been earned for the Performance Period.</w:t>
      </w:r>
    </w:p>
    <w:p>
      <w:pPr>
        <w:spacing w:after="0" w:line="181" w:lineRule="exact"/>
        <w:rPr>
          <w:rFonts w:ascii="Arial" w:cs="Arial" w:eastAsia="Arial" w:hAnsi="Arial"/>
          <w:sz w:val="18"/>
          <w:szCs w:val="18"/>
          <w:color w:val="auto"/>
        </w:rPr>
      </w:pPr>
    </w:p>
    <w:p>
      <w:pPr>
        <w:ind w:left="-20" w:firstLine="1305"/>
        <w:spacing w:after="0" w:line="277" w:lineRule="auto"/>
        <w:tabs>
          <w:tab w:leader="none" w:pos="1541"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Performance Goals</w:t>
      </w:r>
      <w:r>
        <w:rPr>
          <w:rFonts w:ascii="Arial" w:cs="Arial" w:eastAsia="Arial" w:hAnsi="Arial"/>
          <w:sz w:val="18"/>
          <w:szCs w:val="18"/>
          <w:color w:val="auto"/>
        </w:rPr>
        <w:t>" shall mean, for a Performance Period, the one or more goals established by the Committee for the Performance Period based upon the Performance Criteria.</w:t>
      </w:r>
    </w:p>
    <w:p>
      <w:pPr>
        <w:spacing w:after="0" w:line="170" w:lineRule="exact"/>
        <w:rPr>
          <w:rFonts w:ascii="Arial" w:cs="Arial" w:eastAsia="Arial" w:hAnsi="Arial"/>
          <w:sz w:val="18"/>
          <w:szCs w:val="18"/>
          <w:color w:val="auto"/>
        </w:rPr>
      </w:pPr>
    </w:p>
    <w:p>
      <w:pPr>
        <w:ind w:left="-20" w:firstLine="1305"/>
        <w:spacing w:after="0" w:line="342" w:lineRule="auto"/>
        <w:tabs>
          <w:tab w:leader="none" w:pos="1621" w:val="left"/>
        </w:tabs>
        <w:numPr>
          <w:ilvl w:val="0"/>
          <w:numId w:val="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Performance Period</w:t>
      </w:r>
      <w:r>
        <w:rPr>
          <w:rFonts w:ascii="Arial" w:cs="Arial" w:eastAsia="Arial" w:hAnsi="Arial"/>
          <w:sz w:val="16"/>
          <w:szCs w:val="16"/>
          <w:color w:val="auto"/>
        </w:rPr>
        <w:t>" shall mean the one or more periods of time, as the Committee may select, over which the attainment of one or more Performance Goals will be measured for the purpose of determining a Participant’s right to, and the payment of, a Performance Compensation Award.</w:t>
      </w:r>
    </w:p>
    <w:p>
      <w:pPr>
        <w:spacing w:after="0" w:line="123" w:lineRule="exact"/>
        <w:rPr>
          <w:rFonts w:ascii="Arial" w:cs="Arial" w:eastAsia="Arial" w:hAnsi="Arial"/>
          <w:sz w:val="16"/>
          <w:szCs w:val="16"/>
          <w:color w:val="auto"/>
        </w:rPr>
      </w:pPr>
    </w:p>
    <w:p>
      <w:pPr>
        <w:ind w:left="1540" w:hanging="255"/>
        <w:spacing w:after="0"/>
        <w:tabs>
          <w:tab w:leader="none" w:pos="1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Permitted Transferee</w:t>
      </w:r>
      <w:r>
        <w:rPr>
          <w:rFonts w:ascii="Arial" w:cs="Arial" w:eastAsia="Arial" w:hAnsi="Arial"/>
          <w:sz w:val="18"/>
          <w:szCs w:val="18"/>
          <w:color w:val="auto"/>
        </w:rPr>
        <w:t>" shall have the meaning set forth in Section 15(b) of this Plan.</w:t>
      </w:r>
    </w:p>
    <w:p>
      <w:pPr>
        <w:spacing w:after="0" w:line="225" w:lineRule="exact"/>
        <w:rPr>
          <w:rFonts w:ascii="Arial" w:cs="Arial" w:eastAsia="Arial" w:hAnsi="Arial"/>
          <w:sz w:val="18"/>
          <w:szCs w:val="18"/>
          <w:color w:val="auto"/>
        </w:rPr>
      </w:pPr>
    </w:p>
    <w:p>
      <w:pPr>
        <w:ind w:left="1720" w:hanging="435"/>
        <w:spacing w:after="0"/>
        <w:tabs>
          <w:tab w:leader="none" w:pos="1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Person</w:t>
      </w:r>
      <w:r>
        <w:rPr>
          <w:rFonts w:ascii="Arial" w:cs="Arial" w:eastAsia="Arial" w:hAnsi="Arial"/>
          <w:sz w:val="18"/>
          <w:szCs w:val="18"/>
          <w:color w:val="auto"/>
        </w:rPr>
        <w:t>" has the meaning given such term in the definition of "Change in Control."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6" w:name="page37"/>
    <w:bookmarkEnd w:id="36"/>
    <w:p>
      <w:pPr>
        <w:ind w:left="1640" w:hanging="335"/>
        <w:spacing w:after="0"/>
        <w:tabs>
          <w:tab w:leader="none" w:pos="1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Plan</w:t>
      </w:r>
      <w:r>
        <w:rPr>
          <w:rFonts w:ascii="Arial" w:cs="Arial" w:eastAsia="Arial" w:hAnsi="Arial"/>
          <w:sz w:val="18"/>
          <w:szCs w:val="18"/>
          <w:color w:val="auto"/>
        </w:rPr>
        <w:t>" means this Labrador Search Corporation 2011 Equity Incentive Plan, as amended from time to time.</w:t>
      </w:r>
    </w:p>
    <w:p>
      <w:pPr>
        <w:spacing w:after="0" w:line="225" w:lineRule="exact"/>
        <w:rPr>
          <w:rFonts w:ascii="Arial" w:cs="Arial" w:eastAsia="Arial" w:hAnsi="Arial"/>
          <w:sz w:val="18"/>
          <w:szCs w:val="18"/>
          <w:color w:val="auto"/>
        </w:rPr>
      </w:pPr>
    </w:p>
    <w:p>
      <w:pPr>
        <w:jc w:val="both"/>
        <w:ind w:firstLine="1305"/>
        <w:spacing w:after="0" w:line="255" w:lineRule="auto"/>
        <w:tabs>
          <w:tab w:leader="none" w:pos="1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Retirement</w:t>
      </w:r>
      <w:r>
        <w:rPr>
          <w:rFonts w:ascii="Arial" w:cs="Arial" w:eastAsia="Arial" w:hAnsi="Arial"/>
          <w:sz w:val="18"/>
          <w:szCs w:val="18"/>
          <w:color w:val="auto"/>
        </w:rPr>
        <w:t>" means the fulfillment of each of the following conditions: (i) the Participant is good standing with the Company as determined by the Committee; (ii) the voluntary termination by a Participant of such Participant’s employment or service to the Company and (B) that at the time of such voluntary termination, the sum of: (1) the Participant’s age (calculated to the nearest month, with any resulting fraction of a year being calculated as the number of months in the year divided by 12) and (2) the Participant’s years of employment or service with the Company (calculated to the nearest month, with any resulting fraction of a year being calculated as the number of months in the year divided by 12) equals at least 62 (provided that, in any case, the foregoing shall only be applicable if, at the time of Retirement, the Participant shall be at least 55 years of age and shall have been employed by or served with the Company for no less than 5 years).</w:t>
      </w:r>
    </w:p>
    <w:p>
      <w:pPr>
        <w:spacing w:after="0" w:line="189" w:lineRule="exact"/>
        <w:rPr>
          <w:rFonts w:ascii="Arial" w:cs="Arial" w:eastAsia="Arial" w:hAnsi="Arial"/>
          <w:sz w:val="18"/>
          <w:szCs w:val="18"/>
          <w:color w:val="auto"/>
        </w:rPr>
      </w:pPr>
    </w:p>
    <w:p>
      <w:pPr>
        <w:ind w:firstLine="1305"/>
        <w:spacing w:after="0" w:line="277" w:lineRule="auto"/>
        <w:tabs>
          <w:tab w:leader="none" w:pos="1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Restricted Period</w:t>
      </w:r>
      <w:r>
        <w:rPr>
          <w:rFonts w:ascii="Arial" w:cs="Arial" w:eastAsia="Arial" w:hAnsi="Arial"/>
          <w:sz w:val="18"/>
          <w:szCs w:val="18"/>
          <w:color w:val="auto"/>
        </w:rPr>
        <w:t>" means the period of time determined by the Committee during which an Award is subject to restrictions or, as applicable, the period of time within which performance is measured for purposes of determining whether an Award has been earned.</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641"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Restricted Stock Unit</w:t>
      </w:r>
      <w:r>
        <w:rPr>
          <w:rFonts w:ascii="Arial" w:cs="Arial" w:eastAsia="Arial" w:hAnsi="Arial"/>
          <w:sz w:val="18"/>
          <w:szCs w:val="18"/>
          <w:color w:val="auto"/>
        </w:rPr>
        <w:t>" means an unfunded and unsecured promise to deliver Common Shares, cash, other securities or other property, subject to certain restrictions (including, without limitation, a requirement that the Participant remain continuously employed or provide continuous services for a specified period of time), granted under Section 9 of this Plan.</w:t>
      </w:r>
    </w:p>
    <w:p>
      <w:pPr>
        <w:spacing w:after="0" w:line="181" w:lineRule="exact"/>
        <w:rPr>
          <w:rFonts w:ascii="Arial" w:cs="Arial" w:eastAsia="Arial" w:hAnsi="Arial"/>
          <w:sz w:val="18"/>
          <w:szCs w:val="18"/>
          <w:color w:val="auto"/>
        </w:rPr>
      </w:pPr>
    </w:p>
    <w:p>
      <w:pPr>
        <w:ind w:firstLine="1305"/>
        <w:spacing w:after="0" w:line="308" w:lineRule="auto"/>
        <w:tabs>
          <w:tab w:leader="none" w:pos="1581" w:val="left"/>
        </w:tabs>
        <w:numPr>
          <w:ilvl w:val="0"/>
          <w:numId w:val="5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u w:val="single" w:color="auto"/>
          <w:color w:val="auto"/>
        </w:rPr>
        <w:t>Restricted Stock</w:t>
      </w:r>
      <w:r>
        <w:rPr>
          <w:rFonts w:ascii="Arial" w:cs="Arial" w:eastAsia="Arial" w:hAnsi="Arial"/>
          <w:sz w:val="17"/>
          <w:szCs w:val="17"/>
          <w:color w:val="auto"/>
        </w:rPr>
        <w:t>" means Common Shares, subject to certain specified restrictions (including, without limitation, a requirement that the Participant remain continuously employed or provide continuous services for a specified period of time), granted under Section 9 of this Plan.</w:t>
      </w:r>
    </w:p>
    <w:p>
      <w:pPr>
        <w:spacing w:after="0" w:line="146" w:lineRule="exact"/>
        <w:rPr>
          <w:rFonts w:ascii="Arial" w:cs="Arial" w:eastAsia="Arial" w:hAnsi="Arial"/>
          <w:sz w:val="17"/>
          <w:szCs w:val="17"/>
          <w:color w:val="auto"/>
        </w:rPr>
      </w:pPr>
    </w:p>
    <w:p>
      <w:pPr>
        <w:ind w:left="1600" w:hanging="295"/>
        <w:spacing w:after="0"/>
        <w:tabs>
          <w:tab w:leader="none" w:pos="16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u w:val="single" w:color="auto"/>
          <w:color w:val="auto"/>
        </w:rPr>
        <w:t>SAR Period</w:t>
      </w:r>
      <w:r>
        <w:rPr>
          <w:rFonts w:ascii="Arial" w:cs="Arial" w:eastAsia="Arial" w:hAnsi="Arial"/>
          <w:sz w:val="17"/>
          <w:szCs w:val="17"/>
          <w:color w:val="auto"/>
        </w:rPr>
        <w:t>" has the meaning given such term in Section 8(c) of this Plan.</w:t>
      </w:r>
    </w:p>
    <w:p>
      <w:pPr>
        <w:spacing w:after="0" w:line="236" w:lineRule="exact"/>
        <w:rPr>
          <w:rFonts w:ascii="Arial" w:cs="Arial" w:eastAsia="Arial" w:hAnsi="Arial"/>
          <w:sz w:val="17"/>
          <w:szCs w:val="17"/>
          <w:color w:val="auto"/>
        </w:rPr>
      </w:pPr>
    </w:p>
    <w:p>
      <w:pPr>
        <w:jc w:val="both"/>
        <w:ind w:firstLine="1305"/>
        <w:spacing w:after="0" w:line="264" w:lineRule="auto"/>
        <w:tabs>
          <w:tab w:leader="none" w:pos="1561"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Securities Act</w:t>
      </w:r>
      <w:r>
        <w:rPr>
          <w:rFonts w:ascii="Arial" w:cs="Arial" w:eastAsia="Arial" w:hAnsi="Arial"/>
          <w:sz w:val="18"/>
          <w:szCs w:val="18"/>
          <w:color w:val="auto"/>
        </w:rPr>
        <w:t>" means the Securities Act of 1933, as amended, and any successor thereto. Reference in this Plan to any section of the Securities Act shall be deemed to include any rules, regulations or other official interpretative guidance under such section, and any amendments or successor provisions to such section, rules, regulations or guidance.</w:t>
      </w:r>
    </w:p>
    <w:p>
      <w:pPr>
        <w:spacing w:after="0" w:line="181" w:lineRule="exact"/>
        <w:rPr>
          <w:rFonts w:ascii="Arial" w:cs="Arial" w:eastAsia="Arial" w:hAnsi="Arial"/>
          <w:sz w:val="18"/>
          <w:szCs w:val="18"/>
          <w:color w:val="auto"/>
        </w:rPr>
      </w:pPr>
    </w:p>
    <w:p>
      <w:pPr>
        <w:ind w:firstLine="1305"/>
        <w:spacing w:after="0" w:line="277" w:lineRule="auto"/>
        <w:tabs>
          <w:tab w:leader="none" w:pos="1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Stock Appreciation Right</w:t>
      </w:r>
      <w:r>
        <w:rPr>
          <w:rFonts w:ascii="Arial" w:cs="Arial" w:eastAsia="Arial" w:hAnsi="Arial"/>
          <w:sz w:val="18"/>
          <w:szCs w:val="18"/>
          <w:color w:val="auto"/>
        </w:rPr>
        <w:t xml:space="preserve">" or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SAR</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Award granted under Section 8 of this Plan which meets all of the requirements of Section 1.409A-1(b)(5)(i)(B) of the Treasury Regulations.</w:t>
      </w:r>
    </w:p>
    <w:p>
      <w:pPr>
        <w:spacing w:after="0" w:line="170" w:lineRule="exact"/>
        <w:rPr>
          <w:rFonts w:ascii="Arial" w:cs="Arial" w:eastAsia="Arial" w:hAnsi="Arial"/>
          <w:sz w:val="18"/>
          <w:szCs w:val="18"/>
          <w:color w:val="auto"/>
        </w:rPr>
      </w:pPr>
    </w:p>
    <w:p>
      <w:pPr>
        <w:ind w:left="1640" w:hanging="335"/>
        <w:spacing w:after="0"/>
        <w:tabs>
          <w:tab w:leader="none" w:pos="1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Stock Bonus Award</w:t>
      </w:r>
      <w:r>
        <w:rPr>
          <w:rFonts w:ascii="Arial" w:cs="Arial" w:eastAsia="Arial" w:hAnsi="Arial"/>
          <w:sz w:val="18"/>
          <w:szCs w:val="18"/>
          <w:color w:val="auto"/>
        </w:rPr>
        <w:t>" means an Award granted under Section 10 of this Plan.</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7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Strike Price</w:t>
      </w:r>
      <w:r>
        <w:rPr>
          <w:rFonts w:ascii="Arial" w:cs="Arial" w:eastAsia="Arial" w:hAnsi="Arial"/>
          <w:sz w:val="18"/>
          <w:szCs w:val="18"/>
          <w:color w:val="auto"/>
        </w:rPr>
        <w:t>" means, except as otherwise provided by the Committee in the case of Substitute Awards, (i) in the case of a SAR granted in tandem with an Option, the Exercise Price of the related Option, or (ii) in the case of a SAR granted independent of an Option, the Fair Market Value on the Date of Grant.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ind w:left="1640" w:hanging="335"/>
        <w:spacing w:after="0"/>
        <w:tabs>
          <w:tab w:leader="none" w:pos="16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Subsidiary</w:t>
      </w:r>
      <w:r>
        <w:rPr>
          <w:rFonts w:ascii="Arial" w:cs="Arial" w:eastAsia="Arial" w:hAnsi="Arial"/>
          <w:sz w:val="18"/>
          <w:szCs w:val="18"/>
          <w:color w:val="auto"/>
        </w:rPr>
        <w:t>" means, with respect to any specified Person:</w:t>
      </w:r>
    </w:p>
    <w:p>
      <w:pPr>
        <w:spacing w:after="0" w:line="225" w:lineRule="exact"/>
        <w:rPr>
          <w:rFonts w:ascii="Arial" w:cs="Arial" w:eastAsia="Arial" w:hAnsi="Arial"/>
          <w:sz w:val="18"/>
          <w:szCs w:val="18"/>
          <w:color w:val="auto"/>
        </w:rPr>
      </w:pPr>
    </w:p>
    <w:p>
      <w:pPr>
        <w:jc w:val="both"/>
        <w:ind w:firstLine="1953"/>
        <w:spacing w:after="0" w:line="259" w:lineRule="auto"/>
        <w:tabs>
          <w:tab w:leader="none" w:pos="2160" w:val="left"/>
        </w:tabs>
        <w:numPr>
          <w:ilvl w:val="2"/>
          <w:numId w:val="57"/>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of which more than 50% of the total voting power of shares of Outstanding Company Voting Securities (without regard to the occurrence of any contingency and after giving effect to any voting agreement or stockholders’ agreement that effectively transfers voting power) is at the time owned or controlled, directly or indirectly, by that Person or one or more of the other Subsidiaries of that Person (or a combination thereof); and</w:t>
      </w:r>
    </w:p>
    <w:p>
      <w:pPr>
        <w:spacing w:after="0" w:line="186" w:lineRule="exact"/>
        <w:rPr>
          <w:rFonts w:ascii="Arial" w:cs="Arial" w:eastAsia="Arial" w:hAnsi="Arial"/>
          <w:sz w:val="18"/>
          <w:szCs w:val="18"/>
          <w:color w:val="auto"/>
        </w:rPr>
      </w:pPr>
    </w:p>
    <w:p>
      <w:pPr>
        <w:jc w:val="both"/>
        <w:ind w:firstLine="1953"/>
        <w:spacing w:after="0" w:line="259" w:lineRule="auto"/>
        <w:tabs>
          <w:tab w:leader="none" w:pos="2237" w:val="left"/>
        </w:tabs>
        <w:numPr>
          <w:ilvl w:val="2"/>
          <w:numId w:val="57"/>
        </w:numPr>
        <w:rPr>
          <w:rFonts w:ascii="Arial" w:cs="Arial" w:eastAsia="Arial" w:hAnsi="Arial"/>
          <w:sz w:val="18"/>
          <w:szCs w:val="18"/>
          <w:color w:val="auto"/>
        </w:rPr>
      </w:pPr>
      <w:r>
        <w:rPr>
          <w:rFonts w:ascii="Arial" w:cs="Arial" w:eastAsia="Arial" w:hAnsi="Arial"/>
          <w:sz w:val="18"/>
          <w:szCs w:val="18"/>
          <w:color w:val="auto"/>
        </w:rPr>
        <w:t>any partnership or limited liability company (or any comparable foreign entity) (a) the sole general partner or managing member (or functional equivalent thereof) or the managing general partner of which is such Person or Subsidiary of such Person or (b) the only general partners or managing members (or functional equivalents thereof) of which are that Person or one or more Subsidiaries of that Person (or any combination thereof).</w:t>
      </w:r>
    </w:p>
    <w:p>
      <w:pPr>
        <w:spacing w:after="0" w:line="186" w:lineRule="exact"/>
        <w:rPr>
          <w:rFonts w:ascii="Arial" w:cs="Arial" w:eastAsia="Arial" w:hAnsi="Arial"/>
          <w:sz w:val="18"/>
          <w:szCs w:val="18"/>
          <w:color w:val="auto"/>
        </w:rPr>
      </w:pPr>
    </w:p>
    <w:p>
      <w:pPr>
        <w:ind w:left="1640" w:hanging="335"/>
        <w:spacing w:after="0"/>
        <w:tabs>
          <w:tab w:leader="none" w:pos="16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Substitute Awards</w:t>
      </w:r>
      <w:r>
        <w:rPr>
          <w:rFonts w:ascii="Arial" w:cs="Arial" w:eastAsia="Arial" w:hAnsi="Arial"/>
          <w:sz w:val="18"/>
          <w:szCs w:val="18"/>
          <w:color w:val="auto"/>
        </w:rPr>
        <w:t>" has the meaning given such term in Section 5(e).</w:t>
      </w:r>
    </w:p>
    <w:p>
      <w:pPr>
        <w:spacing w:after="0" w:line="225" w:lineRule="exact"/>
        <w:rPr>
          <w:rFonts w:ascii="Arial" w:cs="Arial" w:eastAsia="Arial" w:hAnsi="Arial"/>
          <w:sz w:val="18"/>
          <w:szCs w:val="18"/>
          <w:color w:val="auto"/>
        </w:rPr>
      </w:pPr>
    </w:p>
    <w:p>
      <w:pPr>
        <w:ind w:firstLine="1305"/>
        <w:spacing w:after="0" w:line="277" w:lineRule="auto"/>
        <w:tabs>
          <w:tab w:leader="none" w:pos="1621" w:val="left"/>
        </w:tabs>
        <w:numPr>
          <w:ilvl w:val="1"/>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Treasury Regulations</w:t>
      </w:r>
      <w:r>
        <w:rPr>
          <w:rFonts w:ascii="Arial" w:cs="Arial" w:eastAsia="Arial" w:hAnsi="Arial"/>
          <w:sz w:val="18"/>
          <w:szCs w:val="18"/>
          <w:color w:val="auto"/>
        </w:rPr>
        <w:t>" means any regulations, whether proposed, temporary or final, promulgated by the U.S. Department of Treasury under the Code, and any successor provisions.</w:t>
      </w:r>
    </w:p>
    <w:p>
      <w:pPr>
        <w:spacing w:after="0" w:line="170" w:lineRule="exact"/>
        <w:rPr>
          <w:rFonts w:ascii="Arial" w:cs="Arial" w:eastAsia="Arial" w:hAnsi="Arial"/>
          <w:sz w:val="18"/>
          <w:szCs w:val="18"/>
          <w:color w:val="auto"/>
        </w:rPr>
      </w:pPr>
    </w:p>
    <w:p>
      <w:pPr>
        <w:jc w:val="both"/>
        <w:ind w:firstLine="656"/>
        <w:spacing w:after="0" w:line="257" w:lineRule="auto"/>
        <w:tabs>
          <w:tab w:leader="none" w:pos="828"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Effective Date; Duration</w:t>
      </w:r>
      <w:r>
        <w:rPr>
          <w:rFonts w:ascii="Arial" w:cs="Arial" w:eastAsia="Arial" w:hAnsi="Arial"/>
          <w:sz w:val="18"/>
          <w:szCs w:val="18"/>
          <w:color w:val="auto"/>
        </w:rPr>
        <w:t>. The Plan shall be effective as of the Effective Date, but no Award shall be exercised or paid (or, in the case of a stock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Award, shall be granted unless contingent on stockholder approval) unless and until this Plan has been approved by the stockholders of the Company, which approval shall be within twelve (12) months after the date this Plan is adopted by the Board. The expiration date of this Plan, on and after which date no Awards may be granted hereunder, shall be the tenth anniversary of the Effective Date;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such expiration shall not affect Awards then outstanding, and the terms and conditions of this Plan shall continue to apply to such Awards.</w:t>
      </w:r>
    </w:p>
    <w:p>
      <w:pPr>
        <w:spacing w:after="0" w:line="188" w:lineRule="exact"/>
        <w:rPr>
          <w:rFonts w:ascii="Arial" w:cs="Arial" w:eastAsia="Arial" w:hAnsi="Arial"/>
          <w:sz w:val="18"/>
          <w:szCs w:val="18"/>
          <w:color w:val="auto"/>
        </w:rPr>
      </w:pPr>
    </w:p>
    <w:p>
      <w:pPr>
        <w:ind w:left="840" w:hanging="184"/>
        <w:spacing w:after="0"/>
        <w:tabs>
          <w:tab w:leader="none" w:pos="84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72" w:lineRule="auto"/>
        <w:tabs>
          <w:tab w:leader="none" w:pos="1555" w:val="left"/>
        </w:tabs>
        <w:numPr>
          <w:ilvl w:val="1"/>
          <w:numId w:val="58"/>
        </w:numPr>
        <w:rPr>
          <w:rFonts w:ascii="Arial" w:cs="Arial" w:eastAsia="Arial" w:hAnsi="Arial"/>
          <w:sz w:val="17"/>
          <w:szCs w:val="17"/>
          <w:color w:val="auto"/>
        </w:rPr>
      </w:pPr>
      <w:r>
        <w:rPr>
          <w:rFonts w:ascii="Arial" w:cs="Arial" w:eastAsia="Arial" w:hAnsi="Arial"/>
          <w:sz w:val="17"/>
          <w:szCs w:val="17"/>
          <w:color w:val="auto"/>
        </w:rPr>
        <w:t>The Committee shall administer this Plan. To the extent required to comply with the provisions of Rule 16b-3 promulgated under the Exchange Act (if the Board is not acting as the Committee under this Plan) or necessary to obtain the exception for performance-based compensation under Section 162(m) of the Code, as applicable, it is intended that each member of the Committee shall, at the time he takes any action with respect to an Award under this Plan, be an Eligible Director. However, the fact that a Committee member shall fail to qualify as an Eligible Director shall not invalidate any Award granted by the Committee that is otherwise validly granted under this Plan. The acts of a majority of the members present at any meeting at which a quorum is present or acts approved in writing by a majority of the Committee shall be deemed the acts of the Committee. Whether a quorum is present shall be determined based on the Committee’s charter as approved by the Board.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jc w:val="both"/>
        <w:ind w:firstLine="1305"/>
        <w:spacing w:after="0" w:line="269" w:lineRule="auto"/>
        <w:tabs>
          <w:tab w:leader="none" w:pos="1563" w:val="left"/>
        </w:tabs>
        <w:numPr>
          <w:ilvl w:val="0"/>
          <w:numId w:val="59"/>
        </w:numPr>
        <w:rPr>
          <w:rFonts w:ascii="Arial" w:cs="Arial" w:eastAsia="Arial" w:hAnsi="Arial"/>
          <w:sz w:val="17"/>
          <w:szCs w:val="17"/>
          <w:color w:val="auto"/>
        </w:rPr>
      </w:pPr>
      <w:r>
        <w:rPr>
          <w:rFonts w:ascii="Arial" w:cs="Arial" w:eastAsia="Arial" w:hAnsi="Arial"/>
          <w:sz w:val="17"/>
          <w:szCs w:val="17"/>
          <w:color w:val="auto"/>
        </w:rPr>
        <w:t>Subject to the provisions of this Plan and applicable law, the Committee shall have the sole and plenary authority, in addition to other express powers and authorizations conferred on the Committee by this Plan and its charter, to: (i) designate Participants; (ii) determine the type or types of Awards to be granted to a Participant; (iii) determine the number of Common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Common Shares, other securities, other Awards or other property, or canceled, forfeited, or suspended and the method or methods by which Awards may be settled, exercised, canceled, forfeited, or suspended; (vi) determine whether, to what extent, and under what circumstances the delivery of cash, Common Shares, other securities, other Awards or other property and other amounts payable with respect to an Award; (vii) interpret, administer, reconcile any inconsistency in, settle any controversy regarding, correct any defect in and/or complete any omission in this Plan and any instrument or agreement relating to, or Award granted under, this Plan; (viii) establish, amend, suspend, or waive any rules and regulations and appoint such agents as the Committee shall deem appropriate for the proper administration of this Plan; (ix) accelerate the vesting or exercisability of, payment for or lapse of restrictions on, Awards; and (x) make any other determination and take any other action that the Committee deems necessary or desirable for the administration of this Plan.</w:t>
      </w:r>
    </w:p>
    <w:p>
      <w:pPr>
        <w:spacing w:after="0" w:line="179" w:lineRule="exact"/>
        <w:rPr>
          <w:rFonts w:ascii="Arial" w:cs="Arial" w:eastAsia="Arial" w:hAnsi="Arial"/>
          <w:sz w:val="17"/>
          <w:szCs w:val="17"/>
          <w:color w:val="auto"/>
        </w:rPr>
      </w:pPr>
    </w:p>
    <w:p>
      <w:pPr>
        <w:jc w:val="both"/>
        <w:ind w:firstLine="1305"/>
        <w:spacing w:after="0" w:line="259" w:lineRule="auto"/>
        <w:tabs>
          <w:tab w:leader="none" w:pos="1563" w:val="left"/>
        </w:tabs>
        <w:numPr>
          <w:ilvl w:val="0"/>
          <w:numId w:val="59"/>
        </w:numPr>
        <w:rPr>
          <w:rFonts w:ascii="Arial" w:cs="Arial" w:eastAsia="Arial" w:hAnsi="Arial"/>
          <w:sz w:val="18"/>
          <w:szCs w:val="18"/>
          <w:color w:val="auto"/>
        </w:rPr>
      </w:pPr>
      <w:r>
        <w:rPr>
          <w:rFonts w:ascii="Arial" w:cs="Arial" w:eastAsia="Arial" w:hAnsi="Arial"/>
          <w:sz w:val="18"/>
          <w:szCs w:val="18"/>
          <w:color w:val="auto"/>
        </w:rPr>
        <w:t>Unless otherwise expressly provided in this Plan, all designations, determinations, interpretations, and other decisions under or with respect to this Plan or any Award or any documents evidencing Awards granted pursuant to this Plan shall be within the sole discretion of the Committee, may be made at any time and shall be final, conclusive and binding upon all persons or entities, including, without limitation, the Company, any Affiliate, any Participant, any holder or beneficiary of any Award, and any stockholder of the Company.</w:t>
      </w:r>
    </w:p>
    <w:p>
      <w:pPr>
        <w:spacing w:after="0" w:line="186" w:lineRule="exact"/>
        <w:rPr>
          <w:rFonts w:ascii="Arial" w:cs="Arial" w:eastAsia="Arial" w:hAnsi="Arial"/>
          <w:sz w:val="18"/>
          <w:szCs w:val="18"/>
          <w:color w:val="auto"/>
        </w:rPr>
      </w:pPr>
    </w:p>
    <w:p>
      <w:pPr>
        <w:jc w:val="both"/>
        <w:ind w:firstLine="1305"/>
        <w:spacing w:after="0" w:line="285" w:lineRule="auto"/>
        <w:tabs>
          <w:tab w:leader="none" w:pos="1554" w:val="left"/>
        </w:tabs>
        <w:numPr>
          <w:ilvl w:val="0"/>
          <w:numId w:val="59"/>
        </w:numPr>
        <w:rPr>
          <w:rFonts w:ascii="Arial" w:cs="Arial" w:eastAsia="Arial" w:hAnsi="Arial"/>
          <w:sz w:val="16"/>
          <w:szCs w:val="16"/>
          <w:color w:val="auto"/>
        </w:rPr>
      </w:pPr>
      <w:r>
        <w:rPr>
          <w:rFonts w:ascii="Arial" w:cs="Arial" w:eastAsia="Arial" w:hAnsi="Arial"/>
          <w:sz w:val="16"/>
          <w:szCs w:val="16"/>
          <w:color w:val="auto"/>
        </w:rPr>
        <w:t>No member of the Board, the Committee, delegate of the Committee or any employee, advisor or agent of the Company or the Board or the Committee (each such person, an "</w:t>
      </w:r>
      <w:r>
        <w:rPr>
          <w:rFonts w:ascii="Arial" w:cs="Arial" w:eastAsia="Arial" w:hAnsi="Arial"/>
          <w:sz w:val="16"/>
          <w:szCs w:val="16"/>
          <w:i w:val="1"/>
          <w:iCs w:val="1"/>
          <w:u w:val="single" w:color="auto"/>
          <w:color w:val="auto"/>
        </w:rPr>
        <w:t>Indemnifiable Person</w:t>
      </w:r>
      <w:r>
        <w:rPr>
          <w:rFonts w:ascii="Arial" w:cs="Arial" w:eastAsia="Arial" w:hAnsi="Arial"/>
          <w:sz w:val="16"/>
          <w:szCs w:val="16"/>
          <w:color w:val="auto"/>
        </w:rPr>
        <w:t xml:space="preserve">") shall be liable for any action taken or omitted to be taken or any determination made in good faith with respect to this Plan or any Award hereunder. Each Indemnifiable Person shall be indemnified and held harmless by the Company against and from (and the Company shall pay or reimburse on demand for) any loss, cost, liability, or expense (including attorneys’ fees) that may be imposed upon or incurred by such Indemnifiable Person in connection with or resulting from any action, suit or proceeding to which such Indemnifiable Person may be a party or in which such Indemnifiable Person may be involved by reason of any action taken or omitted to be taken under this Plan or any Award agreement and against and from any and all amounts paid by such Indemnifiable Person with the Company’s approval, in settlement thereof, or paid by such Indemnifiable Person in satisfaction of any judgment in any such action, suit or proceeding against such Indemnifiable Person,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or omissions of such Indemnifiable Person giving rise to the indemnification claim resulted from such Indemnifiable Person’s bad faith, fraud or willful criminal act or omission or that such right of indemnification is otherwise prohibited by law or by the Company’s Certificate of Incorporation or Bylaws. The foregoing right of indemnification shall not be exclusive of any other rights of indemnification to which such Indemnifiable Persons may be entitled under the Company’s Certificate of Incorporation or Bylaws, as a matter of law, or otherwise, or any other power that the Company may have to indemnify such Indemnifiable Persons or hold them harmless.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jc w:val="both"/>
        <w:ind w:firstLine="1305"/>
        <w:spacing w:after="0" w:line="264" w:lineRule="auto"/>
        <w:tabs>
          <w:tab w:leader="none" w:pos="1544" w:val="left"/>
        </w:tabs>
        <w:numPr>
          <w:ilvl w:val="1"/>
          <w:numId w:val="60"/>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Plan, the Board may, in its sole discretion, at any time and from time to time, grant Awards and administer this Plan with respect to such Awards. In any such case, the Board shall have all the authority granted to the Committee under this Plan.</w:t>
      </w:r>
    </w:p>
    <w:p>
      <w:pPr>
        <w:spacing w:after="0" w:line="181" w:lineRule="exact"/>
        <w:rPr>
          <w:rFonts w:ascii="Arial" w:cs="Arial" w:eastAsia="Arial" w:hAnsi="Arial"/>
          <w:sz w:val="18"/>
          <w:szCs w:val="18"/>
          <w:color w:val="auto"/>
        </w:rPr>
      </w:pPr>
    </w:p>
    <w:p>
      <w:pPr>
        <w:ind w:left="840" w:hanging="184"/>
        <w:spacing w:after="0"/>
        <w:tabs>
          <w:tab w:leader="none" w:pos="84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Grant of Awards; Shares Subject to this Plan; Limitations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77" w:lineRule="auto"/>
        <w:tabs>
          <w:tab w:leader="none" w:pos="1568"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Committee may, from time to time, grant Options, Stock Appreciation Rights, Restricted Stock, Restricted Stock Units, Stock Bonus Awards and/or Performance Compensation Awards to one or more Eligible Persons.</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5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Subject to Sections 3, 11 and 12 of this Plan, the Committee is authorized to deliver under this Plan an aggregate of one million (1,000,000) Common Shares. Each Common Share subject to any Award will reduce the number of Common Shares available for issuance under the Plan by one share</w:t>
      </w:r>
    </w:p>
    <w:p>
      <w:pPr>
        <w:spacing w:after="0" w:line="181" w:lineRule="exact"/>
        <w:rPr>
          <w:rFonts w:ascii="Arial" w:cs="Arial" w:eastAsia="Arial" w:hAnsi="Arial"/>
          <w:sz w:val="18"/>
          <w:szCs w:val="18"/>
          <w:color w:val="auto"/>
        </w:rPr>
      </w:pPr>
    </w:p>
    <w:p>
      <w:pPr>
        <w:jc w:val="both"/>
        <w:ind w:firstLine="1305"/>
        <w:spacing w:after="0" w:line="276" w:lineRule="auto"/>
        <w:tabs>
          <w:tab w:leader="none" w:pos="1566" w:val="left"/>
        </w:tabs>
        <w:numPr>
          <w:ilvl w:val="1"/>
          <w:numId w:val="61"/>
        </w:numPr>
        <w:rPr>
          <w:rFonts w:ascii="Arial" w:cs="Arial" w:eastAsia="Arial" w:hAnsi="Arial"/>
          <w:sz w:val="17"/>
          <w:szCs w:val="17"/>
          <w:color w:val="auto"/>
        </w:rPr>
      </w:pPr>
      <w:r>
        <w:rPr>
          <w:rFonts w:ascii="Arial" w:cs="Arial" w:eastAsia="Arial" w:hAnsi="Arial"/>
          <w:sz w:val="17"/>
          <w:szCs w:val="17"/>
          <w:color w:val="auto"/>
        </w:rPr>
        <w:t>Common Shares underlying Awards under this Plan that are forfeited, cancelled, expire unexercised, or are settled in cash shall be available again for Awards under this Plan at the same ratio at which they were previously granted. Notwithstanding the foregoing, the following Common Shares shall not be available again for Awards under the Plan: (i) shares tendered or held back upon the exercise of an Option or settlement of an Award to cover the Exercise Price of an Award; (ii) shares that are used or withheld to satisfy tax obligations of the Participant; and (iii) shares subject to a Stock Appreciation Right that are not issued in connection with the stock settlement of the SAR upon exercise thereof.</w:t>
      </w:r>
    </w:p>
    <w:p>
      <w:pPr>
        <w:spacing w:after="0" w:line="172" w:lineRule="exact"/>
        <w:rPr>
          <w:rFonts w:ascii="Arial" w:cs="Arial" w:eastAsia="Arial" w:hAnsi="Arial"/>
          <w:sz w:val="17"/>
          <w:szCs w:val="17"/>
          <w:color w:val="auto"/>
        </w:rPr>
      </w:pPr>
    </w:p>
    <w:p>
      <w:pPr>
        <w:ind w:firstLine="1305"/>
        <w:spacing w:after="0" w:line="277" w:lineRule="auto"/>
        <w:tabs>
          <w:tab w:leader="none" w:pos="1558" w:val="left"/>
        </w:tabs>
        <w:numPr>
          <w:ilvl w:val="1"/>
          <w:numId w:val="61"/>
        </w:numPr>
        <w:rPr>
          <w:rFonts w:ascii="Arial" w:cs="Arial" w:eastAsia="Arial" w:hAnsi="Arial"/>
          <w:sz w:val="18"/>
          <w:szCs w:val="18"/>
          <w:color w:val="auto"/>
        </w:rPr>
      </w:pPr>
      <w:r>
        <w:rPr>
          <w:rFonts w:ascii="Arial" w:cs="Arial" w:eastAsia="Arial" w:hAnsi="Arial"/>
          <w:sz w:val="18"/>
          <w:szCs w:val="18"/>
          <w:color w:val="auto"/>
        </w:rPr>
        <w:t>Common Shares delivered by the Company in settlement of Awards may be authorized and unissued shares, shares held in the treasury of the Company, shares purchased on the open market or by private purchase, or a combination of the foregoing.</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1553" w:val="left"/>
        </w:tabs>
        <w:numPr>
          <w:ilvl w:val="1"/>
          <w:numId w:val="61"/>
        </w:numPr>
        <w:rPr>
          <w:rFonts w:ascii="Arial" w:cs="Arial" w:eastAsia="Arial" w:hAnsi="Arial"/>
          <w:sz w:val="18"/>
          <w:szCs w:val="18"/>
          <w:color w:val="auto"/>
        </w:rPr>
      </w:pPr>
      <w:r>
        <w:rPr>
          <w:rFonts w:ascii="Arial" w:cs="Arial" w:eastAsia="Arial" w:hAnsi="Arial"/>
          <w:sz w:val="18"/>
          <w:szCs w:val="18"/>
          <w:color w:val="auto"/>
        </w:rPr>
        <w:t>Subject to compliance with Section 1.409A-3(f) of the Treasury Regulations, Awards may, in the sole discretion of the Committee, be granted under this Plan in assumption of, or in substitution for, outstanding awards previously granted by an entity acquired by the Company or with which the Company combines ("</w:t>
      </w:r>
      <w:r>
        <w:rPr>
          <w:rFonts w:ascii="Arial" w:cs="Arial" w:eastAsia="Arial" w:hAnsi="Arial"/>
          <w:sz w:val="18"/>
          <w:szCs w:val="18"/>
          <w:i w:val="1"/>
          <w:iCs w:val="1"/>
          <w:u w:val="single" w:color="auto"/>
          <w:color w:val="auto"/>
        </w:rPr>
        <w:t>Substitute Awards</w:t>
      </w:r>
      <w:r>
        <w:rPr>
          <w:rFonts w:ascii="Arial" w:cs="Arial" w:eastAsia="Arial" w:hAnsi="Arial"/>
          <w:sz w:val="18"/>
          <w:szCs w:val="18"/>
          <w:color w:val="auto"/>
        </w:rPr>
        <w:t>"). The number of Common Shares underlying any Substitute Awards shall be counted against the aggregate number of Common Shares available for Awards under this Plan.</w:t>
      </w:r>
    </w:p>
    <w:p>
      <w:pPr>
        <w:spacing w:after="0" w:line="186" w:lineRule="exact"/>
        <w:rPr>
          <w:rFonts w:ascii="Arial" w:cs="Arial" w:eastAsia="Arial" w:hAnsi="Arial"/>
          <w:sz w:val="18"/>
          <w:szCs w:val="18"/>
          <w:color w:val="auto"/>
        </w:rPr>
      </w:pPr>
    </w:p>
    <w:p>
      <w:pPr>
        <w:ind w:firstLine="656"/>
        <w:spacing w:after="0" w:line="277" w:lineRule="auto"/>
        <w:tabs>
          <w:tab w:leader="none" w:pos="828"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Participation shall be limited to Eligible Persons who have entered into an Award agreement or who have received written notification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Committee, or from a person designated by the Committee, that they have been selected to participate in this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ind w:left="840" w:hanging="184"/>
        <w:spacing w:after="0"/>
        <w:tabs>
          <w:tab w:leader="none" w:pos="84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86" w:lineRule="auto"/>
        <w:tabs>
          <w:tab w:leader="none" w:pos="1555" w:val="left"/>
        </w:tabs>
        <w:numPr>
          <w:ilvl w:val="1"/>
          <w:numId w:val="62"/>
        </w:numPr>
        <w:rPr>
          <w:rFonts w:ascii="Arial" w:cs="Arial" w:eastAsia="Arial" w:hAnsi="Arial"/>
          <w:sz w:val="16"/>
          <w:szCs w:val="16"/>
          <w:color w:val="auto"/>
        </w:rPr>
      </w:pPr>
      <w:r>
        <w:rPr>
          <w:rFonts w:ascii="Arial" w:cs="Arial" w:eastAsia="Arial" w:hAnsi="Arial"/>
          <w:sz w:val="16"/>
          <w:szCs w:val="16"/>
          <w:i w:val="1"/>
          <w:iCs w:val="1"/>
          <w:u w:val="single" w:color="auto"/>
          <w:color w:val="auto"/>
        </w:rPr>
        <w:t>Generally</w:t>
      </w:r>
      <w:r>
        <w:rPr>
          <w:rFonts w:ascii="Arial" w:cs="Arial" w:eastAsia="Arial" w:hAnsi="Arial"/>
          <w:sz w:val="16"/>
          <w:szCs w:val="16"/>
          <w:color w:val="auto"/>
        </w:rPr>
        <w:t>. Each Option granted under this Plan shall be evidenced by an Award agreement (whether in paper or electronic medium</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email or the posting on a web site maintained by the Company or a third party under contract with the Company)). Each Option so granted shall be subject to the conditions set forth in this Section 7, and to such other conditions not inconsistent with this Plan as may be reflected in the applicable Award agreement. All Options granted under this Plan shall be Nonqualified Stock Options unless the applicable Award agreement expressly states that the Option is intended to be an Incentive Stock Option. Notwithstanding any designation of an Option, to the extent that the aggregate Fair Market Value of Common Shares with respect to which Options designated as Incentive Stock Options are exercisable for the first time by any Participant during any calendar year (under all plans of the Company or any Subsidiary) exceeds $100,000, such excess Options shall be treated as Nonqualified Stock Options. Incentive Stock Options shall be granted only to Eligible Persons who are employees of the Company and its Affiliates, and no Incentive Stock Option shall be granted to any Eligible Person who is ineligible to receive an Incentive Stock Option under the Code. No Option shall be treated as an Incentive Stock Option unless this Plan has been approved by the stockholders of the Company in a manner intended to comply with the stockholder approval requirements of Section 422(b)(1) of the Code, provided that any Option intended to be an Incentive Stock Option shall not fail to be effective solely on account of a failure to obtain such approval, but rather such Option shall be treated as a Nonqualified Stock Option unless and until such approval is obtained. In the case of an Incentive Stock Option, the terms and conditions of such grant shall be subject to and comply with such rules as may be prescribed by Section 422 of the Code. If for any reason an Option intended to be an Incentive Stock Option (or any portion thereof) shall not qualify as an Incentive Stock Option, then, to the extent of such nonqualification, such Option or portion thereof shall be regarded as a Nonqualified Stock Option appropriately granted under this Plan.</w:t>
      </w:r>
    </w:p>
    <w:p>
      <w:pPr>
        <w:spacing w:after="0" w:line="168" w:lineRule="exact"/>
        <w:rPr>
          <w:rFonts w:ascii="Arial" w:cs="Arial" w:eastAsia="Arial" w:hAnsi="Arial"/>
          <w:sz w:val="16"/>
          <w:szCs w:val="16"/>
          <w:color w:val="auto"/>
        </w:rPr>
      </w:pPr>
    </w:p>
    <w:p>
      <w:pPr>
        <w:jc w:val="both"/>
        <w:ind w:firstLine="1305"/>
        <w:spacing w:after="0" w:line="276" w:lineRule="auto"/>
        <w:tabs>
          <w:tab w:leader="none" w:pos="1551" w:val="left"/>
        </w:tabs>
        <w:numPr>
          <w:ilvl w:val="1"/>
          <w:numId w:val="62"/>
        </w:numPr>
        <w:rPr>
          <w:rFonts w:ascii="Arial" w:cs="Arial" w:eastAsia="Arial" w:hAnsi="Arial"/>
          <w:sz w:val="17"/>
          <w:szCs w:val="17"/>
          <w:color w:val="auto"/>
        </w:rPr>
      </w:pPr>
      <w:r>
        <w:rPr>
          <w:rFonts w:ascii="Arial" w:cs="Arial" w:eastAsia="Arial" w:hAnsi="Arial"/>
          <w:sz w:val="17"/>
          <w:szCs w:val="17"/>
          <w:i w:val="1"/>
          <w:iCs w:val="1"/>
          <w:u w:val="single" w:color="auto"/>
          <w:color w:val="auto"/>
        </w:rPr>
        <w:t>Exercise Price</w:t>
      </w:r>
      <w:r>
        <w:rPr>
          <w:rFonts w:ascii="Arial" w:cs="Arial" w:eastAsia="Arial" w:hAnsi="Arial"/>
          <w:sz w:val="17"/>
          <w:szCs w:val="17"/>
          <w:color w:val="auto"/>
        </w:rPr>
        <w:t>. The exercise price ("</w:t>
      </w:r>
      <w:r>
        <w:rPr>
          <w:rFonts w:ascii="Arial" w:cs="Arial" w:eastAsia="Arial" w:hAnsi="Arial"/>
          <w:sz w:val="17"/>
          <w:szCs w:val="17"/>
          <w:i w:val="1"/>
          <w:iCs w:val="1"/>
          <w:u w:val="single" w:color="auto"/>
          <w:color w:val="auto"/>
        </w:rPr>
        <w:t>Exercise Price</w:t>
      </w:r>
      <w:r>
        <w:rPr>
          <w:rFonts w:ascii="Arial" w:cs="Arial" w:eastAsia="Arial" w:hAnsi="Arial"/>
          <w:sz w:val="17"/>
          <w:szCs w:val="17"/>
          <w:color w:val="auto"/>
        </w:rPr>
        <w:t>") per Common Share for each Option shall not be less than 100% of the Fair Market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Value of such share determined as of the Date of Grant;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 the case of an Incentive Stock Option granted to an employee who, at the time of the grant of such Option, owns shares representing more than 10% of the voting power of all classes of shares of the Company or any Affiliate, the Exercise Price per share shall not be less than 110% of the Fair Market Value per share on the Date of Grant; </w:t>
      </w:r>
      <w:r>
        <w:rPr>
          <w:rFonts w:ascii="Arial" w:cs="Arial" w:eastAsia="Arial" w:hAnsi="Arial"/>
          <w:sz w:val="17"/>
          <w:szCs w:val="17"/>
          <w:i w:val="1"/>
          <w:iCs w:val="1"/>
          <w:color w:val="auto"/>
        </w:rPr>
        <w:t>and, provided further,</w:t>
      </w:r>
      <w:r>
        <w:rPr>
          <w:rFonts w:ascii="Arial" w:cs="Arial" w:eastAsia="Arial" w:hAnsi="Arial"/>
          <w:sz w:val="17"/>
          <w:szCs w:val="17"/>
          <w:color w:val="auto"/>
        </w:rPr>
        <w:t xml:space="preserve"> that notwithstanding any provision herein to the contrary, the Exercise Price shall not be less than the par value per Common Share.</w:t>
      </w:r>
    </w:p>
    <w:p>
      <w:pPr>
        <w:spacing w:after="0" w:line="172" w:lineRule="exact"/>
        <w:rPr>
          <w:rFonts w:ascii="Arial" w:cs="Arial" w:eastAsia="Arial" w:hAnsi="Arial"/>
          <w:sz w:val="17"/>
          <w:szCs w:val="17"/>
          <w:color w:val="auto"/>
        </w:rPr>
      </w:pPr>
    </w:p>
    <w:p>
      <w:pPr>
        <w:jc w:val="both"/>
        <w:ind w:firstLine="1305"/>
        <w:spacing w:after="0" w:line="272" w:lineRule="auto"/>
        <w:tabs>
          <w:tab w:leader="none" w:pos="1568" w:val="left"/>
        </w:tabs>
        <w:numPr>
          <w:ilvl w:val="1"/>
          <w:numId w:val="62"/>
        </w:numPr>
        <w:rPr>
          <w:rFonts w:ascii="Arial" w:cs="Arial" w:eastAsia="Arial" w:hAnsi="Arial"/>
          <w:sz w:val="17"/>
          <w:szCs w:val="17"/>
          <w:color w:val="auto"/>
        </w:rPr>
      </w:pPr>
      <w:r>
        <w:rPr>
          <w:rFonts w:ascii="Arial" w:cs="Arial" w:eastAsia="Arial" w:hAnsi="Arial"/>
          <w:sz w:val="17"/>
          <w:szCs w:val="17"/>
          <w:i w:val="1"/>
          <w:iCs w:val="1"/>
          <w:u w:val="single" w:color="auto"/>
          <w:color w:val="auto"/>
        </w:rPr>
        <w:t>Vesting and Expiration</w:t>
      </w:r>
      <w:r>
        <w:rPr>
          <w:rFonts w:ascii="Arial" w:cs="Arial" w:eastAsia="Arial" w:hAnsi="Arial"/>
          <w:sz w:val="17"/>
          <w:szCs w:val="17"/>
          <w:color w:val="auto"/>
        </w:rPr>
        <w:t>. Options shall vest and become exercisable in such manner and on such date or dates determined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and as set forth in the applicable Award agreement, and shall expire after such period, not to exceed ten (10) years from the Date of Grant, as may be determined by the Committee (the "</w:t>
      </w:r>
      <w:r>
        <w:rPr>
          <w:rFonts w:ascii="Arial" w:cs="Arial" w:eastAsia="Arial" w:hAnsi="Arial"/>
          <w:sz w:val="17"/>
          <w:szCs w:val="17"/>
          <w:i w:val="1"/>
          <w:iCs w:val="1"/>
          <w:u w:val="single" w:color="auto"/>
          <w:color w:val="auto"/>
        </w:rPr>
        <w:t>Option Period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xml:space="preserve">, that the Option Period shall not exceed five (5) years from the Date of Grant in the case of an Incentive Stock Option granted to a Participant who on the Date of Grant owns shares representing more than 10% of the voting power of all classes of shares of the Company or any Affiliate; </w:t>
      </w:r>
      <w:r>
        <w:rPr>
          <w:rFonts w:ascii="Arial" w:cs="Arial" w:eastAsia="Arial" w:hAnsi="Arial"/>
          <w:sz w:val="17"/>
          <w:szCs w:val="17"/>
          <w:i w:val="1"/>
          <w:iCs w:val="1"/>
          <w:color w:val="auto"/>
        </w:rPr>
        <w:t>and,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further</w:t>
      </w:r>
      <w:r>
        <w:rPr>
          <w:rFonts w:ascii="Arial" w:cs="Arial" w:eastAsia="Arial" w:hAnsi="Arial"/>
          <w:sz w:val="17"/>
          <w:szCs w:val="17"/>
          <w:color w:val="auto"/>
        </w:rPr>
        <w:t>, that notwithstanding any vesting dates set by the Committee, the Committee may, in its sole discretion, accelerate the exercisability of any Option, which acceleration shall not affect the terms and conditions of such Option other than with respect to exercisability. Unless otherwise provided by the Committee in an Award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ind w:firstLine="1953"/>
        <w:spacing w:after="0" w:line="280" w:lineRule="auto"/>
        <w:tabs>
          <w:tab w:leader="none" w:pos="21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 Option shall vest and become exercisable with respect to 100% of the Common Shares subject to such Option on the third (3</w:t>
      </w:r>
      <w:r>
        <w:rPr>
          <w:rFonts w:ascii="Arial" w:cs="Arial" w:eastAsia="Arial" w:hAnsi="Arial"/>
          <w:sz w:val="30"/>
          <w:szCs w:val="30"/>
          <w:color w:val="auto"/>
          <w:vertAlign w:val="superscript"/>
        </w:rPr>
        <w:t>rd</w:t>
      </w:r>
      <w:r>
        <w:rPr>
          <w:rFonts w:ascii="Arial" w:cs="Arial" w:eastAsia="Arial" w:hAnsi="Arial"/>
          <w:sz w:val="18"/>
          <w:szCs w:val="18"/>
          <w:color w:val="auto"/>
        </w:rPr>
        <w:t>) anniversary of the Date of Grant;</w:t>
      </w:r>
    </w:p>
    <w:p>
      <w:pPr>
        <w:spacing w:after="0" w:line="44" w:lineRule="exact"/>
        <w:rPr>
          <w:rFonts w:ascii="Arial" w:cs="Arial" w:eastAsia="Arial" w:hAnsi="Arial"/>
          <w:sz w:val="18"/>
          <w:szCs w:val="18"/>
          <w:color w:val="auto"/>
        </w:rPr>
      </w:pPr>
    </w:p>
    <w:p>
      <w:pPr>
        <w:ind w:firstLine="1953"/>
        <w:spacing w:after="0" w:line="277" w:lineRule="auto"/>
        <w:tabs>
          <w:tab w:leader="none" w:pos="221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unvested portion of an Option shall expire upon termination of employment or service of the Participant granted the Option, and the vested portion of such Option shall remain exercisable for:</w:t>
      </w:r>
    </w:p>
    <w:p>
      <w:pPr>
        <w:spacing w:after="0" w:line="170" w:lineRule="exact"/>
        <w:rPr>
          <w:rFonts w:ascii="Arial" w:cs="Arial" w:eastAsia="Arial" w:hAnsi="Arial"/>
          <w:sz w:val="18"/>
          <w:szCs w:val="18"/>
          <w:color w:val="auto"/>
        </w:rPr>
      </w:pPr>
    </w:p>
    <w:p>
      <w:pPr>
        <w:ind w:firstLine="2601"/>
        <w:spacing w:after="0" w:line="308" w:lineRule="auto"/>
        <w:tabs>
          <w:tab w:leader="none" w:pos="2888" w:val="left"/>
        </w:tabs>
        <w:numPr>
          <w:ilvl w:val="2"/>
          <w:numId w:val="63"/>
        </w:numPr>
        <w:rPr>
          <w:rFonts w:ascii="Arial" w:cs="Arial" w:eastAsia="Arial" w:hAnsi="Arial"/>
          <w:sz w:val="17"/>
          <w:szCs w:val="17"/>
          <w:color w:val="auto"/>
        </w:rPr>
      </w:pPr>
      <w:r>
        <w:rPr>
          <w:rFonts w:ascii="Arial" w:cs="Arial" w:eastAsia="Arial" w:hAnsi="Arial"/>
          <w:sz w:val="17"/>
          <w:szCs w:val="17"/>
          <w:color w:val="auto"/>
        </w:rPr>
        <w:t>one year following termination of employment or service by reason of such Participant’s death or Disability (with the determination of Disability to be made by the Committee on a case by case basis), but not later than the expiration of the Option Period;</w:t>
      </w:r>
    </w:p>
    <w:p>
      <w:pPr>
        <w:spacing w:after="0" w:line="146" w:lineRule="exact"/>
        <w:rPr>
          <w:rFonts w:ascii="Arial" w:cs="Arial" w:eastAsia="Arial" w:hAnsi="Arial"/>
          <w:sz w:val="17"/>
          <w:szCs w:val="17"/>
          <w:color w:val="auto"/>
        </w:rPr>
      </w:pPr>
    </w:p>
    <w:p>
      <w:pPr>
        <w:jc w:val="both"/>
        <w:ind w:firstLine="2601"/>
        <w:spacing w:after="0" w:line="264" w:lineRule="auto"/>
        <w:tabs>
          <w:tab w:leader="none" w:pos="2918" w:val="left"/>
        </w:tabs>
        <w:numPr>
          <w:ilvl w:val="2"/>
          <w:numId w:val="63"/>
        </w:numPr>
        <w:rPr>
          <w:rFonts w:ascii="Arial" w:cs="Arial" w:eastAsia="Arial" w:hAnsi="Arial"/>
          <w:sz w:val="18"/>
          <w:szCs w:val="18"/>
          <w:color w:val="auto"/>
        </w:rPr>
      </w:pPr>
      <w:r>
        <w:rPr>
          <w:rFonts w:ascii="Arial" w:cs="Arial" w:eastAsia="Arial" w:hAnsi="Arial"/>
          <w:sz w:val="18"/>
          <w:szCs w:val="18"/>
          <w:color w:val="auto"/>
        </w:rPr>
        <w:t>for directors, officers and employees of the Company only, for the remainder of the Option Period following termination of employment or service by reason of such Participant’s Retirement (it being understood that any Incentive Stock Option held by the Participant shall be treated as a Nonqualified Stock Option if exercise is not undertaken within 90 days of the date of Retirement);</w:t>
      </w:r>
    </w:p>
    <w:p>
      <w:pPr>
        <w:spacing w:after="0" w:line="181" w:lineRule="exact"/>
        <w:rPr>
          <w:rFonts w:ascii="Arial" w:cs="Arial" w:eastAsia="Arial" w:hAnsi="Arial"/>
          <w:sz w:val="18"/>
          <w:szCs w:val="18"/>
          <w:color w:val="auto"/>
        </w:rPr>
      </w:pPr>
    </w:p>
    <w:p>
      <w:pPr>
        <w:jc w:val="both"/>
        <w:ind w:firstLine="2601"/>
        <w:spacing w:after="0" w:line="264" w:lineRule="auto"/>
        <w:tabs>
          <w:tab w:leader="none" w:pos="2878" w:val="left"/>
        </w:tabs>
        <w:numPr>
          <w:ilvl w:val="2"/>
          <w:numId w:val="63"/>
        </w:numPr>
        <w:rPr>
          <w:rFonts w:ascii="Arial" w:cs="Arial" w:eastAsia="Arial" w:hAnsi="Arial"/>
          <w:sz w:val="18"/>
          <w:szCs w:val="18"/>
          <w:color w:val="auto"/>
        </w:rPr>
      </w:pPr>
      <w:r>
        <w:rPr>
          <w:rFonts w:ascii="Arial" w:cs="Arial" w:eastAsia="Arial" w:hAnsi="Arial"/>
          <w:sz w:val="18"/>
          <w:szCs w:val="18"/>
          <w:color w:val="auto"/>
        </w:rPr>
        <w:t>90 calendar days following termination of employment or service for any reason other than such Participant’s death, Disability or Retirement, and other than such Participant’s termination of employment or service for Cause, but not later than the expiration of the Option Period; and</w:t>
      </w:r>
    </w:p>
    <w:p>
      <w:pPr>
        <w:spacing w:after="0" w:line="181" w:lineRule="exact"/>
        <w:rPr>
          <w:rFonts w:ascii="Arial" w:cs="Arial" w:eastAsia="Arial" w:hAnsi="Arial"/>
          <w:sz w:val="18"/>
          <w:szCs w:val="18"/>
          <w:color w:val="auto"/>
        </w:rPr>
      </w:pPr>
    </w:p>
    <w:p>
      <w:pPr>
        <w:ind w:firstLine="1953"/>
        <w:spacing w:after="0" w:line="277" w:lineRule="auto"/>
        <w:tabs>
          <w:tab w:leader="none" w:pos="2287" w:val="left"/>
        </w:tabs>
        <w:numPr>
          <w:ilvl w:val="1"/>
          <w:numId w:val="63"/>
        </w:numPr>
        <w:rPr>
          <w:rFonts w:ascii="Arial" w:cs="Arial" w:eastAsia="Arial" w:hAnsi="Arial"/>
          <w:sz w:val="18"/>
          <w:szCs w:val="18"/>
          <w:color w:val="auto"/>
        </w:rPr>
      </w:pPr>
      <w:r>
        <w:rPr>
          <w:rFonts w:ascii="Arial" w:cs="Arial" w:eastAsia="Arial" w:hAnsi="Arial"/>
          <w:sz w:val="18"/>
          <w:szCs w:val="18"/>
          <w:color w:val="auto"/>
        </w:rPr>
        <w:t>both the unvested and the vested portion of an Option shall immediately expire upon the termination of the Participant’s employment or service by the Company for Cause.</w:t>
      </w:r>
    </w:p>
    <w:p>
      <w:pPr>
        <w:spacing w:after="0" w:line="170" w:lineRule="exact"/>
        <w:rPr>
          <w:rFonts w:ascii="Arial" w:cs="Arial" w:eastAsia="Arial" w:hAnsi="Arial"/>
          <w:sz w:val="18"/>
          <w:szCs w:val="18"/>
          <w:color w:val="auto"/>
        </w:rPr>
      </w:pPr>
    </w:p>
    <w:p>
      <w:pPr>
        <w:jc w:val="both"/>
        <w:ind w:firstLine="1305"/>
        <w:spacing w:after="0" w:line="286" w:lineRule="auto"/>
        <w:tabs>
          <w:tab w:leader="none" w:pos="1551" w:val="left"/>
        </w:tabs>
        <w:numPr>
          <w:ilvl w:val="0"/>
          <w:numId w:val="64"/>
        </w:numPr>
        <w:rPr>
          <w:rFonts w:ascii="Arial" w:cs="Arial" w:eastAsia="Arial" w:hAnsi="Arial"/>
          <w:sz w:val="16"/>
          <w:szCs w:val="16"/>
          <w:color w:val="auto"/>
        </w:rPr>
      </w:pPr>
      <w:r>
        <w:rPr>
          <w:rFonts w:ascii="Arial" w:cs="Arial" w:eastAsia="Arial" w:hAnsi="Arial"/>
          <w:sz w:val="16"/>
          <w:szCs w:val="16"/>
          <w:i w:val="1"/>
          <w:iCs w:val="1"/>
          <w:u w:val="single" w:color="auto"/>
          <w:color w:val="auto"/>
        </w:rPr>
        <w:t>Method of Exercise and Form of Payment</w:t>
      </w:r>
      <w:r>
        <w:rPr>
          <w:rFonts w:ascii="Arial" w:cs="Arial" w:eastAsia="Arial" w:hAnsi="Arial"/>
          <w:sz w:val="16"/>
          <w:szCs w:val="16"/>
          <w:color w:val="auto"/>
        </w:rPr>
        <w:t>. No Common Shares shall be delivered pursuant to any exercise of an Option until payment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full of the Exercise Price therefor is received by the Company and the Participant has paid to the Company an amount equal to any federal, state, local and non-U.S. income and employment taxes required to be withheld. Options that have become exercisable may be exercised by delivery of written or electronic notice of exercise to the Company in accordance with the terms of the Award agreement accompanied by payment of the Exercise Price. The Exercise Price shall be payable (i) in cash, check (subject to collection), cash equivalent and/or vested Common Shares valued at the Closing Price at the time the Option is exercised (including, pursuant to procedures approved by the Committee, by means of attestation of ownership of a sufficient number of Common Shares in lieu of actual delivery of such shares to the Company);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 however,</w:t>
      </w:r>
      <w:r>
        <w:rPr>
          <w:rFonts w:ascii="Arial" w:cs="Arial" w:eastAsia="Arial" w:hAnsi="Arial"/>
          <w:sz w:val="16"/>
          <w:szCs w:val="16"/>
          <w:color w:val="auto"/>
        </w:rPr>
        <w:t xml:space="preserve"> that such Common Shares are not subject to any pledge or other security interest and are Mature Shares and; (ii) by such other method as the Committee may permit in accordance with applicable law, in its sole discretion, including without limitation: (A) in other property having a fair market value (as determined by the Committee in its discretion) on the date of exercise equal to the Exercise Price or (B) if there is a public market for the Common Shares at such time, by means of a broker-assisted "cashless exercise" pursuant to which the Company is delivered a copy of irrevocable instructions to a stockbroker to sell the Common Shares otherwise deliverable upon the exercise of the Option and to deliver promptly to the Company an amount equal to the Exercise Price or (C) by a "net exercise" method whereby the Company withholds from the delivery of the Common Shares for which the Option was exercised that number of Common Shares having a Closing Price equal to the aggregate Exercise Price for the Common Shares for which the Option was exercised. Any fractional Common Shares shall be settled in cash.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both"/>
        <w:ind w:firstLine="1305"/>
        <w:spacing w:after="0" w:line="255" w:lineRule="auto"/>
        <w:tabs>
          <w:tab w:leader="none" w:pos="1555" w:val="left"/>
        </w:tabs>
        <w:numPr>
          <w:ilvl w:val="1"/>
          <w:numId w:val="65"/>
        </w:numPr>
        <w:rPr>
          <w:rFonts w:ascii="Arial" w:cs="Arial" w:eastAsia="Arial" w:hAnsi="Arial"/>
          <w:sz w:val="18"/>
          <w:szCs w:val="18"/>
          <w:color w:val="auto"/>
        </w:rPr>
      </w:pPr>
      <w:r>
        <w:rPr>
          <w:rFonts w:ascii="Arial" w:cs="Arial" w:eastAsia="Arial" w:hAnsi="Arial"/>
          <w:sz w:val="18"/>
          <w:szCs w:val="18"/>
          <w:i w:val="1"/>
          <w:iCs w:val="1"/>
          <w:u w:val="single" w:color="auto"/>
          <w:color w:val="auto"/>
        </w:rPr>
        <w:t>Notification upon Disqualifying Disposition of an Incentive Stock Option</w:t>
      </w:r>
      <w:r>
        <w:rPr>
          <w:rFonts w:ascii="Arial" w:cs="Arial" w:eastAsia="Arial" w:hAnsi="Arial"/>
          <w:sz w:val="18"/>
          <w:szCs w:val="18"/>
          <w:color w:val="auto"/>
        </w:rPr>
        <w:t>. Each Participant awarded an Incentive Stock Option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this Plan shall notify the Company in writing immediately after the date he makes a disqualifying disposition of any Common Shares acquired pursuant to the exercise of such Incentive Stock Option. A disqualifying disposition is any disposition (including, without limitation, any sale) of such Common Shares before the later of (A) two years after the Date of Grant of the Incentive Stock Option or (B) one year after the date of exercise of the Incentive Stock Option. The Company may, if determined by the Committee and in accordance with procedures established by the Committee, retain possession of any Common Shares acquired pursuant to the exercise of an Incentive Stock Option as agent for the applicable Participant until the end of the period described in the preceding sentence.</w:t>
      </w:r>
    </w:p>
    <w:p>
      <w:pPr>
        <w:spacing w:after="0" w:line="189" w:lineRule="exact"/>
        <w:rPr>
          <w:rFonts w:ascii="Arial" w:cs="Arial" w:eastAsia="Arial" w:hAnsi="Arial"/>
          <w:sz w:val="18"/>
          <w:szCs w:val="18"/>
          <w:color w:val="auto"/>
        </w:rPr>
      </w:pPr>
    </w:p>
    <w:p>
      <w:pPr>
        <w:jc w:val="both"/>
        <w:ind w:firstLine="1305"/>
        <w:spacing w:after="0" w:line="259" w:lineRule="auto"/>
        <w:tabs>
          <w:tab w:leader="none" w:pos="1535" w:val="left"/>
        </w:tabs>
        <w:numPr>
          <w:ilvl w:val="1"/>
          <w:numId w:val="65"/>
        </w:numPr>
        <w:rPr>
          <w:rFonts w:ascii="Arial" w:cs="Arial" w:eastAsia="Arial" w:hAnsi="Arial"/>
          <w:sz w:val="18"/>
          <w:szCs w:val="18"/>
          <w:color w:val="auto"/>
        </w:rPr>
      </w:pPr>
      <w:r>
        <w:rPr>
          <w:rFonts w:ascii="Arial" w:cs="Arial" w:eastAsia="Arial" w:hAnsi="Arial"/>
          <w:sz w:val="18"/>
          <w:szCs w:val="18"/>
          <w:i w:val="1"/>
          <w:iCs w:val="1"/>
          <w:u w:val="single" w:color="auto"/>
          <w:color w:val="auto"/>
        </w:rPr>
        <w:t>Compliance With Laws, etc</w:t>
      </w:r>
      <w:r>
        <w:rPr>
          <w:rFonts w:ascii="Arial" w:cs="Arial" w:eastAsia="Arial" w:hAnsi="Arial"/>
          <w:sz w:val="18"/>
          <w:szCs w:val="18"/>
          <w:color w:val="auto"/>
        </w:rPr>
        <w:t>. Notwithstanding the foregoing, in no event shall a Participant be permitted to exercise an Option in a</w:t>
      </w:r>
      <w:r>
        <w:rPr>
          <w:rFonts w:ascii="Arial" w:cs="Arial" w:eastAsia="Arial" w:hAnsi="Arial"/>
          <w:sz w:val="18"/>
          <w:szCs w:val="18"/>
          <w:i w:val="1"/>
          <w:iCs w:val="1"/>
          <w:color w:val="auto"/>
        </w:rPr>
        <w:t xml:space="preserve"> </w:t>
      </w:r>
      <w:r>
        <w:rPr>
          <w:rFonts w:ascii="Arial" w:cs="Arial" w:eastAsia="Arial" w:hAnsi="Arial"/>
          <w:sz w:val="18"/>
          <w:szCs w:val="18"/>
          <w:color w:val="auto"/>
        </w:rPr>
        <w:t>manner that the Committee determines would violate the Sarbanes-Oxley Act of 2002, if applicable, or any other applicable law or the applicable rules and regulations of the Securities and Exchange Commission or the applicable rules and regulations of any securities exchange or inter-dealer quotation system on which the securities of the Company are listed or traded.</w:t>
      </w:r>
    </w:p>
    <w:p>
      <w:pPr>
        <w:spacing w:after="0" w:line="186" w:lineRule="exact"/>
        <w:rPr>
          <w:rFonts w:ascii="Arial" w:cs="Arial" w:eastAsia="Arial" w:hAnsi="Arial"/>
          <w:sz w:val="18"/>
          <w:szCs w:val="18"/>
          <w:color w:val="auto"/>
        </w:rPr>
      </w:pPr>
    </w:p>
    <w:p>
      <w:pPr>
        <w:ind w:left="840" w:hanging="184"/>
        <w:spacing w:after="0"/>
        <w:tabs>
          <w:tab w:leader="none" w:pos="84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57" w:lineRule="auto"/>
        <w:tabs>
          <w:tab w:leader="none" w:pos="1568" w:val="left"/>
        </w:tabs>
        <w:numPr>
          <w:ilvl w:val="1"/>
          <w:numId w:val="66"/>
        </w:numPr>
        <w:rPr>
          <w:rFonts w:ascii="Arial" w:cs="Arial" w:eastAsia="Arial" w:hAnsi="Arial"/>
          <w:sz w:val="18"/>
          <w:szCs w:val="18"/>
          <w:color w:val="auto"/>
        </w:rPr>
      </w:pPr>
      <w:r>
        <w:rPr>
          <w:rFonts w:ascii="Arial" w:cs="Arial" w:eastAsia="Arial" w:hAnsi="Arial"/>
          <w:sz w:val="18"/>
          <w:szCs w:val="18"/>
          <w:i w:val="1"/>
          <w:iCs w:val="1"/>
          <w:u w:val="single" w:color="auto"/>
          <w:color w:val="auto"/>
        </w:rPr>
        <w:t>Generally</w:t>
      </w:r>
      <w:r>
        <w:rPr>
          <w:rFonts w:ascii="Arial" w:cs="Arial" w:eastAsia="Arial" w:hAnsi="Arial"/>
          <w:sz w:val="18"/>
          <w:szCs w:val="18"/>
          <w:color w:val="auto"/>
        </w:rPr>
        <w:t>. Each SAR granted under this Plan shall be evidenced by an Award agreement (whether in paper or electronic medium</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email or the posting on a web site maintained by the Company or a third party under contract with the Company)). Each SAR so granted shall be subject to the conditions set forth in this Section 8, and to such other conditions not inconsistent with this Plan as may be reflected in the applicable Award agreement. Any Option granted under this Plan may include tandem SARs. The Committee also may award SARs to Eligible Persons independent of any Option.</w:t>
      </w:r>
    </w:p>
    <w:p>
      <w:pPr>
        <w:spacing w:after="0" w:line="188" w:lineRule="exact"/>
        <w:rPr>
          <w:rFonts w:ascii="Arial" w:cs="Arial" w:eastAsia="Arial" w:hAnsi="Arial"/>
          <w:sz w:val="18"/>
          <w:szCs w:val="18"/>
          <w:color w:val="auto"/>
        </w:rPr>
      </w:pPr>
    </w:p>
    <w:p>
      <w:pPr>
        <w:ind w:right="20" w:firstLine="1305"/>
        <w:spacing w:after="0" w:line="277" w:lineRule="auto"/>
        <w:tabs>
          <w:tab w:leader="none" w:pos="1565" w:val="left"/>
        </w:tabs>
        <w:numPr>
          <w:ilvl w:val="1"/>
          <w:numId w:val="66"/>
        </w:numPr>
        <w:rPr>
          <w:rFonts w:ascii="Arial" w:cs="Arial" w:eastAsia="Arial" w:hAnsi="Arial"/>
          <w:sz w:val="18"/>
          <w:szCs w:val="18"/>
          <w:u w:val="single" w:color="auto"/>
          <w:color w:val="auto"/>
        </w:rPr>
      </w:pPr>
      <w:r>
        <w:rPr>
          <w:rFonts w:ascii="Arial" w:cs="Arial" w:eastAsia="Arial" w:hAnsi="Arial"/>
          <w:sz w:val="18"/>
          <w:szCs w:val="18"/>
          <w:i w:val="1"/>
          <w:iCs w:val="1"/>
          <w:u w:val="single" w:color="auto"/>
          <w:color w:val="auto"/>
        </w:rPr>
        <w:t>Exercise Price</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Exercise Price per Common Share for each Option shall not be less than 100% of the Fair Market Value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share determined as of the Date of Grant.</w:t>
      </w:r>
    </w:p>
    <w:p>
      <w:pPr>
        <w:spacing w:after="0" w:line="170" w:lineRule="exact"/>
        <w:rPr>
          <w:rFonts w:ascii="Arial" w:cs="Arial" w:eastAsia="Arial" w:hAnsi="Arial"/>
          <w:sz w:val="18"/>
          <w:szCs w:val="18"/>
          <w:u w:val="single" w:color="auto"/>
          <w:color w:val="auto"/>
        </w:rPr>
      </w:pPr>
    </w:p>
    <w:p>
      <w:pPr>
        <w:jc w:val="both"/>
        <w:ind w:firstLine="1305"/>
        <w:spacing w:after="0" w:line="273" w:lineRule="auto"/>
        <w:tabs>
          <w:tab w:leader="none" w:pos="1541" w:val="left"/>
        </w:tabs>
        <w:numPr>
          <w:ilvl w:val="1"/>
          <w:numId w:val="66"/>
        </w:numPr>
        <w:rPr>
          <w:rFonts w:ascii="Arial" w:cs="Arial" w:eastAsia="Arial" w:hAnsi="Arial"/>
          <w:sz w:val="17"/>
          <w:szCs w:val="17"/>
          <w:color w:val="auto"/>
        </w:rPr>
      </w:pPr>
      <w:r>
        <w:rPr>
          <w:rFonts w:ascii="Arial" w:cs="Arial" w:eastAsia="Arial" w:hAnsi="Arial"/>
          <w:sz w:val="17"/>
          <w:szCs w:val="17"/>
          <w:i w:val="1"/>
          <w:iCs w:val="1"/>
          <w:u w:val="single" w:color="auto"/>
          <w:color w:val="auto"/>
        </w:rPr>
        <w:t>Vesting and Expiration</w:t>
      </w:r>
      <w:r>
        <w:rPr>
          <w:rFonts w:ascii="Arial" w:cs="Arial" w:eastAsia="Arial" w:hAnsi="Arial"/>
          <w:sz w:val="17"/>
          <w:szCs w:val="17"/>
          <w:color w:val="auto"/>
        </w:rPr>
        <w:t>. A SAR granted in connection with an Option shall become exercisable and shall expire according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vesting schedule and expiration provisions as the corresponding Option. A SAR granted independent of an Option shall vest and become exercisable and shall expire in such manner and on such date or dates determined by the Committee and shall expire after such period, not to exceed ten years, as may be determined by the Committee (the "</w:t>
      </w:r>
      <w:r>
        <w:rPr>
          <w:rFonts w:ascii="Arial" w:cs="Arial" w:eastAsia="Arial" w:hAnsi="Arial"/>
          <w:sz w:val="17"/>
          <w:szCs w:val="17"/>
          <w:i w:val="1"/>
          <w:iCs w:val="1"/>
          <w:u w:val="single" w:color="auto"/>
          <w:color w:val="auto"/>
        </w:rPr>
        <w:t>SAR Period</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notwithstanding any vesting dates set by the Committee, the Committee may, in its sole discretion, accelerate the exercisability of any SAR, which acceleration shall not affect the terms and conditions of such SAR other than with respect to exercisability. Unless otherwise provided by the Committee in an Award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ind w:firstLine="1953"/>
        <w:spacing w:after="0" w:line="277" w:lineRule="auto"/>
        <w:tabs>
          <w:tab w:leader="none" w:pos="2187" w:val="left"/>
        </w:tabs>
        <w:numPr>
          <w:ilvl w:val="1"/>
          <w:numId w:val="67"/>
        </w:numPr>
        <w:rPr>
          <w:rFonts w:ascii="Arial" w:cs="Arial" w:eastAsia="Arial" w:hAnsi="Arial"/>
          <w:sz w:val="18"/>
          <w:szCs w:val="18"/>
          <w:color w:val="auto"/>
        </w:rPr>
      </w:pPr>
      <w:r>
        <w:rPr>
          <w:rFonts w:ascii="Arial" w:cs="Arial" w:eastAsia="Arial" w:hAnsi="Arial"/>
          <w:sz w:val="18"/>
          <w:szCs w:val="18"/>
          <w:color w:val="auto"/>
        </w:rPr>
        <w:t>a SAR shall vest and become exercisable with respect to 100% of the Common Shares subject to such SAR on the third anniversary of the Date of Grant;</w:t>
      </w:r>
    </w:p>
    <w:p>
      <w:pPr>
        <w:spacing w:after="0" w:line="170" w:lineRule="exact"/>
        <w:rPr>
          <w:rFonts w:ascii="Arial" w:cs="Arial" w:eastAsia="Arial" w:hAnsi="Arial"/>
          <w:sz w:val="18"/>
          <w:szCs w:val="18"/>
          <w:color w:val="auto"/>
        </w:rPr>
      </w:pPr>
    </w:p>
    <w:p>
      <w:pPr>
        <w:ind w:firstLine="1953"/>
        <w:spacing w:after="0" w:line="277" w:lineRule="auto"/>
        <w:tabs>
          <w:tab w:leader="none" w:pos="221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unvested portion of a SAR shall expire upon termination of employment or service of the Participant granted the SAR, and the vested portion of such SAR shall remain exercisable for:</w:t>
      </w:r>
    </w:p>
    <w:p>
      <w:pPr>
        <w:spacing w:after="0" w:line="170" w:lineRule="exact"/>
        <w:rPr>
          <w:rFonts w:ascii="Arial" w:cs="Arial" w:eastAsia="Arial" w:hAnsi="Arial"/>
          <w:sz w:val="18"/>
          <w:szCs w:val="18"/>
          <w:color w:val="auto"/>
        </w:rPr>
      </w:pPr>
    </w:p>
    <w:p>
      <w:pPr>
        <w:ind w:firstLine="2601"/>
        <w:spacing w:after="0" w:line="277" w:lineRule="auto"/>
        <w:tabs>
          <w:tab w:leader="none" w:pos="2888" w:val="left"/>
        </w:tabs>
        <w:numPr>
          <w:ilvl w:val="2"/>
          <w:numId w:val="67"/>
        </w:numPr>
        <w:rPr>
          <w:rFonts w:ascii="Arial" w:cs="Arial" w:eastAsia="Arial" w:hAnsi="Arial"/>
          <w:sz w:val="18"/>
          <w:szCs w:val="18"/>
          <w:color w:val="auto"/>
        </w:rPr>
      </w:pPr>
      <w:r>
        <w:rPr>
          <w:rFonts w:ascii="Arial" w:cs="Arial" w:eastAsia="Arial" w:hAnsi="Arial"/>
          <w:sz w:val="18"/>
          <w:szCs w:val="18"/>
          <w:color w:val="auto"/>
        </w:rPr>
        <w:t>one year following termination of employment or service by reason of such Participant’s death or Disability (with the determination of Disability to be made by the Committee on a case by case basis), but not later than the expiration of the SAR Period;</w:t>
      </w:r>
    </w:p>
    <w:p>
      <w:pPr>
        <w:spacing w:after="0" w:line="170" w:lineRule="exact"/>
        <w:rPr>
          <w:rFonts w:ascii="Arial" w:cs="Arial" w:eastAsia="Arial" w:hAnsi="Arial"/>
          <w:sz w:val="18"/>
          <w:szCs w:val="18"/>
          <w:color w:val="auto"/>
        </w:rPr>
      </w:pPr>
    </w:p>
    <w:p>
      <w:pPr>
        <w:ind w:firstLine="2601"/>
        <w:spacing w:after="0" w:line="277" w:lineRule="auto"/>
        <w:tabs>
          <w:tab w:leader="none" w:pos="2878" w:val="left"/>
        </w:tabs>
        <w:numPr>
          <w:ilvl w:val="2"/>
          <w:numId w:val="67"/>
        </w:numPr>
        <w:rPr>
          <w:rFonts w:ascii="Arial" w:cs="Arial" w:eastAsia="Arial" w:hAnsi="Arial"/>
          <w:sz w:val="18"/>
          <w:szCs w:val="18"/>
          <w:color w:val="auto"/>
        </w:rPr>
      </w:pPr>
      <w:r>
        <w:rPr>
          <w:rFonts w:ascii="Arial" w:cs="Arial" w:eastAsia="Arial" w:hAnsi="Arial"/>
          <w:sz w:val="18"/>
          <w:szCs w:val="18"/>
          <w:color w:val="auto"/>
        </w:rPr>
        <w:t>for directors, officers and employees of the Company only, for the remainder of the SAR Period following termination of employment or service by reason of such Participant’s Retirement;</w:t>
      </w:r>
    </w:p>
    <w:p>
      <w:pPr>
        <w:spacing w:after="0" w:line="170" w:lineRule="exact"/>
        <w:rPr>
          <w:rFonts w:ascii="Arial" w:cs="Arial" w:eastAsia="Arial" w:hAnsi="Arial"/>
          <w:sz w:val="18"/>
          <w:szCs w:val="18"/>
          <w:color w:val="auto"/>
        </w:rPr>
      </w:pPr>
    </w:p>
    <w:p>
      <w:pPr>
        <w:jc w:val="both"/>
        <w:ind w:firstLine="2601"/>
        <w:spacing w:after="0" w:line="264" w:lineRule="auto"/>
        <w:tabs>
          <w:tab w:leader="none" w:pos="2878" w:val="left"/>
        </w:tabs>
        <w:numPr>
          <w:ilvl w:val="2"/>
          <w:numId w:val="67"/>
        </w:numPr>
        <w:rPr>
          <w:rFonts w:ascii="Arial" w:cs="Arial" w:eastAsia="Arial" w:hAnsi="Arial"/>
          <w:sz w:val="18"/>
          <w:szCs w:val="18"/>
          <w:color w:val="auto"/>
        </w:rPr>
      </w:pPr>
      <w:r>
        <w:rPr>
          <w:rFonts w:ascii="Arial" w:cs="Arial" w:eastAsia="Arial" w:hAnsi="Arial"/>
          <w:sz w:val="18"/>
          <w:szCs w:val="18"/>
          <w:color w:val="auto"/>
        </w:rPr>
        <w:t>90 calendar days following termination of employment or service for any reason other than such Participant’s death, Disability or Retirement, and other than such Participant’s termination of employment or service for Cause, but not later than the expiration of the SAR Period; and</w:t>
      </w:r>
    </w:p>
    <w:p>
      <w:pPr>
        <w:spacing w:after="0" w:line="181" w:lineRule="exact"/>
        <w:rPr>
          <w:rFonts w:ascii="Arial" w:cs="Arial" w:eastAsia="Arial" w:hAnsi="Arial"/>
          <w:sz w:val="18"/>
          <w:szCs w:val="18"/>
          <w:color w:val="auto"/>
        </w:rPr>
      </w:pPr>
    </w:p>
    <w:p>
      <w:pPr>
        <w:ind w:right="20" w:firstLine="1953"/>
        <w:spacing w:after="0" w:line="277" w:lineRule="auto"/>
        <w:tabs>
          <w:tab w:leader="none" w:pos="2287" w:val="left"/>
        </w:tabs>
        <w:numPr>
          <w:ilvl w:val="1"/>
          <w:numId w:val="67"/>
        </w:numPr>
        <w:rPr>
          <w:rFonts w:ascii="Arial" w:cs="Arial" w:eastAsia="Arial" w:hAnsi="Arial"/>
          <w:sz w:val="18"/>
          <w:szCs w:val="18"/>
          <w:color w:val="auto"/>
        </w:rPr>
      </w:pPr>
      <w:r>
        <w:rPr>
          <w:rFonts w:ascii="Arial" w:cs="Arial" w:eastAsia="Arial" w:hAnsi="Arial"/>
          <w:sz w:val="18"/>
          <w:szCs w:val="18"/>
          <w:color w:val="auto"/>
        </w:rPr>
        <w:t>both the unvested and the vested portion of a SAR shall expire immediately upon the termination of the Participant’s employment or service by the Company for Cause.</w:t>
      </w:r>
    </w:p>
    <w:p>
      <w:pPr>
        <w:spacing w:after="0" w:line="170" w:lineRule="exact"/>
        <w:rPr>
          <w:rFonts w:ascii="Arial" w:cs="Arial" w:eastAsia="Arial" w:hAnsi="Arial"/>
          <w:sz w:val="18"/>
          <w:szCs w:val="18"/>
          <w:color w:val="auto"/>
        </w:rPr>
      </w:pPr>
    </w:p>
    <w:p>
      <w:pPr>
        <w:jc w:val="both"/>
        <w:ind w:firstLine="1305"/>
        <w:spacing w:after="0" w:line="255" w:lineRule="auto"/>
        <w:tabs>
          <w:tab w:leader="none" w:pos="1551" w:val="left"/>
        </w:tabs>
        <w:numPr>
          <w:ilvl w:val="0"/>
          <w:numId w:val="68"/>
        </w:numPr>
        <w:rPr>
          <w:rFonts w:ascii="Arial" w:cs="Arial" w:eastAsia="Arial" w:hAnsi="Arial"/>
          <w:sz w:val="18"/>
          <w:szCs w:val="18"/>
          <w:color w:val="auto"/>
        </w:rPr>
      </w:pPr>
      <w:r>
        <w:rPr>
          <w:rFonts w:ascii="Arial" w:cs="Arial" w:eastAsia="Arial" w:hAnsi="Arial"/>
          <w:sz w:val="18"/>
          <w:szCs w:val="18"/>
          <w:i w:val="1"/>
          <w:iCs w:val="1"/>
          <w:u w:val="single" w:color="auto"/>
          <w:color w:val="auto"/>
        </w:rPr>
        <w:t>Method of Exercise</w:t>
      </w:r>
      <w:r>
        <w:rPr>
          <w:rFonts w:ascii="Arial" w:cs="Arial" w:eastAsia="Arial" w:hAnsi="Arial"/>
          <w:sz w:val="18"/>
          <w:szCs w:val="18"/>
          <w:color w:val="auto"/>
        </w:rPr>
        <w:t>. SARs that have become exercisable may be exercised by delivery of written or electronic notice of exercise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in accordance with the terms of the Award, specifying the number of SARs to be exercised and the date on which such SARs were awarded. Notwithstanding the foregoing, if on the last day of the Option Period (or in the case of a SAR independent of an option, the SAR Period), the Closing Price exceeds the Strike Price, the Participant has not exercised the SAR or the corresponding Option (if applicable), and neither the SAR nor the corresponding Option (if applicable) has expired, such SAR shall be deemed to have been exercised by the Participant on such last day and the Company shall make the appropriate payment therefor.</w:t>
      </w:r>
    </w:p>
    <w:p>
      <w:pPr>
        <w:spacing w:after="0" w:line="193" w:lineRule="exact"/>
        <w:rPr>
          <w:rFonts w:ascii="Arial" w:cs="Arial" w:eastAsia="Arial" w:hAnsi="Arial"/>
          <w:sz w:val="18"/>
          <w:szCs w:val="18"/>
          <w:color w:val="auto"/>
        </w:rPr>
      </w:pPr>
    </w:p>
    <w:p>
      <w:pPr>
        <w:jc w:val="both"/>
        <w:ind w:firstLine="1305"/>
        <w:spacing w:after="0" w:line="257" w:lineRule="auto"/>
        <w:tabs>
          <w:tab w:leader="none" w:pos="1541" w:val="left"/>
        </w:tabs>
        <w:numPr>
          <w:ilvl w:val="0"/>
          <w:numId w:val="68"/>
        </w:numPr>
        <w:rPr>
          <w:rFonts w:ascii="Arial" w:cs="Arial" w:eastAsia="Arial" w:hAnsi="Arial"/>
          <w:sz w:val="18"/>
          <w:szCs w:val="18"/>
          <w:color w:val="auto"/>
        </w:rPr>
      </w:pPr>
      <w:r>
        <w:rPr>
          <w:rFonts w:ascii="Arial" w:cs="Arial" w:eastAsia="Arial" w:hAnsi="Arial"/>
          <w:sz w:val="18"/>
          <w:szCs w:val="18"/>
          <w:i w:val="1"/>
          <w:iCs w:val="1"/>
          <w:u w:val="single" w:color="auto"/>
          <w:color w:val="auto"/>
        </w:rPr>
        <w:t>Payment</w:t>
      </w:r>
      <w:r>
        <w:rPr>
          <w:rFonts w:ascii="Arial" w:cs="Arial" w:eastAsia="Arial" w:hAnsi="Arial"/>
          <w:sz w:val="18"/>
          <w:szCs w:val="18"/>
          <w:color w:val="auto"/>
        </w:rPr>
        <w:t>. Upon the exercise of a SAR, the Company shall pay to the Participant an amount equal to the number of shares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SAR that are being exercised multiplied by the excess, if any, of the Closing Price of one Common Share on the exercise date over the Strike Price, less an amount equal to any federal, state, local and non-U.S. income and employment taxes required to be withheld. The Company shall pay such amount in cash, in Common Shares valued at fair market value, or any combination thereof, as determined by the Committee. Any fractional Common Share shall be settled in cash.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ind w:left="840" w:hanging="184"/>
        <w:spacing w:after="0"/>
        <w:tabs>
          <w:tab w:leader="none" w:pos="84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Restricted Stock and Restricted Stock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1541" w:val="left"/>
        </w:tabs>
        <w:numPr>
          <w:ilvl w:val="1"/>
          <w:numId w:val="69"/>
        </w:numPr>
        <w:rPr>
          <w:rFonts w:ascii="Arial" w:cs="Arial" w:eastAsia="Arial" w:hAnsi="Arial"/>
          <w:sz w:val="18"/>
          <w:szCs w:val="18"/>
          <w:color w:val="auto"/>
        </w:rPr>
      </w:pPr>
      <w:r>
        <w:rPr>
          <w:rFonts w:ascii="Arial" w:cs="Arial" w:eastAsia="Arial" w:hAnsi="Arial"/>
          <w:sz w:val="18"/>
          <w:szCs w:val="18"/>
          <w:i w:val="1"/>
          <w:iCs w:val="1"/>
          <w:u w:val="single" w:color="auto"/>
          <w:color w:val="auto"/>
        </w:rPr>
        <w:t>Generally</w:t>
      </w:r>
      <w:r>
        <w:rPr>
          <w:rFonts w:ascii="Arial" w:cs="Arial" w:eastAsia="Arial" w:hAnsi="Arial"/>
          <w:sz w:val="18"/>
          <w:szCs w:val="18"/>
          <w:color w:val="auto"/>
        </w:rPr>
        <w:t>. Each grant of Restricted Stock and Restricted Stock Units shall be evidenced by an Award agreement (whether in paper or</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 medium (including email or the posting on a web site maintained by the Company or a third party under contract with the Company)). Each such grant shall be subject to the conditions set forth in this Section 9, and to such other conditions not inconsistent with this Plan as may be reflected in the applicable Award agreement.</w:t>
      </w:r>
    </w:p>
    <w:p>
      <w:pPr>
        <w:spacing w:after="0" w:line="186" w:lineRule="exact"/>
        <w:rPr>
          <w:rFonts w:ascii="Arial" w:cs="Arial" w:eastAsia="Arial" w:hAnsi="Arial"/>
          <w:sz w:val="18"/>
          <w:szCs w:val="18"/>
          <w:color w:val="auto"/>
        </w:rPr>
      </w:pPr>
    </w:p>
    <w:p>
      <w:pPr>
        <w:jc w:val="both"/>
        <w:ind w:firstLine="1305"/>
        <w:spacing w:after="0" w:line="269" w:lineRule="auto"/>
        <w:tabs>
          <w:tab w:leader="none" w:pos="1551" w:val="left"/>
        </w:tabs>
        <w:numPr>
          <w:ilvl w:val="1"/>
          <w:numId w:val="69"/>
        </w:numPr>
        <w:rPr>
          <w:rFonts w:ascii="Arial" w:cs="Arial" w:eastAsia="Arial" w:hAnsi="Arial"/>
          <w:sz w:val="17"/>
          <w:szCs w:val="17"/>
          <w:color w:val="auto"/>
        </w:rPr>
      </w:pPr>
      <w:r>
        <w:rPr>
          <w:rFonts w:ascii="Arial" w:cs="Arial" w:eastAsia="Arial" w:hAnsi="Arial"/>
          <w:sz w:val="17"/>
          <w:szCs w:val="17"/>
          <w:i w:val="1"/>
          <w:iCs w:val="1"/>
          <w:u w:val="single" w:color="auto"/>
          <w:color w:val="auto"/>
        </w:rPr>
        <w:t>Restricted Accounts; Escrow or Similar Arrangement</w:t>
      </w:r>
      <w:r>
        <w:rPr>
          <w:rFonts w:ascii="Arial" w:cs="Arial" w:eastAsia="Arial" w:hAnsi="Arial"/>
          <w:sz w:val="17"/>
          <w:szCs w:val="17"/>
          <w:color w:val="auto"/>
        </w:rPr>
        <w:t>. Upon the grant of Restricted Stock, a book entry in a restricted account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established in the Participant’s name at the Company’s transfer agent and, if the Committee determines that the Restricted Stock shall be held by the Company or in escrow rather than held in such restricted account pending the release of the applicable restrictions, the Committee may require the Participant to additionally execute and deliver to the Company (i) an escrow agreement satisfactory to the Committee, if applicable, and (ii) the appropriate share power (endorsed in blank) with respect to the Restricted Stock covered by such agreement. If a Participant shall fail to execute an agreement evidencing an Award of Restricted Stock and, if applicable, an escrow agreement and blank share power within the amount of time specified by the Committee, the Award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Subject to the restrictions set forth in this Section 9 and the applicable Award agreement, the Participant generally shall have the rights and privileges of a stockholder as to such Restricted Stock, including without limitation the right to vote such Restricted Stock and the right to receive dividends, if applicable. To the extent shares of Restricted Stock are forfeited, any share certificates issued to the Participant evidencing such shares shall be returned to the Company, and all rights of the Participant to such shares and as a stockholder with respect thereto shall terminate without further obligation on the part of the Company.</w:t>
      </w:r>
    </w:p>
    <w:p>
      <w:pPr>
        <w:spacing w:after="0" w:line="182" w:lineRule="exact"/>
        <w:rPr>
          <w:rFonts w:ascii="Arial" w:cs="Arial" w:eastAsia="Arial" w:hAnsi="Arial"/>
          <w:sz w:val="17"/>
          <w:szCs w:val="17"/>
          <w:color w:val="auto"/>
        </w:rPr>
      </w:pPr>
    </w:p>
    <w:p>
      <w:pPr>
        <w:ind w:left="1540" w:hanging="235"/>
        <w:spacing w:after="0"/>
        <w:tabs>
          <w:tab w:leader="none" w:pos="1540" w:val="left"/>
        </w:tabs>
        <w:numPr>
          <w:ilvl w:val="1"/>
          <w:numId w:val="69"/>
        </w:numPr>
        <w:rPr>
          <w:rFonts w:ascii="Arial" w:cs="Arial" w:eastAsia="Arial" w:hAnsi="Arial"/>
          <w:sz w:val="16"/>
          <w:szCs w:val="16"/>
          <w:color w:val="auto"/>
        </w:rPr>
      </w:pPr>
      <w:r>
        <w:rPr>
          <w:rFonts w:ascii="Arial" w:cs="Arial" w:eastAsia="Arial" w:hAnsi="Arial"/>
          <w:sz w:val="16"/>
          <w:szCs w:val="16"/>
          <w:i w:val="1"/>
          <w:iCs w:val="1"/>
          <w:u w:val="single" w:color="auto"/>
          <w:color w:val="auto"/>
        </w:rPr>
        <w:t>Vesting; Acceleration of Lapse of Restrictions</w:t>
      </w:r>
      <w:r>
        <w:rPr>
          <w:rFonts w:ascii="Arial" w:cs="Arial" w:eastAsia="Arial" w:hAnsi="Arial"/>
          <w:sz w:val="16"/>
          <w:szCs w:val="16"/>
          <w:color w:val="auto"/>
        </w:rPr>
        <w:t>. Unless otherwise provided by the Committee in an Award agreement: (i) the Restricted</w:t>
      </w:r>
    </w:p>
    <w:p>
      <w:pPr>
        <w:spacing w:after="0" w:line="46"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Period shall lapse with respect to 100% of the Restricted Stock and Restricted Stock Units on the third (3</w:t>
      </w:r>
      <w:r>
        <w:rPr>
          <w:rFonts w:ascii="Arial" w:cs="Arial" w:eastAsia="Arial" w:hAnsi="Arial"/>
          <w:sz w:val="30"/>
          <w:szCs w:val="30"/>
          <w:color w:val="auto"/>
          <w:vertAlign w:val="superscript"/>
        </w:rPr>
        <w:t>rd</w:t>
      </w:r>
      <w:r>
        <w:rPr>
          <w:rFonts w:ascii="Arial" w:cs="Arial" w:eastAsia="Arial" w:hAnsi="Arial"/>
          <w:sz w:val="18"/>
          <w:szCs w:val="18"/>
          <w:color w:val="auto"/>
        </w:rPr>
        <w:t>) anniversary of the Date of Grant; and (ii) the unvested portion of Restricted Stock and Restricted Stock Units shall terminate and be forfeited upon termination of employment or service of the Participant granted the applicable Award.</w:t>
      </w:r>
    </w:p>
    <w:p>
      <w:pPr>
        <w:spacing w:after="0" w:line="204" w:lineRule="exact"/>
        <w:rPr>
          <w:sz w:val="20"/>
          <w:szCs w:val="20"/>
          <w:color w:val="auto"/>
        </w:rPr>
      </w:pPr>
    </w:p>
    <w:p>
      <w:pPr>
        <w:jc w:val="both"/>
        <w:ind w:firstLine="1305"/>
        <w:spacing w:after="0" w:line="290" w:lineRule="auto"/>
        <w:tabs>
          <w:tab w:leader="none" w:pos="1551" w:val="left"/>
        </w:tabs>
        <w:numPr>
          <w:ilvl w:val="0"/>
          <w:numId w:val="70"/>
        </w:numPr>
        <w:rPr>
          <w:rFonts w:ascii="Arial" w:cs="Arial" w:eastAsia="Arial" w:hAnsi="Arial"/>
          <w:sz w:val="16"/>
          <w:szCs w:val="16"/>
          <w:color w:val="auto"/>
        </w:rPr>
      </w:pPr>
      <w:r>
        <w:rPr>
          <w:rFonts w:ascii="Arial" w:cs="Arial" w:eastAsia="Arial" w:hAnsi="Arial"/>
          <w:sz w:val="16"/>
          <w:szCs w:val="16"/>
          <w:i w:val="1"/>
          <w:iCs w:val="1"/>
          <w:u w:val="single" w:color="auto"/>
          <w:color w:val="auto"/>
        </w:rPr>
        <w:t>Delivery of Restricted Stock and Settlement of Restricted Stock Units</w:t>
      </w:r>
      <w:r>
        <w:rPr>
          <w:rFonts w:ascii="Arial" w:cs="Arial" w:eastAsia="Arial" w:hAnsi="Arial"/>
          <w:sz w:val="16"/>
          <w:szCs w:val="16"/>
          <w:color w:val="auto"/>
        </w:rPr>
        <w:t>. i) Upon the expiration of the Restricted Period with respect to any</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Restricted Stock, the restrictions set forth in the applicable Award agreement shall be of no further force or effect with respect to such shares, except as set forth in the applicable Award agreement. If an escrow arrangement is used, upon such expiration, the Company shall deliver to the Participant, or his beneficiary, without charge, the share certificate evidencing the shares of Restricted Stock that have not then been forfeited and with respect to which the Restricted Period has expired (rounded down to the nearest full share). Dividends, if any, that may have been withheld by the Committee and attributable to any particular share of Restricted Stock shall be distributed to the Participant in cash or, at the sole discretion of the Committee, in shares of Common Stock having a Closing Price equal to the amount of such dividends, upon the release of restrictions on such share and, if such share is forfeited, the Participant shall have no right to such dividends (except as otherwise set forth by the Committee in the applicable Award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both"/>
        <w:ind w:firstLine="1953"/>
        <w:spacing w:after="0" w:line="286" w:lineRule="auto"/>
        <w:tabs>
          <w:tab w:leader="none" w:pos="2210" w:val="left"/>
        </w:tabs>
        <w:numPr>
          <w:ilvl w:val="3"/>
          <w:numId w:val="71"/>
        </w:numPr>
        <w:rPr>
          <w:rFonts w:ascii="Arial" w:cs="Arial" w:eastAsia="Arial" w:hAnsi="Arial"/>
          <w:sz w:val="16"/>
          <w:szCs w:val="16"/>
          <w:color w:val="auto"/>
        </w:rPr>
      </w:pPr>
      <w:r>
        <w:rPr>
          <w:rFonts w:ascii="Arial" w:cs="Arial" w:eastAsia="Arial" w:hAnsi="Arial"/>
          <w:sz w:val="16"/>
          <w:szCs w:val="16"/>
          <w:color w:val="auto"/>
        </w:rPr>
        <w:t xml:space="preserve">Unless otherwise provided by the Committee in an Award agreement, upon the expiration of the Restricted Period with respect to any outstanding Restricted Stock Units, the Company shall deliver to the Participant, or his beneficiary, without charge, one Common Share for each such outstanding Restricted Stock Unit;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Committee may, in its sole discretion and subject to the requirements of Section 409A of the Code, elect to (i) pay cash or part cash and part Common Share in lieu of delivering only Common Shares in respect of such Restricted Stock Units or</w:t>
      </w:r>
    </w:p>
    <w:p>
      <w:pPr>
        <w:spacing w:after="0" w:line="1" w:lineRule="exact"/>
        <w:rPr>
          <w:rFonts w:ascii="Arial" w:cs="Arial" w:eastAsia="Arial" w:hAnsi="Arial"/>
          <w:sz w:val="16"/>
          <w:szCs w:val="16"/>
          <w:color w:val="auto"/>
        </w:rPr>
      </w:pPr>
    </w:p>
    <w:p>
      <w:pPr>
        <w:jc w:val="both"/>
        <w:ind w:firstLine="8"/>
        <w:spacing w:after="0" w:line="295" w:lineRule="auto"/>
        <w:tabs>
          <w:tab w:leader="none" w:pos="267" w:val="left"/>
        </w:tabs>
        <w:numPr>
          <w:ilvl w:val="0"/>
          <w:numId w:val="72"/>
        </w:numPr>
        <w:rPr>
          <w:rFonts w:ascii="Arial" w:cs="Arial" w:eastAsia="Arial" w:hAnsi="Arial"/>
          <w:sz w:val="16"/>
          <w:szCs w:val="16"/>
          <w:color w:val="auto"/>
        </w:rPr>
      </w:pPr>
      <w:r>
        <w:rPr>
          <w:rFonts w:ascii="Arial" w:cs="Arial" w:eastAsia="Arial" w:hAnsi="Arial"/>
          <w:sz w:val="16"/>
          <w:szCs w:val="16"/>
          <w:color w:val="auto"/>
        </w:rPr>
        <w:t>defer the delivery of Common Shares (or cash or part Common Shares and part cash, as the case may be) beyond the expiration of the Restricted Period if such delivery would result in a violation of applicable law until such time as is no longer the case. If a cash payment is made in lieu of delivering Common Shares, the amount of such payment shall be equal to the Closing Price of the Common Shares as of the date on which the Restricted Period lapsed with respect to such Restricted Stock Units, less an amount equal to any federal, state, local and non-U.S. income and employment taxes required to be withheld.</w:t>
      </w:r>
    </w:p>
    <w:p>
      <w:pPr>
        <w:spacing w:after="0" w:line="161" w:lineRule="exact"/>
        <w:rPr>
          <w:rFonts w:ascii="Arial" w:cs="Arial" w:eastAsia="Arial" w:hAnsi="Arial"/>
          <w:sz w:val="16"/>
          <w:szCs w:val="16"/>
          <w:color w:val="auto"/>
        </w:rPr>
      </w:pPr>
    </w:p>
    <w:p>
      <w:pPr>
        <w:jc w:val="both"/>
        <w:ind w:firstLine="656"/>
        <w:spacing w:after="0" w:line="276" w:lineRule="auto"/>
        <w:tabs>
          <w:tab w:leader="none" w:pos="918" w:val="left"/>
        </w:tabs>
        <w:numPr>
          <w:ilvl w:val="1"/>
          <w:numId w:val="72"/>
        </w:numPr>
        <w:rPr>
          <w:rFonts w:ascii="Arial" w:cs="Arial" w:eastAsia="Arial" w:hAnsi="Arial"/>
          <w:sz w:val="17"/>
          <w:szCs w:val="17"/>
          <w:color w:val="auto"/>
        </w:rPr>
      </w:pPr>
      <w:r>
        <w:rPr>
          <w:rFonts w:ascii="Arial" w:cs="Arial" w:eastAsia="Arial" w:hAnsi="Arial"/>
          <w:sz w:val="17"/>
          <w:szCs w:val="17"/>
          <w:i w:val="1"/>
          <w:iCs w:val="1"/>
          <w:color w:val="auto"/>
        </w:rPr>
        <w:t>Stock Bonus Awards</w:t>
      </w:r>
      <w:r>
        <w:rPr>
          <w:rFonts w:ascii="Arial" w:cs="Arial" w:eastAsia="Arial" w:hAnsi="Arial"/>
          <w:sz w:val="17"/>
          <w:szCs w:val="17"/>
          <w:color w:val="auto"/>
        </w:rPr>
        <w:t>. The Committee may issue unrestricted Common Shares, or other Awards denominated in Common Shares, under this Plan</w:t>
      </w:r>
      <w:r>
        <w:rPr>
          <w:rFonts w:ascii="Arial" w:cs="Arial" w:eastAsia="Arial" w:hAnsi="Arial"/>
          <w:sz w:val="17"/>
          <w:szCs w:val="17"/>
          <w:i w:val="1"/>
          <w:iCs w:val="1"/>
          <w:color w:val="auto"/>
        </w:rPr>
        <w:t xml:space="preserve"> </w:t>
      </w:r>
      <w:r>
        <w:rPr>
          <w:rFonts w:ascii="Arial" w:cs="Arial" w:eastAsia="Arial" w:hAnsi="Arial"/>
          <w:sz w:val="17"/>
          <w:szCs w:val="17"/>
          <w:color w:val="auto"/>
        </w:rPr>
        <w:t>to Eligible Persons, either alone or in tandem with other awards, in such amounts as the Committee shall from time to time in its sole discretion determine. Each Stock Bonus Award granted under this Plan shall be evidenced by an Award agreement (whether in paper or electronic medium (including email or the posting on a web site maintained by the Company or a third party under contract with the Company)). Each Stock Bonus Award so granted shall be subject to such conditions not inconsistent with this Plan as may be reflected in the applicable Award agreement.</w:t>
      </w:r>
    </w:p>
    <w:p>
      <w:pPr>
        <w:spacing w:after="0" w:line="172" w:lineRule="exact"/>
        <w:rPr>
          <w:rFonts w:ascii="Arial" w:cs="Arial" w:eastAsia="Arial" w:hAnsi="Arial"/>
          <w:sz w:val="17"/>
          <w:szCs w:val="17"/>
          <w:color w:val="auto"/>
        </w:rPr>
      </w:pPr>
    </w:p>
    <w:p>
      <w:pPr>
        <w:ind w:left="920" w:hanging="264"/>
        <w:spacing w:after="0"/>
        <w:tabs>
          <w:tab w:leader="none" w:pos="920" w:val="left"/>
        </w:tabs>
        <w:numPr>
          <w:ilvl w:val="1"/>
          <w:numId w:val="72"/>
        </w:numPr>
        <w:rPr>
          <w:rFonts w:ascii="Arial" w:cs="Arial" w:eastAsia="Arial" w:hAnsi="Arial"/>
          <w:sz w:val="18"/>
          <w:szCs w:val="18"/>
          <w:color w:val="auto"/>
        </w:rPr>
      </w:pPr>
      <w:r>
        <w:rPr>
          <w:rFonts w:ascii="Arial" w:cs="Arial" w:eastAsia="Arial" w:hAnsi="Arial"/>
          <w:sz w:val="18"/>
          <w:szCs w:val="18"/>
          <w:i w:val="1"/>
          <w:iCs w:val="1"/>
          <w:color w:val="auto"/>
        </w:rPr>
        <w:t>Performance Compensation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1541" w:val="left"/>
        </w:tabs>
        <w:numPr>
          <w:ilvl w:val="2"/>
          <w:numId w:val="72"/>
        </w:numPr>
        <w:rPr>
          <w:rFonts w:ascii="Arial" w:cs="Arial" w:eastAsia="Arial" w:hAnsi="Arial"/>
          <w:sz w:val="18"/>
          <w:szCs w:val="18"/>
          <w:color w:val="auto"/>
        </w:rPr>
      </w:pPr>
      <w:r>
        <w:rPr>
          <w:rFonts w:ascii="Arial" w:cs="Arial" w:eastAsia="Arial" w:hAnsi="Arial"/>
          <w:sz w:val="18"/>
          <w:szCs w:val="18"/>
          <w:i w:val="1"/>
          <w:iCs w:val="1"/>
          <w:u w:val="single" w:color="auto"/>
          <w:color w:val="auto"/>
        </w:rPr>
        <w:t>Generally</w:t>
      </w:r>
      <w:r>
        <w:rPr>
          <w:rFonts w:ascii="Arial" w:cs="Arial" w:eastAsia="Arial" w:hAnsi="Arial"/>
          <w:sz w:val="18"/>
          <w:szCs w:val="18"/>
          <w:color w:val="auto"/>
        </w:rPr>
        <w:t>. The Committee shall have the authority, at the time of grant of any Award described in Sections 7 through 10 of this Plan, to</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 such Award as a Performance Compensation Award intended to qualify as "performance-based compensation" under Section 162(m) of the Code. The Committee shall have the authority to make an award of a cash bonus to any Participant and designate such Award as a Performance Compensation Award intended to qualify as "performance-based compensation" under Section 162(m) of the Code.</w:t>
      </w:r>
    </w:p>
    <w:p>
      <w:pPr>
        <w:spacing w:after="0" w:line="186" w:lineRule="exact"/>
        <w:rPr>
          <w:rFonts w:ascii="Arial" w:cs="Arial" w:eastAsia="Arial" w:hAnsi="Arial"/>
          <w:sz w:val="18"/>
          <w:szCs w:val="18"/>
          <w:color w:val="auto"/>
        </w:rPr>
      </w:pPr>
    </w:p>
    <w:p>
      <w:pPr>
        <w:jc w:val="both"/>
        <w:ind w:firstLine="1305"/>
        <w:spacing w:after="0" w:line="293" w:lineRule="auto"/>
        <w:tabs>
          <w:tab w:leader="none" w:pos="1578" w:val="left"/>
        </w:tabs>
        <w:numPr>
          <w:ilvl w:val="2"/>
          <w:numId w:val="72"/>
        </w:numPr>
        <w:rPr>
          <w:rFonts w:ascii="Arial" w:cs="Arial" w:eastAsia="Arial" w:hAnsi="Arial"/>
          <w:sz w:val="16"/>
          <w:szCs w:val="16"/>
          <w:color w:val="auto"/>
        </w:rPr>
      </w:pPr>
      <w:r>
        <w:rPr>
          <w:rFonts w:ascii="Arial" w:cs="Arial" w:eastAsia="Arial" w:hAnsi="Arial"/>
          <w:sz w:val="16"/>
          <w:szCs w:val="16"/>
          <w:i w:val="1"/>
          <w:iCs w:val="1"/>
          <w:u w:val="single" w:color="auto"/>
          <w:color w:val="auto"/>
        </w:rPr>
        <w:t>Discretion of Committee with Respect to Performance Compensation Awards</w:t>
      </w:r>
      <w:r>
        <w:rPr>
          <w:rFonts w:ascii="Arial" w:cs="Arial" w:eastAsia="Arial" w:hAnsi="Arial"/>
          <w:sz w:val="16"/>
          <w:szCs w:val="16"/>
          <w:color w:val="auto"/>
        </w:rPr>
        <w:t>. With regard to a particular Performance Period,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shall have sole discretion to select the length of such Performance Period, the type(s) of Performance Compensation Awards to be issued, the Performance Criteria that will be used to establish the Performance Goal(s), the kind(s) and/or level(s) of the Performance Goals(s) that is (are) to apply and the Performance Formula. Within the first 90 calendar days of a Performance Period (or, if longer or shorter, within the maximum period allowed under Section 162(m) of the Code, if applicable), the Committee shall, with regard to the Performance Compensation Awards to be issued for such Performance Period, exercise its discretion with respect to each of the matters enumerated in the immediately preceding sentence and record the same in writing.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jc w:val="both"/>
        <w:ind w:firstLine="1305"/>
        <w:spacing w:after="0" w:line="269" w:lineRule="auto"/>
        <w:tabs>
          <w:tab w:leader="none" w:pos="1541" w:val="left"/>
        </w:tabs>
        <w:numPr>
          <w:ilvl w:val="0"/>
          <w:numId w:val="73"/>
        </w:numPr>
        <w:rPr>
          <w:rFonts w:ascii="Arial" w:cs="Arial" w:eastAsia="Arial" w:hAnsi="Arial"/>
          <w:sz w:val="17"/>
          <w:szCs w:val="17"/>
          <w:color w:val="auto"/>
        </w:rPr>
      </w:pPr>
      <w:r>
        <w:rPr>
          <w:rFonts w:ascii="Arial" w:cs="Arial" w:eastAsia="Arial" w:hAnsi="Arial"/>
          <w:sz w:val="17"/>
          <w:szCs w:val="17"/>
          <w:i w:val="1"/>
          <w:iCs w:val="1"/>
          <w:u w:val="single" w:color="auto"/>
          <w:color w:val="auto"/>
        </w:rPr>
        <w:t>Performance Criteria</w:t>
      </w:r>
      <w:r>
        <w:rPr>
          <w:rFonts w:ascii="Arial" w:cs="Arial" w:eastAsia="Arial" w:hAnsi="Arial"/>
          <w:sz w:val="17"/>
          <w:szCs w:val="17"/>
          <w:color w:val="auto"/>
        </w:rPr>
        <w:t>. The Performance Criteria that will be used to establish the Performance Goal(s) shall be based on the attainment</w:t>
      </w:r>
      <w:r>
        <w:rPr>
          <w:rFonts w:ascii="Arial" w:cs="Arial" w:eastAsia="Arial" w:hAnsi="Arial"/>
          <w:sz w:val="17"/>
          <w:szCs w:val="17"/>
          <w:i w:val="1"/>
          <w:iCs w:val="1"/>
          <w:color w:val="auto"/>
        </w:rPr>
        <w:t xml:space="preserve"> </w:t>
      </w:r>
      <w:r>
        <w:rPr>
          <w:rFonts w:ascii="Arial" w:cs="Arial" w:eastAsia="Arial" w:hAnsi="Arial"/>
          <w:sz w:val="17"/>
          <w:szCs w:val="17"/>
          <w:color w:val="auto"/>
        </w:rPr>
        <w:t>of specific levels of performance of the Company and/or one or more Affiliates, divisions or operational units, or any combination of the foregoing, as determined by the Committee. Any one or more of the Performance Criteria adopted by the Committee may be used on an absolute or relative basis to measure the performance of the Company and/or one or more Affiliates as a whole or any business unit(s) of the Company and/or one or more Affiliates or any combination thereof, as the Committee may deem appropriate, or any of the above Performance Criteria may be compared to the performance of a selected group of comparison companies, or a published or special index that the Committee, in its sole discretion, deems appropriate, or as compared to various stock market indices. The Committee also has the authority to provide for accelerated vesting of any Award based on the achievement of Performance Goals pursuant to the Performance Criteria specified in this paragraph. To the extent required under Section 162(m) of the Code, the Committee shall, within the first 90 calendar days of a Performance Period (or, if longer or shorter, within the maximum period allowed under Section 162(m) of the Code), define in an objective fashion the manner of calculating the Performance Criteria it selects to use for such Performance Period and thereafter promptly communicate such Performance Criteria to the Participant.</w:t>
      </w:r>
    </w:p>
    <w:p>
      <w:pPr>
        <w:spacing w:after="0" w:line="182" w:lineRule="exact"/>
        <w:rPr>
          <w:rFonts w:ascii="Arial" w:cs="Arial" w:eastAsia="Arial" w:hAnsi="Arial"/>
          <w:sz w:val="17"/>
          <w:szCs w:val="17"/>
          <w:color w:val="auto"/>
        </w:rPr>
      </w:pPr>
    </w:p>
    <w:p>
      <w:pPr>
        <w:jc w:val="both"/>
        <w:ind w:firstLine="1305"/>
        <w:spacing w:after="0" w:line="287" w:lineRule="auto"/>
        <w:tabs>
          <w:tab w:leader="none" w:pos="1551" w:val="left"/>
        </w:tabs>
        <w:numPr>
          <w:ilvl w:val="0"/>
          <w:numId w:val="73"/>
        </w:numPr>
        <w:rPr>
          <w:rFonts w:ascii="Arial" w:cs="Arial" w:eastAsia="Arial" w:hAnsi="Arial"/>
          <w:sz w:val="16"/>
          <w:szCs w:val="16"/>
          <w:color w:val="auto"/>
        </w:rPr>
      </w:pPr>
      <w:r>
        <w:rPr>
          <w:rFonts w:ascii="Arial" w:cs="Arial" w:eastAsia="Arial" w:hAnsi="Arial"/>
          <w:sz w:val="16"/>
          <w:szCs w:val="16"/>
          <w:i w:val="1"/>
          <w:iCs w:val="1"/>
          <w:u w:val="single" w:color="auto"/>
          <w:color w:val="auto"/>
        </w:rPr>
        <w:t>Modification of Performance Goal(s)</w:t>
      </w:r>
      <w:r>
        <w:rPr>
          <w:rFonts w:ascii="Arial" w:cs="Arial" w:eastAsia="Arial" w:hAnsi="Arial"/>
          <w:sz w:val="16"/>
          <w:szCs w:val="16"/>
          <w:color w:val="auto"/>
        </w:rPr>
        <w:t>. In the event that applicable tax and/or securities laws change to permit Committee discretion to</w:t>
      </w:r>
      <w:r>
        <w:rPr>
          <w:rFonts w:ascii="Arial" w:cs="Arial" w:eastAsia="Arial" w:hAnsi="Arial"/>
          <w:sz w:val="16"/>
          <w:szCs w:val="16"/>
          <w:i w:val="1"/>
          <w:iCs w:val="1"/>
          <w:color w:val="auto"/>
        </w:rPr>
        <w:t xml:space="preserve"> </w:t>
      </w:r>
      <w:r>
        <w:rPr>
          <w:rFonts w:ascii="Arial" w:cs="Arial" w:eastAsia="Arial" w:hAnsi="Arial"/>
          <w:sz w:val="16"/>
          <w:szCs w:val="16"/>
          <w:color w:val="auto"/>
        </w:rPr>
        <w:t>alter the governing Performance Criteria without obtaining stockholder approval of such alterations, the Committee shall have sole discretion to make such alterations without obtaining stockholder approval. The Committee is authorized at any time during the first 90 calendar days of a Performance Period (or, if longer or shorter, within the maximum period allowed under Section 162(m) of the Code, if applicable), or at any time thereafter to the extent the exercise of such authority at such time would not cause the Performance Compensation Awards granted to any Participant for such Performance Period to fail to qualify as "performance-based compensation" under Section 162(m) of the Code, in its sole discretion, to adjust or modify the calculation of a Performance Goal for such Performance Period, based on and in order to appropriately reflect the following events: (i) asset write-downs; (ii) litigation or claim judgments or settlements; (iii) the effect of changes in tax laws, accounting principles, or other laws or regulatory rules affecting reported results; (iv) any reorganization and restructuring programs; (v) extraordinary nonrecurring items as described in Accounting Principles Board Opinion No. 30 (or any successor pronouncement thereto) and/or in management’s discussion and analysis of financial condition and results of operations appearing in the Company’s annual report to stockholders for the applicable year; (vi) acquisitions or divestitures; (vii) any other specific unusual or nonrecurring events, or objectively determinable category thereof; (viii) foreign exchange gains and losses; and (ix) a change in the Company’s fiscal year.</w:t>
      </w:r>
    </w:p>
    <w:p>
      <w:pPr>
        <w:spacing w:after="0" w:line="168" w:lineRule="exact"/>
        <w:rPr>
          <w:rFonts w:ascii="Arial" w:cs="Arial" w:eastAsia="Arial" w:hAnsi="Arial"/>
          <w:sz w:val="16"/>
          <w:szCs w:val="16"/>
          <w:color w:val="auto"/>
        </w:rPr>
      </w:pPr>
    </w:p>
    <w:p>
      <w:pPr>
        <w:ind w:left="1540" w:hanging="235"/>
        <w:spacing w:after="0"/>
        <w:tabs>
          <w:tab w:leader="none" w:pos="1540" w:val="left"/>
        </w:tabs>
        <w:numPr>
          <w:ilvl w:val="0"/>
          <w:numId w:val="73"/>
        </w:numPr>
        <w:rPr>
          <w:rFonts w:ascii="Arial" w:cs="Arial" w:eastAsia="Arial" w:hAnsi="Arial"/>
          <w:sz w:val="18"/>
          <w:szCs w:val="18"/>
          <w:color w:val="auto"/>
        </w:rPr>
      </w:pPr>
      <w:r>
        <w:rPr>
          <w:rFonts w:ascii="Arial" w:cs="Arial" w:eastAsia="Arial" w:hAnsi="Arial"/>
          <w:sz w:val="18"/>
          <w:szCs w:val="18"/>
          <w:i w:val="1"/>
          <w:iCs w:val="1"/>
          <w:u w:val="single" w:color="auto"/>
          <w:color w:val="auto"/>
        </w:rPr>
        <w:t>Payment of Performance Compensation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20" w:firstLine="1953"/>
        <w:spacing w:after="0" w:line="264" w:lineRule="auto"/>
        <w:tabs>
          <w:tab w:leader="none" w:pos="2200" w:val="left"/>
        </w:tabs>
        <w:numPr>
          <w:ilvl w:val="1"/>
          <w:numId w:val="73"/>
        </w:numPr>
        <w:rPr>
          <w:rFonts w:ascii="Arial" w:cs="Arial" w:eastAsia="Arial" w:hAnsi="Arial"/>
          <w:sz w:val="18"/>
          <w:szCs w:val="18"/>
          <w:color w:val="auto"/>
        </w:rPr>
      </w:pPr>
      <w:r>
        <w:rPr>
          <w:rFonts w:ascii="Arial" w:cs="Arial" w:eastAsia="Arial" w:hAnsi="Arial"/>
          <w:sz w:val="18"/>
          <w:szCs w:val="18"/>
          <w:i w:val="1"/>
          <w:iCs w:val="1"/>
          <w:u w:val="single" w:color="auto"/>
          <w:color w:val="auto"/>
        </w:rPr>
        <w:t>Condition to Receipt of Payment</w:t>
      </w:r>
      <w:r>
        <w:rPr>
          <w:rFonts w:ascii="Arial" w:cs="Arial" w:eastAsia="Arial" w:hAnsi="Arial"/>
          <w:sz w:val="18"/>
          <w:szCs w:val="18"/>
          <w:color w:val="auto"/>
        </w:rPr>
        <w:t>. Unless otherwise provided in the applicable Award agreement, a Participant must be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employed by the Company on the last day of a Performance Period to be eligible for payment in respect of a Performance Compensation Award for such Performance Period.</w:t>
      </w:r>
    </w:p>
    <w:p>
      <w:pPr>
        <w:spacing w:after="0" w:line="181" w:lineRule="exact"/>
        <w:rPr>
          <w:rFonts w:ascii="Arial" w:cs="Arial" w:eastAsia="Arial" w:hAnsi="Arial"/>
          <w:sz w:val="18"/>
          <w:szCs w:val="18"/>
          <w:color w:val="auto"/>
        </w:rPr>
      </w:pPr>
    </w:p>
    <w:p>
      <w:pPr>
        <w:ind w:left="2240" w:hanging="287"/>
        <w:spacing w:after="0"/>
        <w:tabs>
          <w:tab w:leader="none" w:pos="2240" w:val="left"/>
        </w:tabs>
        <w:numPr>
          <w:ilvl w:val="1"/>
          <w:numId w:val="73"/>
        </w:numPr>
        <w:rPr>
          <w:rFonts w:ascii="Arial" w:cs="Arial" w:eastAsia="Arial" w:hAnsi="Arial"/>
          <w:sz w:val="17"/>
          <w:szCs w:val="17"/>
          <w:color w:val="auto"/>
        </w:rPr>
      </w:pPr>
      <w:r>
        <w:rPr>
          <w:rFonts w:ascii="Arial" w:cs="Arial" w:eastAsia="Arial" w:hAnsi="Arial"/>
          <w:sz w:val="17"/>
          <w:szCs w:val="17"/>
          <w:i w:val="1"/>
          <w:iCs w:val="1"/>
          <w:u w:val="single" w:color="auto"/>
          <w:color w:val="auto"/>
        </w:rPr>
        <w:t>Limitation</w:t>
      </w:r>
      <w:r>
        <w:rPr>
          <w:rFonts w:ascii="Arial" w:cs="Arial" w:eastAsia="Arial" w:hAnsi="Arial"/>
          <w:sz w:val="17"/>
          <w:szCs w:val="17"/>
          <w:color w:val="auto"/>
        </w:rPr>
        <w:t>. A Participant shall be eligible to receive payment in respect of a Performance Compensation Award only to the</w:t>
      </w:r>
    </w:p>
    <w:p>
      <w:pPr>
        <w:spacing w:after="0" w:line="34" w:lineRule="exact"/>
        <w:rPr>
          <w:rFonts w:ascii="Arial" w:cs="Arial" w:eastAsia="Arial" w:hAnsi="Arial"/>
          <w:sz w:val="17"/>
          <w:szCs w:val="17"/>
          <w:color w:val="auto"/>
        </w:rPr>
      </w:pPr>
    </w:p>
    <w:p>
      <w:pPr>
        <w:spacing w:after="0" w:line="290" w:lineRule="auto"/>
        <w:rPr>
          <w:rFonts w:ascii="Arial" w:cs="Arial" w:eastAsia="Arial" w:hAnsi="Arial"/>
          <w:sz w:val="17"/>
          <w:szCs w:val="17"/>
          <w:color w:val="auto"/>
        </w:rPr>
      </w:pPr>
      <w:r>
        <w:rPr>
          <w:rFonts w:ascii="Arial" w:cs="Arial" w:eastAsia="Arial" w:hAnsi="Arial"/>
          <w:sz w:val="17"/>
          <w:szCs w:val="17"/>
          <w:color w:val="auto"/>
        </w:rPr>
        <w:t>extent that: (A) the Performance Goals for such period are achieved; and (B) all or some of the portion of such Participant’s Performance Compensation Award has been earned for the Performance Period based on the application of the Performance Formula to such achieved Performance Goals.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jc w:val="both"/>
        <w:ind w:firstLine="1953"/>
        <w:spacing w:after="0" w:line="279" w:lineRule="auto"/>
        <w:tabs>
          <w:tab w:leader="none" w:pos="2260" w:val="left"/>
        </w:tabs>
        <w:numPr>
          <w:ilvl w:val="2"/>
          <w:numId w:val="74"/>
        </w:numPr>
        <w:rPr>
          <w:rFonts w:ascii="Arial" w:cs="Arial" w:eastAsia="Arial" w:hAnsi="Arial"/>
          <w:sz w:val="17"/>
          <w:szCs w:val="17"/>
          <w:color w:val="auto"/>
        </w:rPr>
      </w:pPr>
      <w:r>
        <w:rPr>
          <w:rFonts w:ascii="Arial" w:cs="Arial" w:eastAsia="Arial" w:hAnsi="Arial"/>
          <w:sz w:val="17"/>
          <w:szCs w:val="17"/>
          <w:i w:val="1"/>
          <w:iCs w:val="1"/>
          <w:u w:val="single" w:color="auto"/>
          <w:color w:val="auto"/>
        </w:rPr>
        <w:t>Certification</w:t>
      </w:r>
      <w:r>
        <w:rPr>
          <w:rFonts w:ascii="Arial" w:cs="Arial" w:eastAsia="Arial" w:hAnsi="Arial"/>
          <w:sz w:val="17"/>
          <w:szCs w:val="17"/>
          <w:color w:val="auto"/>
        </w:rPr>
        <w:t>. Following the completion of a Performance Period, the Committee shall review and certify in writing whether,</w:t>
      </w:r>
      <w:r>
        <w:rPr>
          <w:rFonts w:ascii="Arial" w:cs="Arial" w:eastAsia="Arial" w:hAnsi="Arial"/>
          <w:sz w:val="17"/>
          <w:szCs w:val="17"/>
          <w:i w:val="1"/>
          <w:iCs w:val="1"/>
          <w:color w:val="auto"/>
        </w:rPr>
        <w:t xml:space="preserve"> </w:t>
      </w:r>
      <w:r>
        <w:rPr>
          <w:rFonts w:ascii="Arial" w:cs="Arial" w:eastAsia="Arial" w:hAnsi="Arial"/>
          <w:sz w:val="17"/>
          <w:szCs w:val="17"/>
          <w:color w:val="auto"/>
        </w:rPr>
        <w:t>and to what extent, the Performance Goals for the Performance Period have been achieved and, if so, calculate and certify in writing that amount of the Performance Compensation Awards earned for the period based upon the Performance Formula. The Committee shall then determine the amount of each Participant’s Performance Compensation Award actually payable for the Performance Period and, in so doing, may apply Negative Discretion.</w:t>
      </w:r>
    </w:p>
    <w:p>
      <w:pPr>
        <w:spacing w:after="0" w:line="171" w:lineRule="exact"/>
        <w:rPr>
          <w:rFonts w:ascii="Arial" w:cs="Arial" w:eastAsia="Arial" w:hAnsi="Arial"/>
          <w:sz w:val="17"/>
          <w:szCs w:val="17"/>
          <w:color w:val="auto"/>
        </w:rPr>
      </w:pPr>
    </w:p>
    <w:p>
      <w:pPr>
        <w:jc w:val="both"/>
        <w:ind w:firstLine="1953"/>
        <w:spacing w:after="0" w:line="273" w:lineRule="auto"/>
        <w:tabs>
          <w:tab w:leader="none" w:pos="2250" w:val="left"/>
        </w:tabs>
        <w:numPr>
          <w:ilvl w:val="2"/>
          <w:numId w:val="74"/>
        </w:numPr>
        <w:rPr>
          <w:rFonts w:ascii="Arial" w:cs="Arial" w:eastAsia="Arial" w:hAnsi="Arial"/>
          <w:sz w:val="17"/>
          <w:szCs w:val="17"/>
          <w:color w:val="auto"/>
        </w:rPr>
      </w:pPr>
      <w:r>
        <w:rPr>
          <w:rFonts w:ascii="Arial" w:cs="Arial" w:eastAsia="Arial" w:hAnsi="Arial"/>
          <w:sz w:val="17"/>
          <w:szCs w:val="17"/>
          <w:i w:val="1"/>
          <w:iCs w:val="1"/>
          <w:u w:val="single" w:color="auto"/>
          <w:color w:val="auto"/>
        </w:rPr>
        <w:t>Use of Negative Discretion</w:t>
      </w:r>
      <w:r>
        <w:rPr>
          <w:rFonts w:ascii="Arial" w:cs="Arial" w:eastAsia="Arial" w:hAnsi="Arial"/>
          <w:sz w:val="17"/>
          <w:szCs w:val="17"/>
          <w:color w:val="auto"/>
        </w:rPr>
        <w:t>. In determining the actual amount of an individual Participant’s Performance Compensation Award</w:t>
      </w:r>
      <w:r>
        <w:rPr>
          <w:rFonts w:ascii="Arial" w:cs="Arial" w:eastAsia="Arial" w:hAnsi="Arial"/>
          <w:sz w:val="17"/>
          <w:szCs w:val="17"/>
          <w:i w:val="1"/>
          <w:iCs w:val="1"/>
          <w:color w:val="auto"/>
        </w:rPr>
        <w:t xml:space="preserve"> </w:t>
      </w:r>
      <w:r>
        <w:rPr>
          <w:rFonts w:ascii="Arial" w:cs="Arial" w:eastAsia="Arial" w:hAnsi="Arial"/>
          <w:sz w:val="17"/>
          <w:szCs w:val="17"/>
          <w:color w:val="auto"/>
        </w:rPr>
        <w:t>for a Performance Period, the Committee may reduce or eliminate the amount of the Performance Compensation Award earned under the Performance Formula in the Performance Period through the use of Negative Discretion if, in its sole judgment, such reduction or elimination is appropriate. The Committee shall not have the discretion, except as is otherwise provided in this Plan, to (A) grant or provide payment in respect of Performance Compensation Awards for a Performance Period if the Performance Goals for such Performance Period have not been attained; or (B) increase a Performance Compensation Award above the applicable limitations set forth in Section 5 of this Plan.</w:t>
      </w:r>
    </w:p>
    <w:p>
      <w:pPr>
        <w:spacing w:after="0" w:line="178" w:lineRule="exact"/>
        <w:rPr>
          <w:rFonts w:ascii="Arial" w:cs="Arial" w:eastAsia="Arial" w:hAnsi="Arial"/>
          <w:sz w:val="17"/>
          <w:szCs w:val="17"/>
          <w:color w:val="auto"/>
        </w:rPr>
      </w:pPr>
    </w:p>
    <w:p>
      <w:pPr>
        <w:jc w:val="both"/>
        <w:ind w:firstLine="1305"/>
        <w:spacing w:after="0" w:line="293" w:lineRule="auto"/>
        <w:tabs>
          <w:tab w:leader="none" w:pos="1521" w:val="left"/>
        </w:tabs>
        <w:numPr>
          <w:ilvl w:val="1"/>
          <w:numId w:val="75"/>
        </w:numPr>
        <w:rPr>
          <w:rFonts w:ascii="Arial" w:cs="Arial" w:eastAsia="Arial" w:hAnsi="Arial"/>
          <w:sz w:val="16"/>
          <w:szCs w:val="16"/>
          <w:color w:val="auto"/>
        </w:rPr>
      </w:pPr>
      <w:r>
        <w:rPr>
          <w:rFonts w:ascii="Arial" w:cs="Arial" w:eastAsia="Arial" w:hAnsi="Arial"/>
          <w:sz w:val="16"/>
          <w:szCs w:val="16"/>
          <w:i w:val="1"/>
          <w:iCs w:val="1"/>
          <w:u w:val="single" w:color="auto"/>
          <w:color w:val="auto"/>
        </w:rPr>
        <w:t>Timing of Award Payments</w:t>
      </w:r>
      <w:r>
        <w:rPr>
          <w:rFonts w:ascii="Arial" w:cs="Arial" w:eastAsia="Arial" w:hAnsi="Arial"/>
          <w:sz w:val="16"/>
          <w:szCs w:val="16"/>
          <w:color w:val="auto"/>
        </w:rPr>
        <w:t>. Performance Compensation Awards granted for a Performance Period shall be paid to Participants as soon as</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administratively practicable following completion of the certifications required by this Section 11, but in no event later than two-and-one-half months following the end of the fiscal year during which the Performance Period is completed in order to comply with the short-term deferral rules under Section 1.409A-1(b)(4) of the Treasury Regulations. Notwithstanding the foregoing, payment of a Performance Compensation Award may be delayed, as permitted by Section 1.409A-2(b)(7)(i) of the Treasury Regulations, to the extent that the Company reasonably anticipates that if such payment were made as scheduled, the Company’s tax deduction with respect to such payment would not be permitted due to the application of Section 162(m) of the Code.</w:t>
      </w:r>
    </w:p>
    <w:p>
      <w:pPr>
        <w:spacing w:after="0" w:line="164" w:lineRule="exact"/>
        <w:rPr>
          <w:rFonts w:ascii="Arial" w:cs="Arial" w:eastAsia="Arial" w:hAnsi="Arial"/>
          <w:sz w:val="16"/>
          <w:szCs w:val="16"/>
          <w:color w:val="auto"/>
        </w:rPr>
      </w:pPr>
    </w:p>
    <w:p>
      <w:pPr>
        <w:jc w:val="both"/>
        <w:ind w:firstLine="656"/>
        <w:spacing w:after="0" w:line="253" w:lineRule="auto"/>
        <w:tabs>
          <w:tab w:leader="none" w:pos="918"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Changes in Capital Structure and Similar Events</w:t>
      </w:r>
      <w:r>
        <w:rPr>
          <w:rFonts w:ascii="Arial" w:cs="Arial" w:eastAsia="Arial" w:hAnsi="Arial"/>
          <w:sz w:val="18"/>
          <w:szCs w:val="18"/>
          <w:color w:val="auto"/>
        </w:rPr>
        <w:t>. In the event of (a) any dividend or other distribution (whether in the form of cash,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other securities or other property), recapitalization, stock split, reverse stock split, reorganization, merger, amalgamation, consolidation, split-up, split-off, combination, repurchase or exchange of Common Shares or other securities of the Company, issuance of warrants or other rights to acquire Common Shares or other securities of the Company, or other similar corporate transaction or event (including, without limitation, a Change in Control) that affects the Common Shares, or (b) unusual or nonrecurring events (including, without limitation, a Change in Control) affecting the Company, any Affiliate, or the financial statements of the Company or any Affiliate, or changes in applicable rules, rulings, regulations or other requirements of any governmental body or securities exchange or inter-dealer quotation system, accounting principles or law, such that in either case an adjustment is determined by the Committee in its sole discretion to be necessary or appropriate, then the Committee shall make any such adjustments that are equitable, including without limitation any or all of the following: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jc w:val="both"/>
        <w:ind w:firstLine="1953"/>
        <w:spacing w:after="0" w:line="288" w:lineRule="auto"/>
        <w:tabs>
          <w:tab w:leader="none" w:pos="2173" w:val="left"/>
        </w:tabs>
        <w:numPr>
          <w:ilvl w:val="1"/>
          <w:numId w:val="77"/>
        </w:numPr>
        <w:rPr>
          <w:rFonts w:ascii="Arial" w:cs="Arial" w:eastAsia="Arial" w:hAnsi="Arial"/>
          <w:sz w:val="16"/>
          <w:szCs w:val="16"/>
          <w:color w:val="auto"/>
        </w:rPr>
      </w:pPr>
      <w:r>
        <w:rPr>
          <w:rFonts w:ascii="Arial" w:cs="Arial" w:eastAsia="Arial" w:hAnsi="Arial"/>
          <w:sz w:val="16"/>
          <w:szCs w:val="16"/>
          <w:color w:val="auto"/>
        </w:rPr>
        <w:t>adjusting any or all of (A) the number of Common Shares or other securities of the Company (or number and kind of other securities or other property) that may be delivered in respect of Awards or with respect to which Awards may be granted under this Plan (including, without limitation, adjusting any or all of the limitations under Section 5 of this Plan) and (B) the terms of any outstanding Award, including, without limitation,</w:t>
      </w:r>
    </w:p>
    <w:p>
      <w:pPr>
        <w:jc w:val="both"/>
        <w:ind w:firstLine="8"/>
        <w:spacing w:after="0" w:line="255" w:lineRule="auto"/>
        <w:tabs>
          <w:tab w:leader="none" w:pos="278"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number of Common Shares or other securities of the Company (or number and kind of other securities or other property) subject to outstanding Awards or to which outstanding Awards relate, (2) the Exercise Price or Strike Price with respect to any Award or (3) any applicable performance measures (including, without limitation, Performance Criteria and Performance Goals);</w:t>
      </w:r>
    </w:p>
    <w:p>
      <w:pPr>
        <w:spacing w:after="0" w:line="190" w:lineRule="exact"/>
        <w:rPr>
          <w:rFonts w:ascii="Arial" w:cs="Arial" w:eastAsia="Arial" w:hAnsi="Arial"/>
          <w:sz w:val="18"/>
          <w:szCs w:val="18"/>
          <w:color w:val="auto"/>
        </w:rPr>
      </w:pPr>
    </w:p>
    <w:p>
      <w:pPr>
        <w:ind w:right="20" w:firstLine="1953"/>
        <w:spacing w:after="0" w:line="277" w:lineRule="auto"/>
        <w:tabs>
          <w:tab w:leader="none" w:pos="2210" w:val="left"/>
        </w:tabs>
        <w:numPr>
          <w:ilvl w:val="1"/>
          <w:numId w:val="78"/>
        </w:numPr>
        <w:rPr>
          <w:rFonts w:ascii="Arial" w:cs="Arial" w:eastAsia="Arial" w:hAnsi="Arial"/>
          <w:sz w:val="18"/>
          <w:szCs w:val="18"/>
          <w:color w:val="auto"/>
        </w:rPr>
      </w:pPr>
      <w:r>
        <w:rPr>
          <w:rFonts w:ascii="Arial" w:cs="Arial" w:eastAsia="Arial" w:hAnsi="Arial"/>
          <w:sz w:val="18"/>
          <w:szCs w:val="18"/>
          <w:color w:val="auto"/>
        </w:rPr>
        <w:t>providing for a substitution or assumption of Awards, accelerating the exercisability of, lapse of restrictions on, or termination of, Awards or providing for a period of time for exercise prior to the occurrence of such event; and</w:t>
      </w:r>
    </w:p>
    <w:p>
      <w:pPr>
        <w:spacing w:after="0" w:line="170" w:lineRule="exact"/>
        <w:rPr>
          <w:rFonts w:ascii="Arial" w:cs="Arial" w:eastAsia="Arial" w:hAnsi="Arial"/>
          <w:sz w:val="18"/>
          <w:szCs w:val="18"/>
          <w:color w:val="auto"/>
        </w:rPr>
      </w:pPr>
    </w:p>
    <w:p>
      <w:pPr>
        <w:jc w:val="both"/>
        <w:ind w:firstLine="1953"/>
        <w:spacing w:after="0" w:line="254" w:lineRule="auto"/>
        <w:tabs>
          <w:tab w:leader="none" w:pos="2273" w:val="left"/>
        </w:tabs>
        <w:numPr>
          <w:ilvl w:val="1"/>
          <w:numId w:val="78"/>
        </w:numPr>
        <w:rPr>
          <w:rFonts w:ascii="Arial" w:cs="Arial" w:eastAsia="Arial" w:hAnsi="Arial"/>
          <w:sz w:val="18"/>
          <w:szCs w:val="18"/>
          <w:color w:val="auto"/>
        </w:rPr>
      </w:pPr>
      <w:r>
        <w:rPr>
          <w:rFonts w:ascii="Arial" w:cs="Arial" w:eastAsia="Arial" w:hAnsi="Arial"/>
          <w:sz w:val="18"/>
          <w:szCs w:val="18"/>
          <w:color w:val="auto"/>
        </w:rPr>
        <w:t>subject to the requirements of Section 409A of the Code, canceling any one or more outstanding Awards and causing to be paid to the holders thereof, in cash, Common Shares, other securities or other property, or any combination thereof, the value of such Awards, if any, as determined by the Committee (which if applicable may be based upon the price per Common Share received or to be received by other stockholders of the Company in such event), including without limitation, in the case of an outstanding Option or SAR, a cash payment in an amount equal to the excess, if any, of the fair market value (as of a date specified by the Committee) of the Common Shares subject to such Option or SAR over the aggregate Exercise Price or Strike Price of such Option or SAR, respectively (it being understood that, in such event, any Option or SAR having a per share Exercise Price or Strike Price equal to, or in excess of, the fair market value of a Common Share subject thereto may be canceled and terminated without any payment or consideration therefor);</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in the case of any "equity restructuring" (within the meaning of the Financial Accounting Standards Board Statement of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Standards No. 123 (revised 2004) or ASC Topic 718, or any successor thereto), the Committee shall make an equitable or proportionate adjustment to outstanding Awards to reflect such equity restructuring. Any adjustment in Incentive Stock Options under this Section 12 (other than any cancellation of Incentive Stock Options) shall be made only to the extent not constituting a "modification" within the meaning of Section 424(h)(3) of the Code, and any adjustments under this Section 12 shall be made in a manner that does not adversely affect the exemption provided pursuant to Rule 16b-3 under the Exchange Act. The Company shall give each Participant notice of an adjustment hereunder and, upon notice, such adjustment shall be conclusive and binding for all purposes.</w:t>
      </w:r>
    </w:p>
    <w:p>
      <w:pPr>
        <w:spacing w:after="0" w:line="189" w:lineRule="exact"/>
        <w:rPr>
          <w:sz w:val="20"/>
          <w:szCs w:val="20"/>
          <w:color w:val="auto"/>
        </w:rPr>
      </w:pPr>
    </w:p>
    <w:p>
      <w:pPr>
        <w:ind w:firstLine="656"/>
        <w:spacing w:after="0" w:line="277" w:lineRule="auto"/>
        <w:tabs>
          <w:tab w:leader="none" w:pos="959"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Effect of Change in Control</w:t>
      </w:r>
      <w:r>
        <w:rPr>
          <w:rFonts w:ascii="Arial" w:cs="Arial" w:eastAsia="Arial" w:hAnsi="Arial"/>
          <w:sz w:val="18"/>
          <w:szCs w:val="18"/>
          <w:color w:val="auto"/>
        </w:rPr>
        <w:t>. Except to the extent otherwise provided in an Award agreement, in the event of a 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notwithstanding any provision of this Plan to the contrary, with respect to all or any portion of a particular outstanding Award or Awards:</w:t>
      </w:r>
    </w:p>
    <w:p>
      <w:pPr>
        <w:spacing w:after="0" w:line="170" w:lineRule="exact"/>
        <w:rPr>
          <w:rFonts w:ascii="Arial" w:cs="Arial" w:eastAsia="Arial" w:hAnsi="Arial"/>
          <w:sz w:val="18"/>
          <w:szCs w:val="18"/>
          <w:color w:val="auto"/>
        </w:rPr>
      </w:pPr>
    </w:p>
    <w:p>
      <w:pPr>
        <w:ind w:left="1580" w:hanging="275"/>
        <w:spacing w:after="0"/>
        <w:tabs>
          <w:tab w:leader="none" w:pos="1580" w:val="left"/>
        </w:tabs>
        <w:numPr>
          <w:ilvl w:val="1"/>
          <w:numId w:val="79"/>
        </w:numPr>
        <w:rPr>
          <w:rFonts w:ascii="Arial" w:cs="Arial" w:eastAsia="Arial" w:hAnsi="Arial"/>
          <w:sz w:val="17"/>
          <w:szCs w:val="17"/>
          <w:color w:val="auto"/>
        </w:rPr>
      </w:pPr>
      <w:r>
        <w:rPr>
          <w:rFonts w:ascii="Arial" w:cs="Arial" w:eastAsia="Arial" w:hAnsi="Arial"/>
          <w:sz w:val="17"/>
          <w:szCs w:val="17"/>
          <w:color w:val="auto"/>
        </w:rPr>
        <w:t>all of the then outstanding Options and SARs shall immediately vest and become immediately exercisable as of a time prior to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Change in Control;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ind w:left="1580" w:hanging="275"/>
        <w:spacing w:after="0"/>
        <w:tabs>
          <w:tab w:leader="none" w:pos="15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Restricted Period shall expire as of a time prior to the Change in Control (including without limitation a waiver of any applicable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Performance Goals);</w:t>
      </w:r>
    </w:p>
    <w:p>
      <w:pPr>
        <w:spacing w:after="0" w:line="210" w:lineRule="exact"/>
        <w:rPr>
          <w:rFonts w:ascii="Arial" w:cs="Arial" w:eastAsia="Arial" w:hAnsi="Arial"/>
          <w:sz w:val="17"/>
          <w:szCs w:val="17"/>
          <w:color w:val="auto"/>
        </w:rPr>
      </w:pPr>
    </w:p>
    <w:p>
      <w:pPr>
        <w:jc w:val="both"/>
        <w:ind w:firstLine="1305"/>
        <w:spacing w:after="0" w:line="276" w:lineRule="auto"/>
        <w:tabs>
          <w:tab w:leader="none" w:pos="1542" w:val="left"/>
        </w:tabs>
        <w:numPr>
          <w:ilvl w:val="0"/>
          <w:numId w:val="80"/>
        </w:numPr>
        <w:rPr>
          <w:rFonts w:ascii="Arial" w:cs="Arial" w:eastAsia="Arial" w:hAnsi="Arial"/>
          <w:sz w:val="17"/>
          <w:szCs w:val="17"/>
          <w:color w:val="auto"/>
        </w:rPr>
      </w:pPr>
      <w:r>
        <w:rPr>
          <w:rFonts w:ascii="Arial" w:cs="Arial" w:eastAsia="Arial" w:hAnsi="Arial"/>
          <w:sz w:val="17"/>
          <w:szCs w:val="17"/>
          <w:color w:val="auto"/>
        </w:rPr>
        <w:t>Performance Periods in effect on the date the Change in Control occurs shall end on such date, and the Committee shall (i) determine the extent to which Performance Goals with respect to each such Performance Period have been met based upon such audited or unaudited financial information or other information then available as it deems relevant and (ii) cause the Participant to receive partial or full payment of Awards for each such Performance Period based upon the Committee’s determination of the degree of attainment of the Performance Goals, or assuming that the applicable "target" levels of performance have been attained or on such other basis determined by the Committee.</w:t>
      </w:r>
    </w:p>
    <w:p>
      <w:pPr>
        <w:spacing w:after="0" w:line="17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To the extent practicable, any actions taken by the Committee under the immediately preceding clauses (a) through (c) shall occur in a manner and at a time which allows affected Participants the ability to participate in the Change in Control transactions with respect to the Common Shares subject to their Awards.</w:t>
      </w:r>
    </w:p>
    <w:p>
      <w:pPr>
        <w:spacing w:after="0" w:line="124" w:lineRule="exact"/>
        <w:rPr>
          <w:sz w:val="20"/>
          <w:szCs w:val="20"/>
          <w:color w:val="auto"/>
        </w:rPr>
      </w:pPr>
    </w:p>
    <w:p>
      <w:pPr>
        <w:ind w:left="920" w:hanging="264"/>
        <w:spacing w:after="0"/>
        <w:tabs>
          <w:tab w:leader="none" w:pos="92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Amendments and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70" w:lineRule="auto"/>
        <w:tabs>
          <w:tab w:leader="none" w:pos="1505" w:val="left"/>
        </w:tabs>
        <w:numPr>
          <w:ilvl w:val="1"/>
          <w:numId w:val="81"/>
        </w:numPr>
        <w:rPr>
          <w:rFonts w:ascii="Arial" w:cs="Arial" w:eastAsia="Arial" w:hAnsi="Arial"/>
          <w:sz w:val="17"/>
          <w:szCs w:val="17"/>
          <w:color w:val="auto"/>
        </w:rPr>
      </w:pPr>
      <w:r>
        <w:rPr>
          <w:rFonts w:ascii="Arial" w:cs="Arial" w:eastAsia="Arial" w:hAnsi="Arial"/>
          <w:sz w:val="17"/>
          <w:szCs w:val="17"/>
          <w:i w:val="1"/>
          <w:iCs w:val="1"/>
          <w:u w:val="single" w:color="auto"/>
          <w:color w:val="auto"/>
        </w:rPr>
        <w:t>Amendment and Termination of this Plan</w:t>
      </w:r>
      <w:r>
        <w:rPr>
          <w:rFonts w:ascii="Arial" w:cs="Arial" w:eastAsia="Arial" w:hAnsi="Arial"/>
          <w:sz w:val="17"/>
          <w:szCs w:val="17"/>
          <w:color w:val="auto"/>
        </w:rPr>
        <w:t>. The Board may amend, alter, suspend, discontinue, or terminate this Plan or any portion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thereof at any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 amendment to the definition of Eligible Employee in Section 2, Section 5i), Section 11(c) or Section 14(b) (to the extent required by the proviso in such Section 14(b)) shall be made without stockholder approval and (ii) no such amendment, alteration, suspension, discontinuation or termination shall be made without stockholder approval if such approval is necessary to comply with any tax or regulatory requirement applicable to this Plan (including, without limitation, as necessary to comply with any rules or requirements of any securities exchange or inter-dealer quotation system on which the Common Shares may be listed or quoted or to prevent the Company from being denied a tax deduction under Section 162(m) of the Code); </w:t>
      </w:r>
      <w:r>
        <w:rPr>
          <w:rFonts w:ascii="Arial" w:cs="Arial" w:eastAsia="Arial" w:hAnsi="Arial"/>
          <w:sz w:val="17"/>
          <w:szCs w:val="17"/>
          <w:i w:val="1"/>
          <w:iCs w:val="1"/>
          <w:color w:val="auto"/>
        </w:rPr>
        <w:t>and,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further</w:t>
      </w:r>
      <w:r>
        <w:rPr>
          <w:rFonts w:ascii="Arial" w:cs="Arial" w:eastAsia="Arial" w:hAnsi="Arial"/>
          <w:sz w:val="17"/>
          <w:szCs w:val="17"/>
          <w:color w:val="auto"/>
        </w:rPr>
        <w:t>, that any such amendment, alteration, suspension, discontinuance or termination that would materially and adversely affect the rights of any Participant or any holder or beneficiary of any Award theretofore granted shall not to that extent be effective without the prior written consent of the affected Participant, holder or beneficiary.</w:t>
      </w:r>
    </w:p>
    <w:p>
      <w:pPr>
        <w:spacing w:after="0" w:line="182" w:lineRule="exact"/>
        <w:rPr>
          <w:sz w:val="20"/>
          <w:szCs w:val="20"/>
          <w:color w:val="auto"/>
        </w:rPr>
      </w:pPr>
    </w:p>
    <w:p>
      <w:pPr>
        <w:jc w:val="both"/>
        <w:ind w:firstLine="1305"/>
        <w:spacing w:after="0" w:line="270" w:lineRule="auto"/>
        <w:tabs>
          <w:tab w:leader="none" w:pos="1565" w:val="left"/>
        </w:tabs>
        <w:numPr>
          <w:ilvl w:val="0"/>
          <w:numId w:val="82"/>
        </w:numPr>
        <w:rPr>
          <w:rFonts w:ascii="Arial" w:cs="Arial" w:eastAsia="Arial" w:hAnsi="Arial"/>
          <w:sz w:val="17"/>
          <w:szCs w:val="17"/>
          <w:color w:val="auto"/>
        </w:rPr>
      </w:pPr>
      <w:r>
        <w:rPr>
          <w:rFonts w:ascii="Arial" w:cs="Arial" w:eastAsia="Arial" w:hAnsi="Arial"/>
          <w:sz w:val="17"/>
          <w:szCs w:val="17"/>
          <w:i w:val="1"/>
          <w:iCs w:val="1"/>
          <w:u w:val="single" w:color="auto"/>
          <w:color w:val="auto"/>
        </w:rPr>
        <w:t>Amendment of Award Agreements</w:t>
      </w:r>
      <w:r>
        <w:rPr>
          <w:rFonts w:ascii="Arial" w:cs="Arial" w:eastAsia="Arial" w:hAnsi="Arial"/>
          <w:sz w:val="17"/>
          <w:szCs w:val="17"/>
          <w:color w:val="auto"/>
        </w:rPr>
        <w:t>. The Committee may, to the extent consistent with the terms of any applicable Award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waive any conditions or rights under, amend any terms of, or alter, suspend, discontinue, cancel or terminate, any Award theretofore granted or the associated Award agreement, prospectively or retroactively; </w:t>
      </w:r>
      <w:r>
        <w:rPr>
          <w:rFonts w:ascii="Arial" w:cs="Arial" w:eastAsia="Arial" w:hAnsi="Arial"/>
          <w:sz w:val="17"/>
          <w:szCs w:val="17"/>
          <w:i w:val="1"/>
          <w:iCs w:val="1"/>
          <w:u w:val="single" w:color="auto"/>
          <w:color w:val="auto"/>
        </w:rPr>
        <w:t>provided, however</w:t>
      </w:r>
      <w:r>
        <w:rPr>
          <w:rFonts w:ascii="Arial" w:cs="Arial" w:eastAsia="Arial" w:hAnsi="Arial"/>
          <w:sz w:val="17"/>
          <w:szCs w:val="17"/>
          <w:color w:val="auto"/>
        </w:rPr>
        <w:t xml:space="preserve"> that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 </w:t>
      </w:r>
      <w:r>
        <w:rPr>
          <w:rFonts w:ascii="Arial" w:cs="Arial" w:eastAsia="Arial" w:hAnsi="Arial"/>
          <w:sz w:val="17"/>
          <w:szCs w:val="17"/>
          <w:i w:val="1"/>
          <w:iCs w:val="1"/>
          <w:color w:val="auto"/>
        </w:rPr>
        <w:t>and,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further</w:t>
      </w:r>
      <w:r>
        <w:rPr>
          <w:rFonts w:ascii="Arial" w:cs="Arial" w:eastAsia="Arial" w:hAnsi="Arial"/>
          <w:sz w:val="17"/>
          <w:szCs w:val="17"/>
          <w:color w:val="auto"/>
        </w:rPr>
        <w:t>, that without stockholder approval, except as otherwise permitted under Section 12 of this Plan, (i) no amendment or modification may reduce the Exercise Price of any Option or the Strike Price of any SAR, (ii) the Committee may not cancel any outstanding Option or SAR and replace it with a new Option or SAR, another Award or cash or take any action that would have the effect of treating such Award as a new Award for tax or accounting purposes and (iii) the Committee may not take any other action that is considered a "repricing" for purposes of the stockholder approval rules of the applicable securities exchange or inter-dealer quotation system on which the Common Shares are listed or quoted.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ind w:left="920" w:hanging="264"/>
        <w:spacing w:after="0"/>
        <w:tabs>
          <w:tab w:leader="none" w:pos="92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55" w:lineRule="auto"/>
        <w:tabs>
          <w:tab w:leader="none" w:pos="1481" w:val="left"/>
        </w:tabs>
        <w:numPr>
          <w:ilvl w:val="1"/>
          <w:numId w:val="83"/>
        </w:numPr>
        <w:rPr>
          <w:rFonts w:ascii="Arial" w:cs="Arial" w:eastAsia="Arial" w:hAnsi="Arial"/>
          <w:sz w:val="18"/>
          <w:szCs w:val="18"/>
          <w:color w:val="auto"/>
        </w:rPr>
      </w:pPr>
      <w:r>
        <w:rPr>
          <w:rFonts w:ascii="Arial" w:cs="Arial" w:eastAsia="Arial" w:hAnsi="Arial"/>
          <w:sz w:val="18"/>
          <w:szCs w:val="18"/>
          <w:i w:val="1"/>
          <w:iCs w:val="1"/>
          <w:u w:val="single" w:color="auto"/>
          <w:color w:val="auto"/>
        </w:rPr>
        <w:t>Award Agreements</w:t>
      </w:r>
      <w:r>
        <w:rPr>
          <w:rFonts w:ascii="Arial" w:cs="Arial" w:eastAsia="Arial" w:hAnsi="Arial"/>
          <w:sz w:val="18"/>
          <w:szCs w:val="18"/>
          <w:color w:val="auto"/>
        </w:rPr>
        <w:t>. Each Award under this Plan shall be evidenced by an Award agreement, which shall be delivered to the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in paper or electronic medium (including email or the posting on a web site maintained by the Company or a third party under contract with the Company)) and shall specify the terms and conditions of the Award and any rules applicable thereto, including without limitation, the effect on such Award of the death, Disability or termination of employment or service of a Participant, or of such other events as may be determined by the Committee. The Company’s failure to specify any term of any Award in any particular Award agreement shall not invalidate such term, provided such terms was duly adopted by the Board or the Committee.</w:t>
      </w:r>
    </w:p>
    <w:p>
      <w:pPr>
        <w:spacing w:after="0" w:line="193" w:lineRule="exact"/>
        <w:rPr>
          <w:sz w:val="20"/>
          <w:szCs w:val="20"/>
          <w:color w:val="auto"/>
        </w:rPr>
      </w:pPr>
    </w:p>
    <w:p>
      <w:pPr>
        <w:ind w:left="1560" w:hanging="255"/>
        <w:spacing w:after="0"/>
        <w:tabs>
          <w:tab w:leader="none" w:pos="1560" w:val="left"/>
        </w:tabs>
        <w:numPr>
          <w:ilvl w:val="0"/>
          <w:numId w:val="84"/>
        </w:numPr>
        <w:rPr>
          <w:rFonts w:ascii="Arial" w:cs="Arial" w:eastAsia="Arial" w:hAnsi="Arial"/>
          <w:sz w:val="18"/>
          <w:szCs w:val="18"/>
          <w:color w:val="auto"/>
        </w:rPr>
      </w:pPr>
      <w:r>
        <w:rPr>
          <w:rFonts w:ascii="Arial" w:cs="Arial" w:eastAsia="Arial" w:hAnsi="Arial"/>
          <w:sz w:val="18"/>
          <w:szCs w:val="18"/>
          <w:i w:val="1"/>
          <w:iCs w:val="1"/>
          <w:u w:val="single" w:color="auto"/>
          <w:color w:val="auto"/>
        </w:rPr>
        <w:t>Nontransferability; Trading Restrictions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3"/>
        <w:spacing w:after="0" w:line="257" w:lineRule="auto"/>
        <w:tabs>
          <w:tab w:leader="none" w:pos="21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Each Award shall be exercisable only by a Participant during the Participant’s lifetime, or, if permissible under applicable law, by the Participant’s legal guardian or representative. No Award may be assigned, alienated, pledged, attached, sold or otherwise transferred or encumbered by a Participant other than by will or by the laws of descent and distribution and any such purported assignment, alienation, pledge, attachment, sale, transfer or encumbrance shall be void and unenforceable against the Company or an Affiliate; provided that the designation of a beneficiary shall not constitute an assignment, alienation, pledge, attachment, sale, transfer or encumbrance.</w:t>
      </w:r>
    </w:p>
    <w:p>
      <w:pPr>
        <w:spacing w:after="0" w:line="188" w:lineRule="exact"/>
        <w:rPr>
          <w:rFonts w:ascii="Arial" w:cs="Arial" w:eastAsia="Arial" w:hAnsi="Arial"/>
          <w:sz w:val="18"/>
          <w:szCs w:val="18"/>
          <w:color w:val="auto"/>
        </w:rPr>
      </w:pPr>
    </w:p>
    <w:p>
      <w:pPr>
        <w:jc w:val="both"/>
        <w:ind w:firstLine="1953"/>
        <w:spacing w:after="0" w:line="270" w:lineRule="auto"/>
        <w:tabs>
          <w:tab w:leader="none" w:pos="2210" w:val="left"/>
        </w:tabs>
        <w:numPr>
          <w:ilvl w:val="1"/>
          <w:numId w:val="84"/>
        </w:numPr>
        <w:rPr>
          <w:rFonts w:ascii="Arial" w:cs="Arial" w:eastAsia="Arial" w:hAnsi="Arial"/>
          <w:sz w:val="17"/>
          <w:szCs w:val="17"/>
          <w:color w:val="auto"/>
        </w:rPr>
      </w:pPr>
      <w:r>
        <w:rPr>
          <w:rFonts w:ascii="Arial" w:cs="Arial" w:eastAsia="Arial" w:hAnsi="Arial"/>
          <w:sz w:val="17"/>
          <w:szCs w:val="17"/>
          <w:color w:val="auto"/>
        </w:rPr>
        <w:t>Notwithstanding the foregoing, the Committee may, in its sole discretion, permit Awards (other than Incentive Stock Options) to be transferred by a Participant, with or without consideration, subject to such rules as the Committee may adopt consistent with any applicable Award agreement to preserve the purposes of this Plan, to: (A) any person who is a "family member" of the Participant, as such term is used in the instructions to Form S-8 under the Securities Act (collectively, the "</w:t>
      </w:r>
      <w:r>
        <w:rPr>
          <w:rFonts w:ascii="Arial" w:cs="Arial" w:eastAsia="Arial" w:hAnsi="Arial"/>
          <w:sz w:val="17"/>
          <w:szCs w:val="17"/>
          <w:i w:val="1"/>
          <w:iCs w:val="1"/>
          <w:u w:val="single" w:color="auto"/>
          <w:color w:val="auto"/>
        </w:rPr>
        <w:t>Immediate Family Members</w:t>
      </w:r>
      <w:r>
        <w:rPr>
          <w:rFonts w:ascii="Arial" w:cs="Arial" w:eastAsia="Arial" w:hAnsi="Arial"/>
          <w:sz w:val="17"/>
          <w:szCs w:val="17"/>
          <w:color w:val="auto"/>
        </w:rPr>
        <w:t>"); (B) a trust solely for the benefit of the Participant and his or her Immediate Family Members; or (C) a partnership or limited liability company whose only partners or stockholders are the Participant and his or her Immediate Family Members; or (D) any other transferee as may be approved either (I) by the Board or the Committee in its sole discretion, or (II) as provided in the applicable Award agreement (each transferee described in clauses (A), (B) (C) and (D) above is hereinafter referred to as a "</w:t>
      </w:r>
      <w:r>
        <w:rPr>
          <w:rFonts w:ascii="Arial" w:cs="Arial" w:eastAsia="Arial" w:hAnsi="Arial"/>
          <w:sz w:val="17"/>
          <w:szCs w:val="17"/>
          <w:i w:val="1"/>
          <w:iCs w:val="1"/>
          <w:u w:val="single" w:color="auto"/>
          <w:color w:val="auto"/>
        </w:rPr>
        <w:t>Permitted Transferee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Participant gives the Committee advance written notice describing the terms and conditions of the proposed transfer and the Committee notifies the Participant in writing that such a transfer would comply with the requirements of this Plan.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jc w:val="both"/>
        <w:ind w:firstLine="1953"/>
        <w:spacing w:after="0" w:line="288" w:lineRule="auto"/>
        <w:tabs>
          <w:tab w:leader="none" w:pos="2287" w:val="left"/>
        </w:tabs>
        <w:numPr>
          <w:ilvl w:val="1"/>
          <w:numId w:val="85"/>
        </w:numPr>
        <w:rPr>
          <w:rFonts w:ascii="Arial" w:cs="Arial" w:eastAsia="Arial" w:hAnsi="Arial"/>
          <w:sz w:val="16"/>
          <w:szCs w:val="16"/>
          <w:color w:val="auto"/>
        </w:rPr>
      </w:pPr>
      <w:r>
        <w:rPr>
          <w:rFonts w:ascii="Arial" w:cs="Arial" w:eastAsia="Arial" w:hAnsi="Arial"/>
          <w:sz w:val="16"/>
          <w:szCs w:val="16"/>
          <w:color w:val="auto"/>
        </w:rPr>
        <w:t>The terms of any Award transferred in accordance with the immediately preceding sentence shall apply to the Permitted Transferee and any reference in this Plan, or in any applicable Award agreement, to a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Common Shares to be 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 such notice is or would otherwise have been required to be given to the Participant under this Plan or otherwise; and (D) the consequences of the termination of the Participant’s employment by, or services to, the Company or an Affiliate under the terms of this Plan and the applicable Award agreement shall continue to be applied with respect to the Participant, including, without limitation, that an Option shall be exercisable by the Permitted Transferee only to the extent, and for the periods, specified in this Plan and the applicable Award agreement.</w:t>
      </w:r>
    </w:p>
    <w:p>
      <w:pPr>
        <w:spacing w:after="0" w:line="169" w:lineRule="exact"/>
        <w:rPr>
          <w:rFonts w:ascii="Arial" w:cs="Arial" w:eastAsia="Arial" w:hAnsi="Arial"/>
          <w:sz w:val="16"/>
          <w:szCs w:val="16"/>
          <w:color w:val="auto"/>
        </w:rPr>
      </w:pPr>
    </w:p>
    <w:p>
      <w:pPr>
        <w:jc w:val="both"/>
        <w:ind w:firstLine="1953"/>
        <w:spacing w:after="0" w:line="264" w:lineRule="auto"/>
        <w:tabs>
          <w:tab w:leader="none" w:pos="225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Committee shall have the right, either on an Award-by-Award basis or as a matter of policy for all Awards or one or more classes of Awards, to condition the delivery of vested Common Shares received in connection with such Award on the Participant’s agreement to such restrictions as the Committee may determine.</w:t>
      </w:r>
    </w:p>
    <w:p>
      <w:pPr>
        <w:spacing w:after="0" w:line="181" w:lineRule="exact"/>
        <w:rPr>
          <w:rFonts w:ascii="Arial" w:cs="Arial" w:eastAsia="Arial" w:hAnsi="Arial"/>
          <w:sz w:val="18"/>
          <w:szCs w:val="18"/>
          <w:color w:val="auto"/>
        </w:rPr>
      </w:pPr>
    </w:p>
    <w:p>
      <w:pPr>
        <w:ind w:left="1540" w:hanging="235"/>
        <w:spacing w:after="0"/>
        <w:tabs>
          <w:tab w:leader="none" w:pos="1540" w:val="left"/>
        </w:tabs>
        <w:numPr>
          <w:ilvl w:val="0"/>
          <w:numId w:val="86"/>
        </w:numPr>
        <w:rPr>
          <w:rFonts w:ascii="Arial" w:cs="Arial" w:eastAsia="Arial" w:hAnsi="Arial"/>
          <w:sz w:val="18"/>
          <w:szCs w:val="18"/>
          <w:color w:val="auto"/>
        </w:rPr>
      </w:pPr>
      <w:r>
        <w:rPr>
          <w:rFonts w:ascii="Arial" w:cs="Arial" w:eastAsia="Arial" w:hAnsi="Arial"/>
          <w:sz w:val="18"/>
          <w:szCs w:val="18"/>
          <w:i w:val="1"/>
          <w:iCs w:val="1"/>
          <w:u w:val="single" w:color="auto"/>
          <w:color w:val="auto"/>
        </w:rPr>
        <w:t>Tax Withholding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3"/>
        <w:spacing w:after="0" w:line="276" w:lineRule="auto"/>
        <w:tabs>
          <w:tab w:leader="none" w:pos="2160" w:val="left"/>
        </w:tabs>
        <w:numPr>
          <w:ilvl w:val="1"/>
          <w:numId w:val="86"/>
        </w:numPr>
        <w:rPr>
          <w:rFonts w:ascii="Arial" w:cs="Arial" w:eastAsia="Arial" w:hAnsi="Arial"/>
          <w:sz w:val="17"/>
          <w:szCs w:val="17"/>
          <w:color w:val="auto"/>
        </w:rPr>
      </w:pPr>
      <w:r>
        <w:rPr>
          <w:rFonts w:ascii="Arial" w:cs="Arial" w:eastAsia="Arial" w:hAnsi="Arial"/>
          <w:sz w:val="17"/>
          <w:szCs w:val="17"/>
          <w:color w:val="auto"/>
        </w:rPr>
        <w:t>A Participant shall be required to pay to the Company or any Affiliate, or the Company or any Affiliate shall have the right and is hereby authorized to withhold, from any cash, Common Shares, other securities or other property deliverable under any Award or from any compensation or other amounts owing to a Participant, the amount (in cash, Common Shares, other securities or other property) of any required withholding taxes in respect of an Award, its exercise, or any payment or transfer under an Award or under this Plan and to take such other action as may be necessary in the opinion of the Committee or the Company to satisfy all obligations for the payment of such withholding and taxes.</w:t>
      </w:r>
    </w:p>
    <w:p>
      <w:pPr>
        <w:spacing w:after="0" w:line="172" w:lineRule="exact"/>
        <w:rPr>
          <w:rFonts w:ascii="Arial" w:cs="Arial" w:eastAsia="Arial" w:hAnsi="Arial"/>
          <w:sz w:val="17"/>
          <w:szCs w:val="17"/>
          <w:color w:val="auto"/>
        </w:rPr>
      </w:pPr>
    </w:p>
    <w:p>
      <w:pPr>
        <w:jc w:val="both"/>
        <w:ind w:firstLine="1953"/>
        <w:spacing w:after="0" w:line="276" w:lineRule="auto"/>
        <w:tabs>
          <w:tab w:leader="none" w:pos="2210" w:val="left"/>
        </w:tabs>
        <w:numPr>
          <w:ilvl w:val="1"/>
          <w:numId w:val="86"/>
        </w:numPr>
        <w:rPr>
          <w:rFonts w:ascii="Arial" w:cs="Arial" w:eastAsia="Arial" w:hAnsi="Arial"/>
          <w:sz w:val="17"/>
          <w:szCs w:val="17"/>
          <w:color w:val="auto"/>
        </w:rPr>
      </w:pPr>
      <w:r>
        <w:rPr>
          <w:rFonts w:ascii="Arial" w:cs="Arial" w:eastAsia="Arial" w:hAnsi="Arial"/>
          <w:sz w:val="17"/>
          <w:szCs w:val="17"/>
          <w:color w:val="auto"/>
        </w:rPr>
        <w:t>Without limiting the generality of clause (i) above, the Committee may, in its sole discretion, permit a Participant to satisfy, in whole or in part, the foregoing withholding liability by (A) the delivery of Common Shares (which are not subject to any pledge or other security interest and are Mature Shares) owned by the Participant having a fair market value equal to such withholding liability or (B) having the Company withhold from the number of Common Shares otherwise issuable or deliverable pursuant to the exercise or settlement of the Award a number of shares with a fair market value equal to such withholding liability (but no more than the minimum required statutory withholding liability).</w:t>
      </w:r>
    </w:p>
    <w:p>
      <w:pPr>
        <w:spacing w:after="0" w:line="172" w:lineRule="exact"/>
        <w:rPr>
          <w:rFonts w:ascii="Arial" w:cs="Arial" w:eastAsia="Arial" w:hAnsi="Arial"/>
          <w:sz w:val="17"/>
          <w:szCs w:val="17"/>
          <w:color w:val="auto"/>
        </w:rPr>
      </w:pPr>
    </w:p>
    <w:p>
      <w:pPr>
        <w:jc w:val="both"/>
        <w:ind w:firstLine="1305"/>
        <w:spacing w:after="0" w:line="269" w:lineRule="auto"/>
        <w:tabs>
          <w:tab w:leader="none" w:pos="1551" w:val="left"/>
        </w:tabs>
        <w:numPr>
          <w:ilvl w:val="0"/>
          <w:numId w:val="86"/>
        </w:numPr>
        <w:rPr>
          <w:rFonts w:ascii="Arial" w:cs="Arial" w:eastAsia="Arial" w:hAnsi="Arial"/>
          <w:sz w:val="17"/>
          <w:szCs w:val="17"/>
          <w:color w:val="auto"/>
        </w:rPr>
      </w:pPr>
      <w:r>
        <w:rPr>
          <w:rFonts w:ascii="Arial" w:cs="Arial" w:eastAsia="Arial" w:hAnsi="Arial"/>
          <w:sz w:val="17"/>
          <w:szCs w:val="17"/>
          <w:i w:val="1"/>
          <w:iCs w:val="1"/>
          <w:u w:val="single" w:color="auto"/>
          <w:color w:val="auto"/>
        </w:rPr>
        <w:t>No Claim to Awards; No Rights to Continued Employment; Waiver</w:t>
      </w:r>
      <w:r>
        <w:rPr>
          <w:rFonts w:ascii="Arial" w:cs="Arial" w:eastAsia="Arial" w:hAnsi="Arial"/>
          <w:sz w:val="17"/>
          <w:szCs w:val="17"/>
          <w:color w:val="auto"/>
        </w:rPr>
        <w:t>. No employee of the Company or an Affiliate, or other person, shall</w:t>
      </w:r>
      <w:r>
        <w:rPr>
          <w:rFonts w:ascii="Arial" w:cs="Arial" w:eastAsia="Arial" w:hAnsi="Arial"/>
          <w:sz w:val="17"/>
          <w:szCs w:val="17"/>
          <w:i w:val="1"/>
          <w:iCs w:val="1"/>
          <w:color w:val="auto"/>
        </w:rPr>
        <w:t xml:space="preserve"> </w:t>
      </w:r>
      <w:r>
        <w:rPr>
          <w:rFonts w:ascii="Arial" w:cs="Arial" w:eastAsia="Arial" w:hAnsi="Arial"/>
          <w:sz w:val="17"/>
          <w:szCs w:val="17"/>
          <w:color w:val="auto"/>
        </w:rPr>
        <w:t>have any claim or right to be granted an Award under this Plan or, having been selected for the grant of an Award, to be selected for a grant of any other Award.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this Plan nor any action taken hereunder shall be construed as giving any Participant any right to be retained in the employ or service of the Company or an Affiliate, nor shall it be construed as giving any Participant any rights to continued service on the Board. The Company or any of its Affiliates may at any time dismiss a Participant from employment or discontinue any consulting relationship, free from any liability or any claim under this Plan, unless otherwise expressly provided in this Plan or any Award agreement. By accepting an Award under this Plan, a Participant shall thereby be deemed to have waived any claim to continued exercise or vesting of an Award or to damages or severance entitlement related to non-continuation of the Award beyond the period provided under this Plan or any Award agreement, notwithstanding any provision to the contrary in any written employment contract or other agreement between the Company and its Affiliates and the Participant, whether any such agreement is executed before, on or after the Date of Grant.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jc w:val="both"/>
        <w:ind w:firstLine="1305"/>
        <w:spacing w:after="0" w:line="279" w:lineRule="auto"/>
        <w:tabs>
          <w:tab w:leader="none" w:pos="1541" w:val="left"/>
        </w:tabs>
        <w:numPr>
          <w:ilvl w:val="1"/>
          <w:numId w:val="87"/>
        </w:numPr>
        <w:rPr>
          <w:rFonts w:ascii="Arial" w:cs="Arial" w:eastAsia="Arial" w:hAnsi="Arial"/>
          <w:sz w:val="17"/>
          <w:szCs w:val="17"/>
          <w:color w:val="auto"/>
        </w:rPr>
      </w:pPr>
      <w:r>
        <w:rPr>
          <w:rFonts w:ascii="Arial" w:cs="Arial" w:eastAsia="Arial" w:hAnsi="Arial"/>
          <w:sz w:val="17"/>
          <w:szCs w:val="17"/>
          <w:i w:val="1"/>
          <w:iCs w:val="1"/>
          <w:u w:val="single" w:color="auto"/>
          <w:color w:val="auto"/>
        </w:rPr>
        <w:t>International Participants</w:t>
      </w:r>
      <w:r>
        <w:rPr>
          <w:rFonts w:ascii="Arial" w:cs="Arial" w:eastAsia="Arial" w:hAnsi="Arial"/>
          <w:sz w:val="17"/>
          <w:szCs w:val="17"/>
          <w:color w:val="auto"/>
        </w:rPr>
        <w:t>. With respect to Participants who reside or work outside of the United States of America and who are not (and</w:t>
      </w:r>
      <w:r>
        <w:rPr>
          <w:rFonts w:ascii="Arial" w:cs="Arial" w:eastAsia="Arial" w:hAnsi="Arial"/>
          <w:sz w:val="17"/>
          <w:szCs w:val="17"/>
          <w:i w:val="1"/>
          <w:iCs w:val="1"/>
          <w:color w:val="auto"/>
        </w:rPr>
        <w:t xml:space="preserve"> </w:t>
      </w:r>
      <w:r>
        <w:rPr>
          <w:rFonts w:ascii="Arial" w:cs="Arial" w:eastAsia="Arial" w:hAnsi="Arial"/>
          <w:sz w:val="17"/>
          <w:szCs w:val="17"/>
          <w:color w:val="auto"/>
        </w:rPr>
        <w:t>who are not expected to be) "covered employees" within the meaning of Section 162(m) of the Code, the Committee may in its sole discretion amend the terms of this Plan or outstanding Awards (or establish a sub-plan) with respect to such Participants in order to conform such terms with the requirements of local law or to obtain more favorable tax or other treatment for a Participant, the Company or its Affiliates.</w:t>
      </w:r>
    </w:p>
    <w:p>
      <w:pPr>
        <w:spacing w:after="0" w:line="171" w:lineRule="exact"/>
        <w:rPr>
          <w:rFonts w:ascii="Arial" w:cs="Arial" w:eastAsia="Arial" w:hAnsi="Arial"/>
          <w:sz w:val="17"/>
          <w:szCs w:val="17"/>
          <w:color w:val="auto"/>
        </w:rPr>
      </w:pPr>
    </w:p>
    <w:p>
      <w:pPr>
        <w:jc w:val="both"/>
        <w:ind w:firstLine="1305"/>
        <w:spacing w:after="0" w:line="271" w:lineRule="auto"/>
        <w:tabs>
          <w:tab w:leader="none" w:pos="1521" w:val="left"/>
        </w:tabs>
        <w:numPr>
          <w:ilvl w:val="1"/>
          <w:numId w:val="87"/>
        </w:numPr>
        <w:rPr>
          <w:rFonts w:ascii="Arial" w:cs="Arial" w:eastAsia="Arial" w:hAnsi="Arial"/>
          <w:sz w:val="17"/>
          <w:szCs w:val="17"/>
          <w:color w:val="auto"/>
        </w:rPr>
      </w:pPr>
      <w:r>
        <w:rPr>
          <w:rFonts w:ascii="Arial" w:cs="Arial" w:eastAsia="Arial" w:hAnsi="Arial"/>
          <w:sz w:val="17"/>
          <w:szCs w:val="17"/>
          <w:i w:val="1"/>
          <w:iCs w:val="1"/>
          <w:u w:val="single" w:color="auto"/>
          <w:color w:val="auto"/>
        </w:rPr>
        <w:t>Designation and Change of Beneficiary</w:t>
      </w:r>
      <w:r>
        <w:rPr>
          <w:rFonts w:ascii="Arial" w:cs="Arial" w:eastAsia="Arial" w:hAnsi="Arial"/>
          <w:sz w:val="17"/>
          <w:szCs w:val="17"/>
          <w:color w:val="auto"/>
        </w:rPr>
        <w:t>. Each Participant may file with the Committee a written designation of one or more persons 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beneficiary(ies) who shall be entitled to receive the amounts payable with respect to an Award, if any, due under this Plan upon his or her death. A Participant may, from time to time, revoke or change his or her beneficiary designation without the consent of any prior beneficiary by filing a new designation with the Committee. The last such designation filed with the Committee shall be controlling;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no designation, or change or revocation thereof, shall be effective unless received by the Committee prior to the Participant’s death, and in no event shall it be effective as of a date prior to such receipt. If no beneficiary designation is filed by a Participant, the beneficiary shall be deemed to be his or her spouse or, if the Participant is unmarried at the time of death, his or her estate. Upon the occurrence of a Participant’s divorce (as evidenced by a final order or decree of divorce), any spousal designation previously given by such Participant shall automatically terminate.</w:t>
      </w:r>
    </w:p>
    <w:p>
      <w:pPr>
        <w:spacing w:after="0" w:line="178" w:lineRule="exact"/>
        <w:rPr>
          <w:rFonts w:ascii="Arial" w:cs="Arial" w:eastAsia="Arial" w:hAnsi="Arial"/>
          <w:sz w:val="17"/>
          <w:szCs w:val="17"/>
          <w:color w:val="auto"/>
        </w:rPr>
      </w:pPr>
    </w:p>
    <w:p>
      <w:pPr>
        <w:jc w:val="both"/>
        <w:ind w:firstLine="1305"/>
        <w:spacing w:after="0" w:line="288" w:lineRule="auto"/>
        <w:tabs>
          <w:tab w:leader="none" w:pos="1565" w:val="left"/>
        </w:tabs>
        <w:numPr>
          <w:ilvl w:val="1"/>
          <w:numId w:val="87"/>
        </w:numPr>
        <w:rPr>
          <w:rFonts w:ascii="Arial" w:cs="Arial" w:eastAsia="Arial" w:hAnsi="Arial"/>
          <w:sz w:val="16"/>
          <w:szCs w:val="16"/>
          <w:color w:val="auto"/>
        </w:rPr>
      </w:pPr>
      <w:r>
        <w:rPr>
          <w:rFonts w:ascii="Arial" w:cs="Arial" w:eastAsia="Arial" w:hAnsi="Arial"/>
          <w:sz w:val="16"/>
          <w:szCs w:val="16"/>
          <w:i w:val="1"/>
          <w:iCs w:val="1"/>
          <w:u w:val="single" w:color="auto"/>
          <w:color w:val="auto"/>
        </w:rPr>
        <w:t>Termination of Employment/Service</w:t>
      </w:r>
      <w:r>
        <w:rPr>
          <w:rFonts w:ascii="Arial" w:cs="Arial" w:eastAsia="Arial" w:hAnsi="Arial"/>
          <w:sz w:val="16"/>
          <w:szCs w:val="16"/>
          <w:color w:val="auto"/>
        </w:rPr>
        <w:t>. Unless determined otherwise by the Committee at any point following such event: (i) neither a</w:t>
      </w:r>
      <w:r>
        <w:rPr>
          <w:rFonts w:ascii="Arial" w:cs="Arial" w:eastAsia="Arial" w:hAnsi="Arial"/>
          <w:sz w:val="16"/>
          <w:szCs w:val="16"/>
          <w:i w:val="1"/>
          <w:iCs w:val="1"/>
          <w:color w:val="auto"/>
        </w:rPr>
        <w:t xml:space="preserve"> </w:t>
      </w:r>
      <w:r>
        <w:rPr>
          <w:rFonts w:ascii="Arial" w:cs="Arial" w:eastAsia="Arial" w:hAnsi="Arial"/>
          <w:sz w:val="16"/>
          <w:szCs w:val="16"/>
          <w:color w:val="auto"/>
        </w:rPr>
        <w:t>temporary absence from employment or service due to illness, vacation or leave of absence nor a transfer from employment or service with the Company to employment or service with an Affiliate (or vice-versa) shall be considered a termination of employment or service with the Company or an Affiliate; and</w:t>
      </w:r>
    </w:p>
    <w:p>
      <w:pPr>
        <w:jc w:val="both"/>
        <w:ind w:firstLine="8"/>
        <w:spacing w:after="0" w:line="255" w:lineRule="auto"/>
        <w:tabs>
          <w:tab w:leader="none" w:pos="275"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a Participant’s employment with the Company and its Affiliates terminates, but such Participant continues to provide services to the Company and its Affiliates in a non-employee capacity (or vice-versa), such change in status shall not be considered a termination of employment with the Company or an Affiliate.</w:t>
      </w:r>
    </w:p>
    <w:p>
      <w:pPr>
        <w:spacing w:after="0" w:line="190" w:lineRule="exact"/>
        <w:rPr>
          <w:rFonts w:ascii="Arial" w:cs="Arial" w:eastAsia="Arial" w:hAnsi="Arial"/>
          <w:sz w:val="18"/>
          <w:szCs w:val="18"/>
          <w:color w:val="auto"/>
        </w:rPr>
      </w:pPr>
    </w:p>
    <w:p>
      <w:pPr>
        <w:jc w:val="both"/>
        <w:ind w:firstLine="1305"/>
        <w:spacing w:after="0" w:line="264" w:lineRule="auto"/>
        <w:tabs>
          <w:tab w:leader="none" w:pos="1551" w:val="left"/>
        </w:tabs>
        <w:numPr>
          <w:ilvl w:val="1"/>
          <w:numId w:val="88"/>
        </w:numPr>
        <w:rPr>
          <w:rFonts w:ascii="Arial" w:cs="Arial" w:eastAsia="Arial" w:hAnsi="Arial"/>
          <w:sz w:val="18"/>
          <w:szCs w:val="18"/>
          <w:color w:val="auto"/>
        </w:rPr>
      </w:pPr>
      <w:r>
        <w:rPr>
          <w:rFonts w:ascii="Arial" w:cs="Arial" w:eastAsia="Arial" w:hAnsi="Arial"/>
          <w:sz w:val="18"/>
          <w:szCs w:val="18"/>
          <w:i w:val="1"/>
          <w:iCs w:val="1"/>
          <w:u w:val="single" w:color="auto"/>
          <w:color w:val="auto"/>
        </w:rPr>
        <w:t>No Rights as a Stockholder</w:t>
      </w:r>
      <w:r>
        <w:rPr>
          <w:rFonts w:ascii="Arial" w:cs="Arial" w:eastAsia="Arial" w:hAnsi="Arial"/>
          <w:sz w:val="18"/>
          <w:szCs w:val="18"/>
          <w:color w:val="auto"/>
        </w:rPr>
        <w:t>. Except as otherwise specifically provided in this Plan or any Award agreement, no person shall be entitled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privileges of ownership in respect of Common Shares that are subject to Awards hereunder until such shares have been issued or delivered to that person.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ind w:left="1520" w:hanging="215"/>
        <w:spacing w:after="0"/>
        <w:tabs>
          <w:tab w:leader="none" w:pos="1520" w:val="left"/>
        </w:tabs>
        <w:numPr>
          <w:ilvl w:val="0"/>
          <w:numId w:val="89"/>
        </w:numPr>
        <w:rPr>
          <w:rFonts w:ascii="Arial" w:cs="Arial" w:eastAsia="Arial" w:hAnsi="Arial"/>
          <w:sz w:val="18"/>
          <w:szCs w:val="18"/>
          <w:color w:val="auto"/>
        </w:rPr>
      </w:pPr>
      <w:r>
        <w:rPr>
          <w:rFonts w:ascii="Arial" w:cs="Arial" w:eastAsia="Arial" w:hAnsi="Arial"/>
          <w:sz w:val="18"/>
          <w:szCs w:val="18"/>
          <w:i w:val="1"/>
          <w:iCs w:val="1"/>
          <w:u w:val="single" w:color="auto"/>
          <w:color w:val="auto"/>
        </w:rPr>
        <w:t>Government and Other Regulations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3"/>
        <w:spacing w:after="0" w:line="268" w:lineRule="auto"/>
        <w:tabs>
          <w:tab w:leader="none" w:pos="2173" w:val="left"/>
        </w:tabs>
        <w:numPr>
          <w:ilvl w:val="1"/>
          <w:numId w:val="89"/>
        </w:numPr>
        <w:rPr>
          <w:rFonts w:ascii="Arial" w:cs="Arial" w:eastAsia="Arial" w:hAnsi="Arial"/>
          <w:sz w:val="17"/>
          <w:szCs w:val="17"/>
          <w:color w:val="auto"/>
        </w:rPr>
      </w:pPr>
      <w:r>
        <w:rPr>
          <w:rFonts w:ascii="Arial" w:cs="Arial" w:eastAsia="Arial" w:hAnsi="Arial"/>
          <w:sz w:val="17"/>
          <w:szCs w:val="17"/>
          <w:color w:val="auto"/>
        </w:rPr>
        <w:t>The obligation of the Company to settle Awards in Common Shares or other consideration shall be subject to all applicable 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Common Shares pursuant to an Award unless such shares have been properly registered for sale pursuant to the Securities Act with the Securities and Exchange Commission or unless the Company has received an opinion of counsel,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Common Shares to be offered or sold under this Plan. The Committee shall have the authority to provide that all certificates for Common Shares or other securities of the Company or any Affiliate delivered under this Plan shall be subject to such stop transfer orders and other restrictions as the Committee may deem advisable under this Plan, the applicable Award agreement, the federal securities laws, or the rules, regulations and other requirements of the Securities and Exchange Commission, any securities exchange or inter-dealer quotation system upon which such shares or other securities are then listed or quoted and any other applicable federal, state, local or non-U.S. laws, and, without limiting the generality of Section 9 of this Plan, the Committee may cause a legend or legends to be put on any such certificates to make appropriate reference to such restrictions. Notwithstanding any provision in this Plan to the contrary, the Committee reserves the right to add any additional terms or provisions to any Award granted under this Plan that it in its sole discretion deems necessary or advisable in order that such Award complies with the legal requirements of any governmental entity to whose jurisdiction the Award is subject.</w:t>
      </w:r>
    </w:p>
    <w:p>
      <w:pPr>
        <w:spacing w:after="0" w:line="183" w:lineRule="exact"/>
        <w:rPr>
          <w:rFonts w:ascii="Arial" w:cs="Arial" w:eastAsia="Arial" w:hAnsi="Arial"/>
          <w:sz w:val="17"/>
          <w:szCs w:val="17"/>
          <w:color w:val="auto"/>
        </w:rPr>
      </w:pPr>
    </w:p>
    <w:p>
      <w:pPr>
        <w:jc w:val="both"/>
        <w:ind w:firstLine="1953"/>
        <w:spacing w:after="0" w:line="288" w:lineRule="auto"/>
        <w:tabs>
          <w:tab w:leader="none" w:pos="2223" w:val="left"/>
        </w:tabs>
        <w:numPr>
          <w:ilvl w:val="1"/>
          <w:numId w:val="89"/>
        </w:numPr>
        <w:rPr>
          <w:rFonts w:ascii="Arial" w:cs="Arial" w:eastAsia="Arial" w:hAnsi="Arial"/>
          <w:sz w:val="16"/>
          <w:szCs w:val="16"/>
          <w:color w:val="auto"/>
        </w:rPr>
      </w:pPr>
      <w:r>
        <w:rPr>
          <w:rFonts w:ascii="Arial" w:cs="Arial" w:eastAsia="Arial" w:hAnsi="Arial"/>
          <w:sz w:val="16"/>
          <w:szCs w:val="16"/>
          <w:color w:val="auto"/>
        </w:rPr>
        <w:t>The Committee may cancel an Award or any portion thereof if it determines, in its sole discretion, that legal or contractual restrictions and/or blockage and/or other market considerations would make the Company’s acquisition of Common Shares from the public markets, the Company’s issuance of Common Shares to the Participant, the Participant’s acquisition of Common Shares from the Company and/or the Participant’s sale of Common Shares to the public markets, illegal, impracticable or inadvisable. If the Committee determines to cancel all or any portion of an Award in accordance with the foregoing, unless doing so would violate Section 409A of the Code, the Company shall pay to the Participant an amount equal to the excess of (A) the aggregate fair market value of the Common Shares subject to such Award or portion thereof canceled (determined as of the applicable exercise date, or the date that the shares would have been vested or delivered, as applicable), over (B) the aggregate Exercise Price or Strike Price (in the case of an Option or SAR, respectively) or any amount payable as a condition of delivery of Common Shares (in the case of any other Award). Such amount shall be delivered to the Participant as soon as practicable following the cancellation of such Award or portion thereof. The Committee shall have the discretion to consider and take action to mitigate the tax consequence to the Participant in cancelling an Award in accordance with this clause.</w:t>
      </w:r>
    </w:p>
    <w:p>
      <w:pPr>
        <w:spacing w:after="0" w:line="169" w:lineRule="exact"/>
        <w:rPr>
          <w:sz w:val="20"/>
          <w:szCs w:val="20"/>
          <w:color w:val="auto"/>
        </w:rPr>
      </w:pPr>
    </w:p>
    <w:p>
      <w:pPr>
        <w:jc w:val="both"/>
        <w:ind w:firstLine="1305"/>
        <w:spacing w:after="0" w:line="297" w:lineRule="auto"/>
        <w:tabs>
          <w:tab w:leader="none" w:pos="1511" w:val="left"/>
        </w:tabs>
        <w:numPr>
          <w:ilvl w:val="0"/>
          <w:numId w:val="90"/>
        </w:numPr>
        <w:rPr>
          <w:rFonts w:ascii="Arial" w:cs="Arial" w:eastAsia="Arial" w:hAnsi="Arial"/>
          <w:sz w:val="16"/>
          <w:szCs w:val="16"/>
          <w:color w:val="auto"/>
        </w:rPr>
      </w:pPr>
      <w:r>
        <w:rPr>
          <w:rFonts w:ascii="Arial" w:cs="Arial" w:eastAsia="Arial" w:hAnsi="Arial"/>
          <w:sz w:val="16"/>
          <w:szCs w:val="16"/>
          <w:i w:val="1"/>
          <w:iCs w:val="1"/>
          <w:u w:val="single" w:color="auto"/>
          <w:color w:val="auto"/>
        </w:rPr>
        <w:t>Payments to Persons Other Than Participants</w:t>
      </w:r>
      <w:r>
        <w:rPr>
          <w:rFonts w:ascii="Arial" w:cs="Arial" w:eastAsia="Arial" w:hAnsi="Arial"/>
          <w:sz w:val="16"/>
          <w:szCs w:val="16"/>
          <w:color w:val="auto"/>
        </w:rPr>
        <w:t>. If the Committee shall find that any person to whom any amount is payable under this</w:t>
      </w:r>
      <w:r>
        <w:rPr>
          <w:rFonts w:ascii="Arial" w:cs="Arial" w:eastAsia="Arial" w:hAnsi="Arial"/>
          <w:sz w:val="16"/>
          <w:szCs w:val="16"/>
          <w:i w:val="1"/>
          <w:iCs w:val="1"/>
          <w:color w:val="auto"/>
        </w:rPr>
        <w:t xml:space="preserve"> </w:t>
      </w:r>
      <w:r>
        <w:rPr>
          <w:rFonts w:ascii="Arial" w:cs="Arial" w:eastAsia="Arial" w:hAnsi="Arial"/>
          <w:sz w:val="16"/>
          <w:szCs w:val="16"/>
          <w:color w:val="auto"/>
        </w:rPr>
        <w:t>Plan is unable to care for his affairs because of illness or accident, or is a minor, or has died, then any payment due to such person or his estate (unless a prior claim therefor has been made by a duly appointed legal representative) may, if the Committee so directs the Company, be paid to his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jc w:val="both"/>
        <w:ind w:firstLine="1305"/>
        <w:spacing w:after="0" w:line="259" w:lineRule="auto"/>
        <w:tabs>
          <w:tab w:leader="none" w:pos="1565" w:val="left"/>
        </w:tabs>
        <w:numPr>
          <w:ilvl w:val="0"/>
          <w:numId w:val="91"/>
        </w:numPr>
        <w:rPr>
          <w:rFonts w:ascii="Arial" w:cs="Arial" w:eastAsia="Arial" w:hAnsi="Arial"/>
          <w:sz w:val="18"/>
          <w:szCs w:val="18"/>
          <w:color w:val="auto"/>
        </w:rPr>
      </w:pPr>
      <w:r>
        <w:rPr>
          <w:rFonts w:ascii="Arial" w:cs="Arial" w:eastAsia="Arial" w:hAnsi="Arial"/>
          <w:sz w:val="18"/>
          <w:szCs w:val="18"/>
          <w:i w:val="1"/>
          <w:iCs w:val="1"/>
          <w:u w:val="single" w:color="auto"/>
          <w:color w:val="auto"/>
        </w:rPr>
        <w:t>Nonexclusivity of this Plan</w:t>
      </w:r>
      <w:r>
        <w:rPr>
          <w:rFonts w:ascii="Arial" w:cs="Arial" w:eastAsia="Arial" w:hAnsi="Arial"/>
          <w:sz w:val="18"/>
          <w:szCs w:val="18"/>
          <w:color w:val="auto"/>
        </w:rPr>
        <w:t>. Neither the adoption of this Plan by the Board nor the submission of this Plan to the stockholders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for approval shall be construed as creating any limitations on the power of the Board to adopt such other incentive arrangements as it may deem desirable, including, without limitation, the granting of stock options or other equity-based awards otherwise than under this Plan, and such arrangements may be either applicable generally or only in specific cases.</w:t>
      </w:r>
    </w:p>
    <w:p>
      <w:pPr>
        <w:spacing w:after="0" w:line="186" w:lineRule="exact"/>
        <w:rPr>
          <w:rFonts w:ascii="Arial" w:cs="Arial" w:eastAsia="Arial" w:hAnsi="Arial"/>
          <w:sz w:val="18"/>
          <w:szCs w:val="18"/>
          <w:color w:val="auto"/>
        </w:rPr>
      </w:pPr>
    </w:p>
    <w:p>
      <w:pPr>
        <w:jc w:val="both"/>
        <w:ind w:firstLine="1305"/>
        <w:spacing w:after="0" w:line="291" w:lineRule="auto"/>
        <w:tabs>
          <w:tab w:leader="none" w:pos="1511" w:val="left"/>
        </w:tabs>
        <w:numPr>
          <w:ilvl w:val="0"/>
          <w:numId w:val="91"/>
        </w:numPr>
        <w:rPr>
          <w:rFonts w:ascii="Arial" w:cs="Arial" w:eastAsia="Arial" w:hAnsi="Arial"/>
          <w:sz w:val="16"/>
          <w:szCs w:val="16"/>
          <w:color w:val="auto"/>
        </w:rPr>
      </w:pPr>
      <w:r>
        <w:rPr>
          <w:rFonts w:ascii="Arial" w:cs="Arial" w:eastAsia="Arial" w:hAnsi="Arial"/>
          <w:sz w:val="16"/>
          <w:szCs w:val="16"/>
          <w:i w:val="1"/>
          <w:iCs w:val="1"/>
          <w:u w:val="single" w:color="auto"/>
          <w:color w:val="auto"/>
        </w:rPr>
        <w:t>No Trust or Fund Created</w:t>
      </w:r>
      <w:r>
        <w:rPr>
          <w:rFonts w:ascii="Arial" w:cs="Arial" w:eastAsia="Arial" w:hAnsi="Arial"/>
          <w:sz w:val="16"/>
          <w:szCs w:val="16"/>
          <w:color w:val="auto"/>
        </w:rPr>
        <w:t>. Neither this Plan nor any Award shall create or be construed to create a trust or separate fund of any kind or a</w:t>
      </w:r>
      <w:r>
        <w:rPr>
          <w:rFonts w:ascii="Arial" w:cs="Arial" w:eastAsia="Arial" w:hAnsi="Arial"/>
          <w:sz w:val="16"/>
          <w:szCs w:val="16"/>
          <w:i w:val="1"/>
          <w:iCs w:val="1"/>
          <w:color w:val="auto"/>
        </w:rPr>
        <w:t xml:space="preserve"> </w:t>
      </w:r>
      <w:r>
        <w:rPr>
          <w:rFonts w:ascii="Arial" w:cs="Arial" w:eastAsia="Arial" w:hAnsi="Arial"/>
          <w:sz w:val="16"/>
          <w:szCs w:val="16"/>
          <w:color w:val="auto"/>
        </w:rPr>
        <w:t>fiduciary relationship between the Company or any Affiliate, on the one hand, and a Participant or other person or entity, on the other hand. No provision of this Plan or any Award shall require the Company, for the purpose of satisfying any obligations under this Plan, to purchase assets or place any assets in a trust or other entity to which contributions are made or otherwise to segregate any assets, nor shall the Company maintain separate bank accounts, books, records or other evidence of the existence of a segregated or separately maintained or administered fund for such purposes. Participants shall have no rights under this Plan other than as general unsecured creditors of the Company, except that insofar as they may have become entitled to payment of additional compensation by performance of services, they shall have the same rights as other employees under general law.</w:t>
      </w:r>
    </w:p>
    <w:p>
      <w:pPr>
        <w:spacing w:after="0" w:line="167" w:lineRule="exact"/>
        <w:rPr>
          <w:rFonts w:ascii="Arial" w:cs="Arial" w:eastAsia="Arial" w:hAnsi="Arial"/>
          <w:sz w:val="16"/>
          <w:szCs w:val="16"/>
          <w:color w:val="auto"/>
        </w:rPr>
      </w:pPr>
    </w:p>
    <w:p>
      <w:pPr>
        <w:jc w:val="both"/>
        <w:ind w:firstLine="1305"/>
        <w:spacing w:after="0" w:line="259" w:lineRule="auto"/>
        <w:tabs>
          <w:tab w:leader="none" w:pos="1601" w:val="left"/>
        </w:tabs>
        <w:numPr>
          <w:ilvl w:val="0"/>
          <w:numId w:val="91"/>
        </w:numPr>
        <w:rPr>
          <w:rFonts w:ascii="Arial" w:cs="Arial" w:eastAsia="Arial" w:hAnsi="Arial"/>
          <w:sz w:val="18"/>
          <w:szCs w:val="18"/>
          <w:color w:val="auto"/>
        </w:rPr>
      </w:pPr>
      <w:r>
        <w:rPr>
          <w:rFonts w:ascii="Arial" w:cs="Arial" w:eastAsia="Arial" w:hAnsi="Arial"/>
          <w:sz w:val="18"/>
          <w:szCs w:val="18"/>
          <w:i w:val="1"/>
          <w:iCs w:val="1"/>
          <w:u w:val="single" w:color="auto"/>
          <w:color w:val="auto"/>
        </w:rPr>
        <w:t>Reliance on Reports</w:t>
      </w:r>
      <w:r>
        <w:rPr>
          <w:rFonts w:ascii="Arial" w:cs="Arial" w:eastAsia="Arial" w:hAnsi="Arial"/>
          <w:sz w:val="18"/>
          <w:szCs w:val="18"/>
          <w:color w:val="auto"/>
        </w:rPr>
        <w:t>. Each member of the Committee and each member of the Board shall be fully justified in acting or failing to act, as</w:t>
      </w:r>
      <w:r>
        <w:rPr>
          <w:rFonts w:ascii="Arial" w:cs="Arial" w:eastAsia="Arial" w:hAnsi="Arial"/>
          <w:sz w:val="18"/>
          <w:szCs w:val="18"/>
          <w:i w:val="1"/>
          <w:iCs w:val="1"/>
          <w:color w:val="auto"/>
        </w:rPr>
        <w:t xml:space="preserve"> </w:t>
      </w:r>
      <w:r>
        <w:rPr>
          <w:rFonts w:ascii="Arial" w:cs="Arial" w:eastAsia="Arial" w:hAnsi="Arial"/>
          <w:sz w:val="18"/>
          <w:szCs w:val="18"/>
          <w:color w:val="auto"/>
        </w:rPr>
        <w:t>the case may be, and shall not be liable for having so acted or failed to act in good faith, in reliance upon any report made by the independent public accountant of the Company and its Affiliates and/or any other information furnished in connection with this Plan by any agent of the Company or the Committee or the Board, other than himself.</w:t>
      </w:r>
    </w:p>
    <w:p>
      <w:pPr>
        <w:spacing w:after="0" w:line="186" w:lineRule="exact"/>
        <w:rPr>
          <w:rFonts w:ascii="Arial" w:cs="Arial" w:eastAsia="Arial" w:hAnsi="Arial"/>
          <w:sz w:val="18"/>
          <w:szCs w:val="18"/>
          <w:color w:val="auto"/>
        </w:rPr>
      </w:pPr>
    </w:p>
    <w:p>
      <w:pPr>
        <w:ind w:firstLine="1305"/>
        <w:spacing w:after="0" w:line="308" w:lineRule="auto"/>
        <w:tabs>
          <w:tab w:leader="none" w:pos="1551" w:val="left"/>
        </w:tabs>
        <w:numPr>
          <w:ilvl w:val="0"/>
          <w:numId w:val="91"/>
        </w:numPr>
        <w:rPr>
          <w:rFonts w:ascii="Arial" w:cs="Arial" w:eastAsia="Arial" w:hAnsi="Arial"/>
          <w:sz w:val="17"/>
          <w:szCs w:val="17"/>
          <w:color w:val="auto"/>
        </w:rPr>
      </w:pPr>
      <w:r>
        <w:rPr>
          <w:rFonts w:ascii="Arial" w:cs="Arial" w:eastAsia="Arial" w:hAnsi="Arial"/>
          <w:sz w:val="17"/>
          <w:szCs w:val="17"/>
          <w:i w:val="1"/>
          <w:iCs w:val="1"/>
          <w:u w:val="single" w:color="auto"/>
          <w:color w:val="auto"/>
        </w:rPr>
        <w:t>Relationship to Other Benefits</w:t>
      </w:r>
      <w:r>
        <w:rPr>
          <w:rFonts w:ascii="Arial" w:cs="Arial" w:eastAsia="Arial" w:hAnsi="Arial"/>
          <w:sz w:val="17"/>
          <w:szCs w:val="17"/>
          <w:color w:val="auto"/>
        </w:rPr>
        <w:t>. No payment under this Plan shall be taken into account in determining any benefits under any pension,</w:t>
      </w:r>
      <w:r>
        <w:rPr>
          <w:rFonts w:ascii="Arial" w:cs="Arial" w:eastAsia="Arial" w:hAnsi="Arial"/>
          <w:sz w:val="17"/>
          <w:szCs w:val="17"/>
          <w:i w:val="1"/>
          <w:iCs w:val="1"/>
          <w:color w:val="auto"/>
        </w:rPr>
        <w:t xml:space="preserve"> </w:t>
      </w:r>
      <w:r>
        <w:rPr>
          <w:rFonts w:ascii="Arial" w:cs="Arial" w:eastAsia="Arial" w:hAnsi="Arial"/>
          <w:sz w:val="17"/>
          <w:szCs w:val="17"/>
          <w:color w:val="auto"/>
        </w:rPr>
        <w:t>retirement, profit sharing, group insurance or other benefit plan of the Company except as otherwise specifically provided in such other plan.</w:t>
      </w:r>
    </w:p>
    <w:p>
      <w:pPr>
        <w:spacing w:after="0" w:line="146" w:lineRule="exact"/>
        <w:rPr>
          <w:rFonts w:ascii="Arial" w:cs="Arial" w:eastAsia="Arial" w:hAnsi="Arial"/>
          <w:sz w:val="17"/>
          <w:szCs w:val="17"/>
          <w:color w:val="auto"/>
        </w:rPr>
      </w:pPr>
    </w:p>
    <w:p>
      <w:pPr>
        <w:ind w:firstLine="1305"/>
        <w:spacing w:after="0" w:line="277" w:lineRule="auto"/>
        <w:tabs>
          <w:tab w:leader="none" w:pos="1565" w:val="left"/>
        </w:tabs>
        <w:numPr>
          <w:ilvl w:val="0"/>
          <w:numId w:val="91"/>
        </w:numPr>
        <w:rPr>
          <w:rFonts w:ascii="Arial" w:cs="Arial" w:eastAsia="Arial" w:hAnsi="Arial"/>
          <w:sz w:val="18"/>
          <w:szCs w:val="18"/>
          <w:color w:val="auto"/>
        </w:rPr>
      </w:pPr>
      <w:r>
        <w:rPr>
          <w:rFonts w:ascii="Arial" w:cs="Arial" w:eastAsia="Arial" w:hAnsi="Arial"/>
          <w:sz w:val="18"/>
          <w:szCs w:val="18"/>
          <w:i w:val="1"/>
          <w:iCs w:val="1"/>
          <w:u w:val="single" w:color="auto"/>
          <w:color w:val="auto"/>
        </w:rPr>
        <w:t>Governing Law</w:t>
      </w:r>
      <w:r>
        <w:rPr>
          <w:rFonts w:ascii="Arial" w:cs="Arial" w:eastAsia="Arial" w:hAnsi="Arial"/>
          <w:sz w:val="18"/>
          <w:szCs w:val="18"/>
          <w:color w:val="auto"/>
        </w:rPr>
        <w:t>. The Plan shall be governed by and construed in accordance with the internal laws of the State of Delaware,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giving effect to the conflict of laws provisions.</w:t>
      </w:r>
    </w:p>
    <w:p>
      <w:pPr>
        <w:spacing w:after="0" w:line="170" w:lineRule="exact"/>
        <w:rPr>
          <w:rFonts w:ascii="Arial" w:cs="Arial" w:eastAsia="Arial" w:hAnsi="Arial"/>
          <w:sz w:val="18"/>
          <w:szCs w:val="18"/>
          <w:color w:val="auto"/>
        </w:rPr>
      </w:pPr>
    </w:p>
    <w:p>
      <w:pPr>
        <w:jc w:val="both"/>
        <w:ind w:firstLine="1305"/>
        <w:spacing w:after="0" w:line="255" w:lineRule="auto"/>
        <w:tabs>
          <w:tab w:leader="none" w:pos="1565" w:val="left"/>
        </w:tabs>
        <w:numPr>
          <w:ilvl w:val="0"/>
          <w:numId w:val="91"/>
        </w:numPr>
        <w:rPr>
          <w:rFonts w:ascii="Arial" w:cs="Arial" w:eastAsia="Arial" w:hAnsi="Arial"/>
          <w:sz w:val="18"/>
          <w:szCs w:val="18"/>
          <w:color w:val="auto"/>
        </w:rPr>
      </w:pPr>
      <w:r>
        <w:rPr>
          <w:rFonts w:ascii="Arial" w:cs="Arial" w:eastAsia="Arial" w:hAnsi="Arial"/>
          <w:sz w:val="18"/>
          <w:szCs w:val="18"/>
          <w:i w:val="1"/>
          <w:iCs w:val="1"/>
          <w:u w:val="single" w:color="auto"/>
          <w:color w:val="auto"/>
        </w:rPr>
        <w:t>Severability</w:t>
      </w:r>
      <w:r>
        <w:rPr>
          <w:rFonts w:ascii="Arial" w:cs="Arial" w:eastAsia="Arial" w:hAnsi="Arial"/>
          <w:sz w:val="18"/>
          <w:szCs w:val="18"/>
          <w:color w:val="auto"/>
        </w:rPr>
        <w:t>. If any provision of this Plan or any Award or Award agreement is or becomes or is deemed to be invalid, illegal, or</w:t>
      </w:r>
      <w:r>
        <w:rPr>
          <w:rFonts w:ascii="Arial" w:cs="Arial" w:eastAsia="Arial" w:hAnsi="Arial"/>
          <w:sz w:val="18"/>
          <w:szCs w:val="18"/>
          <w:i w:val="1"/>
          <w:iCs w:val="1"/>
          <w:color w:val="auto"/>
        </w:rPr>
        <w:t xml:space="preserve"> </w:t>
      </w:r>
      <w:r>
        <w:rPr>
          <w:rFonts w:ascii="Arial" w:cs="Arial" w:eastAsia="Arial" w:hAnsi="Arial"/>
          <w:sz w:val="18"/>
          <w:szCs w:val="18"/>
          <w:color w:val="auto"/>
        </w:rPr>
        <w:t>unenforceable in any jurisdiction or as to any person or entity or Award, or would disqualify this Plan or any Award under any law deemed applicable by the Committee, such provision shall be construed or deemed amended to conform to the applicable laws in the manner that most closely reflects the original intent of the Award or the Plan, or if it cannot be construed or deemed amended without, in the determination of the Committee, materially altering the intent of this Plan or the Award, such provision shall be construed or deemed stricken as to such jurisdiction, person or entity or Award and the remainder of this Plan and any such Award shall remain in full force and effect.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jc w:val="both"/>
        <w:ind w:firstLine="1305"/>
        <w:spacing w:after="0" w:line="264" w:lineRule="auto"/>
        <w:tabs>
          <w:tab w:leader="none" w:pos="1551" w:val="left"/>
        </w:tabs>
        <w:numPr>
          <w:ilvl w:val="0"/>
          <w:numId w:val="92"/>
        </w:numPr>
        <w:rPr>
          <w:rFonts w:ascii="Arial" w:cs="Arial" w:eastAsia="Arial" w:hAnsi="Arial"/>
          <w:sz w:val="18"/>
          <w:szCs w:val="18"/>
          <w:color w:val="auto"/>
        </w:rPr>
      </w:pPr>
      <w:r>
        <w:rPr>
          <w:rFonts w:ascii="Arial" w:cs="Arial" w:eastAsia="Arial" w:hAnsi="Arial"/>
          <w:sz w:val="18"/>
          <w:szCs w:val="18"/>
          <w:i w:val="1"/>
          <w:iCs w:val="1"/>
          <w:u w:val="single" w:color="auto"/>
          <w:color w:val="auto"/>
        </w:rPr>
        <w:t>Obligations Binding on Successors</w:t>
      </w:r>
      <w:r>
        <w:rPr>
          <w:rFonts w:ascii="Arial" w:cs="Arial" w:eastAsia="Arial" w:hAnsi="Arial"/>
          <w:sz w:val="18"/>
          <w:szCs w:val="18"/>
          <w:color w:val="auto"/>
        </w:rPr>
        <w:t>. The obligations of the Company under this Plan shall be binding upon any successor corporation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resulting from the merger, amalgamation, consolidation or other reorganization of the Company, or upon any successor corporation or organization succeeding to substantially all of the assets and business of the Company.</w:t>
      </w:r>
    </w:p>
    <w:p>
      <w:pPr>
        <w:spacing w:after="0" w:line="181" w:lineRule="exact"/>
        <w:rPr>
          <w:rFonts w:ascii="Arial" w:cs="Arial" w:eastAsia="Arial" w:hAnsi="Arial"/>
          <w:sz w:val="18"/>
          <w:szCs w:val="18"/>
          <w:color w:val="auto"/>
        </w:rPr>
      </w:pPr>
    </w:p>
    <w:p>
      <w:pPr>
        <w:jc w:val="both"/>
        <w:ind w:firstLine="1305"/>
        <w:spacing w:after="0" w:line="257" w:lineRule="auto"/>
        <w:tabs>
          <w:tab w:leader="none" w:pos="1535" w:val="left"/>
        </w:tabs>
        <w:numPr>
          <w:ilvl w:val="0"/>
          <w:numId w:val="92"/>
        </w:numPr>
        <w:rPr>
          <w:rFonts w:ascii="Arial" w:cs="Arial" w:eastAsia="Arial" w:hAnsi="Arial"/>
          <w:sz w:val="18"/>
          <w:szCs w:val="18"/>
          <w:color w:val="auto"/>
        </w:rPr>
      </w:pPr>
      <w:r>
        <w:rPr>
          <w:rFonts w:ascii="Arial" w:cs="Arial" w:eastAsia="Arial" w:hAnsi="Arial"/>
          <w:sz w:val="18"/>
          <w:szCs w:val="18"/>
          <w:i w:val="1"/>
          <w:iCs w:val="1"/>
          <w:u w:val="single" w:color="auto"/>
          <w:color w:val="auto"/>
        </w:rPr>
        <w:t>Code Section 162(m) Approval</w:t>
      </w:r>
      <w:r>
        <w:rPr>
          <w:rFonts w:ascii="Arial" w:cs="Arial" w:eastAsia="Arial" w:hAnsi="Arial"/>
          <w:sz w:val="18"/>
          <w:szCs w:val="18"/>
          <w:color w:val="auto"/>
        </w:rPr>
        <w:t>. If so determined by the Committee, the provisions of this Plan regarding Performance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Awards shall be disclosed and reapproved by stockholders no later than the first stockholder meeting that occurs in the fifth year following the year in which stockholders previously approved such provisions, in each case in order for certain Awards granted after such time to be exempt from the deduction limitations of Section 162(m) of the Code. Nothing in this clause, however, shall affect the validity of Awards granted after such time if such stockholder approval has not been obtained.</w:t>
      </w:r>
    </w:p>
    <w:p>
      <w:pPr>
        <w:spacing w:after="0" w:line="188" w:lineRule="exact"/>
        <w:rPr>
          <w:rFonts w:ascii="Arial" w:cs="Arial" w:eastAsia="Arial" w:hAnsi="Arial"/>
          <w:sz w:val="18"/>
          <w:szCs w:val="18"/>
          <w:color w:val="auto"/>
        </w:rPr>
      </w:pPr>
    </w:p>
    <w:p>
      <w:pPr>
        <w:jc w:val="both"/>
        <w:ind w:firstLine="1305"/>
        <w:spacing w:after="0" w:line="286" w:lineRule="auto"/>
        <w:tabs>
          <w:tab w:leader="none" w:pos="1545" w:val="left"/>
        </w:tabs>
        <w:numPr>
          <w:ilvl w:val="0"/>
          <w:numId w:val="92"/>
        </w:numPr>
        <w:rPr>
          <w:rFonts w:ascii="Arial" w:cs="Arial" w:eastAsia="Arial" w:hAnsi="Arial"/>
          <w:sz w:val="17"/>
          <w:szCs w:val="17"/>
          <w:color w:val="auto"/>
        </w:rPr>
      </w:pPr>
      <w:r>
        <w:rPr>
          <w:rFonts w:ascii="Arial" w:cs="Arial" w:eastAsia="Arial" w:hAnsi="Arial"/>
          <w:sz w:val="17"/>
          <w:szCs w:val="17"/>
          <w:i w:val="1"/>
          <w:iCs w:val="1"/>
          <w:u w:val="single" w:color="auto"/>
          <w:color w:val="auto"/>
        </w:rPr>
        <w:t>Expenses; Gender; Titles and Headings</w:t>
      </w:r>
      <w:r>
        <w:rPr>
          <w:rFonts w:ascii="Arial" w:cs="Arial" w:eastAsia="Arial" w:hAnsi="Arial"/>
          <w:sz w:val="17"/>
          <w:szCs w:val="17"/>
          <w:color w:val="auto"/>
        </w:rPr>
        <w:t>. The expenses of administering this Plan shall be borne by the Company and its Affiliates.</w:t>
      </w:r>
      <w:r>
        <w:rPr>
          <w:rFonts w:ascii="Arial" w:cs="Arial" w:eastAsia="Arial" w:hAnsi="Arial"/>
          <w:sz w:val="17"/>
          <w:szCs w:val="17"/>
          <w:i w:val="1"/>
          <w:iCs w:val="1"/>
          <w:color w:val="auto"/>
        </w:rPr>
        <w:t xml:space="preserve"> </w:t>
      </w:r>
      <w:r>
        <w:rPr>
          <w:rFonts w:ascii="Arial" w:cs="Arial" w:eastAsia="Arial" w:hAnsi="Arial"/>
          <w:sz w:val="17"/>
          <w:szCs w:val="17"/>
          <w:color w:val="auto"/>
        </w:rPr>
        <w:t>Masculine pronouns and other words of masculine gender shall refer to both men and women. The titles and headings of the sections in this Plan are for convenience of reference only, and in the event of any conflict, the text of this Plan, rather than such titles or headings shall control.</w:t>
      </w:r>
    </w:p>
    <w:p>
      <w:pPr>
        <w:spacing w:after="0" w:line="165" w:lineRule="exact"/>
        <w:rPr>
          <w:rFonts w:ascii="Arial" w:cs="Arial" w:eastAsia="Arial" w:hAnsi="Arial"/>
          <w:sz w:val="17"/>
          <w:szCs w:val="17"/>
          <w:color w:val="auto"/>
        </w:rPr>
      </w:pPr>
    </w:p>
    <w:p>
      <w:pPr>
        <w:ind w:firstLine="1305"/>
        <w:spacing w:after="0" w:line="342" w:lineRule="auto"/>
        <w:tabs>
          <w:tab w:leader="none" w:pos="1511" w:val="left"/>
        </w:tabs>
        <w:numPr>
          <w:ilvl w:val="0"/>
          <w:numId w:val="92"/>
        </w:numPr>
        <w:rPr>
          <w:rFonts w:ascii="Arial" w:cs="Arial" w:eastAsia="Arial" w:hAnsi="Arial"/>
          <w:sz w:val="16"/>
          <w:szCs w:val="16"/>
          <w:color w:val="auto"/>
        </w:rPr>
      </w:pPr>
      <w:r>
        <w:rPr>
          <w:rFonts w:ascii="Arial" w:cs="Arial" w:eastAsia="Arial" w:hAnsi="Arial"/>
          <w:sz w:val="16"/>
          <w:szCs w:val="16"/>
          <w:i w:val="1"/>
          <w:iCs w:val="1"/>
          <w:u w:val="single" w:color="auto"/>
          <w:color w:val="auto"/>
        </w:rPr>
        <w:t>Other Agreements</w:t>
      </w:r>
      <w:r>
        <w:rPr>
          <w:rFonts w:ascii="Arial" w:cs="Arial" w:eastAsia="Arial" w:hAnsi="Arial"/>
          <w:sz w:val="16"/>
          <w:szCs w:val="16"/>
          <w:color w:val="auto"/>
        </w:rPr>
        <w:t>. Notwithstanding the above, the Committee may require, as a condition to the grant of and/or the receipt of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Shares under an Award, that the Participant execute lock-up, stockholder or other agreements, as it may determine in its sole and absolute discretion.</w:t>
      </w:r>
    </w:p>
    <w:p>
      <w:pPr>
        <w:spacing w:after="0" w:line="123" w:lineRule="exact"/>
        <w:rPr>
          <w:rFonts w:ascii="Arial" w:cs="Arial" w:eastAsia="Arial" w:hAnsi="Arial"/>
          <w:sz w:val="16"/>
          <w:szCs w:val="16"/>
          <w:color w:val="auto"/>
        </w:rPr>
      </w:pPr>
    </w:p>
    <w:p>
      <w:pPr>
        <w:jc w:val="both"/>
        <w:ind w:firstLine="1305"/>
        <w:spacing w:after="0" w:line="289" w:lineRule="auto"/>
        <w:tabs>
          <w:tab w:leader="none" w:pos="1551" w:val="left"/>
        </w:tabs>
        <w:numPr>
          <w:ilvl w:val="0"/>
          <w:numId w:val="92"/>
        </w:numPr>
        <w:rPr>
          <w:rFonts w:ascii="Arial" w:cs="Arial" w:eastAsia="Arial" w:hAnsi="Arial"/>
          <w:sz w:val="16"/>
          <w:szCs w:val="16"/>
          <w:color w:val="auto"/>
        </w:rPr>
      </w:pPr>
      <w:r>
        <w:rPr>
          <w:rFonts w:ascii="Arial" w:cs="Arial" w:eastAsia="Arial" w:hAnsi="Arial"/>
          <w:sz w:val="16"/>
          <w:szCs w:val="16"/>
          <w:i w:val="1"/>
          <w:iCs w:val="1"/>
          <w:u w:val="single" w:color="auto"/>
          <w:color w:val="auto"/>
        </w:rPr>
        <w:t>Section 409A.</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 and all Awards granted hereunder are intended to comply with, or otherwise be exempt from, the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of Section 409A of the Code. The Plan and all Awards granted under this Plan shall be administered, interpreted, and construed in a manner consistent with Section 409A of the Code to the extent necessary to avoid the imposition of additional taxes under Section 409A(a)(1)(B) of the Code. Notwithstanding anything in this Plan to the contrary, in no event shall the Committee exercise its discretion to accelerate the payment or settlement of an Award where such payment or settlement constitutes deferred compensation within the meaning of Section 409A of the Code unless, and solely to the extent that, such accelerated payment or settlement is permissible under Section 1.409A-3(j)(4) of the Treasury Regulations. If a Participant is a "specified employee" (within the meaning of Section 1.409A-1(i) of the Treasury Regulations) at any time during the twelve (12)-month period ending on the date of his termination of employment, and any Award hereunder subject to the requirements of Section 409A of the Code is to be satisfied on account of the Participant’s termination of employment, satisfaction of such Award shall be suspended until the date that is six (6) months after the date of such termination of employment.</w:t>
      </w:r>
    </w:p>
    <w:p>
      <w:pPr>
        <w:spacing w:after="0" w:line="166" w:lineRule="exact"/>
        <w:rPr>
          <w:rFonts w:ascii="Arial" w:cs="Arial" w:eastAsia="Arial" w:hAnsi="Arial"/>
          <w:sz w:val="16"/>
          <w:szCs w:val="16"/>
          <w:color w:val="auto"/>
        </w:rPr>
      </w:pPr>
    </w:p>
    <w:p>
      <w:pPr>
        <w:ind w:right="20" w:firstLine="1305"/>
        <w:spacing w:after="0" w:line="277" w:lineRule="auto"/>
        <w:tabs>
          <w:tab w:leader="none" w:pos="1565" w:val="left"/>
        </w:tabs>
        <w:numPr>
          <w:ilvl w:val="0"/>
          <w:numId w:val="92"/>
        </w:numPr>
        <w:rPr>
          <w:rFonts w:ascii="Arial" w:cs="Arial" w:eastAsia="Arial" w:hAnsi="Arial"/>
          <w:sz w:val="18"/>
          <w:szCs w:val="18"/>
          <w:color w:val="auto"/>
        </w:rPr>
      </w:pPr>
      <w:r>
        <w:rPr>
          <w:rFonts w:ascii="Arial" w:cs="Arial" w:eastAsia="Arial" w:hAnsi="Arial"/>
          <w:sz w:val="18"/>
          <w:szCs w:val="18"/>
          <w:i w:val="1"/>
          <w:iCs w:val="1"/>
          <w:u w:val="single" w:color="auto"/>
          <w:color w:val="auto"/>
        </w:rPr>
        <w:t>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shall be required to pay, to the extent required by applicable law, any amounts required to receive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Shares under any Award made under this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jc w:val="both"/>
        <w:ind w:firstLine="1305"/>
        <w:spacing w:after="0" w:line="259" w:lineRule="auto"/>
        <w:tabs>
          <w:tab w:leader="none" w:pos="1591" w:val="left"/>
        </w:tabs>
        <w:numPr>
          <w:ilvl w:val="0"/>
          <w:numId w:val="93"/>
        </w:numPr>
        <w:rPr>
          <w:rFonts w:ascii="Arial" w:cs="Arial" w:eastAsia="Arial" w:hAnsi="Arial"/>
          <w:sz w:val="18"/>
          <w:szCs w:val="18"/>
          <w:color w:val="auto"/>
        </w:rPr>
      </w:pPr>
      <w:r>
        <w:rPr>
          <w:rFonts w:ascii="Arial" w:cs="Arial" w:eastAsia="Arial" w:hAnsi="Arial"/>
          <w:sz w:val="18"/>
          <w:szCs w:val="18"/>
          <w:i w:val="1"/>
          <w:iCs w:val="1"/>
          <w:u w:val="single" w:color="auto"/>
          <w:color w:val="auto"/>
        </w:rPr>
        <w:t>Certain Notices</w:t>
      </w:r>
      <w:r>
        <w:rPr>
          <w:rFonts w:ascii="Arial" w:cs="Arial" w:eastAsia="Arial" w:hAnsi="Arial"/>
          <w:sz w:val="18"/>
          <w:szCs w:val="18"/>
          <w:color w:val="auto"/>
        </w:rPr>
        <w:t>. For so long as Hudson Bay Master Fund Ltd. (“</w:t>
      </w:r>
      <w:r>
        <w:rPr>
          <w:rFonts w:ascii="Arial" w:cs="Arial" w:eastAsia="Arial" w:hAnsi="Arial"/>
          <w:sz w:val="18"/>
          <w:szCs w:val="18"/>
          <w:i w:val="1"/>
          <w:iCs w:val="1"/>
          <w:u w:val="single" w:color="auto"/>
          <w:color w:val="auto"/>
        </w:rPr>
        <w:t>Hudson Bay</w:t>
      </w:r>
      <w:r>
        <w:rPr>
          <w:rFonts w:ascii="Arial" w:cs="Arial" w:eastAsia="Arial" w:hAnsi="Arial"/>
          <w:sz w:val="18"/>
          <w:szCs w:val="18"/>
          <w:color w:val="auto"/>
        </w:rPr>
        <w:t>”) holds any securities of the Company originally issued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Company (i.e., not solely securities acquired from third parties), unless otherwise directed in writing by Hudson Bay, prior to issuing any securities hereunder, the Company shall provide Hudson Bay with written notice (which for these purposes may be undertaken by e-mail) of the intended issuance as follows: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Hudson Bay Master Fund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777 Third Avenue,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Yoav Roth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yroth@hudsonbaycapital.com</w:t>
      </w:r>
    </w:p>
    <w:p>
      <w:pPr>
        <w:spacing w:after="0" w:line="200" w:lineRule="exact"/>
        <w:rPr>
          <w:sz w:val="20"/>
          <w:szCs w:val="20"/>
          <w:color w:val="auto"/>
        </w:rPr>
      </w:pPr>
    </w:p>
    <w:p>
      <w:pPr>
        <w:spacing w:after="0" w:line="227" w:lineRule="exact"/>
        <w:rPr>
          <w:sz w:val="20"/>
          <w:szCs w:val="20"/>
          <w:color w:val="auto"/>
        </w:rPr>
      </w:pPr>
    </w:p>
    <w:p>
      <w:pPr>
        <w:jc w:val="center"/>
        <w:ind w:right="-19"/>
        <w:spacing w:after="0"/>
        <w:tabs>
          <w:tab w:leader="none" w:pos="200" w:val="left"/>
          <w:tab w:leader="none" w:pos="200" w:val="left"/>
        </w:tabs>
        <w:rPr>
          <w:sz w:val="20"/>
          <w:szCs w:val="20"/>
          <w:color w:val="auto"/>
        </w:rPr>
      </w:pPr>
      <w:r>
        <w:rPr>
          <w:rFonts w:ascii="Arial" w:cs="Arial" w:eastAsia="Arial" w:hAnsi="Arial"/>
          <w:sz w:val="18"/>
          <w:szCs w:val="18"/>
          <w:color w:val="auto"/>
        </w:rPr>
        <w:t>*</w:t>
        <w:tab/>
        <w:t>*</w:t>
        <w:tab/>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adopted by the Board of Directors of Labrador Search Corporation on August 30,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approved by the shareholders of Labrador Search Corporation on August 30, 2011.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1)"/>
      <w:numFmt w:val="decimal"/>
      <w:start w:val="1"/>
    </w:lvl>
  </w:abstractNum>
  <w:abstractNum w:abstractNumId="1">
    <w:nsid w:val="38437FDB"/>
    <w:multiLevelType w:val="hybridMultilevel"/>
    <w:lvl w:ilvl="0">
      <w:lvlJc w:val="left"/>
      <w:lvlText w:val="(%1)"/>
      <w:numFmt w:val="lowerLetter"/>
      <w:start w:val="1"/>
    </w:lvl>
  </w:abstractNum>
  <w:abstractNum w:abstractNumId="2">
    <w:nsid w:val="7644A45C"/>
    <w:multiLevelType w:val="hybridMultilevel"/>
    <w:lvl w:ilvl="0">
      <w:lvlJc w:val="left"/>
      <w:lvlText w:val="(%1)"/>
      <w:numFmt w:val="lowerRoman"/>
      <w:start w:val="1"/>
    </w:lvl>
  </w:abstractNum>
  <w:abstractNum w:abstractNumId="3">
    <w:nsid w:val="32FFF90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4">
    <w:nsid w:val="684A481A"/>
    <w:multiLevelType w:val="hybridMultilevel"/>
    <w:lvl w:ilvl="0">
      <w:lvlJc w:val="left"/>
      <w:lvlText w:val="(%1)"/>
      <w:numFmt w:val="lowerRoman"/>
      <w:start w:val="2"/>
    </w:lvl>
  </w:abstractNum>
  <w:abstractNum w:abstractNumId="5">
    <w:nsid w:val="579478FE"/>
    <w:multiLevelType w:val="hybridMultilevel"/>
    <w:lvl w:ilvl="0">
      <w:lvlJc w:val="left"/>
      <w:lvlText w:val="%1"/>
      <w:numFmt w:val="decimal"/>
      <w:start w:val="1"/>
    </w:lvl>
    <w:lvl w:ilvl="1">
      <w:lvlJc w:val="left"/>
      <w:lvlText w:val="(%2)"/>
      <w:numFmt w:val="lowerLetter"/>
      <w:start w:val="2"/>
    </w:lvl>
  </w:abstractNum>
  <w:abstractNum w:abstractNumId="6">
    <w:nsid w:val="749ABB43"/>
    <w:multiLevelType w:val="hybridMultilevel"/>
    <w:lvl w:ilvl="0">
      <w:lvlJc w:val="left"/>
      <w:lvlText w:val="(%1)"/>
      <w:numFmt w:val="decimal"/>
      <w:start w:val="2"/>
    </w:lvl>
    <w:lvl w:ilvl="1">
      <w:lvlJc w:val="left"/>
      <w:lvlText w:val="%2"/>
      <w:numFmt w:val="lowerLetter"/>
      <w:start w:val="1"/>
    </w:lvl>
  </w:abstractNum>
  <w:abstractNum w:abstractNumId="7">
    <w:nsid w:val="3DC240FB"/>
    <w:multiLevelType w:val="hybridMultilevel"/>
    <w:lvl w:ilvl="0">
      <w:lvlJc w:val="left"/>
      <w:lvlText w:val="%1."/>
      <w:numFmt w:val="decimal"/>
      <w:start w:val="1"/>
    </w:lvl>
  </w:abstractNum>
  <w:abstractNum w:abstractNumId="8">
    <w:nsid w:val="1BA026FA"/>
    <w:multiLevelType w:val="hybridMultilevel"/>
    <w:lvl w:ilvl="0">
      <w:lvlJc w:val="left"/>
      <w:lvlText w:val="%1."/>
      <w:numFmt w:val="decimal"/>
      <w:start w:val="6"/>
    </w:lvl>
  </w:abstractNum>
  <w:abstractNum w:abstractNumId="9">
    <w:nsid w:val="79A1DEAA"/>
    <w:multiLevelType w:val="hybridMultilevel"/>
    <w:lvl w:ilvl="0">
      <w:lvlJc w:val="left"/>
      <w:lvlText w:val="%1."/>
      <w:numFmt w:val="decimal"/>
      <w:start w:val="1"/>
    </w:lvl>
  </w:abstractNum>
  <w:abstractNum w:abstractNumId="10">
    <w:nsid w:val="75C6C33A"/>
    <w:multiLevelType w:val="hybridMultilevel"/>
    <w:lvl w:ilvl="0">
      <w:lvlJc w:val="left"/>
      <w:lvlText w:val="%1."/>
      <w:numFmt w:val="decimal"/>
      <w:start w:val="2"/>
    </w:lvl>
  </w:abstractNum>
  <w:abstractNum w:abstractNumId="11">
    <w:nsid w:val="12E685FB"/>
    <w:multiLevelType w:val="hybridMultilevel"/>
    <w:lvl w:ilvl="0">
      <w:lvlJc w:val="left"/>
      <w:lvlText w:val="%1."/>
      <w:numFmt w:val="decimal"/>
      <w:start w:val="3"/>
    </w:lvl>
  </w:abstractNum>
  <w:abstractNum w:abstractNumId="12">
    <w:nsid w:val="70C6A529"/>
    <w:multiLevelType w:val="hybridMultilevel"/>
    <w:lvl w:ilvl="0">
      <w:lvlJc w:val="left"/>
      <w:lvlText w:val="%1."/>
      <w:numFmt w:val="decimal"/>
      <w:start w:val="4"/>
    </w:lvl>
  </w:abstractNum>
  <w:abstractNum w:abstractNumId="13">
    <w:nsid w:val="520EEDD1"/>
    <w:multiLevelType w:val="hybridMultilevel"/>
    <w:lvl w:ilvl="0">
      <w:lvlJc w:val="left"/>
      <w:lvlText w:val="(%1)"/>
      <w:numFmt w:val="lowerLetter"/>
      <w:start w:val="1"/>
    </w:lvl>
  </w:abstractNum>
  <w:abstractNum w:abstractNumId="14">
    <w:nsid w:val="374A3FE6"/>
    <w:multiLevelType w:val="hybridMultilevel"/>
    <w:lvl w:ilvl="0">
      <w:lvlJc w:val="left"/>
      <w:lvlText w:val="%1"/>
      <w:numFmt w:val="decimal"/>
      <w:start w:val="1"/>
    </w:lvl>
    <w:lvl w:ilvl="1">
      <w:lvlJc w:val="left"/>
      <w:lvlText w:val="(%2)"/>
      <w:numFmt w:val="lowerLetter"/>
      <w:start w:val="24"/>
    </w:lvl>
  </w:abstractNum>
  <w:abstractNum w:abstractNumId="15">
    <w:nsid w:val="4F4EF005"/>
    <w:multiLevelType w:val="hybridMultilevel"/>
    <w:lvl w:ilvl="0">
      <w:lvlJc w:val="left"/>
      <w:lvlText w:val="%1."/>
      <w:numFmt w:val="decimal"/>
      <w:start w:val="5"/>
    </w:lvl>
    <w:lvl w:ilvl="1">
      <w:lvlJc w:val="left"/>
      <w:lvlText w:val="%2"/>
      <w:numFmt w:val="lowerLetter"/>
      <w:start w:val="1"/>
    </w:lvl>
  </w:abstractNum>
  <w:abstractNum w:abstractNumId="16">
    <w:nsid w:val="23F9C13C"/>
    <w:multiLevelType w:val="hybridMultilevel"/>
    <w:lvl w:ilvl="0">
      <w:lvlJc w:val="left"/>
      <w:lvlText w:val="%1."/>
      <w:numFmt w:val="decimal"/>
      <w:start w:val="6"/>
    </w:lvl>
  </w:abstractNum>
  <w:abstractNum w:abstractNumId="17">
    <w:nsid w:val="649BB77C"/>
    <w:multiLevelType w:val="hybridMultilevel"/>
    <w:lvl w:ilvl="0">
      <w:lvlJc w:val="left"/>
      <w:lvlText w:val="%1."/>
      <w:numFmt w:val="decimal"/>
      <w:start w:val="7"/>
    </w:lvl>
  </w:abstractNum>
  <w:abstractNum w:abstractNumId="18">
    <w:nsid w:val="275AC794"/>
    <w:multiLevelType w:val="hybridMultilevel"/>
    <w:lvl w:ilvl="0">
      <w:lvlJc w:val="left"/>
      <w:lvlText w:val="%1."/>
      <w:numFmt w:val="decimal"/>
      <w:start w:val="8"/>
    </w:lvl>
  </w:abstractNum>
  <w:abstractNum w:abstractNumId="19">
    <w:nsid w:val="39386575"/>
    <w:multiLevelType w:val="hybridMultilevel"/>
    <w:lvl w:ilvl="0">
      <w:lvlJc w:val="left"/>
      <w:lvlText w:val="%1."/>
      <w:numFmt w:val="decimal"/>
      <w:start w:val="9"/>
    </w:lvl>
  </w:abstractNum>
  <w:abstractNum w:abstractNumId="20">
    <w:nsid w:val="1CF10FD8"/>
    <w:multiLevelType w:val="hybridMultilevel"/>
    <w:lvl w:ilvl="0">
      <w:lvlJc w:val="left"/>
      <w:lvlText w:val="%1."/>
      <w:numFmt w:val="decimal"/>
      <w:start w:val="10"/>
    </w:lvl>
  </w:abstractNum>
  <w:abstractNum w:abstractNumId="21">
    <w:nsid w:val="180115BE"/>
    <w:multiLevelType w:val="hybridMultilevel"/>
    <w:lvl w:ilvl="0">
      <w:lvlJc w:val="left"/>
      <w:lvlText w:val="%1."/>
      <w:numFmt w:val="decimal"/>
      <w:start w:val="11"/>
    </w:lvl>
  </w:abstractNum>
  <w:abstractNum w:abstractNumId="22">
    <w:nsid w:val="235BA861"/>
    <w:multiLevelType w:val="hybridMultilevel"/>
    <w:lvl w:ilvl="0">
      <w:lvlJc w:val="left"/>
      <w:lvlText w:val="(%1)"/>
      <w:numFmt w:val="lowerLetter"/>
      <w:start w:val="1"/>
    </w:lvl>
  </w:abstractNum>
  <w:abstractNum w:abstractNumId="23">
    <w:nsid w:val="47398C89"/>
    <w:multiLevelType w:val="hybridMultilevel"/>
    <w:lvl w:ilvl="0">
      <w:lvlJc w:val="left"/>
      <w:lvlText w:val="%1"/>
      <w:numFmt w:val="decimal"/>
      <w:start w:val="1"/>
    </w:lvl>
    <w:lvl w:ilvl="1">
      <w:lvlJc w:val="left"/>
      <w:lvlText w:val="(%2)"/>
      <w:numFmt w:val="lowerLetter"/>
      <w:start w:val="2"/>
    </w:lvl>
  </w:abstractNum>
  <w:abstractNum w:abstractNumId="24">
    <w:nsid w:val="354FE9F9"/>
    <w:multiLevelType w:val="hybridMultilevel"/>
    <w:lvl w:ilvl="0">
      <w:lvlJc w:val="left"/>
      <w:lvlText w:val="%1."/>
      <w:numFmt w:val="decimal"/>
      <w:start w:val="12"/>
    </w:lvl>
    <w:lvl w:ilvl="1">
      <w:lvlJc w:val="left"/>
      <w:lvlText w:val="%2"/>
      <w:numFmt w:val="lowerLetter"/>
      <w:start w:val="1"/>
    </w:lvl>
  </w:abstractNum>
  <w:abstractNum w:abstractNumId="25">
    <w:nsid w:val="15B5AF5C"/>
    <w:multiLevelType w:val="hybridMultilevel"/>
    <w:lvl w:ilvl="0">
      <w:lvlJc w:val="left"/>
      <w:lvlText w:val="%1."/>
      <w:numFmt w:val="decimal"/>
      <w:start w:val="13"/>
    </w:lvl>
  </w:abstractNum>
  <w:abstractNum w:abstractNumId="26">
    <w:nsid w:val="741226BB"/>
    <w:multiLevelType w:val="hybridMultilevel"/>
    <w:lvl w:ilvl="0">
      <w:lvlJc w:val="left"/>
      <w:lvlText w:val="%1."/>
      <w:numFmt w:val="decimal"/>
      <w:start w:val="14"/>
    </w:lvl>
  </w:abstractNum>
  <w:abstractNum w:abstractNumId="27">
    <w:nsid w:val="D34B6A8"/>
    <w:multiLevelType w:val="hybridMultilevel"/>
    <w:lvl w:ilvl="0">
      <w:lvlJc w:val="left"/>
      <w:lvlText w:val="%1."/>
      <w:numFmt w:val="decimal"/>
      <w:start w:val="15"/>
    </w:lvl>
  </w:abstractNum>
  <w:abstractNum w:abstractNumId="28">
    <w:nsid w:val="10233C99"/>
    <w:multiLevelType w:val="hybridMultilevel"/>
    <w:lvl w:ilvl="0">
      <w:lvlJc w:val="left"/>
      <w:lvlText w:val="%1."/>
      <w:numFmt w:val="decimal"/>
      <w:start w:val="16"/>
    </w:lvl>
  </w:abstractNum>
  <w:abstractNum w:abstractNumId="29">
    <w:nsid w:val="3F6AB60F"/>
    <w:multiLevelType w:val="hybridMultilevel"/>
    <w:lvl w:ilvl="0">
      <w:lvlJc w:val="left"/>
      <w:lvlText w:val="%1."/>
      <w:numFmt w:val="decimal"/>
      <w:start w:val="17"/>
    </w:lvl>
  </w:abstractNum>
  <w:abstractNum w:abstractNumId="30">
    <w:nsid w:val="61574095"/>
    <w:multiLevelType w:val="hybridMultilevel"/>
    <w:lvl w:ilvl="0">
      <w:lvlJc w:val="left"/>
      <w:lvlText w:val="%1."/>
      <w:numFmt w:val="decimal"/>
      <w:start w:val="18"/>
    </w:lvl>
  </w:abstractNum>
  <w:abstractNum w:abstractNumId="31">
    <w:nsid w:val="7E0C57B1"/>
    <w:multiLevelType w:val="hybridMultilevel"/>
    <w:lvl w:ilvl="0">
      <w:lvlJc w:val="left"/>
      <w:lvlText w:val="%1."/>
      <w:numFmt w:val="decimal"/>
      <w:start w:val="19"/>
    </w:lvl>
  </w:abstractNum>
  <w:abstractNum w:abstractNumId="32">
    <w:nsid w:val="77AE35EB"/>
    <w:multiLevelType w:val="hybridMultilevel"/>
    <w:lvl w:ilvl="0">
      <w:lvlJc w:val="left"/>
      <w:lvlText w:val="%1."/>
      <w:numFmt w:val="decimal"/>
      <w:start w:val="20"/>
    </w:lvl>
  </w:abstractNum>
  <w:abstractNum w:abstractNumId="33">
    <w:nsid w:val="579BE4F1"/>
    <w:multiLevelType w:val="hybridMultilevel"/>
    <w:lvl w:ilvl="0">
      <w:lvlJc w:val="left"/>
      <w:lvlText w:val="%1."/>
      <w:numFmt w:val="decimal"/>
      <w:start w:val="21"/>
    </w:lvl>
  </w:abstractNum>
  <w:abstractNum w:abstractNumId="34">
    <w:nsid w:val="310C50B3"/>
    <w:multiLevelType w:val="hybridMultilevel"/>
    <w:lvl w:ilvl="0">
      <w:lvlJc w:val="left"/>
      <w:lvlText w:val="%1."/>
      <w:numFmt w:val="decimal"/>
      <w:start w:val="22"/>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1."/>
      <w:numFmt w:val="decimal"/>
      <w:start w:val="1"/>
    </w:lvl>
  </w:abstractNum>
  <w:abstractNum w:abstractNumId="37">
    <w:nsid w:val="25A70BF7"/>
    <w:multiLevelType w:val="hybridMultilevel"/>
    <w:lvl w:ilvl="0">
      <w:lvlJc w:val="left"/>
      <w:lvlText w:val="%1."/>
      <w:numFmt w:val="decimal"/>
      <w:start w:val="1"/>
    </w:lvl>
  </w:abstractNum>
  <w:abstractNum w:abstractNumId="38">
    <w:nsid w:val="1DBABF00"/>
    <w:multiLevelType w:val="hybridMultilevel"/>
    <w:lvl w:ilvl="0">
      <w:lvlJc w:val="left"/>
      <w:lvlText w:val="(%1)"/>
      <w:numFmt w:val="lowerLetter"/>
      <w:start w:val="1"/>
    </w:lvl>
  </w:abstractNum>
  <w:abstractNum w:abstractNumId="39">
    <w:nsid w:val="4AD084E9"/>
    <w:multiLevelType w:val="hybridMultilevel"/>
    <w:lvl w:ilvl="0">
      <w:lvlJc w:val="left"/>
      <w:lvlText w:val="(%1)"/>
      <w:numFmt w:val="lowerLetter"/>
      <w:start w:val="3"/>
    </w:lvl>
  </w:abstractNum>
  <w:abstractNum w:abstractNumId="40">
    <w:nsid w:val="1F48EAA1"/>
    <w:multiLevelType w:val="hybridMultilevel"/>
    <w:lvl w:ilvl="0">
      <w:lvlJc w:val="left"/>
      <w:lvlText w:val="%1."/>
      <w:numFmt w:val="decimal"/>
      <w:start w:val="3"/>
    </w:lvl>
  </w:abstractNum>
  <w:abstractNum w:abstractNumId="41">
    <w:nsid w:val="1381823A"/>
    <w:multiLevelType w:val="hybridMultilevel"/>
    <w:lvl w:ilvl="0">
      <w:lvlJc w:val="left"/>
      <w:lvlText w:val="%1"/>
      <w:numFmt w:val="upperLetter"/>
      <w:start w:val="1"/>
    </w:lvl>
    <w:lvl w:ilvl="1">
      <w:lvlJc w:val="left"/>
      <w:lvlText w:val="%2."/>
      <w:numFmt w:val="decimal"/>
      <w:start w:val="8"/>
    </w:lvl>
    <w:lvl w:ilvl="2">
      <w:lvlJc w:val="left"/>
      <w:lvlText w:val="(%3)"/>
      <w:numFmt w:val="lowerLetter"/>
      <w:start w:val="1"/>
    </w:lvl>
  </w:abstractNum>
  <w:abstractNum w:abstractNumId="42">
    <w:nsid w:val="5DB70AE5"/>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43">
    <w:nsid w:val="100F8FCA"/>
    <w:multiLevelType w:val="hybridMultilevel"/>
    <w:lvl w:ilvl="0">
      <w:lvlJc w:val="left"/>
      <w:lvlText w:val="%1."/>
      <w:numFmt w:val="decimal"/>
      <w:start w:val="9"/>
    </w:lvl>
    <w:lvl w:ilvl="1">
      <w:lvlJc w:val="left"/>
      <w:lvlText w:val="(%2)"/>
      <w:numFmt w:val="lowerLetter"/>
      <w:start w:val="1"/>
    </w:lvl>
  </w:abstractNum>
  <w:abstractNum w:abstractNumId="44">
    <w:nsid w:val="6590700B"/>
    <w:multiLevelType w:val="hybridMultilevel"/>
    <w:lvl w:ilvl="0">
      <w:lvlJc w:val="left"/>
      <w:lvlText w:val="%1."/>
      <w:numFmt w:val="decimal"/>
      <w:start w:val="11"/>
    </w:lvl>
    <w:lvl w:ilvl="1">
      <w:lvlJc w:val="left"/>
      <w:lvlText w:val="(%2)"/>
      <w:numFmt w:val="lowerLetter"/>
      <w:start w:val="1"/>
    </w:lvl>
  </w:abstractNum>
  <w:abstractNum w:abstractNumId="45">
    <w:nsid w:val="15014ACB"/>
    <w:multiLevelType w:val="hybridMultilevel"/>
    <w:lvl w:ilvl="0">
      <w:lvlJc w:val="left"/>
      <w:lvlText w:val="%1"/>
      <w:numFmt w:val="decimal"/>
      <w:start w:val="1"/>
    </w:lvl>
    <w:lvl w:ilvl="1">
      <w:lvlJc w:val="left"/>
      <w:lvlText w:val="(%2)"/>
      <w:numFmt w:val="lowerLetter"/>
      <w:start w:val="2"/>
    </w:lvl>
  </w:abstractNum>
  <w:abstractNum w:abstractNumId="46">
    <w:nsid w:val="5F5E7FD0"/>
    <w:multiLevelType w:val="hybridMultilevel"/>
    <w:lvl w:ilvl="0">
      <w:lvlJc w:val="left"/>
      <w:lvlText w:val="%1."/>
      <w:numFmt w:val="decimal"/>
      <w:start w:val="12"/>
    </w:lvl>
    <w:lvl w:ilvl="1">
      <w:lvlJc w:val="left"/>
      <w:lvlText w:val="%2"/>
      <w:numFmt w:val="lowerLetter"/>
      <w:start w:val="1"/>
    </w:lvl>
  </w:abstractNum>
  <w:abstractNum w:abstractNumId="47">
    <w:nsid w:val="98A3148"/>
    <w:multiLevelType w:val="hybridMultilevel"/>
    <w:lvl w:ilvl="0">
      <w:lvlJc w:val="left"/>
      <w:lvlText w:val="%1."/>
      <w:numFmt w:val="decimal"/>
      <w:start w:val="1"/>
    </w:lvl>
    <w:lvl w:ilvl="1">
      <w:lvlJc w:val="left"/>
      <w:lvlText w:val="(%2)"/>
      <w:numFmt w:val="lowerLetter"/>
      <w:start w:val="1"/>
    </w:lvl>
  </w:abstractNum>
  <w:abstractNum w:abstractNumId="48">
    <w:nsid w:val="799D0247"/>
    <w:multiLevelType w:val="hybridMultilevel"/>
    <w:lvl w:ilvl="0">
      <w:lvlJc w:val="left"/>
      <w:lvlText w:val="(%1)"/>
      <w:numFmt w:val="lowerLetter"/>
      <w:start w:val="6"/>
    </w:lvl>
  </w:abstractNum>
  <w:abstractNum w:abstractNumId="49">
    <w:nsid w:val="6B94764"/>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50">
    <w:nsid w:val="42C296BD"/>
    <w:multiLevelType w:val="hybridMultilevel"/>
    <w:lvl w:ilvl="0">
      <w:lvlJc w:val="left"/>
      <w:lvlText w:val="%1"/>
      <w:numFmt w:val="decimal"/>
      <w:start w:val="1"/>
    </w:lvl>
    <w:lvl w:ilvl="1">
      <w:lvlJc w:val="left"/>
      <w:lvlText w:val="(%2)"/>
      <w:numFmt w:val="lowerLetter"/>
      <w:start w:val="8"/>
    </w:lvl>
  </w:abstractNum>
  <w:abstractNum w:abstractNumId="51">
    <w:nsid w:val="168E121F"/>
    <w:multiLevelType w:val="hybridMultilevel"/>
    <w:lvl w:ilvl="0">
      <w:lvlJc w:val="left"/>
      <w:lvlText w:val="(%1)"/>
      <w:numFmt w:val="decimal"/>
      <w:start w:val="12"/>
    </w:lvl>
    <w:lvl w:ilvl="1">
      <w:lvlJc w:val="left"/>
      <w:lvlText w:val="(%2)"/>
      <w:numFmt w:val="lowerLetter"/>
      <w:start w:val="15"/>
    </w:lvl>
  </w:abstractNum>
  <w:abstractNum w:abstractNumId="52">
    <w:nsid w:val="1EBA5D23"/>
    <w:multiLevelType w:val="hybridMultilevel"/>
    <w:lvl w:ilvl="0">
      <w:lvlJc w:val="left"/>
      <w:lvlText w:val="(%1)"/>
      <w:numFmt w:val="lowerLetter"/>
      <w:start w:val="18"/>
    </w:lvl>
  </w:abstractNum>
  <w:abstractNum w:abstractNumId="53">
    <w:nsid w:val="661E3F1E"/>
    <w:multiLevelType w:val="hybridMultilevel"/>
    <w:lvl w:ilvl="0">
      <w:lvlJc w:val="left"/>
      <w:lvlText w:val="(%1)"/>
      <w:numFmt w:val="lowerLetter"/>
      <w:start w:val="26"/>
    </w:lvl>
  </w:abstractNum>
  <w:abstractNum w:abstractNumId="54">
    <w:nsid w:val="5DC79EA8"/>
    <w:multiLevelType w:val="hybridMultilevel"/>
    <w:lvl w:ilvl="0">
      <w:lvlJc w:val="left"/>
      <w:lvlText w:val="(%1)"/>
      <w:numFmt w:val="lowerLetter"/>
      <w:start w:val="27"/>
    </w:lvl>
  </w:abstractNum>
  <w:abstractNum w:abstractNumId="55">
    <w:nsid w:val="540A471C"/>
    <w:multiLevelType w:val="hybridMultilevel"/>
    <w:lvl w:ilvl="0">
      <w:lvlJc w:val="left"/>
      <w:lvlText w:val="(%1)"/>
      <w:numFmt w:val="lowerLetter"/>
      <w:start w:val="40"/>
    </w:lvl>
  </w:abstractNum>
  <w:abstractNum w:abstractNumId="56">
    <w:nsid w:val="7BD3EE7B"/>
    <w:multiLevelType w:val="hybridMultilevel"/>
    <w:lvl w:ilvl="0">
      <w:lvlJc w:val="left"/>
      <w:lvlText w:val="%1"/>
      <w:numFmt w:val="decimal"/>
      <w:start w:val="1"/>
    </w:lvl>
    <w:lvl w:ilvl="1">
      <w:lvlJc w:val="left"/>
      <w:lvlText w:val="(%2)"/>
      <w:numFmt w:val="lowerLetter"/>
      <w:start w:val="50"/>
    </w:lvl>
    <w:lvl w:ilvl="2">
      <w:lvlJc w:val="left"/>
      <w:lvlText w:val="(%3)"/>
      <w:numFmt w:val="lowerRoman"/>
      <w:start w:val="1"/>
    </w:lvl>
  </w:abstractNum>
  <w:abstractNum w:abstractNumId="57">
    <w:nsid w:val="51D9C56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8">
    <w:nsid w:val="613EFDC5"/>
    <w:multiLevelType w:val="hybridMultilevel"/>
    <w:lvl w:ilvl="0">
      <w:lvlJc w:val="left"/>
      <w:lvlText w:val="(%1)"/>
      <w:numFmt w:val="lowerLetter"/>
      <w:start w:val="2"/>
    </w:lvl>
  </w:abstractNum>
  <w:abstractNum w:abstractNumId="59">
    <w:nsid w:val="BF72B14"/>
    <w:multiLevelType w:val="hybridMultilevel"/>
    <w:lvl w:ilvl="0">
      <w:lvlJc w:val="left"/>
      <w:lvlText w:val="%1"/>
      <w:numFmt w:val="decimal"/>
      <w:start w:val="1"/>
    </w:lvl>
    <w:lvl w:ilvl="1">
      <w:lvlJc w:val="left"/>
      <w:lvlText w:val="(%2)"/>
      <w:numFmt w:val="lowerLetter"/>
      <w:start w:val="5"/>
    </w:lvl>
  </w:abstractNum>
  <w:abstractNum w:abstractNumId="60">
    <w:nsid w:val="11447B73"/>
    <w:multiLevelType w:val="hybridMultilevel"/>
    <w:lvl w:ilvl="0">
      <w:lvlJc w:val="left"/>
      <w:lvlText w:val="%1."/>
      <w:numFmt w:val="decimal"/>
      <w:start w:val="5"/>
    </w:lvl>
    <w:lvl w:ilvl="1">
      <w:lvlJc w:val="left"/>
      <w:lvlText w:val="(%2)"/>
      <w:numFmt w:val="lowerLetter"/>
      <w:start w:val="1"/>
    </w:lvl>
  </w:abstractNum>
  <w:abstractNum w:abstractNumId="61">
    <w:nsid w:val="42963E5A"/>
    <w:multiLevelType w:val="hybridMultilevel"/>
    <w:lvl w:ilvl="0">
      <w:lvlJc w:val="left"/>
      <w:lvlText w:val="%1."/>
      <w:numFmt w:val="decimal"/>
      <w:start w:val="7"/>
    </w:lvl>
    <w:lvl w:ilvl="1">
      <w:lvlJc w:val="left"/>
      <w:lvlText w:val="(%2)"/>
      <w:numFmt w:val="lowerLetter"/>
      <w:start w:val="1"/>
    </w:lvl>
  </w:abstractNum>
  <w:abstractNum w:abstractNumId="62">
    <w:nsid w:val="A0382C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3">
    <w:nsid w:val="8F2B15E"/>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64">
    <w:nsid w:val="1A32234B"/>
    <w:multiLevelType w:val="hybridMultilevel"/>
    <w:lvl w:ilvl="0">
      <w:lvlJc w:val="left"/>
      <w:lvlText w:val="%1"/>
      <w:numFmt w:val="decimal"/>
      <w:start w:val="1"/>
    </w:lvl>
    <w:lvl w:ilvl="1">
      <w:lvlJc w:val="left"/>
      <w:lvlText w:val="(%2)"/>
      <w:numFmt w:val="lowerLetter"/>
      <w:start w:val="5"/>
    </w:lvl>
  </w:abstractNum>
  <w:abstractNum w:abstractNumId="65">
    <w:nsid w:val="3B0FD379"/>
    <w:multiLevelType w:val="hybridMultilevel"/>
    <w:lvl w:ilvl="0">
      <w:lvlJc w:val="left"/>
      <w:lvlText w:val="%1."/>
      <w:numFmt w:val="decimal"/>
      <w:start w:val="8"/>
    </w:lvl>
    <w:lvl w:ilvl="1">
      <w:lvlJc w:val="left"/>
      <w:lvlText w:val="(%2)"/>
      <w:numFmt w:val="lowerLetter"/>
      <w:start w:val="1"/>
    </w:lvl>
  </w:abstractNum>
  <w:abstractNum w:abstractNumId="66">
    <w:nsid w:val="68EB2F6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7">
    <w:nsid w:val="4962813B"/>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68">
    <w:nsid w:val="60B6DF70"/>
    <w:multiLevelType w:val="hybridMultilevel"/>
    <w:lvl w:ilvl="0">
      <w:lvlJc w:val="left"/>
      <w:lvlText w:val="%1."/>
      <w:numFmt w:val="decimal"/>
      <w:start w:val="9"/>
    </w:lvl>
    <w:lvl w:ilvl="1">
      <w:lvlJc w:val="left"/>
      <w:lvlText w:val="(%2)"/>
      <w:numFmt w:val="lowerLetter"/>
      <w:start w:val="1"/>
    </w:lvl>
  </w:abstractNum>
  <w:abstractNum w:abstractNumId="69">
    <w:nsid w:val="6A5EE64"/>
    <w:multiLevelType w:val="hybridMultilevel"/>
    <w:lvl w:ilvl="0">
      <w:lvlJc w:val="left"/>
      <w:lvlText w:val="(%1)"/>
      <w:numFmt w:val="lowerLetter"/>
      <w:start w:val="4"/>
    </w:lvl>
  </w:abstractNum>
  <w:abstractNum w:abstractNumId="70">
    <w:nsid w:val="1433062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71">
    <w:nsid w:val="7FFFCA11"/>
    <w:multiLevelType w:val="hybridMultilevel"/>
    <w:lvl w:ilvl="0">
      <w:lvlJc w:val="left"/>
      <w:lvlText w:val="(%1)"/>
      <w:numFmt w:val="lowerLetter"/>
      <w:start w:val="35"/>
    </w:lvl>
    <w:lvl w:ilvl="1">
      <w:lvlJc w:val="left"/>
      <w:lvlText w:val="%2."/>
      <w:numFmt w:val="decimal"/>
      <w:start w:val="10"/>
    </w:lvl>
    <w:lvl w:ilvl="2">
      <w:lvlJc w:val="left"/>
      <w:lvlText w:val="(%3)"/>
      <w:numFmt w:val="lowerLetter"/>
      <w:start w:val="1"/>
    </w:lvl>
    <w:lvl w:ilvl="3">
      <w:lvlJc w:val="left"/>
      <w:lvlText w:val="%4"/>
      <w:numFmt w:val="lowerLetter"/>
      <w:start w:val="1"/>
    </w:lvl>
  </w:abstractNum>
  <w:abstractNum w:abstractNumId="72">
    <w:nsid w:val="1A27709E"/>
    <w:multiLevelType w:val="hybridMultilevel"/>
    <w:lvl w:ilvl="0">
      <w:lvlJc w:val="left"/>
      <w:lvlText w:val="(%1)"/>
      <w:numFmt w:val="lowerLetter"/>
      <w:start w:val="3"/>
    </w:lvl>
    <w:lvl w:ilvl="1">
      <w:lvlJc w:val="left"/>
      <w:lvlText w:val="(%2)"/>
      <w:numFmt w:val="lowerRoman"/>
      <w:start w:val="1"/>
    </w:lvl>
  </w:abstractNum>
  <w:abstractNum w:abstractNumId="73">
    <w:nsid w:val="71EA110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74">
    <w:nsid w:val="100F59DC"/>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75">
    <w:nsid w:val="7FB7E0AA"/>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76">
    <w:nsid w:val="6EB5BD4"/>
    <w:multiLevelType w:val="hybridMultilevel"/>
    <w:lvl w:ilvl="0">
      <w:lvlJc w:val="left"/>
      <w:lvlText w:val="%1"/>
      <w:numFmt w:val="decimal"/>
      <w:start w:val="1"/>
    </w:lvl>
    <w:lvl w:ilvl="1">
      <w:lvlJc w:val="left"/>
      <w:lvlText w:val="(%2)"/>
      <w:numFmt w:val="lowerRoman"/>
      <w:start w:val="1"/>
    </w:lvl>
  </w:abstractNum>
  <w:abstractNum w:abstractNumId="77">
    <w:nsid w:val="6F6DD9AC"/>
    <w:multiLevelType w:val="hybridMultilevel"/>
    <w:lvl w:ilvl="0">
      <w:lvlJc w:val="left"/>
      <w:lvlText w:val="(%1)"/>
      <w:numFmt w:val="decimal"/>
      <w:start w:val="1"/>
    </w:lvl>
    <w:lvl w:ilvl="1">
      <w:lvlJc w:val="left"/>
      <w:lvlText w:val="(%2)"/>
      <w:numFmt w:val="lowerRoman"/>
      <w:start w:val="2"/>
    </w:lvl>
  </w:abstractNum>
  <w:abstractNum w:abstractNumId="78">
    <w:nsid w:val="94211F2"/>
    <w:multiLevelType w:val="hybridMultilevel"/>
    <w:lvl w:ilvl="0">
      <w:lvlJc w:val="left"/>
      <w:lvlText w:val="%1."/>
      <w:numFmt w:val="decimal"/>
      <w:start w:val="13"/>
    </w:lvl>
    <w:lvl w:ilvl="1">
      <w:lvlJc w:val="left"/>
      <w:lvlText w:val="(%2)"/>
      <w:numFmt w:val="lowerLetter"/>
      <w:start w:val="1"/>
    </w:lvl>
  </w:abstractNum>
  <w:abstractNum w:abstractNumId="79">
    <w:nsid w:val="885E1B"/>
    <w:multiLevelType w:val="hybridMultilevel"/>
    <w:lvl w:ilvl="0">
      <w:lvlJc w:val="left"/>
      <w:lvlText w:val="(%1)"/>
      <w:numFmt w:val="lowerLetter"/>
      <w:start w:val="2"/>
    </w:lvl>
  </w:abstractNum>
  <w:abstractNum w:abstractNumId="80">
    <w:nsid w:val="76272110"/>
    <w:multiLevelType w:val="hybridMultilevel"/>
    <w:lvl w:ilvl="0">
      <w:lvlJc w:val="left"/>
      <w:lvlText w:val="%1."/>
      <w:numFmt w:val="decimal"/>
      <w:start w:val="14"/>
    </w:lvl>
    <w:lvl w:ilvl="1">
      <w:lvlJc w:val="left"/>
      <w:lvlText w:val="%2)"/>
      <w:numFmt w:val="lowerLetter"/>
      <w:start w:val="2"/>
    </w:lvl>
  </w:abstractNum>
  <w:abstractNum w:abstractNumId="81">
    <w:nsid w:val="4C04A8AF"/>
    <w:multiLevelType w:val="hybridMultilevel"/>
    <w:lvl w:ilvl="0">
      <w:lvlJc w:val="left"/>
      <w:lvlText w:val="(%1)"/>
      <w:numFmt w:val="lowerLetter"/>
      <w:start w:val="2"/>
    </w:lvl>
  </w:abstractNum>
  <w:abstractNum w:abstractNumId="82">
    <w:nsid w:val="1716703B"/>
    <w:multiLevelType w:val="hybridMultilevel"/>
    <w:lvl w:ilvl="0">
      <w:lvlJc w:val="left"/>
      <w:lvlText w:val="%1."/>
      <w:numFmt w:val="decimal"/>
      <w:start w:val="15"/>
    </w:lvl>
    <w:lvl w:ilvl="1">
      <w:lvlJc w:val="left"/>
      <w:lvlText w:val="%2)"/>
      <w:numFmt w:val="lowerLetter"/>
      <w:start w:val="3"/>
    </w:lvl>
  </w:abstractNum>
  <w:abstractNum w:abstractNumId="83">
    <w:nsid w:val="14E17E33"/>
    <w:multiLevelType w:val="hybridMultilevel"/>
    <w:lvl w:ilvl="0">
      <w:lvlJc w:val="left"/>
      <w:lvlText w:val="(%1)"/>
      <w:numFmt w:val="lowerLetter"/>
      <w:start w:val="2"/>
    </w:lvl>
    <w:lvl w:ilvl="1">
      <w:lvlJc w:val="left"/>
      <w:lvlText w:val="(%2)"/>
      <w:numFmt w:val="lowerRoman"/>
      <w:start w:val="1"/>
    </w:lvl>
  </w:abstractNum>
  <w:abstractNum w:abstractNumId="84">
    <w:nsid w:val="3222E7CD"/>
    <w:multiLevelType w:val="hybridMultilevel"/>
    <w:lvl w:ilvl="0">
      <w:lvlJc w:val="left"/>
      <w:lvlText w:val="%1"/>
      <w:numFmt w:val="lowerLetter"/>
      <w:start w:val="1"/>
    </w:lvl>
    <w:lvl w:ilvl="1">
      <w:lvlJc w:val="left"/>
      <w:lvlText w:val="(%2)"/>
      <w:numFmt w:val="lowerRoman"/>
      <w:start w:val="3"/>
    </w:lvl>
  </w:abstractNum>
  <w:abstractNum w:abstractNumId="85">
    <w:nsid w:val="74DE0EE3"/>
    <w:multiLevelType w:val="hybridMultilevel"/>
    <w:lvl w:ilvl="0">
      <w:lvlJc w:val="left"/>
      <w:lvlText w:val="(%1)"/>
      <w:numFmt w:val="lowerLetter"/>
      <w:start w:val="3"/>
    </w:lvl>
    <w:lvl w:ilvl="1">
      <w:lvlJc w:val="left"/>
      <w:lvlText w:val="(%2)"/>
      <w:numFmt w:val="lowerRoman"/>
      <w:start w:val="1"/>
    </w:lvl>
  </w:abstractNum>
  <w:abstractNum w:abstractNumId="86">
    <w:nsid w:val="68EBC550"/>
    <w:multiLevelType w:val="hybridMultilevel"/>
    <w:lvl w:ilvl="0">
      <w:lvlJc w:val="left"/>
      <w:lvlText w:val="%1"/>
      <w:numFmt w:val="lowerLetter"/>
      <w:start w:val="1"/>
    </w:lvl>
    <w:lvl w:ilvl="1">
      <w:lvlJc w:val="left"/>
      <w:lvlText w:val="(%2)"/>
      <w:numFmt w:val="lowerLetter"/>
      <w:start w:val="5"/>
    </w:lvl>
  </w:abstractNum>
  <w:abstractNum w:abstractNumId="87">
    <w:nsid w:val="2DF6D648"/>
    <w:multiLevelType w:val="hybridMultilevel"/>
    <w:lvl w:ilvl="0">
      <w:lvlJc w:val="left"/>
      <w:lvlText w:val="(%1)"/>
      <w:numFmt w:val="lowerLetter"/>
      <w:start w:val="35"/>
    </w:lvl>
    <w:lvl w:ilvl="1">
      <w:lvlJc w:val="left"/>
      <w:lvlText w:val="(%2)"/>
      <w:numFmt w:val="lowerLetter"/>
      <w:start w:val="8"/>
    </w:lvl>
  </w:abstractNum>
  <w:abstractNum w:abstractNumId="88">
    <w:nsid w:val="46B7D447"/>
    <w:multiLevelType w:val="hybridMultilevel"/>
    <w:lvl w:ilvl="0">
      <w:lvlJc w:val="left"/>
      <w:lvlText w:val="(%1)"/>
      <w:numFmt w:val="lowerRoman"/>
      <w:start w:val="1"/>
    </w:lvl>
    <w:lvl w:ilvl="1">
      <w:lvlJc w:val="left"/>
      <w:lvlText w:val="(%2)"/>
      <w:numFmt w:val="lowerRoman"/>
      <w:start w:val="1"/>
    </w:lvl>
  </w:abstractNum>
  <w:abstractNum w:abstractNumId="89">
    <w:nsid w:val="4A2AC315"/>
    <w:multiLevelType w:val="hybridMultilevel"/>
    <w:lvl w:ilvl="0">
      <w:lvlJc w:val="left"/>
      <w:lvlText w:val="(%1)"/>
      <w:numFmt w:val="lowerLetter"/>
      <w:start w:val="10"/>
    </w:lvl>
  </w:abstractNum>
  <w:abstractNum w:abstractNumId="90">
    <w:nsid w:val="39EE015C"/>
    <w:multiLevelType w:val="hybridMultilevel"/>
    <w:lvl w:ilvl="0">
      <w:lvlJc w:val="left"/>
      <w:lvlText w:val="(%1)"/>
      <w:numFmt w:val="lowerLetter"/>
      <w:start w:val="11"/>
    </w:lvl>
  </w:abstractNum>
  <w:abstractNum w:abstractNumId="91">
    <w:nsid w:val="57FC4FBB"/>
    <w:multiLevelType w:val="hybridMultilevel"/>
    <w:lvl w:ilvl="0">
      <w:lvlJc w:val="left"/>
      <w:lvlText w:val="(%1)"/>
      <w:numFmt w:val="lowerLetter"/>
      <w:start w:val="17"/>
    </w:lvl>
  </w:abstractNum>
  <w:abstractNum w:abstractNumId="92">
    <w:nsid w:val="CC1016F"/>
    <w:multiLevelType w:val="hybridMultilevel"/>
    <w:lvl w:ilvl="0">
      <w:lvlJc w:val="left"/>
      <w:lvlText w:val="(%1)"/>
      <w:numFmt w:val="lowerLetter"/>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2019-12-09T17:51:08Z</dcterms:created>
  <dcterms:modified xsi:type="dcterms:W3CDTF">2019-12-09T17:51:08Z</dcterms:modified>
</cp:coreProperties>
</file>