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5822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582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0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0"/>
                </w:rPr>
                <w:t>Siegel Seth M</w:t>
              </w:r>
            </w:hyperlink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20" w:type="dxa"/>
            <w:vAlign w:val="bottom"/>
            <w:gridSpan w:val="4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Vringo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VRNG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18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1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02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VRINGO, INC.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01/28/2013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6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780 THIRD AVENUE, 15TH FLOOR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18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10017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Common Stock, $0.01 par value per share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01/28/2013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25,000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3.2183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347,415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Seth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Mitchell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Common Stock, $0.01 par value per share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jc w:val="right"/>
              <w:ind w:right="2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19,165</w:t>
            </w:r>
          </w:p>
        </w:tc>
        <w:tc>
          <w:tcPr>
            <w:tcW w:w="102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Siegel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3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2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202"/>
        </w:trPr>
        <w:tc>
          <w:tcPr>
            <w:tcW w:w="27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548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0"/>
              </w:rPr>
              <w:t>1. Of which, 250,000 shares of common stock are represented by unvested restricted stock units.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55"/>
        </w:trPr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04"/>
        </w:trPr>
        <w:tc>
          <w:tcPr>
            <w:tcW w:w="8200" w:type="dxa"/>
            <w:vAlign w:val="bottom"/>
            <w:gridSpan w:val="1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7"/>
              </w:rPr>
              <w:t>The transactions reported in this Form 4 were effected pursuant to a Rule 10b5-1 trading plan adopted by the reporting person on September 12, 2012.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44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/s/ Seth M. Siegel</w:t>
            </w:r>
          </w:p>
        </w:tc>
        <w:tc>
          <w:tcPr>
            <w:tcW w:w="80" w:type="dxa"/>
            <w:vAlign w:val="bottom"/>
            <w:gridSpan w:val="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01/29/2013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0"/>
        </w:trPr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93407" TargetMode="External"/><Relationship Id="rId13" Type="http://schemas.openxmlformats.org/officeDocument/2006/relationships/hyperlink" Target="http://www.sec.gov/cgi-bin/browse-edgar?action=getcompany&amp;CIK=0001410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2019-12-17T07:26:35Z</dcterms:created>
  <dcterms:modified xsi:type="dcterms:W3CDTF">2019-12-17T07:26:35Z</dcterms:modified>
</cp:coreProperties>
</file>