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980" w:right="1580" w:hanging="3972"/>
        <w:spacing w:after="0" w:line="473" w:lineRule="auto"/>
        <w:tabs>
          <w:tab w:leader="none" w:pos="703"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30" w:lineRule="exact"/>
        <w:rPr>
          <w:sz w:val="24"/>
          <w:szCs w:val="24"/>
          <w:color w:val="auto"/>
        </w:rPr>
      </w:pPr>
    </w:p>
    <w:p>
      <w:pPr>
        <w:ind w:left="4460" w:right="1560" w:hanging="4452"/>
        <w:spacing w:after="0" w:line="501" w:lineRule="auto"/>
        <w:tabs>
          <w:tab w:leader="none" w:pos="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VRINGO,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6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3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1"/>
              </w:rPr>
              <w:t>780 3rd Avenue, 12th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6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920" w:space="720"/>
            <w:col w:w="4080" w:space="720"/>
            <w:col w:w="270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920" w:space="720"/>
            <w:col w:w="160" w:space="40"/>
            <w:col w:w="3880" w:space="720"/>
            <w:col w:w="2700" w:space="720"/>
            <w:col w:w="560"/>
          </w:cols>
          <w:pgMar w:left="240" w:top="472" w:right="239" w:bottom="1440" w:gutter="0" w:footer="0" w:header="0"/>
          <w:type w:val="continuous"/>
        </w:sectPr>
      </w:pPr>
    </w:p>
    <w:p>
      <w:pPr>
        <w:spacing w:after="0" w:line="16"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880" w:space="220"/>
            <w:col w:w="2320"/>
          </w:cols>
          <w:pgMar w:left="240" w:top="472"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As of July 25, 2014, 92,545,862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rPr>
              <w:t>VRINGO,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20" w:type="dxa"/>
            <w:vAlign w:val="bottom"/>
            <w:gridSpan w:val="3"/>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540" w:type="dxa"/>
            <w:vAlign w:val="bottom"/>
            <w:shd w:val="clear" w:color="auto" w:fill="CCEEFF"/>
          </w:tcPr>
          <w:p>
            <w:pPr>
              <w:spacing w:after="0"/>
              <w:rPr>
                <w:sz w:val="15"/>
                <w:szCs w:val="15"/>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436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7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14"/>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680" w:type="dxa"/>
            <w:vAlign w:val="bottom"/>
            <w:gridSpan w:val="13"/>
          </w:tcPr>
          <w:p>
            <w:pPr>
              <w:ind w:left="54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540" w:type="dxa"/>
            <w:vAlign w:val="bottom"/>
            <w:shd w:val="clear" w:color="auto" w:fill="CCEEFF"/>
          </w:tcPr>
          <w:p>
            <w:pPr>
              <w:spacing w:after="0"/>
              <w:rPr>
                <w:sz w:val="15"/>
                <w:szCs w:val="15"/>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540" w:type="dxa"/>
            <w:vAlign w:val="bottom"/>
            <w:shd w:val="clear" w:color="auto" w:fill="CCEEFF"/>
          </w:tcPr>
          <w:p>
            <w:pPr>
              <w:spacing w:after="0"/>
              <w:rPr>
                <w:sz w:val="17"/>
                <w:szCs w:val="17"/>
                <w:color w:val="auto"/>
              </w:rPr>
            </w:pPr>
          </w:p>
        </w:tc>
        <w:tc>
          <w:tcPr>
            <w:tcW w:w="9140" w:type="dxa"/>
            <w:vAlign w:val="bottom"/>
            <w:gridSpan w:val="12"/>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540" w:type="dxa"/>
            <w:vAlign w:val="bottom"/>
            <w:tcBorders>
              <w:top w:val="single" w:sz="8" w:color="CCEEFF"/>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820" w:type="dxa"/>
            <w:vAlign w:val="bottom"/>
            <w:tcBorders>
              <w:top w:val="single" w:sz="8" w:color="CCEEFF"/>
            </w:tcBorders>
            <w:gridSpan w:val="3"/>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5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782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540" w:type="dxa"/>
            <w:vAlign w:val="bottom"/>
          </w:tcPr>
          <w:p>
            <w:pPr>
              <w:spacing w:after="0"/>
              <w:rPr>
                <w:sz w:val="15"/>
                <w:szCs w:val="15"/>
                <w:color w:val="auto"/>
              </w:rPr>
            </w:pPr>
          </w:p>
        </w:tc>
        <w:tc>
          <w:tcPr>
            <w:tcW w:w="9140" w:type="dxa"/>
            <w:vAlign w:val="bottom"/>
            <w:gridSpan w:val="12"/>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center"/>
              <w:ind w:left="2930"/>
              <w:spacing w:after="0"/>
              <w:rPr>
                <w:sz w:val="20"/>
                <w:szCs w:val="20"/>
                <w:color w:val="auto"/>
              </w:rPr>
            </w:pPr>
            <w:r>
              <w:rPr>
                <w:rFonts w:ascii="Arial" w:cs="Arial" w:eastAsia="Arial" w:hAnsi="Arial"/>
                <w:sz w:val="18"/>
                <w:szCs w:val="18"/>
                <w:color w:val="auto"/>
                <w:w w:val="99"/>
              </w:rPr>
              <w:t>2</w:t>
            </w:r>
          </w:p>
        </w:tc>
        <w:tc>
          <w:tcPr>
            <w:tcW w:w="2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79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60" w:type="dxa"/>
            <w:vAlign w:val="bottom"/>
          </w:tcPr>
          <w:p>
            <w:pPr>
              <w:ind w:left="4580"/>
              <w:spacing w:after="0"/>
              <w:rPr>
                <w:sz w:val="20"/>
                <w:szCs w:val="20"/>
                <w:color w:val="auto"/>
              </w:rPr>
            </w:pPr>
            <w:r>
              <w:rPr>
                <w:rFonts w:ascii="Arial" w:cs="Arial" w:eastAsia="Arial" w:hAnsi="Arial"/>
                <w:sz w:val="18"/>
                <w:szCs w:val="18"/>
                <w:b w:val="1"/>
                <w:bCs w:val="1"/>
                <w:color w:val="auto"/>
              </w:rPr>
              <w:t>Vringo, Inc.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31,654</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Deposits with courts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34,182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Property and equipment, at cost, net of $348 and $134 accumulated depreciation, as of June 30, 2014 and December</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31, 2013, respectively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20,823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4,582</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3,015</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 Convertible Preferred stock, $0.01 par value per share; 5,000,000 authorized; none issued and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per share 150,000,000 authorized; 92,545,862 and 84,502,653 issued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outstanding as of June 30, 2014 and December 31, 2013, respectively</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210,427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(97,186)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(76,028)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114,166</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121,957</w:t>
            </w:r>
          </w:p>
        </w:tc>
        <w:tc>
          <w:tcPr>
            <w:tcW w:w="280" w:type="dxa"/>
            <w:vAlign w:val="bottom"/>
            <w:gridSpan w:val="2"/>
          </w:tcPr>
          <w:p>
            <w:pPr>
              <w:jc w:val="right"/>
              <w:ind w:right="9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123,810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center"/>
              <w:ind w:right="380"/>
              <w:spacing w:after="0"/>
              <w:rPr>
                <w:sz w:val="20"/>
                <w:szCs w:val="20"/>
                <w:color w:val="auto"/>
              </w:rPr>
            </w:pPr>
            <w:r>
              <w:rPr>
                <w:rFonts w:ascii="Arial" w:cs="Arial" w:eastAsia="Arial" w:hAnsi="Arial"/>
                <w:sz w:val="18"/>
                <w:szCs w:val="18"/>
                <w:color w:val="auto"/>
                <w:w w:val="89"/>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99"/>
              </w:rPr>
              <w:t>2013</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10,857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Non-operating income,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(loss) on revaluation of warrants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Issuance of warrants</w:t>
            </w: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Loss per share from continuing operations</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per share from discontinued operations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loss per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number of shares outstanding during the period: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87,210,483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82,739,447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86,337,006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82,552,710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88,515,948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82,739,447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86,337,006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82,552,710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restricted stock units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(Note 8)</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12,999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(21,158)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(21,158)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2014</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925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114,166</w:t>
            </w:r>
          </w:p>
        </w:tc>
        <w:tc>
          <w:tcPr>
            <w:tcW w:w="100" w:type="dxa"/>
            <w:vAlign w:val="bottom"/>
            <w:tcBorders>
              <w:top w:val="single" w:sz="8" w:color="CCEEFF"/>
            </w:tcBorders>
            <w:shd w:val="clear" w:color="auto" w:fill="CCEEFF"/>
          </w:tcPr>
          <w:p>
            <w:pPr>
              <w:spacing w:after="0"/>
              <w:rPr>
                <w:sz w:val="18"/>
                <w:szCs w:val="18"/>
                <w:color w:val="auto"/>
              </w:rPr>
            </w:pPr>
          </w:p>
        </w:tc>
      </w:tr>
      <w:tr>
        <w:trPr>
          <w:trHeight w:val="411"/>
        </w:trPr>
        <w:tc>
          <w:tcPr>
            <w:tcW w:w="5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Common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paid-in 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Exercise of stock options and vesting of RSU</w:t>
            </w:r>
          </w:p>
        </w:tc>
        <w:tc>
          <w:tcPr>
            <w:tcW w:w="9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96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9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(22,904)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(22,904)</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2013</w:t>
            </w: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color w:val="auto"/>
                <w:w w:val="95"/>
              </w:rPr>
              <w:t>Six months ended June 30,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(21,158)</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(22,904)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6,116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Assignment of patents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Exchange rate loss (gain), net</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 in other current assets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payables and accruals</w:t>
            </w: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in short-term investments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Decrease (increase) in deposits</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Exercise of warrants</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11,292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1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33,586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56,960</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Non-cash acquisition of cost method investment</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Conversion of derivative warrants into common stock</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Vringo, Inc., together with its consolidated subsidiaries (“Vringo” or the “Company”), is engaged in the development and monetization of intellectual property worldwide. The Company's intellectual property portfolio consists of over 600 patents and patent applications covering telecom infrastructure, internet search and mobile technologies. The Company’s patents and patent applications have been developed internally or acquired from third parties. Prior to December 31, 2013, the Company operated a global platform for the distribution of mobile social applications and the services that it developed. On February 18, 2014, the Company executed the sale of its mobile social application business to InfoMedia Services Limited (“InfoMedia”), receiving an 8.25% ownership interest as consideration (Note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interim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2013. The results of operations for the three month and six month periods ended June 30, 2014 are not necessarily indicative of the results that may be expected for the entire fiscal year or for any other interim period. All significant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useful lives of the Company’s intangible assets, the valuation of the Company’s derivative warrants, the valuation of stock-based compensation, the valuation of goodwill,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reflected as non-operating income or expense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its cash in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at acquisition date are considered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recognizes all derivative instruments as either assets or liabilities in the consolidated balance sheets at their respective fair values. The Company's derivative instruments, which are discussed in Notes 6 and 8, have been recorded as liabilities at fair value, and are revalued at each reporting date, with changes in the fair value of the instruments included in the consolidated statements of operations as non-operating income (expense).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(f) 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if collectability is reasonably assured, persuasive evidence of an arrangement exists, the sales price is fixed or determinable and delivery of the service has been rendered. The Company uses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Currently, the Company’s revenue arrangements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Operating legal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internal payroll expenses and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2013, the Financial Accounting Standards Board (“FASB”) issued Accounting Standards Update (“ASU”) No. 2013-11</w:t>
      </w:r>
      <w:r>
        <w:rPr>
          <w:rFonts w:ascii="Arial" w:cs="Arial" w:eastAsia="Arial" w:hAnsi="Arial"/>
          <w:sz w:val="17"/>
          <w:szCs w:val="17"/>
          <w:i w:val="1"/>
          <w:iCs w:val="1"/>
          <w:color w:val="auto"/>
        </w:rPr>
        <w:t>, Presentation of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Unrecognized Tax Benefit When a Net Operating Loss Carryforward, a Similar Tax Loss, or a Tax Credit Carryforward Exists, </w:t>
      </w:r>
      <w:r>
        <w:rPr>
          <w:rFonts w:ascii="Arial" w:cs="Arial" w:eastAsia="Arial" w:hAnsi="Arial"/>
          <w:sz w:val="17"/>
          <w:szCs w:val="17"/>
          <w:color w:val="auto"/>
        </w:rPr>
        <w:t>which provides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unrecognized tax benefits. This guidance requires an entity to present an unrecognized tax benefit, or a portion of an unrecognized tax benefit,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guidance is effective beginning January 1, 2014 and is to be applied prospectively with retroactive application permitted. The Company adopted this guidance as of January 1, 2014, as required. There was no material impact of the consolidated financial statements resulting from the adoption.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April 2014, the FASB issued ASU No. 2014-08, </w:t>
      </w:r>
      <w:r>
        <w:rPr>
          <w:rFonts w:ascii="Arial" w:cs="Arial" w:eastAsia="Arial" w:hAnsi="Arial"/>
          <w:sz w:val="17"/>
          <w:szCs w:val="17"/>
          <w:i w:val="1"/>
          <w:iCs w:val="1"/>
          <w:color w:val="auto"/>
        </w:rPr>
        <w:t>Presentation of Financial Statements (Topic 205) and Property, Plant, and Equipment (Topic 360):</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This guidance changes the criteria for reporting a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while enhancing disclosures in this area. This standard will be effective for the Company beginning January 1, 2015. Early adoption of the standard is permitted, but only for disposals (or classifications as held for sale) that have not been reported in financial statements previously issued or available for issuance. The Company is currently evaluating the impact of the adoption on its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impacts virtually all aspects of an entity's revenue recognition. The core principle of the new standard is that revenue should be recognized to depict the transfer of promised goods or services to customers in an amount that reflects the consideration to which the entity expects to be entitled in exchange for those goods or services. The guidance is effective for annual reporting periods beginning after December 15, 2016. The Company is currently evaluating the impact of the adoption on its consolidated financial statements.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2014, the FASB issued ASU No. 2014-10, </w:t>
      </w:r>
      <w:r>
        <w:rPr>
          <w:rFonts w:ascii="Arial" w:cs="Arial" w:eastAsia="Arial" w:hAnsi="Arial"/>
          <w:sz w:val="17"/>
          <w:szCs w:val="17"/>
          <w:i w:val="1"/>
          <w:iCs w:val="1"/>
          <w:color w:val="auto"/>
        </w:rPr>
        <w:t>Development Stage Entities (Topic 915): Elimination of Certain Financial Reporting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an Amendment to Variable Interest Entities Guidance in Topic 810, Consolidation</w:t>
      </w:r>
      <w:r>
        <w:rPr>
          <w:rFonts w:ascii="Arial" w:cs="Arial" w:eastAsia="Arial" w:hAnsi="Arial"/>
          <w:sz w:val="17"/>
          <w:szCs w:val="17"/>
          <w:color w:val="auto"/>
        </w:rPr>
        <w:t>, which removes the definition of development stage entity, as</w:t>
      </w:r>
      <w:r>
        <w:rPr>
          <w:rFonts w:ascii="Arial" w:cs="Arial" w:eastAsia="Arial" w:hAnsi="Arial"/>
          <w:sz w:val="17"/>
          <w:szCs w:val="17"/>
          <w:i w:val="1"/>
          <w:iCs w:val="1"/>
          <w:color w:val="auto"/>
        </w:rPr>
        <w:t xml:space="preserve"> </w:t>
      </w:r>
      <w:r>
        <w:rPr>
          <w:rFonts w:ascii="Arial" w:cs="Arial" w:eastAsia="Arial" w:hAnsi="Arial"/>
          <w:sz w:val="17"/>
          <w:szCs w:val="17"/>
          <w:color w:val="auto"/>
        </w:rPr>
        <w:t>was previously defined under U.S. GAAP, thereby removing the financial reporting distinction between development stage entities and other reporting entities. In addition, the ASU eliminates the requirements for development stage entities to (i) present inception-to-date information in their financial statements, (ii) label the financial statements as those of a development stage entity, (iii) disclose a description of the development stage activities in which the entity is engaged, and (iv) disclose in the first year in which the entity is no longer a development stage entity that in prior years it had been in the development stage. This guidance is effective for annual reporting periods beginning after December 31, 2014 and early adoption of the standard is permitted. The Company adopted this guidance during the second quarter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Reclassification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have been reclassified to conform to presentation requirements including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Computation of Net Loss per Common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 The table below presents the computation of basic and diluted net losses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Loss from continuing operations attributable to shares of 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(10,049)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(10,229)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discontinued operations attributable to shares of common stock</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Denominator: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of common stock outstanding during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the period</w:t>
            </w: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87,210,483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82,625,295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86,337,006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82,406,883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penny stock options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87,210,483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82,739,447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86,337,006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82,552,710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stock share from continuing 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common stock share from discontinued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(10,049)</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(10,229)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loss attributable to derivative warrants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line="178" w:lineRule="exact"/>
              <w:rPr>
                <w:sz w:val="20"/>
                <w:szCs w:val="20"/>
                <w:color w:val="auto"/>
              </w:rPr>
            </w:pPr>
            <w:r>
              <w:rPr>
                <w:rFonts w:ascii="Arial" w:cs="Arial" w:eastAsia="Arial" w:hAnsi="Arial"/>
                <w:sz w:val="18"/>
                <w:szCs w:val="18"/>
                <w:b w:val="1"/>
                <w:bCs w:val="1"/>
                <w:color w:val="auto"/>
                <w:w w:val="95"/>
              </w:rPr>
              <w:t>Diluted net loss from continuing operations attributable to shares of</w:t>
            </w: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(10,397)</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(10,229)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2"/>
              </w:rPr>
              <w:t>Diluted net loss from discontinued operations attributable to shares of</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stock shares outstanding</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87,210,483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82,739,447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86,337,006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82,552,710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derivative warrants outstanding during the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period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1,305,465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88,515,948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82,739,447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86,337,006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82,552,710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w w:val="99"/>
              </w:rPr>
              <w:t>Diluted loss per common stock share from continuing operations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Diluted loss per common stock share from discontinued 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net loss per common stock share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5"/>
              </w:rPr>
              <w:t>diluted net loss the following potentially dilutive securities, as they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rPr>
              <w:t>had an anti-dilutive impact: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Both vested and unvested options at $0.96-$5.50 exercise price, to purchase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 equal number of shares of common stock of the Company</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10,102,094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11,805,940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10,102,094</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11,805,940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2"/>
              </w:rPr>
              <w:t>Unvested penny options to purchase an equal number of shares of common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stock of the Company</w:t>
            </w: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Unvested RSUs to issue an equal number of shares of common stock of the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1,657,890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2,815,794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1,657,890</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Common stock shares granted, but not yet vested</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61,478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61,478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8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6"/>
              </w:rPr>
              <w:t>Warrants to purchase an equal number of shares of common stock of the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15,801,923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18,764,114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17,423,851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18,764,114</w:t>
            </w:r>
          </w:p>
        </w:tc>
      </w:tr>
      <w:tr>
        <w:trPr>
          <w:trHeight w:val="244"/>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Company</w:t>
            </w:r>
          </w:p>
        </w:tc>
        <w:tc>
          <w:tcPr>
            <w:tcW w:w="126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78"/>
        </w:trPr>
        <w:tc>
          <w:tcPr>
            <w:tcW w:w="5620" w:type="dxa"/>
            <w:vAlign w:val="bottom"/>
          </w:tcPr>
          <w:p>
            <w:pPr>
              <w:spacing w:after="0" w:line="178" w:lineRule="exact"/>
              <w:rPr>
                <w:sz w:val="20"/>
                <w:szCs w:val="20"/>
                <w:color w:val="auto"/>
              </w:rPr>
            </w:pPr>
            <w:r>
              <w:rPr>
                <w:rFonts w:ascii="Arial" w:cs="Arial" w:eastAsia="Arial" w:hAnsi="Arial"/>
                <w:sz w:val="18"/>
                <w:szCs w:val="18"/>
                <w:b w:val="1"/>
                <w:bCs w:val="1"/>
                <w:color w:val="auto"/>
                <w:w w:val="97"/>
              </w:rPr>
              <w:t>Total number of potentially dilutive instruments, excluded from the</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calculation of net loss per share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27,561,907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33,449,701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29,183,835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33,449,701</w:t>
            </w:r>
          </w:p>
        </w:tc>
      </w:tr>
      <w:tr>
        <w:trPr>
          <w:trHeight w:val="642"/>
        </w:trPr>
        <w:tc>
          <w:tcPr>
            <w:tcW w:w="56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3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Discontinued Operations and Assets Held For Sale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December 31, 2013, the Company entered into a definitive asset purchase agreement with InfoMedia for the sale of all assets and the assignment of all agreements related to the Company’s mobile social application business. The closing of the transaction occurred on February 18, 2014 (“Closing”).</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Closing, as consideration for the assets and agreements related to the Company’s mobile social application business, the Company received 18 Class B shares of InfoMedia, which represent an 8.25% ownership interest in InfoMedia. Additionally, the Company’s Chief Executive Officer was appointed as a full voting member on InfoMedia’s board of directors and the Company received a number of customary protective rights. The InfoMedia Class B shares were accounted for as a cost-method investment at the carrying amount of $787 and are included in Other assets in the consolidated balance sheet as of June 30, 2014. During the six month period ended June 30, 2014, there were no events or changes in circumstances that would indicate that the carrying amount of this investment may no longer be recoverable.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asset purchase agreement, the requirement to report the results of the Company’s mobile social application business as discontinued operations was triggered. The following tables represent the components of operating results from discontinued operations, as presented in the consolidated statements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gridSpan w:val="8"/>
          </w:tcPr>
          <w:p>
            <w:pPr>
              <w:jc w:val="right"/>
              <w:ind w:right="420"/>
              <w:spacing w:after="0"/>
              <w:rPr>
                <w:sz w:val="20"/>
                <w:szCs w:val="20"/>
                <w:color w:val="auto"/>
              </w:rPr>
            </w:pPr>
            <w:r>
              <w:rPr>
                <w:rFonts w:ascii="Arial" w:cs="Arial" w:eastAsia="Arial" w:hAnsi="Arial"/>
                <w:sz w:val="18"/>
                <w:szCs w:val="18"/>
                <w:color w:val="auto"/>
                <w:w w:val="99"/>
              </w:rPr>
              <w:t>Three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30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0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40" w:type="dxa"/>
            <w:vAlign w:val="bottom"/>
            <w:gridSpan w:val="8"/>
          </w:tcPr>
          <w:p>
            <w:pPr>
              <w:jc w:val="right"/>
              <w:ind w:right="5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before taxes on income</w:t>
            </w:r>
          </w:p>
        </w:tc>
        <w:tc>
          <w:tcPr>
            <w:tcW w:w="30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304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following table presents the carrying amounts of the major classes of assets from the discontinued mobile social application business in the Company’s consolidated balance sheet as of December 31, 2013. These assets were transferred to InfoMedia upon Closing. As of December 31, 2013, there were no liabilities classified as held for sale and no liabilities were transferred to InfoMedia upon Closing.</w:t>
      </w:r>
    </w:p>
    <w:p>
      <w:pPr>
        <w:sectPr>
          <w:pgSz w:w="11900" w:h="16838" w:orient="portrait"/>
          <w:cols w:equalWidth="0" w:num="1">
            <w:col w:w="11420"/>
          </w:cols>
          <w:pgMar w:left="240" w:top="8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 at carrying amount of $208, net of $208 loss on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Acquired technology at carrying amount of $10,133, net of $2,451 accumulated amortization and $7,045 loss on impairment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57595"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As of December 31,</w:t>
      </w:r>
    </w:p>
    <w:p>
      <w:pPr>
        <w:spacing w:after="0" w:line="46"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2013</w:t>
      </w:r>
    </w:p>
    <w:p>
      <w:pPr>
        <w:spacing w:after="0" w:line="23" w:lineRule="exact"/>
        <w:rPr>
          <w:sz w:val="20"/>
          <w:szCs w:val="20"/>
          <w:color w:val="auto"/>
        </w:rPr>
      </w:pPr>
    </w:p>
    <w:p>
      <w:pPr>
        <w:ind w:left="1280" w:hanging="1275"/>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48</w:t>
      </w:r>
    </w:p>
    <w:p>
      <w:pPr>
        <w:spacing w:after="0" w:line="45"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102</w:t>
      </w:r>
    </w:p>
    <w:p>
      <w:pPr>
        <w:spacing w:after="0" w:line="32" w:lineRule="exact"/>
        <w:rPr>
          <w:rFonts w:ascii="Arial" w:cs="Arial" w:eastAsia="Arial" w:hAnsi="Arial"/>
          <w:sz w:val="16"/>
          <w:szCs w:val="16"/>
          <w:color w:val="auto"/>
        </w:rPr>
      </w:pPr>
    </w:p>
    <w:p>
      <w:pPr>
        <w:ind w:left="128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24"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637</w:t>
      </w:r>
    </w:p>
    <w:p>
      <w:pPr>
        <w:spacing w:after="0" w:line="59" w:lineRule="exact"/>
        <w:rPr>
          <w:sz w:val="20"/>
          <w:szCs w:val="20"/>
          <w:color w:val="auto"/>
        </w:rPr>
      </w:pPr>
    </w:p>
    <w:p>
      <w:pPr>
        <w:ind w:left="1180" w:hanging="1175"/>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917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691" w:lineRule="exact"/>
        <w:rPr>
          <w:sz w:val="20"/>
          <w:szCs w:val="20"/>
          <w:color w:val="auto"/>
        </w:rPr>
      </w:pPr>
    </w:p>
    <w:p>
      <w:pPr>
        <w:sectPr>
          <w:pgSz w:w="11900" w:h="16838" w:orient="portrait"/>
          <w:cols w:equalWidth="0" w:num="2">
            <w:col w:w="7880" w:space="280"/>
            <w:col w:w="3260"/>
          </w:cols>
          <w:pgMar w:left="240" w:top="895"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As of June 30,</w:t>
            </w:r>
          </w:p>
        </w:tc>
        <w:tc>
          <w:tcPr>
            <w:tcW w:w="1700" w:type="dxa"/>
            <w:vAlign w:val="bottom"/>
            <w:gridSpan w:val="3"/>
          </w:tcPr>
          <w:p>
            <w:pPr>
              <w:ind w:left="20"/>
              <w:spacing w:after="0"/>
              <w:rPr>
                <w:sz w:val="20"/>
                <w:szCs w:val="20"/>
                <w:color w:val="auto"/>
              </w:rPr>
            </w:pPr>
            <w:r>
              <w:rPr>
                <w:rFonts w:ascii="Arial" w:cs="Arial" w:eastAsia="Arial" w:hAnsi="Arial"/>
                <w:sz w:val="18"/>
                <w:szCs w:val="18"/>
                <w:color w:val="auto"/>
              </w:rPr>
              <w:t>As of December 31,</w:t>
            </w:r>
          </w:p>
        </w:tc>
        <w:tc>
          <w:tcPr>
            <w:tcW w:w="1980" w:type="dxa"/>
            <w:vAlign w:val="bottom"/>
          </w:tcPr>
          <w:p>
            <w:pPr>
              <w:ind w:left="300"/>
              <w:spacing w:after="0"/>
              <w:rPr>
                <w:sz w:val="20"/>
                <w:szCs w:val="20"/>
                <w:color w:val="auto"/>
              </w:rPr>
            </w:pPr>
            <w:r>
              <w:rPr>
                <w:rFonts w:ascii="Arial" w:cs="Arial" w:eastAsia="Arial" w:hAnsi="Arial"/>
                <w:sz w:val="18"/>
                <w:szCs w:val="18"/>
                <w:color w:val="auto"/>
              </w:rPr>
              <w:t>Weighted average</w:t>
            </w:r>
          </w:p>
        </w:tc>
      </w:tr>
      <w:tr>
        <w:trPr>
          <w:trHeight w:val="230"/>
        </w:trPr>
        <w:tc>
          <w:tcPr>
            <w:tcW w:w="6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amortization period (years)</w:t>
            </w:r>
          </w:p>
        </w:tc>
      </w:tr>
      <w:tr>
        <w:trPr>
          <w:trHeight w:val="223"/>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8.3</w:t>
            </w:r>
          </w:p>
        </w:tc>
      </w:tr>
      <w:tr>
        <w:trPr>
          <w:trHeight w:val="21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980" w:type="dxa"/>
            <w:vAlign w:val="bottom"/>
            <w:tcBorders>
              <w:bottom w:val="single" w:sz="8" w:color="CCEEFF"/>
            </w:tcBorders>
          </w:tcPr>
          <w:p>
            <w:pPr>
              <w:spacing w:after="0"/>
              <w:rPr>
                <w:sz w:val="18"/>
                <w:szCs w:val="18"/>
                <w:color w:val="auto"/>
              </w:rPr>
            </w:pPr>
          </w:p>
        </w:tc>
      </w:tr>
      <w:tr>
        <w:trPr>
          <w:trHeight w:val="223"/>
        </w:trPr>
        <w:tc>
          <w:tcPr>
            <w:tcW w:w="6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20,823</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22,748</w:t>
            </w:r>
          </w:p>
        </w:tc>
        <w:tc>
          <w:tcPr>
            <w:tcW w:w="2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intangible assets consist of its patents which are amortized over their expected useful lives (i.e., through the expiration date of the patent). During the three and six month periods ended June 30, 2014, the Company recorded amortization expense of $968 and $1,925, respectively, related to its patents. During the three and six month periods ended June 30, 2013, the Company recorded amortization expense of $839 and $1,678, respectively, related to its patents.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Company measures fair value in accordance with FASB Accounting Standards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liabilities measured at fair value on a recurring basis as of June 30,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00" w:type="dxa"/>
            <w:vAlign w:val="bottom"/>
            <w:gridSpan w:val="8"/>
          </w:tcPr>
          <w:p>
            <w:pPr>
              <w:jc w:val="center"/>
              <w:ind w:right="1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95" w:lineRule="exact"/>
              <w:rPr>
                <w:sz w:val="20"/>
                <w:szCs w:val="20"/>
                <w:color w:val="auto"/>
              </w:rPr>
            </w:pPr>
            <w:r>
              <w:rPr>
                <w:rFonts w:ascii="Arial" w:cs="Arial" w:eastAsia="Arial" w:hAnsi="Arial"/>
                <w:sz w:val="18"/>
                <w:szCs w:val="18"/>
                <w:color w:val="auto"/>
                <w:w w:val="91"/>
              </w:rPr>
              <w:t>Quoted prices in</w:t>
            </w: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active markets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for identical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Balance</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assets (Level 1)</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 of June 30, 2014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As of December 31, 2013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4,083</w:t>
            </w:r>
          </w:p>
        </w:tc>
        <w:tc>
          <w:tcPr>
            <w:tcW w:w="240" w:type="dxa"/>
            <w:vAlign w:val="bottom"/>
          </w:tcPr>
          <w:p>
            <w:pPr>
              <w:spacing w:after="0"/>
              <w:rPr>
                <w:sz w:val="20"/>
                <w:szCs w:val="20"/>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4,083</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its derivative liabilities at fair value. The Special Bridge Warrants, Conversion Warrants, the derivative Reload Warrants and the derivative Series 1 Warrants (as defined in Note 8) are classified within Level 3 because they are valued using the Black-Scholes-Merton and the Monte-Carlo models (as these warrants include down-round protection clauses), which utilize significant inputs that are unobservable in the market.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assets that are measured at fair value on a non-recurring basis as of December 31, 2013 (there were no such assets or liabilities as of June 30,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94"/>
              </w:rPr>
              <w:t>Fair value measurement at reporting date using</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1"/>
              </w:rPr>
              <w:t>Quoted prices in</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active markets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Significant other</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30"/>
        </w:trPr>
        <w:tc>
          <w:tcPr>
            <w:tcW w:w="5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for identical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assets (Level 1)</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inputs (Level 2)</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960" w:type="dxa"/>
            <w:vAlign w:val="bottom"/>
            <w:tcBorders>
              <w:top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the Company’s financial instruments as of June 30, 2014 and December 31, 2013 consisted of cash, cash equivalents, receivables, accounts payable and deposits. The carrying amounts of all the aforementioned financial instruments approximate fair value. The following table summarizes the changes in the Company’s liabilities measured at fair value on a recurring basis using significant unobservable inputs (Level 3) during the six month period ended June 30,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5759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1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Fair value adjustment, prior to exercise of warrants, included in Consolidated Statement of Operations Exercise of derivative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61575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right="940"/>
        <w:spacing w:after="0" w:line="276" w:lineRule="auto"/>
        <w:rPr>
          <w:sz w:val="20"/>
          <w:szCs w:val="20"/>
          <w:color w:val="auto"/>
        </w:rPr>
      </w:pPr>
      <w:r>
        <w:rPr>
          <w:rFonts w:ascii="Arial" w:cs="Arial" w:eastAsia="Arial" w:hAnsi="Arial"/>
          <w:sz w:val="18"/>
          <w:szCs w:val="18"/>
          <w:color w:val="auto"/>
        </w:rPr>
        <w:t>Fair value adjustment at end of period, included in Consolidated Statement of Operations Balance at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61575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0" w:lineRule="exact"/>
        <w:rPr>
          <w:sz w:val="20"/>
          <w:szCs w:val="20"/>
          <w:color w:val="auto"/>
        </w:rPr>
      </w:pPr>
      <w:r>
        <w:rPr>
          <w:sz w:val="20"/>
          <w:szCs w:val="20"/>
          <w:color w:val="auto"/>
        </w:rPr>
        <w:br w:type="column"/>
      </w:r>
    </w:p>
    <w:p>
      <w:pPr>
        <w:ind w:left="489"/>
        <w:spacing w:after="0"/>
        <w:rPr>
          <w:sz w:val="20"/>
          <w:szCs w:val="20"/>
          <w:color w:val="auto"/>
        </w:rPr>
      </w:pPr>
      <w:r>
        <w:rPr>
          <w:rFonts w:ascii="Arial" w:cs="Arial" w:eastAsia="Arial" w:hAnsi="Arial"/>
          <w:sz w:val="18"/>
          <w:szCs w:val="18"/>
          <w:color w:val="auto"/>
        </w:rPr>
        <w:t>Level 3</w:t>
      </w:r>
    </w:p>
    <w:p>
      <w:pPr>
        <w:spacing w:after="0" w:line="23" w:lineRule="exact"/>
        <w:rPr>
          <w:sz w:val="20"/>
          <w:szCs w:val="20"/>
          <w:color w:val="auto"/>
        </w:rPr>
      </w:pPr>
    </w:p>
    <w:p>
      <w:pPr>
        <w:ind w:left="1129" w:hanging="1129"/>
        <w:spacing w:after="0"/>
        <w:tabs>
          <w:tab w:leader="none" w:pos="1129" w:val="left"/>
        </w:tabs>
        <w:numPr>
          <w:ilvl w:val="0"/>
          <w:numId w:val="5"/>
        </w:numPr>
        <w:rPr>
          <w:rFonts w:ascii="Arial" w:cs="Arial" w:eastAsia="Arial" w:hAnsi="Arial"/>
          <w:sz w:val="18"/>
          <w:szCs w:val="18"/>
          <w:color w:val="auto"/>
        </w:rPr>
      </w:pPr>
      <w:r>
        <w:rPr>
          <w:rFonts w:ascii="Arial" w:cs="Arial" w:eastAsia="Arial" w:hAnsi="Arial"/>
          <w:sz w:val="18"/>
          <w:szCs w:val="18"/>
          <w:color w:val="auto"/>
        </w:rPr>
        <w:t>4,083</w:t>
      </w:r>
    </w:p>
    <w:p>
      <w:pPr>
        <w:spacing w:after="0" w:line="22" w:lineRule="exact"/>
        <w:rPr>
          <w:rFonts w:ascii="Arial" w:cs="Arial" w:eastAsia="Arial" w:hAnsi="Arial"/>
          <w:sz w:val="18"/>
          <w:szCs w:val="18"/>
          <w:color w:val="auto"/>
        </w:rPr>
      </w:pPr>
    </w:p>
    <w:p>
      <w:pPr>
        <w:ind w:left="1369"/>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77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3"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(1,707)</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672</w:t>
      </w:r>
    </w:p>
    <w:p>
      <w:pPr>
        <w:spacing w:after="0" w:line="35" w:lineRule="exact"/>
        <w:rPr>
          <w:sz w:val="20"/>
          <w:szCs w:val="20"/>
          <w:color w:val="auto"/>
        </w:rPr>
      </w:pPr>
    </w:p>
    <w:p>
      <w:pPr>
        <w:ind w:left="1129" w:hanging="1129"/>
        <w:spacing w:after="0"/>
        <w:tabs>
          <w:tab w:leader="none" w:pos="1129" w:val="left"/>
        </w:tabs>
        <w:numPr>
          <w:ilvl w:val="0"/>
          <w:numId w:val="6"/>
        </w:numPr>
        <w:rPr>
          <w:rFonts w:ascii="Arial" w:cs="Arial" w:eastAsia="Arial" w:hAnsi="Arial"/>
          <w:sz w:val="18"/>
          <w:szCs w:val="18"/>
          <w:color w:val="auto"/>
        </w:rPr>
      </w:pPr>
      <w:r>
        <w:rPr>
          <w:rFonts w:ascii="Arial" w:cs="Arial" w:eastAsia="Arial" w:hAnsi="Arial"/>
          <w:sz w:val="18"/>
          <w:szCs w:val="18"/>
          <w:color w:val="auto"/>
        </w:rPr>
        <w:t>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77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380" w:space="691"/>
            <w:col w:w="3349"/>
          </w:cols>
          <w:pgMar w:left="240" w:top="895" w:right="239" w:bottom="1440" w:gutter="0" w:footer="0" w:header="0"/>
        </w:sectPr>
      </w:pP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measurement of the derivative warrant liabilities related to the Special Bridge Warrants, Conversion Warrants, Reload Warrants and Series 1 Warrants (as defined in Note 8) fall within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ind w:left="174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4"/>
                <w:szCs w:val="14"/>
                <w:color w:val="auto"/>
              </w:rPr>
            </w:pPr>
          </w:p>
        </w:tc>
        <w:tc>
          <w:tcPr>
            <w:tcW w:w="2660" w:type="dxa"/>
            <w:vAlign w:val="bottom"/>
          </w:tcPr>
          <w:p>
            <w:pPr>
              <w:ind w:left="760"/>
              <w:spacing w:after="0"/>
              <w:rPr>
                <w:sz w:val="20"/>
                <w:szCs w:val="20"/>
                <w:color w:val="auto"/>
              </w:rPr>
            </w:pPr>
            <w:r>
              <w:rPr>
                <w:rFonts w:ascii="Arial" w:cs="Arial" w:eastAsia="Arial" w:hAnsi="Arial"/>
                <w:sz w:val="14"/>
                <w:szCs w:val="14"/>
                <w:color w:val="auto"/>
              </w:rPr>
              <w:t>Valuation technique</w:t>
            </w:r>
          </w:p>
        </w:tc>
        <w:tc>
          <w:tcPr>
            <w:tcW w:w="100" w:type="dxa"/>
            <w:vAlign w:val="bottom"/>
          </w:tcPr>
          <w:p>
            <w:pPr>
              <w:spacing w:after="0"/>
              <w:rPr>
                <w:sz w:val="14"/>
                <w:szCs w:val="14"/>
                <w:color w:val="auto"/>
              </w:rPr>
            </w:pPr>
          </w:p>
        </w:tc>
        <w:tc>
          <w:tcPr>
            <w:tcW w:w="2360" w:type="dxa"/>
            <w:vAlign w:val="bottom"/>
            <w:gridSpan w:val="2"/>
          </w:tcPr>
          <w:p>
            <w:pPr>
              <w:ind w:left="540"/>
              <w:spacing w:after="0"/>
              <w:rPr>
                <w:sz w:val="20"/>
                <w:szCs w:val="20"/>
                <w:color w:val="auto"/>
              </w:rPr>
            </w:pPr>
            <w:r>
              <w:rPr>
                <w:rFonts w:ascii="Arial" w:cs="Arial" w:eastAsia="Arial" w:hAnsi="Arial"/>
                <w:sz w:val="14"/>
                <w:szCs w:val="14"/>
                <w:color w:val="auto"/>
              </w:rPr>
              <w:t>Unobservable inputs</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Range</w:t>
            </w:r>
          </w:p>
        </w:tc>
      </w:tr>
      <w:tr>
        <w:trPr>
          <w:trHeight w:val="123"/>
        </w:trPr>
        <w:tc>
          <w:tcPr>
            <w:tcW w:w="41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Special Bridge Warrants, Conversion Warrants, derivative</w:t>
            </w:r>
          </w:p>
        </w:tc>
        <w:tc>
          <w:tcPr>
            <w:tcW w:w="100" w:type="dxa"/>
            <w:vAlign w:val="bottom"/>
            <w:tcBorders>
              <w:top w:val="single" w:sz="8" w:color="CCEEFF"/>
            </w:tcBorders>
            <w:shd w:val="clear" w:color="auto" w:fill="CCEEFF"/>
          </w:tcPr>
          <w:p>
            <w:pPr>
              <w:spacing w:after="0"/>
              <w:rPr>
                <w:sz w:val="10"/>
                <w:szCs w:val="10"/>
                <w:color w:val="auto"/>
              </w:rPr>
            </w:pPr>
          </w:p>
        </w:tc>
        <w:tc>
          <w:tcPr>
            <w:tcW w:w="26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Black-Scholes-Merton and the</w:t>
            </w:r>
          </w:p>
        </w:tc>
        <w:tc>
          <w:tcPr>
            <w:tcW w:w="100" w:type="dxa"/>
            <w:vAlign w:val="bottom"/>
            <w:tcBorders>
              <w:top w:val="single" w:sz="8" w:color="CCEEFF"/>
            </w:tcBorders>
            <w:shd w:val="clear" w:color="auto" w:fill="CCEEFF"/>
          </w:tcPr>
          <w:p>
            <w:pPr>
              <w:spacing w:after="0"/>
              <w:rPr>
                <w:sz w:val="10"/>
                <w:szCs w:val="10"/>
                <w:color w:val="auto"/>
              </w:rPr>
            </w:pPr>
          </w:p>
        </w:tc>
        <w:tc>
          <w:tcPr>
            <w:tcW w:w="224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w:t>
            </w:r>
          </w:p>
        </w:tc>
        <w:tc>
          <w:tcPr>
            <w:tcW w:w="120" w:type="dxa"/>
            <w:vAlign w:val="bottom"/>
            <w:tcBorders>
              <w:top w:val="single" w:sz="8" w:color="CCEEFF"/>
            </w:tcBorders>
            <w:shd w:val="clear" w:color="auto" w:fill="CCEEFF"/>
          </w:tcPr>
          <w:p>
            <w:pPr>
              <w:spacing w:after="0"/>
              <w:rPr>
                <w:sz w:val="10"/>
                <w:szCs w:val="10"/>
                <w:color w:val="auto"/>
              </w:rPr>
            </w:pPr>
          </w:p>
        </w:tc>
        <w:tc>
          <w:tcPr>
            <w:tcW w:w="19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32.83% – 46.41%</w:t>
            </w:r>
          </w:p>
        </w:tc>
        <w:tc>
          <w:tcPr>
            <w:tcW w:w="100" w:type="dxa"/>
            <w:vAlign w:val="bottom"/>
            <w:tcBorders>
              <w:top w:val="single" w:sz="8" w:color="CCEEFF"/>
            </w:tcBorders>
            <w:shd w:val="clear" w:color="auto" w:fill="CCEEFF"/>
          </w:tcPr>
          <w:p>
            <w:pPr>
              <w:spacing w:after="0"/>
              <w:rPr>
                <w:sz w:val="10"/>
                <w:szCs w:val="10"/>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Reload Warrants and derivative Series 1 Warrants</w:t>
            </w: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Monte-Carlo models</w:t>
            </w: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2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0.08% – 0.88%</w:t>
            </w:r>
          </w:p>
        </w:tc>
      </w:tr>
      <w:tr>
        <w:trPr>
          <w:trHeight w:val="149"/>
        </w:trPr>
        <w:tc>
          <w:tcPr>
            <w:tcW w:w="4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term, in years</w:t>
            </w:r>
          </w:p>
        </w:tc>
        <w:tc>
          <w:tcPr>
            <w:tcW w:w="2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 – 3.05</w:t>
            </w:r>
          </w:p>
        </w:tc>
      </w:tr>
      <w:tr>
        <w:trPr>
          <w:trHeight w:val="149"/>
        </w:trPr>
        <w:tc>
          <w:tcPr>
            <w:tcW w:w="4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2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4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Probability and timing of down-round</w:t>
            </w:r>
          </w:p>
        </w:tc>
        <w:tc>
          <w:tcPr>
            <w:tcW w:w="20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5% occurrence in December 2014</w:t>
            </w:r>
          </w:p>
        </w:tc>
      </w:tr>
      <w:tr>
        <w:trPr>
          <w:trHeight w:val="167"/>
        </w:trPr>
        <w:tc>
          <w:tcPr>
            <w:tcW w:w="4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triggering event</w:t>
            </w: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assets held for sale as of December 31, 2013 (Note 4) was determined by estimating the present value of the expected future cash flows associated with that asset or asset group by using certain unobservable market inputs. These inputs included discount rates, estimated future cash flows and certain continuing growth rate assumptions. The discount rates are intended to reflect the risk inherent in the projected future cash flows generated by the respective asset or asset group. The inputs used in the valuation were sensitive to certain factors related to mobile social application technology such as rapid changes in the industry and technological advances.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liabilities are the current market price of the Company’s common stock, the exercise price of the warrant, its remaining expected term, the volatility of the Company’s common stock price, the Company’s assumptions regarding the probability and timing of a down-round protection triggering event and the risk-free interest rate. Significant changes in any of those inputs in isolation can result in a significant change in the fair value measurement. Generally, an increase in the market price of the Company’s common stock, an increase in the volatility of the Company’s shares of common stock, an increase in the remaining term of the warrant, or an increase of a probability of a down-round triggering event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and does not plan to, declare dividends on its common stock, and as such, there is no change in the estimated fair value of the warrants due to the dividend assumption.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stock-based compensation plan available to grant stock options and RSU to the Company’s directors, employees and consultants. Under the 2012 Employee, Director and Consultant Equity Incentive Plan (the “Plan”), a maximum of 15,600,000 shares of common stock may be awarded. As of June 30, 2014, 3,741,170 shares were available for future grants under the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illustrates the stock options granted for the six month period ended June 30,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No. of</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FMV at</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88"/>
              </w:rPr>
              <w:t>Assumptions used in</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Title</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Vesting terms</w:t>
            </w: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Black-Scholes option pricing</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grant date</w:t>
            </w:r>
          </w:p>
        </w:tc>
        <w:tc>
          <w:tcPr>
            <w:tcW w:w="148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model</w:t>
            </w:r>
          </w:p>
        </w:tc>
        <w:tc>
          <w:tcPr>
            <w:tcW w:w="0" w:type="dxa"/>
            <w:vAlign w:val="bottom"/>
          </w:tcPr>
          <w:p>
            <w:pPr>
              <w:spacing w:after="0"/>
              <w:rPr>
                <w:sz w:val="1"/>
                <w:szCs w:val="1"/>
                <w:color w:val="auto"/>
              </w:rPr>
            </w:pPr>
          </w:p>
        </w:tc>
      </w:tr>
      <w:tr>
        <w:trPr>
          <w:trHeight w:val="123"/>
        </w:trPr>
        <w:tc>
          <w:tcPr>
            <w:tcW w:w="30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Directors, Management, and Employees</w:t>
            </w:r>
          </w:p>
        </w:tc>
        <w:tc>
          <w:tcPr>
            <w:tcW w:w="1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0"/>
              </w:rPr>
              <w:t>January - June 2014</w:t>
            </w: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1,200,000</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$ 3.12 - $ 4.10</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$ 1.76 - $ 2.32</w:t>
            </w:r>
          </w:p>
        </w:tc>
        <w:tc>
          <w:tcPr>
            <w:tcW w:w="10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Over 1 year for</w:t>
            </w:r>
          </w:p>
        </w:tc>
        <w:tc>
          <w:tcPr>
            <w:tcW w:w="80" w:type="dxa"/>
            <w:vAlign w:val="bottom"/>
            <w:tcBorders>
              <w:top w:val="single" w:sz="8" w:color="CCEEFF"/>
            </w:tcBorders>
            <w:shd w:val="clear" w:color="auto" w:fill="CCEEFF"/>
          </w:tcPr>
          <w:p>
            <w:pPr>
              <w:spacing w:after="0"/>
              <w:rPr>
                <w:sz w:val="10"/>
                <w:szCs w:val="10"/>
                <w:color w:val="auto"/>
              </w:rPr>
            </w:pPr>
          </w:p>
        </w:tc>
        <w:tc>
          <w:tcPr>
            <w:tcW w:w="22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 57.75 % – 62.00%</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Directors; Over 3 years</w:t>
            </w: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Risk free interest rate: 1.82% - 2.06%</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 Management and</w:t>
            </w: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term, in years: 5.31-5.81</w:t>
            </w: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Dividend yield: 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grantee), upon a subsequent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 for the six month period ended June 30, 2014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5"/>
          </w:tcPr>
          <w:p>
            <w:pPr>
              <w:jc w:val="right"/>
              <w:ind w:right="1220"/>
              <w:spacing w:after="0"/>
              <w:rPr>
                <w:sz w:val="20"/>
                <w:szCs w:val="20"/>
                <w:color w:val="auto"/>
              </w:rPr>
            </w:pPr>
            <w:r>
              <w:rPr>
                <w:rFonts w:ascii="Arial" w:cs="Arial" w:eastAsia="Arial" w:hAnsi="Arial"/>
                <w:sz w:val="16"/>
                <w:szCs w:val="16"/>
                <w:color w:val="auto"/>
                <w:w w:val="90"/>
              </w:rPr>
              <w:t>RSUs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4"/>
          </w:tcPr>
          <w:p>
            <w:pPr>
              <w:jc w:val="right"/>
              <w:ind w:right="1180"/>
              <w:spacing w:after="0"/>
              <w:rPr>
                <w:sz w:val="20"/>
                <w:szCs w:val="20"/>
                <w:color w:val="auto"/>
              </w:rPr>
            </w:pPr>
            <w:r>
              <w:rPr>
                <w:rFonts w:ascii="Arial" w:cs="Arial" w:eastAsia="Arial" w:hAnsi="Arial"/>
                <w:sz w:val="16"/>
                <w:szCs w:val="16"/>
                <w:color w:val="auto"/>
              </w:rPr>
              <w:t>Options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89"/>
              </w:rPr>
              <w:t>Weighted average</w:t>
            </w: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89"/>
              </w:rPr>
              <w:t>Weighted average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120" w:type="dxa"/>
            <w:vAlign w:val="bottom"/>
            <w:gridSpan w:val="2"/>
          </w:tcPr>
          <w:p>
            <w:pPr>
              <w:jc w:val="right"/>
              <w:ind w:right="359"/>
              <w:spacing w:after="0"/>
              <w:rPr>
                <w:sz w:val="20"/>
                <w:szCs w:val="20"/>
                <w:color w:val="auto"/>
              </w:rPr>
            </w:pPr>
            <w:r>
              <w:rPr>
                <w:rFonts w:ascii="Arial" w:cs="Arial" w:eastAsia="Arial" w:hAnsi="Arial"/>
                <w:sz w:val="16"/>
                <w:szCs w:val="16"/>
                <w:color w:val="auto"/>
              </w:rPr>
              <w:t>No.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6"/>
                <w:szCs w:val="16"/>
                <w:color w:val="auto"/>
                <w:w w:val="91"/>
              </w:rPr>
              <w:t>grant date fair</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color w:val="auto"/>
              </w:rPr>
              <w:t>No. of</w:t>
            </w:r>
          </w:p>
        </w:tc>
        <w:tc>
          <w:tcPr>
            <w:tcW w:w="8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Arial" w:cs="Arial" w:eastAsia="Arial" w:hAnsi="Arial"/>
                <w:sz w:val="16"/>
                <w:szCs w:val="16"/>
                <w:color w:val="auto"/>
              </w:rPr>
              <w:t>Weighted average</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Exercise price</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grant date fair</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120" w:type="dxa"/>
            <w:vAlign w:val="bottom"/>
            <w:gridSpan w:val="2"/>
          </w:tcPr>
          <w:p>
            <w:pPr>
              <w:jc w:val="right"/>
              <w:ind w:right="359"/>
              <w:spacing w:after="0"/>
              <w:rPr>
                <w:sz w:val="20"/>
                <w:szCs w:val="20"/>
                <w:color w:val="auto"/>
              </w:rPr>
            </w:pPr>
            <w:r>
              <w:rPr>
                <w:rFonts w:ascii="Arial" w:cs="Arial" w:eastAsia="Arial" w:hAnsi="Arial"/>
                <w:sz w:val="16"/>
                <w:szCs w:val="16"/>
                <w:color w:val="auto"/>
              </w:rPr>
              <w:t>RSUs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6"/>
                <w:szCs w:val="16"/>
                <w:color w:val="auto"/>
              </w:rPr>
              <w:t>value</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options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6"/>
                <w:szCs w:val="16"/>
                <w:color w:val="auto"/>
                <w:w w:val="93"/>
              </w:rPr>
              <w:t>exercise price</w:t>
            </w:r>
          </w:p>
        </w:tc>
        <w:tc>
          <w:tcPr>
            <w:tcW w:w="1440" w:type="dxa"/>
            <w:vAlign w:val="bottom"/>
            <w:gridSpan w:val="2"/>
          </w:tcPr>
          <w:p>
            <w:pPr>
              <w:jc w:val="right"/>
              <w:ind w:right="600"/>
              <w:spacing w:after="0"/>
              <w:rPr>
                <w:sz w:val="20"/>
                <w:szCs w:val="20"/>
                <w:color w:val="auto"/>
              </w:rPr>
            </w:pPr>
            <w:r>
              <w:rPr>
                <w:rFonts w:ascii="Arial" w:cs="Arial" w:eastAsia="Arial" w:hAnsi="Arial"/>
                <w:sz w:val="16"/>
                <w:szCs w:val="16"/>
                <w:color w:val="auto"/>
              </w:rPr>
              <w:t>range</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value</w:t>
            </w:r>
          </w:p>
        </w:tc>
        <w:tc>
          <w:tcPr>
            <w:tcW w:w="0" w:type="dxa"/>
            <w:vAlign w:val="bottom"/>
          </w:tcPr>
          <w:p>
            <w:pPr>
              <w:spacing w:after="0"/>
              <w:rPr>
                <w:sz w:val="1"/>
                <w:szCs w:val="1"/>
                <w:color w:val="auto"/>
              </w:rPr>
            </w:pPr>
          </w:p>
        </w:tc>
      </w:tr>
      <w:tr>
        <w:trPr>
          <w:trHeight w:val="199"/>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January 1, 2014</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2,161,403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10,457,159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2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 – $5.50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1,200,000</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3.98</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$3.12 - $4.10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Vested/Exercised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(500,388)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(1,126,815)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$0.01 – $3.72</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Forfeited</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(3,125)</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3.72</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(95,833)</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$3.24 - $3.72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Expired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(332,416)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$0.96 – $5.50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Outstanding at June 30, 2014</w:t>
            </w: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54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1,657,890</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3.62</w:t>
            </w:r>
          </w:p>
        </w:tc>
        <w:tc>
          <w:tcPr>
            <w:tcW w:w="1000" w:type="dxa"/>
            <w:vAlign w:val="bottom"/>
          </w:tcPr>
          <w:p>
            <w:pPr>
              <w:jc w:val="right"/>
              <w:spacing w:after="0"/>
              <w:rPr>
                <w:sz w:val="20"/>
                <w:szCs w:val="20"/>
                <w:color w:val="auto"/>
              </w:rPr>
            </w:pPr>
            <w:r>
              <w:rPr>
                <w:rFonts w:ascii="Arial" w:cs="Arial" w:eastAsia="Arial" w:hAnsi="Arial"/>
                <w:sz w:val="16"/>
                <w:szCs w:val="16"/>
                <w:color w:val="auto"/>
              </w:rPr>
              <w:t>10,102,095</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3.41</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$0.96 – $5.50</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Exercisable at June 30, 2014</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6,099,385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$0.96 – $5.50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for the six month period ended June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w w:val="95"/>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8"/>
                <w:szCs w:val="18"/>
                <w:color w:val="auto"/>
              </w:rPr>
              <w:t>Exercise</w:t>
            </w:r>
          </w:p>
        </w:tc>
      </w:tr>
      <w:tr>
        <w:trPr>
          <w:trHeight w:val="230"/>
        </w:trPr>
        <w:tc>
          <w:tcPr>
            <w:tcW w:w="56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No. of warrants</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price range</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18,427,478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3.15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$ 0.94 – $5.06</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5,412,366</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ind w:left="900"/>
              <w:spacing w:after="0"/>
              <w:rPr>
                <w:sz w:val="20"/>
                <w:szCs w:val="20"/>
                <w:color w:val="auto"/>
              </w:rPr>
            </w:pPr>
            <w:r>
              <w:rPr>
                <w:rFonts w:ascii="Arial" w:cs="Arial" w:eastAsia="Arial" w:hAnsi="Arial"/>
                <w:sz w:val="18"/>
                <w:szCs w:val="18"/>
                <w:color w:val="auto"/>
                <w:w w:val="79"/>
              </w:rPr>
              <w:t>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(6,415,992)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9"/>
                <w:szCs w:val="19"/>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Outstanding at June 30, 2014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17,423,852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79"/>
              </w:rPr>
              <w:t>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$ 0.94 – $5.06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19, 2014, the Company entered into agreements with certain of its warrant holders, pursuant to which the warrant holders exercised for cash 5,697,227 of their outstanding Series 1 and Series 2 warrants, with an exercise price of $1.76 per share. The Company granted such warrant holders unregistered warrants of the Company to purchase an aggregate of 5,412,366 shares of the Company’s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the Company received $10,027 of proceeds.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Company’s outstanding warrants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No.</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classified as</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classified as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ind w:left="280"/>
              <w:spacing w:after="0"/>
              <w:rPr>
                <w:sz w:val="20"/>
                <w:szCs w:val="20"/>
                <w:color w:val="auto"/>
              </w:rPr>
            </w:pPr>
            <w:r>
              <w:rPr>
                <w:rFonts w:ascii="Arial" w:cs="Arial" w:eastAsia="Arial" w:hAnsi="Arial"/>
                <w:sz w:val="18"/>
                <w:szCs w:val="18"/>
                <w:color w:val="auto"/>
              </w:rPr>
              <w:t>Remaining</w:t>
            </w:r>
          </w:p>
        </w:tc>
      </w:tr>
      <w:tr>
        <w:trPr>
          <w:trHeight w:val="230"/>
        </w:trPr>
        <w:tc>
          <w:tcPr>
            <w:tcW w:w="412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No. outstanding</w:t>
            </w: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Exercise price</w:t>
            </w:r>
          </w:p>
        </w:tc>
        <w:tc>
          <w:tcPr>
            <w:tcW w:w="1360" w:type="dxa"/>
            <w:vAlign w:val="bottom"/>
          </w:tcPr>
          <w:p>
            <w:pPr>
              <w:ind w:left="140"/>
              <w:spacing w:after="0"/>
              <w:rPr>
                <w:sz w:val="20"/>
                <w:szCs w:val="20"/>
                <w:color w:val="auto"/>
              </w:rPr>
            </w:pPr>
            <w:r>
              <w:rPr>
                <w:rFonts w:ascii="Arial" w:cs="Arial" w:eastAsia="Arial" w:hAnsi="Arial"/>
                <w:sz w:val="18"/>
                <w:szCs w:val="18"/>
                <w:color w:val="auto"/>
              </w:rPr>
              <w:t>contractual life</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1,425,629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3.05 years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Series 2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1,943,523</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1,943,523</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360" w:type="dxa"/>
            <w:vAlign w:val="bottom"/>
          </w:tcPr>
          <w:p>
            <w:pPr>
              <w:ind w:left="360"/>
              <w:spacing w:after="0"/>
              <w:rPr>
                <w:sz w:val="20"/>
                <w:szCs w:val="20"/>
                <w:color w:val="auto"/>
              </w:rPr>
            </w:pPr>
            <w:r>
              <w:rPr>
                <w:rFonts w:ascii="Arial" w:cs="Arial" w:eastAsia="Arial" w:hAnsi="Arial"/>
                <w:sz w:val="18"/>
                <w:szCs w:val="18"/>
                <w:color w:val="auto"/>
              </w:rPr>
              <w:t>3.05 years</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Conversion Warrants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14,492</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0.94</w:t>
            </w:r>
          </w:p>
        </w:tc>
        <w:tc>
          <w:tcPr>
            <w:tcW w:w="1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0.98 years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Special Bridge Warrants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21,198</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0.94</w:t>
            </w:r>
          </w:p>
        </w:tc>
        <w:tc>
          <w:tcPr>
            <w:tcW w:w="1360" w:type="dxa"/>
            <w:vAlign w:val="bottom"/>
          </w:tcPr>
          <w:p>
            <w:pPr>
              <w:ind w:left="360"/>
              <w:spacing w:after="0"/>
              <w:rPr>
                <w:sz w:val="20"/>
                <w:szCs w:val="20"/>
                <w:color w:val="auto"/>
              </w:rPr>
            </w:pPr>
            <w:r>
              <w:rPr>
                <w:rFonts w:ascii="Arial" w:cs="Arial" w:eastAsia="Arial" w:hAnsi="Arial"/>
                <w:sz w:val="18"/>
                <w:szCs w:val="18"/>
                <w:color w:val="auto"/>
              </w:rPr>
              <w:t>0.50 years</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758,023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597,414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2.61 years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Initial Public Offering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4,784,000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4,784,000</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360" w:type="dxa"/>
            <w:vAlign w:val="bottom"/>
          </w:tcPr>
          <w:p>
            <w:pPr>
              <w:ind w:left="360"/>
              <w:spacing w:after="0"/>
              <w:rPr>
                <w:sz w:val="20"/>
                <w:szCs w:val="20"/>
                <w:color w:val="auto"/>
              </w:rPr>
            </w:pPr>
            <w:r>
              <w:rPr>
                <w:rFonts w:ascii="Arial" w:cs="Arial" w:eastAsia="Arial" w:hAnsi="Arial"/>
                <w:sz w:val="18"/>
                <w:szCs w:val="18"/>
                <w:color w:val="auto"/>
              </w:rPr>
              <w:t>0.98 years</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October 2012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0.98 years</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June 2014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5,412,366</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5,412,366</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360" w:type="dxa"/>
            <w:vAlign w:val="bottom"/>
          </w:tcPr>
          <w:p>
            <w:pPr>
              <w:ind w:left="380"/>
              <w:spacing w:after="0"/>
              <w:rPr>
                <w:sz w:val="20"/>
                <w:szCs w:val="20"/>
                <w:color w:val="auto"/>
              </w:rPr>
            </w:pPr>
            <w:r>
              <w:rPr>
                <w:rFonts w:ascii="Arial" w:cs="Arial" w:eastAsia="Arial" w:hAnsi="Arial"/>
                <w:sz w:val="18"/>
                <w:szCs w:val="18"/>
                <w:color w:val="auto"/>
              </w:rPr>
              <w:t>0.98 years</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17,423,852</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15,801,924</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1,621,928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40" w:hanging="137"/>
        <w:spacing w:after="0"/>
        <w:tabs>
          <w:tab w:leader="none" w:pos="64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color w:val="auto"/>
        </w:rPr>
        <w:t>These warrants bear down-round protection clauses and as a result, they are classified as derivative liabilities and recorded at fair value.</w:t>
      </w:r>
    </w:p>
    <w:p>
      <w:pPr>
        <w:spacing w:after="0" w:line="237" w:lineRule="exact"/>
        <w:rPr>
          <w:sz w:val="20"/>
          <w:szCs w:val="20"/>
          <w:color w:val="auto"/>
        </w:rPr>
      </w:pPr>
    </w:p>
    <w:p>
      <w:pPr>
        <w:jc w:val="both"/>
        <w:ind w:left="500" w:firstLine="3"/>
        <w:spacing w:after="0" w:line="257" w:lineRule="auto"/>
        <w:tabs>
          <w:tab w:leader="none" w:pos="72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June 2014 Warrants were valued on the grant date (June 20, 2014) using the following assumptions: volatility: 40.05%, stock price: $3.33, risk free interest rate: 0.15% and dividend yield: 0%. The new warrants issued in connection with the exercise of warrants classified as liabilities were accounted for as an inducement and therefore an amount of $65, which is based on the fair value of the new warrants, was recorded as a non-operating expense during the second quarter of 2014. The new warrants issued in connection with the exercise of warrants classified as equity, which were fair valued at $611, were recorded as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Revenue from Settlements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subsidiaries have filed patent infringement lawsuits against the subsidiaries of ZTE Corporation in the United Kingdom, France, Germany, Australia, India, Brazil, Malaysia, and Romania, and against ASUSTeK Computer, Inc. and ASUS Computer GmbH in Germany, Spain and India. In such jurisdictions, an unsuccessful plaintiff may be required to pay a portion of the other party’s legal fees. Pursuant to negotiation with ZTE’s United Kingdom subsidiary, the Company made two written commitments, in November 2012 and May 2013, representing payment should a liability by Vringo Infrastructure arise as a result of the two cases it has filed. The defendants estimated the total possible liability to be no more than approximately $2,900 for each case. In addition, ZTE's German subsidiary started three revocation (invalidity) proceedings against the Company; two in the first half of 2013 and one in the first quarter of 2014. Should ZTE be successful in any of those actions, the Company would be liable for some portion of ZTE’s fees. The total amount the Company would have to pay is a statutorily determined percentage based on the estimated value in dispute for these proceedings. ZTE has estimated the value of the revocation proceeding at approximately $1,700 for each of the three revocation cases on file; the Company assesses the likelihood of such payment as remote. The value of each of the four infringement proceedings against ZTE on file and of each of the two infringement proceedings against ASUS on file has been estimated at approximately $1,400 by the Company. On May 5, 2014, the Company deposited a bond of approximately $1,400 to enforce an injunction against ZTE in Germany. Should the injunction be successfully overturned on appeal, the Company may be obligated to compensate ZTE for any damages allegedly suffered as a result of the enforcement of the injunction, which would be ascertained through separate damages proceedings. Should the judgment which granted the injunction be affirmed on appeal, however, the amount paid as security would be returnable to the Company in full.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7"/>
          <w:szCs w:val="17"/>
          <w:color w:val="auto"/>
        </w:rPr>
        <w:t>Pursuant to negotiations with ZTE’s Australian subsidiary, the Company placed a written commitment in April 2014 to ensure payment should a liability by Vringo Infrastructure arise as a result of the case filed. The amount of such commitment cannot be reasonably estimated at this time and the Company assesses the likelihood of such payment as remote. In addition, in Brazil, as a condition of the relief requested, the Company deposited approximately $904 as a surety against the truth of allegations contained in the complaint. Unless ZTE is the prevailing party and proves that actual material damages were suffered while the requested relief was in place, the funds are returnable at the end of the litigation. The $1,400 bond deposit in Germany and the $904 surety deposit in Brazil are included in Deposits with courts in the consolidated balance sheet as of June 30, 2014.</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may be required to grant additional written commitments, as necessary, in connection with its commenced proceedings against ZTE Corporation and its subsidiaries in various countries. It should be noted, however, that if the Company were successful on any court applications or the entirety of any litigation, ZTE Corporation may be responsible for a substantial portion of the Company’s legal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2012, the Company signed a rental agreement for its corporate executive office in New York for an annual rental fee of approximately $137 (subject to certain adjustments) which was to expire in September 2015. However, in January 2014, the Company entered into an amended lease agreement with the landlord for a different office space within the same building. The initial annual rental fee for this new office is approximately $403 (subject to certain future escalations and adjustments) beginning when the new office space is available, which is expected to be in the third quarter of 2014. This lease will expire five years and three months after the new office space is available. Rent expense for operating leases for the three and six month periods ended June 30, 2014 were $70 and $182, respectively. Rent expense for operating leases for the three and six month periods ended June 30, 2013 were $63 and $107,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Risks and Uncertainties</w:t>
      </w:r>
    </w:p>
    <w:p>
      <w:pPr>
        <w:spacing w:after="0" w:line="229" w:lineRule="exact"/>
        <w:rPr>
          <w:sz w:val="20"/>
          <w:szCs w:val="20"/>
          <w:color w:val="auto"/>
        </w:rPr>
      </w:pPr>
    </w:p>
    <w:p>
      <w:pPr>
        <w:jc w:val="both"/>
        <w:ind w:left="1000" w:right="20" w:hanging="492"/>
        <w:spacing w:after="0" w:line="279"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1000" w:hanging="49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patents owned by the Company are presumed to be valid and enforceable. As part of the Company’s ongoing legal proceedings, the validity and/or enforceability of its patents is often challenged in a court or an administrative proceeding. To date, none of the Company’s patents have been declared to be invalid or unenforceable.</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The Company maintains its cash and cash equivalents with various major financial institutions. These major financial institutions are located in the United States and the Company’s policy is designed to limit exposure to any one institution.</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foreign currencies.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10, 2014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1420" w:hanging="912"/>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420" w:hanging="912"/>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420" w:hanging="912"/>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interim consolidated financial statements are presented in accordance with generally accepted accounting principles in the United States of America ("U.S. GAAP"). All significant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innovate, acquire, license and protect technology and intellectual property rights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Google Inc., and certain of its customers (“Defendants”) for infringement of two of the patents acquired from Lycos.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November 6, 2012, a jury in Norfolk, Virginia unanimously returned a verdict in favor of I/P Engine. The jury verdict is available at </w:t>
      </w:r>
      <w:r>
        <w:rPr>
          <w:rFonts w:ascii="Arial" w:cs="Arial" w:eastAsia="Arial" w:hAnsi="Arial"/>
          <w:sz w:val="18"/>
          <w:szCs w:val="18"/>
          <w:u w:val="single" w:color="auto"/>
          <w:color w:val="auto"/>
        </w:rPr>
        <w:t>http://bit.ly/QBRt5S</w:t>
      </w:r>
      <w:r>
        <w:rPr>
          <w:rFonts w:ascii="Arial" w:cs="Arial" w:eastAsia="Arial" w:hAnsi="Arial"/>
          <w:sz w:val="18"/>
          <w:szCs w:val="18"/>
          <w:color w:val="auto"/>
        </w:rPr>
        <w:t xml:space="preserve">. On November 20, 2012, the District Court issued a ruling that asserted patents were not invalid as obvious, and the Court entered final judgment which can be found at </w:t>
      </w:r>
      <w:r>
        <w:rPr>
          <w:rFonts w:ascii="Arial" w:cs="Arial" w:eastAsia="Arial" w:hAnsi="Arial"/>
          <w:sz w:val="18"/>
          <w:szCs w:val="18"/>
          <w:u w:val="single" w:color="auto"/>
          <w:color w:val="auto"/>
        </w:rPr>
        <w:t>http://bit.ly/1hqlUpD</w:t>
      </w:r>
      <w:r>
        <w:rPr>
          <w:rFonts w:ascii="Arial" w:cs="Arial" w:eastAsia="Arial" w:hAnsi="Arial"/>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3, 2014, the District Court ordered that I/P Engine recover an additional sum from the Defendants for supplemental damages and prejudgment interest. This ruling can be found at </w:t>
      </w:r>
      <w:r>
        <w:rPr>
          <w:rFonts w:ascii="Arial" w:cs="Arial" w:eastAsia="Arial" w:hAnsi="Arial"/>
          <w:sz w:val="18"/>
          <w:szCs w:val="18"/>
          <w:u w:val="single" w:color="auto"/>
          <w:color w:val="auto"/>
        </w:rPr>
        <w:t>http://bit.ly/1iRY5rc</w:t>
      </w:r>
      <w:r>
        <w:rPr>
          <w:rFonts w:ascii="Arial" w:cs="Arial" w:eastAsia="Arial" w:hAnsi="Arial"/>
          <w:sz w:val="18"/>
          <w:szCs w:val="18"/>
          <w:color w:val="auto"/>
        </w:rPr>
        <w:t xml:space="preserve">. On January 21, 2014, the District Court ruled that the Defendants' alleged design-around was “nothing more than a colorable variation of the system adjudged to infringe,” and accordingly I/P Engine “is entitled to ongoing royalties as long as [the] Defendants continue to use the modified system.” This ruling can be found at </w:t>
      </w:r>
      <w:r>
        <w:rPr>
          <w:rFonts w:ascii="Arial" w:cs="Arial" w:eastAsia="Arial" w:hAnsi="Arial"/>
          <w:sz w:val="18"/>
          <w:szCs w:val="18"/>
          <w:u w:val="single" w:color="auto"/>
          <w:color w:val="auto"/>
        </w:rPr>
        <w:t>http://bit.ly/1rpVeZp</w:t>
      </w:r>
      <w:r>
        <w:rPr>
          <w:rFonts w:ascii="Arial" w:cs="Arial" w:eastAsia="Arial" w:hAnsi="Arial"/>
          <w:sz w:val="18"/>
          <w:szCs w:val="18"/>
          <w:color w:val="auto"/>
        </w:rPr>
        <w:t>.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On May 6, 2014, the United States Court of Appeals for the Federal Circuit heard oral argument in I/P Engine, Inc., Plaintiff-Cross Appellant v. AOL Inc., Google Inc., IAC Search &amp; Media, Inc., Gannett Company, Inc. and Target Corporation, Defendants-Appellants, Appeal Nos. 13-1307 and 13-1313. The Court's decision in the case is pending as of the filing date of this Form 10-Q.</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Requests for reexamination are a standard tactic used by defendants in patent litigation cases. Google has previously filed four separate requests for reexamination of the two asserted patents at the USPTO, with the two requests on one of the patents being merged. On July 2, 2014, the USPTO mailed a notice that it will issue a certificate that all of the claims of U.S. Patent No. 6,314,420 remain valid and unchanged. This is the second time the USPTO has confirmed the validity of the ‘420 patent. The USPTO has also previously confirmed the validity of U.S. Patent No. 6,775,664, the other patent asserted in litigation with Google. At this time, there are no other pending reexaminations for the patents asserted in the litigation.</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August 9, 2012, we entered into a patent purchase agreement with Nokia Corporation ("Nokia"), comprising of 124 patent families with counterparts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6"/>
          <w:szCs w:val="16"/>
          <w:u w:val="single" w:color="auto"/>
          <w:color w:val="auto"/>
        </w:rPr>
        <w:t>http://www.vringoip.com/documents/FG/vringo/ip/99208_Nokia_ETSI_Declarations.pdf</w:t>
      </w:r>
      <w:r>
        <w:rPr>
          <w:rFonts w:ascii="Arial" w:cs="Arial" w:eastAsia="Arial" w:hAnsi="Arial"/>
          <w:sz w:val="16"/>
          <w:szCs w:val="16"/>
          <w:color w:val="auto"/>
        </w:rPr>
        <w: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Tyco Integrated Security, LLC (“Tyco”)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certain European patents. Subsequently, ZTE responded to the complaint on December 19, 2012 with a counterclaim for invalidity of the patents in suit. Vringo Infrastructure filed a further UK suit on December 3, 2012, alleging infringement of additional European patents. In the first UK suit, trial is scheduled for October 2014 and in the second UK suit, trial is scheduled for June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September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is entitled to file defensive briefs in tandem with ZTE.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ZTE filed nullity suits with respect to the first and second European patents in the Federal Patents Court in Munich, Germany during the second and fourth quarters, respectively, of 2013. Trials in the nullity suits have not been scheduled. 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November and December 2012, ZTE filed reexamination requests in China against three Chinese patents owned by Vringo before the Patent Reexamination Board of the Patent Office of the People’s Republic of China. On July 3, 2013, the patent rights for one of those patents was upheld. On May 30, 2014, the patent rights for another one of those patents was upheld. The oral hearing for the remaining patent occurred on January 23, 2014, </w:t>
      </w:r>
      <w:r>
        <w:rPr>
          <w:rFonts w:ascii="Arial" w:cs="Arial" w:eastAsia="Arial" w:hAnsi="Arial"/>
          <w:sz w:val="17"/>
          <w:szCs w:val="17"/>
          <w:color w:val="181818"/>
        </w:rPr>
        <w:t>for which the</w:t>
      </w:r>
      <w:r>
        <w:rPr>
          <w:rFonts w:ascii="Arial" w:cs="Arial" w:eastAsia="Arial" w:hAnsi="Arial"/>
          <w:sz w:val="17"/>
          <w:szCs w:val="17"/>
          <w:color w:val="auto"/>
        </w:rPr>
        <w:t xml:space="preserve"> </w:t>
      </w:r>
      <w:r>
        <w:rPr>
          <w:rFonts w:ascii="Arial" w:cs="Arial" w:eastAsia="Arial" w:hAnsi="Arial"/>
          <w:sz w:val="17"/>
          <w:szCs w:val="17"/>
          <w:color w:val="181818"/>
        </w:rPr>
        <w:t>ruling is still pending. Between December 20 and December 28, 2013, ZTE filed four more additional reexamination requests against four other Chinese patents owned by Vringo. Vringo filed responses for these four patents in early May 2014. The oral hearing for one of the patents occurred on June 17, 2014. Oral hearings for the remaining three patents are expected to occur later in the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Between May and July of 2014, ZTE filed reexamination requests in China against 25 additional Chinese patents owned by Vringo before the Patent Reexamination Board of the Patent Office of the People’s Republic of China. Vringo’s initial responses are due in August of 2014. The remaining schedule in these 25 new re-examinations is not yet available.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On February 21, 2014, ZTE filed a civil antitrust complaint against Vringo and Vringo Infrastructure in the Shenzhen Intermediate Court. Vringo received notice of the action on June 26, 2014. Vringo intends to vigorously contest all aspects of this action in the appropriate manner. A schedule for the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has been scheduled for December 2014 before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division of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chamber of the Tribunal de Grande Instance de Paris (specializing in IP matters).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2013, we, along with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approximately $800,000, directed Indian customs authorities to notify us when all relevant ZTE goods are imported into India, and required ZTE to give us the opportunity to inspect those goods. ZTE filed its accounting affidavit on January 13,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273" w:lineRule="auto"/>
        <w:rPr>
          <w:sz w:val="20"/>
          <w:szCs w:val="20"/>
          <w:color w:val="auto"/>
        </w:rPr>
      </w:pPr>
      <w:r>
        <w:rPr>
          <w:rFonts w:ascii="Arial" w:cs="Arial" w:eastAsia="Arial" w:hAnsi="Arial"/>
          <w:sz w:val="17"/>
          <w:szCs w:val="17"/>
          <w:color w:val="auto"/>
        </w:rPr>
        <w:t xml:space="preserve">On January 31, 2014, we and our subsidiary, Vringo Infrastructure, filed a patent infringement lawsuit in the High Court of Delhi at New Delhi, alleging infringement of a second Indian patent related to GSM Infrastructure. The Court, finding a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 ZTE subsequently appealed the injunction. On August 5, 2014, ZTE's appeal was heard by the Court. A ruling is 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$904,000 with the court on April 17, 2014. On May 9, 2014, ZTE filed an interlocutory appeal against the injunction. This appeal was denied by the Court on June 16, 2014.</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A schedule has not yet been set in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The remaining schedule has not yet been set in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A schedule has not yet been set in this matter.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24, 2014, ZTE filed an action for a preliminary injunction in District Court of The Hague against Vringo Infrastructure for the release of allegedly wrongfully detained goods. This matter will be heard on September 16,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is scheduled to be heard before the Commercial Court of Barcelona in November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A schedule for the case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mobile social application business to InfoMedia Services Limited (“InfoMedia”)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2013, we entered into a definitive asset purchase agreement with InfoMedia for the sale of certain assets (mostly comprised of acquired technology) and the assignment of certain agreements related to our mobile social application business. The closing of the transaction occurred on February 18, 2014 (“Closing”). Upon Closing, as consideration for the assets and agreements related to our mobile social application business, we received 18 Class B shares of InfoMedia, which represent an 8.25% ownership interest in InfoMedia.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InfoMedia is a privately owned, UK based, provider of customer relationship management and monetization technologies to mobile carriers and device manufacturers. As part of the transaction, we will have the opportunity to license certain intellectual property assets and support InfoMedia to identify and protect new intellectual property. Additionally, our Chief Executive Officer was appointed as a full voting member on InfoMedia’s board of directors and we received a number of customary protective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2014 Warrants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19, 2014, we entered into agreements with certain of our warrant holders, pursuant to which the warrant holders exercised for cash 5,697,227 of their outstanding Series 1 and Series 2 warrants, with an exercise price of $1.76 per share. In addition, we granted such warrant holders unregistered warrants of the Company to purchase an aggregate of 5,412,366 shares of our common stock, par value $0.01 per share, at an exercise price of $5.06 per share (the “June 2014 Warrants”). The June 2014 Warrants expire on June 21, 2015 and because such warrants do not bear any down-round protection clauses, they are classified as equity instruments. As a result of these transactions, we received approximately $10 million of proceeds.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patent licensing and enforcement is recognized when collection is reasonably assured, persuasive evidence of an arrangement exists, the sales price is fixed or determinable and delivery of the service has been rendered. We use management's best estimate of selling price for individual elements in multiple-element arrangements, where vendor specific evidence or third party evidence of selling price is not available.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revenue arrangements provide for the payment of contractually determined fees in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may be perpetual in nature, extending until the expiration of the related patents, or can be granted for a defined, relatively short period of time, with the licensee possessing the right to renew the agreement at the end of each contractual term for an additional minimum upfront payment.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minimum upfront payment for term agreement renewals. As such, the earnings process is complete and revenue is recognized upon the execution of the agreement, upon receipt of the minimum upfront fee for term agreement renewals,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legal costs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legal costs mainly include expenses incurred in connection with our patent licensing and enforcement activities, patent-related legal expenses paid to external patent counsel (including contingent legal fees), licensing and enforcement related research, consulting and other expenses paid to third parties, as well as internal payroll expenses and stock-based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represents the amortization expense of our acquired patents which is recognized on a straight-line basis over the remaining legal life of the patents.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consist primarily of the cost of our development personnel, as well as of the cost of outsourced development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include management and administrative personnel, public and investor relations, overhead/office costs and various professional fees, as well as insurance, non-operational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related to our derivative warrant liabilities. The value of such derivative warrant liabilities is highly influenced by assumptions used in its valuation, as well as by our stock price at the period end (revaluation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June 30, 2014, deferred tax assets generated from our U.S. activities were offset by a valuation allowance because realization depends on generating future taxable income, which, in our estimation, is not more likely than not to be generated before such net operating loss carryforwards expire.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sale of our mobile social application business, our subsidiary in Israel generated net taxable income from services it provided to us. The subsidiary in Israel charged us for research, development, certain management and other services provided to us, plus a profit margin on such costs, which was 8%. In the zone where the production facilities of the subsidiary in Israel were located, the statutory tax rate was 12.5%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June 30, 2014 compared to the three month period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800,000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 period ended June 30, 2014, we recorded total revenue of $800,000, which represents a decrease of $300,000 (or 27.3%) as compared to the three month period ended June 30, 2013. The current period revenue was due to a one-time payment in connection with a license and settlement agreement for certain of our owned intellectual property. Revenue during the three month period ended June 30, 2013 of $1,100,000 mostly relates to a one-time payment in connection with the license and settlement agreement entered into with Microsoft for $1,000,000.</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 period ended June 30, 2014, our operating legal costs were $5,982,000, which represents an increase of $1,192,000 (or 24.9%) from operating legal costs recorded for the three months ended June 30, 2013. This increase was primarily due to the timing and nature of consulting and patent litigation costs related to legal proceedings against Google and ZTE. During the three month period ended June 30, 2014, there were costs associated with the oral argument heard in the appeals court in May 2014 in connection with our legal proceedings against Google. With respect to our legal proceedings against ZTE, costs during the three month period ended June 30, 2014 were associated with our continued worldwide litigation efforts including commencement of legal actions in Brazil, Malaysia, Spain, Netherlands, and other countries.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spacing w:after="0" w:line="297" w:lineRule="auto"/>
        <w:rPr>
          <w:sz w:val="20"/>
          <w:szCs w:val="20"/>
          <w:color w:val="auto"/>
        </w:rPr>
      </w:pPr>
      <w:r>
        <w:rPr>
          <w:rFonts w:ascii="Arial" w:cs="Arial" w:eastAsia="Arial" w:hAnsi="Arial"/>
          <w:sz w:val="16"/>
          <w:szCs w:val="16"/>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whether such work is performed in-house or outsourced.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Amortization of intangibles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968,000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 period ended June 30, 2014, amortization expense related to our intangibles was $968,000 which represents an increase of $129,000 (or 15.4%) from amortization of intangibles recorded for the three month period ended June 30, 2013. Currently, our intangible assets consist of our patent portfolios which are amortized over their remaining useful lives (i.e., through the expiration date of the patent). The increase during the current quarter was due to the additional patent portfolios that were acquired during the second half of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 periods ended June 30, 2014 and 2013, our research and development expenses amounted to $217,000 and $467,000, respectively. The prior period amount excludes research and development expenses related to our mobile social application business which is presented in discontinued operations. The decrease of $250,000 (or 53.5%) is primarily due to a decrease in costs related to third party consultants who were engaged on certain projects during 2013. Such projects had ended prior to 2014 and therefore these third party consultants were no longer utilized in the current period.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above, in February 2014, we sold our mobile social application business to InfoMedia. As part of the sale agreement, the employment of our mobile products and services personnel were assumed by InfoMedia.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month period ended June 30, 2014, general and administrative expenses increased by $227,000 (or 6.0%), to $3,986,000, compared to $3,759,000 that was recorded during the three month period ended June 30, 2013. The overall increase in general and administrative expenses was primarily due to increased costs in connection with our efforts to consolidate our executive management and finance functions in a centralized location. In addition, there was an increase in corporate legal and accounting fees as compared to the prior period. The overall increase is partially offset by a decrease in stock-based compensation expense of about $319,000 as compared to the prior three month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8"/>
                <w:szCs w:val="18"/>
                <w:color w:val="auto"/>
              </w:rPr>
              <w:t>Three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304,000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 period ended June 30, 2014, we recorded non-operating income in the amount of $304,000 compared to non-operating expense in the amount of $1,474,000 during the three month period ended June 30, 2013. During the three month period ended June 30, 2014, we recorded approximately $348,000 of income related to a decrease in the fair value of our derivative warrant liabilities. This income was partially offset by $65,000 of expense recorded in connection with the issuance of the June 2014 Warrants described above. During the three month period ended June 30, 2013, a charge of $1,574,000 was recorded related to the removal of the down-round protection clause in certain then outstanding Series 1 Warrants. This expense was partially offset by income of $77,000 related to a decrease in fair value of our then remaining derivative warrant liabilities.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that our non-operating income (expense) will remain highly volatile, and we may choose to fund our operations through additional financing. In particular, non-operating income (expense) will be affected by the adjustments to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 Also refer to Note 8 to the accompanying unaudited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mobile social application operations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7"/>
          </w:tcPr>
          <w:p>
            <w:pPr>
              <w:jc w:val="right"/>
              <w:ind w:right="125"/>
              <w:spacing w:after="0"/>
              <w:rPr>
                <w:sz w:val="20"/>
                <w:szCs w:val="20"/>
                <w:color w:val="auto"/>
              </w:rPr>
            </w:pPr>
            <w:r>
              <w:rPr>
                <w:rFonts w:ascii="Arial" w:cs="Arial" w:eastAsia="Arial" w:hAnsi="Arial"/>
                <w:sz w:val="18"/>
                <w:szCs w:val="18"/>
                <w:color w:val="auto"/>
                <w:w w:val="99"/>
              </w:rPr>
              <w:t>Three months ended June 30,</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(748,000)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748,000</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expense</w:t>
            </w: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Borders>
              <w:bottom w:val="single" w:sz="8" w:color="CCEEFF"/>
            </w:tcBorders>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709,000</w:t>
            </w:r>
          </w:p>
        </w:tc>
        <w:tc>
          <w:tcPr>
            <w:tcW w:w="80" w:type="dxa"/>
            <w:vAlign w:val="bottom"/>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 period ended June 30, 2014, there were no results from discontinued operations since all related activities ceased when the sale was executed.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 period ended June 30, 2014 compared to the six month period ended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color w:val="auto"/>
                <w:w w:val="88"/>
              </w:rPr>
              <w:t>Six months ended June 30,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 period ended June 30, 2014, we recorded total revenue of $1,050,000, which represents a decrease of $50,000 (or 4.5%) as compared to the six month period ended June 30, 2013. The current period revenue was due to certain one-time payments in connection with license and settlement agreements for certain of our owned intellectual property. Revenue during the six month period ended June 30, 2013 of $1,100,000 mostly relates to a one-time payment in connection with the license and settlement agreement entered into with Microsoft for $1,000,000.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We seek to generate revenue through the monetization of our intellectual property through licensing, strategic partnerships and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continue to expand our intellectual property monetization efforts worldwide.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legal proceedings may continue for several years and may require significant expenditures for legal fees and other expenses. Disputes regarding the assertion of patents and other intellectual property rights are highly complex and technical.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color w:val="auto"/>
                <w:w w:val="88"/>
              </w:rPr>
              <w:t>Six months ended June 30,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10,189,000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 period ended June 30, 2014, our operating legal costs were $10,857,000, which represents an increase of $668,000 (or 6.6%) from operating legal costs recorded for the six months ended June 30, 2013. This increase was primarily due to the timing and nature of consulting and patent litigation costs related to legal proceedings against Google and ZTE. During the six month period ended June 30, 2014, there were costs associated with the oral argument heard in the appeals court in May 2014 in connection with our legal proceedings against Google. With respect to our legal proceedings against ZTE, costs during the six month period ended June 30, 2014 were associated with our continued worldwide litigation efforts including commencement of legal actions in Brazil, Malaysia, Spain, Netherlands, and other countries. Also, there was an increase in stock-based compensation expense (approximately $133,000) due to our efforts to expand our in-house legal department staff.</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uncertain whether our operating legal costs will increase over time. Though we aim to diversify our portfolio of products and increase our intellectual property monetization efforts, we have also increased the size of our in-house legal department staff as mentioned above. The goal is to decrease our overall legal expenses by bringing more work in-house, which we believe will cost less than outsourcing to external firms. There is no guarantee, however, that an in-house team will be less expensive or more efficient than outsourcing this work. Moreover, as we expand the scope of our monetization efforts, the amount of legal work will increase leading to a concomitant increase in our operating legal costs, regardless of if such work is performed in-house or outsourced.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Amortization of intangibles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color w:val="auto"/>
                <w:w w:val="88"/>
              </w:rPr>
              <w:t>Six months ended June 30,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 period ended June 30, 2014, amortization expense related to our intangibles was $1,925,000 which represents an increase of $247,000 (or 14.7%) from amortization of intangibles recorded for the six month period ended June 30, 2013. Currently, our intangible assets consist of our patent portfolios which are amortized over their remaining useful lives (i.e., through the expiration date of the patent). The increase during the current period was due to the additional patent portfolios that were acquired during the second half of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color w:val="auto"/>
                <w:w w:val="88"/>
              </w:rPr>
              <w:t>Six months ended June 30,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c>
          <w:tcPr>
            <w:tcW w:w="1720" w:type="dxa"/>
            <w:vAlign w:val="bottom"/>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442,000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9"/>
        </w:trPr>
        <w:tc>
          <w:tcPr>
            <w:tcW w:w="4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28" w:name="page29"/>
    <w:bookmarkEnd w:id="28"/>
    <w:p>
      <w:pPr>
        <w:jc w:val="both"/>
        <w:spacing w:after="0" w:line="302" w:lineRule="auto"/>
        <w:rPr>
          <w:sz w:val="20"/>
          <w:szCs w:val="20"/>
          <w:color w:val="auto"/>
        </w:rPr>
      </w:pPr>
      <w:r>
        <w:rPr>
          <w:rFonts w:ascii="Arial" w:cs="Arial" w:eastAsia="Arial" w:hAnsi="Arial"/>
          <w:sz w:val="16"/>
          <w:szCs w:val="16"/>
          <w:color w:val="auto"/>
        </w:rPr>
        <w:t>During the six month periods ended June 30, 2014 and 2013, our research and development expenses amounted to $442,000 and $737,000, respectively. These amounts exclude research and development expenses related to our mobile social application business which is presented in discontinued operations. The decrease of $295,000 (or 40.0%) is primarily due to a decrease in costs related to third party consultants who were engaged on certain projects during 2013. Such projects had ended prior to 2014 and therefore these third party consultants were no longer utilized in the current period.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above, in February 2014, we sold our mobile social application business to InfoMedia. As part of the sale agreement, the employment of our mobile products and services personnel were assumed by InfoMedia.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color w:val="auto"/>
                <w:w w:val="88"/>
              </w:rPr>
              <w:t>Six months ended June 30,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8,004,000</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 period ended June 30, 2014, general and administrative expenses increased by $254,000 (or 3.3%), to $8,004,000, compared to $7,750,000 that was recorded during the six month period ended June 30, 2013. The overall increase in general and administrative expenses was primarily due to increased costs in connection with our efforts to consolidate our executive management and finance functions in a centralized location. In addition, there was an increase in corporate legal, insurance, and accounting costs as compared to the prior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color w:val="auto"/>
                <w:w w:val="88"/>
              </w:rPr>
              <w:t>Six months ended June 30,</w:t>
            </w: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(771,000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 period ended June 30, 2014, we recorded non-operating expense in the amount of $771,000 compared to non-operating expense in the amount of $1,834,000 recorded during the six month period ended June 30, 2013. During the six month period ended June 30, 2014, we recorded approximately $728,000 of expense related to an increase in the fair value of our derivative warrant liabilities and $65,000 of expense recorded in connection with the issuance of the June 2014 Warrants described above. During the six month period ended June 30, 2013, a charge of $1,574,000 was recorded related to the removal of the down-round protection clause in certain then outstanding Series 1 Warrants. In addition, expense of $292,000 was recorded related to an increase in fair value of our then remaining derivative warrant liabilities.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that our non-operating income (expense) will remain highly volatile, and we may choose to fund our operations through additional financing. In particular, non-operating income (expense) will be affected by the adjustments to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 of operations. In addition, high estimated probability of a down-round protection increases the value of the warrants and again results in a loss on our statement of operations. Also refer to Note 8 to the accompanying unaudited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w w:val="94"/>
              </w:rPr>
              <w:t>Loss from discontinued mobile social application operations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Six months ended June 30,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8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(266,000)</w:t>
            </w:r>
          </w:p>
        </w:tc>
        <w:tc>
          <w:tcPr>
            <w:tcW w:w="34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(1,893,000)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1,627,000</w:t>
            </w:r>
          </w:p>
        </w:tc>
        <w:tc>
          <w:tcPr>
            <w:tcW w:w="80" w:type="dxa"/>
            <w:vAlign w:val="bottom"/>
          </w:tcPr>
          <w:p>
            <w:pPr>
              <w:spacing w:after="0"/>
              <w:rPr>
                <w:sz w:val="19"/>
                <w:szCs w:val="19"/>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 (expense)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80" w:type="dxa"/>
            <w:vAlign w:val="bottom"/>
            <w:tcBorders>
              <w:bottom w:val="single" w:sz="8" w:color="CCEEFF"/>
            </w:tcBorders>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(1,798,000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1,589,000</w:t>
            </w:r>
          </w:p>
        </w:tc>
        <w:tc>
          <w:tcPr>
            <w:tcW w:w="80" w:type="dxa"/>
            <w:vAlign w:val="bottom"/>
            <w:shd w:val="clear" w:color="auto" w:fill="CCEEFF"/>
          </w:tcPr>
          <w:p>
            <w:pPr>
              <w:spacing w:after="0"/>
              <w:rPr>
                <w:sz w:val="18"/>
                <w:szCs w:val="18"/>
                <w:color w:val="auto"/>
              </w:rPr>
            </w:pPr>
          </w:p>
        </w:tc>
      </w:tr>
      <w:tr>
        <w:trPr>
          <w:trHeight w:val="210"/>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Borders>
              <w:bottom w:val="single" w:sz="8" w:color="CCEEFF"/>
            </w:tcBorders>
          </w:tcPr>
          <w:p>
            <w:pPr>
              <w:spacing w:after="0"/>
              <w:rPr>
                <w:sz w:val="18"/>
                <w:szCs w:val="18"/>
                <w:color w:val="auto"/>
              </w:rPr>
            </w:pP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(209,000</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18, 2014, we executed the sale of our mobile social application business to InfoMedia, receiving eighteen (18) Class B shares of InfoMedia as consideration, which represent an 8.25% ownership interest. Additionally, our Chief Executive Officer was appointed as a full voting member on InfoMedia’s board of directors and we received a number of customary protective rights. The InfoMedia Class B shares are accounted for as a cost-method investment. Cash requirements for termination of mobile operations included mainly post-employment obligations, were incurred during the six month period ended June, 2014, and are considered to be immaterial.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 period ended June 30, 2014, operating expenses decreased by $1,627,000 (or 85.9%), to $266,000, from $1,893,000 recorded during the six month period ended June 30, 2013. This decrease is primarily due to the fact that there were no substantial operating expenses and no amortization related to acquired technology during the current year as the related asset was classified as held for sale as of December 31, 2013 and was subsequently sold to InfoMedia in February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our estimated aggregate total net tax loss carryforwards ("NOL") was approximately $96 million for U.S. federal, state and local purposes expiring 20 years from the respective tax years to which they relate. The Tax Reform Act of 1986 imposed substantial restrictions on the utilization of NOL and tax credits in the event of an ownership change of a corporation. Thus, our ability to utilize all such NOL and credit carryforwards may be limited.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valuation allowance has been recorded against the net deferred tax asset in the U.S., as it is in the opinion of our management that it is more likely than not that the operating loss carryforwards will not be utilized in the foreseeable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file our tax returns in the U.S. federal jurisdiction, as well as in various state and local jurisdictions. Vringo, Inc. has open tax years for 2010 through 2013. As of June 30, 2014, all tax years for Innovate/Protect are still open. The Israeli subsidiary files its income tax returns in Israel. As of June 30, 2014, the Israeli subsidiary has open tax years for 2010 through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June 30, 2014.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2014, we had a cash balance of $31,654,000. This represents a decrease of $1,932,000 from our cash balance on December 31, 2013, which is mainly due to net cash used by us in our business operations of approximately $12,955,000 during the six month period ended June 30, 2014. The majority of these expenditures consisted of costs related to our four litigation campaigns. In our case against Google et al., we incurred costs related to the preparation for the oral argument, which was heard before the United States Court of Appeals for the Federal Circuit on May 6, 2014, in addition to other related costs. In our cases against ZTE and ASUS, we incurred costs related to the preparation and filing of briefs and other court documents, as well as case preparation and management. A large percentage of these costs were incurred in the United Kingdom, Australia, Germany, Brazil, and France. In civil law jurisdictions, such as Germany, France, Spain, and others, the majority of costs are incurred in the early stages of litigation and we anticipate that the costs in these jurisdictions will be lower in future periods. In our case against Tyco, we incurred costs related to the preparation and filing of briefs and other court documents, case preparation and management, and the worldwide resolution of litigation between the parties. In addition, we paid approximately $2,304,000 in deposits with courts related to proceedings in Germany and Brazil.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The overall decrease in our cash balance from expenditures related to our litigation campaigns was partially offset by approximately $13,500,000 that was received in connection with the exercises of warrants and stock options that occurred during the six month period ended June 30, 2014, as described below. As of June 30, 2014, our total stockholders' equity was $114,166,000 which is consistent with the balance as of December 31, 2013.</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 period ended June 30, 2014, a total of 6,415,992 warrants to purchase an aggregate of 6,415,992 shares of our common stock, at an exercise price of $1.76 per share, were exercised by our warrant holders, pursuant to which we received $11,292,000. These proceeds are most significantly attributable to the execution of the agreements with certain of our warrant holders described above in connection with the June 2014 Warrants. In addition, 1,126,815 options to purchase 1,126,815 shares of our common stock were exercised during the six month period ended June 30, 2014. As a result, we received $2,160,000 through June 2014.</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current operating plans, we expect to have sufficient funds for our operations for at least the next twelve months. In addition, until we generate sufficient revenue, we may need to raise additional funds, which can be achieved through the exercise of our outstanding warrants and options, the issuance of additional equity or through loans from financial institutions. There can be no assurance, however, that any such opportunities will materialize.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we will continue to search for additional sources of liquidity, when needed, until we generate positive cash flows to support our operations. We cannot give any assurance that the necessary capital will be raised or that, if funds are raised, it will be on favorable terms. Any future sales of securities to finance our operations may require stockholder approval and will dilute existing stockholders' ownership. We cannot guarantee when or if we will ever generate positive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Six months ended June 30,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(1,989,000)</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(2,449,000)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(3,143,000)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694,000</w:t>
            </w: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13,452,000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327,000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13,125,000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 period ended June 30, 2014, net cash used in operating activities totaled $12,955,000. During the six months period ended June 30, 2013, net cash used in operating activities totaled $10,966,000. The $1,989,000 increase in net cash used in operating activities was mainly due to increased litigation costs described above, as well as an increase in cost of our in-house staff, which was expanded during the second half of 2013.</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the collection of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six month period ended June 30, 2014, net cash used in investing activities totaled $2,449,000. During the six month period ended June 30, 2013, net cash used in investing activities totaled $3,143,000. Net cash used in investing activities during the six month period ended June 30, 2014 is mostly comprised of the $2,304,000 deposited with courts that is described above. Net cash used in investing activities during the six month period ended June 30, 2013 is related to an investment made in commercial paper during that period in the amount of $3,120,000. There was also an increase in fixed asset purchases during the six month period ended June 30, 2014 as compared to the six month period ended June 30, 2013.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 period ended June 30, 2014, cash provided by financing activities totaled $13,452,000, which relates to funds that we received from the exercises of warrants and stock options in the total amount of $11,292,000 and $2,160,000, respectively. During the six month period ended June 30, 2013, cash provided by financing activities totaled $327,000, which relates to funds received from the exercises of warrants and stock options in the total amount of $174,000 and $153,000,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portion of our issued and outstanding warrants are currently “in the money” and the underlying shares of common stock held by non-affiliates are freely tradable, with the potential of up to $7.4 million of additional incoming funds as of June 30, 2014, should the warrant holders choose to exercise. We may choose to raise additional funds in connection with any acquisitions of patent portfolios or other intellectual property assets that we may pursue. There can be no assurance, however, that any such opportunity will materialize, and moreover, that any such financing would likely be dilutive to our current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constantly seeking to identify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October 2012 through the filing date of this Form 10-Q, our subsidiaries filed patent infringement lawsuits against the subsidiaries of ZTE Corporation in the United Kingdom, France, Germany, Australia, India, Brazil, Malaysia, and Romania.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written commitments to ensure the payment of a potential liability by Vringo Infrastructure resulting for the two cases filed in the fourth quarter of 2012 and second quarter of 2013, which the defendants estimated to be approximately $2,900,000 each. In addition, we may be required to grant additional written commitments, as necessary, in connection with our commenced proceedings against ZTE Corporation in Europe, Brazil, India and Australia. It should be noted, however, that if we were successful on any court applications or the entirety of any litigation, ZTE Corporation would be responsible for a substantial portion of our legal fees.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the arrangements described in the preceding paragraph, 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future contractual obligations beginning on July 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Remainder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of 2014</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17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347,000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2012, the Company signed a rental agreement for its corporate executive office in New York for an annual rental fee of approximately $137,000 (subject to certain adjustments) which was to expire in September 2015. However, in January 2014, the Company entered into an amended lease agreement with the landlord for newly renovated office within the same building. The initial annual rental fee for this new office is approximately $403,000 (subject to certain future escalations and adjustments) beginning when the renovations are completed and the new office is available. Until the new office is available, the monthly rent payments are based on the previous annual rental fee. The lease for the New York office will expire five years and three months after the new office is available.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audited consolidated financial statements included in our Annual Report on Form 10-K filed with the SEC on March 10, 2014,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We maintain our cash and cash equivalents with various major financial institutions. These major financial institutions are located in the United States and our policy is designed to limit exposure to any one institution.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concurrently maximizing the income we receive from our investments without significantly increasing risk. To minimize risks in the future, we intend to maintain our portfolio of cash equivalents and short-term investments in securities such as commercial paper and money market funds. As of June 30, 2014 and December 31, 2013, our cash was mostly held in money market funds. In general, money market funds are not subject to market risk because the interest paid on such funds fluctuates with the prevailing interest rate. Accordingly, a 100 basis point increase in interest rates or a 10% decline in the value of the United States equity markets would not be expected to have a material impact on the value of such money market funds.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our expenses are denominated in foreign currencies. If the value of the U.S. dollar weakens against the value of these currencies, there will be a negative impact on our operating costs. In addition, we are subject to the risk of exchange rate fluctuations to the extent we hold monetary assets and liabilities in these currencies.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June 30, 2014,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2011, I/P Engine acquired eight patents from Lycos, Inc. (“Lycos”) through its wholly-owned subsidiary, I/P Engine. On September 15, 2011, I/P Engine initiated litigation in the United States District Court, Eastern District of Virginia, against Google Inc., and certain of its customers (“Defendants”) for infringement of two of the patents acquired from Lycos.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November 6, 2012, a jury in Norfolk, Virginia unanimously returned a verdict in favor of I/P Engine. The jury verdict is available at </w:t>
      </w:r>
      <w:r>
        <w:rPr>
          <w:rFonts w:ascii="Arial" w:cs="Arial" w:eastAsia="Arial" w:hAnsi="Arial"/>
          <w:sz w:val="18"/>
          <w:szCs w:val="18"/>
          <w:u w:val="single" w:color="auto"/>
          <w:color w:val="auto"/>
        </w:rPr>
        <w:t>http://bit.ly/QBRt5S</w:t>
      </w:r>
      <w:r>
        <w:rPr>
          <w:rFonts w:ascii="Arial" w:cs="Arial" w:eastAsia="Arial" w:hAnsi="Arial"/>
          <w:sz w:val="18"/>
          <w:szCs w:val="18"/>
          <w:color w:val="auto"/>
        </w:rPr>
        <w:t xml:space="preserve">. On November 20, 2012, the District Court issued a ruling that asserted patents were not invalid as obvious, and the Court entered final judgment which can be found at </w:t>
      </w:r>
      <w:r>
        <w:rPr>
          <w:rFonts w:ascii="Arial" w:cs="Arial" w:eastAsia="Arial" w:hAnsi="Arial"/>
          <w:sz w:val="18"/>
          <w:szCs w:val="18"/>
          <w:u w:val="single" w:color="auto"/>
          <w:color w:val="auto"/>
        </w:rPr>
        <w:t>http://bit.ly/1hqlUpD</w:t>
      </w:r>
      <w:r>
        <w:rPr>
          <w:rFonts w:ascii="Arial" w:cs="Arial" w:eastAsia="Arial" w:hAnsi="Arial"/>
          <w:sz w:val="18"/>
          <w:szCs w:val="18"/>
          <w:color w:val="auto"/>
        </w:rPr>
        <w: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3, 2014, the District Court ordered that I/P Engine recover an additional sum from the Defendants for supplemental damages and prejudgment interest. This ruling can be found at </w:t>
      </w:r>
      <w:r>
        <w:rPr>
          <w:rFonts w:ascii="Arial" w:cs="Arial" w:eastAsia="Arial" w:hAnsi="Arial"/>
          <w:sz w:val="18"/>
          <w:szCs w:val="18"/>
          <w:u w:val="single" w:color="auto"/>
          <w:color w:val="auto"/>
        </w:rPr>
        <w:t>http://bit.ly/1iRY5rc</w:t>
      </w:r>
      <w:r>
        <w:rPr>
          <w:rFonts w:ascii="Arial" w:cs="Arial" w:eastAsia="Arial" w:hAnsi="Arial"/>
          <w:sz w:val="18"/>
          <w:szCs w:val="18"/>
          <w:color w:val="auto"/>
        </w:rPr>
        <w:t xml:space="preserve">. On January 21, 2014, the District Court ruled that the Defendants' alleged design-around was “nothing more than a colorable variation of the system adjudged to infringe,” and accordingly I/P Engine “is entitled to ongoing royalties as long as [the] Defendants continue to use the modified system.” This ruling can be found at </w:t>
      </w:r>
      <w:r>
        <w:rPr>
          <w:rFonts w:ascii="Arial" w:cs="Arial" w:eastAsia="Arial" w:hAnsi="Arial"/>
          <w:sz w:val="18"/>
          <w:szCs w:val="18"/>
          <w:u w:val="single" w:color="auto"/>
          <w:color w:val="auto"/>
        </w:rPr>
        <w:t>http://bit.ly/1rpVeZp</w:t>
      </w:r>
      <w:r>
        <w:rPr>
          <w:rFonts w:ascii="Arial" w:cs="Arial" w:eastAsia="Arial" w:hAnsi="Arial"/>
          <w:sz w:val="18"/>
          <w:szCs w:val="18"/>
          <w:color w:val="auto"/>
        </w:rPr>
        <w:t>.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Both I/P Engine and the Defendants have appealed the case to the U.S. Court of Appeals for the Federal Circuit. The case number for the District Court case is 2:11 CV 512-RAJ. The case numbers for the cases in the Court of Appeals for the Federal Circuit are 13-1307, 13-1313, 14-1233 and 14-1289. On May 6, 2014, the United States Court of Appeals for the Federal Circuit heard oral argument in I/P Engine, Inc., Plaintiff-Cross Appellant v. AOL Inc., Google Inc., IAC Search &amp; Media, Inc., Gannett Company, Inc. and Target Corporation, Defendants-Appellants, Appeal Nos. 13-1307 and 13-1313. The Court's decision in the case is pending as of the filing date of this Form 10-Q.</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Requests for reexamination are a standard tactic used by defendants in patent litigation cases. Google has previously filed four separate requests for reexamination of the two asserted patents at the USPTO, with the two requests on one of the patents being merged. On July 2, 2014, the USPTO mailed a notice that it will issue a certificate that all of the claims of U.S. Patent No. 6,314,420 remain valid and unchanged. This is the second time the USPTO has confirmed the validity of the ‘420 patent. The USPTO has also previously confirmed the validity of U.S. Patent No. 6,775,664, the other patent asserted in litigation with Google. At this time, there are no other pending reexaminations for the patents asserted in the litigation.</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31, 2013, I/P Engine initiated litigation in the United States District Court, Southern District of New York, against Microsoft Corporation (“Microsoft”). On May 30, 2013, I/P Engine entered into a settlement and license agreement with Microsoft to resolve the litigation. According to the agreement, Microsoft paid I/P Engine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entered into a patent assignment agreement, pursuant to which Microsoft assigned six patents to I/P Engine. The assigned patents relate to telecommunications, data management, and other technology areas. The case number was 1:13 CV 00688.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August 9, 2012, we entered into a patent purchase agreement with Nokia Corporation ("Nokia"), comprising of 124 patent families with counterparts world-wide. The total consideration paid for the portfolio was $22,000,000. Under the terms of the purchase agreement, to the extent that the gross revenue generated by such portfolio exceeds $22,000,000, we are obligated to pay a royalty of 35% of such excess. The portfolio encompasses technologies relating to telecom infrastructure, including communication management, data and signal transmission, mobility management, radio resources management and services. Declarations were filed by Nokia indicating that 31 of the 124 patent families acquired may be essential to wireless communications standards. Copies of the declarations are available on our website at </w:t>
      </w:r>
      <w:r>
        <w:rPr>
          <w:rFonts w:ascii="Arial" w:cs="Arial" w:eastAsia="Arial" w:hAnsi="Arial"/>
          <w:sz w:val="16"/>
          <w:szCs w:val="16"/>
          <w:u w:val="single" w:color="auto"/>
          <w:color w:val="auto"/>
        </w:rPr>
        <w:t>http://www.vringoip.com/documents/FG/vringo/ip/99208_Nokia_ETSI_Declarations.pdf</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Tyco Integrated Security, LLC (“Tyco”)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certain European patents. Subsequently, ZTE responded to the complaint on December 19, 2012 with a counterclaim for invalidity of the patents in suit. Vringo Infrastructure filed a further UK suit on December 3, 2012, alleging infringement of additional European patents. In the first UK suit, trial is scheduled for October 2014 and in the second UK suit, trial is scheduled for June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we filed a further brief with respect to the proceedings of the first European patent suit, asserting infringement by ZTE eNode B infrastructure equipment used in 4G networks.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hearing for the first European patent case has been postponed by mutual agreement with ZTE; no date has been set for reinstatement. On December 17, 2013, the Court issued its judgment in the second European patent case, finding that ZTE infringed that patent and ordered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approximately $1,400,000 to the Court in order to enforce the injunction against ZTE. Trial in the suit to enforce the accounting is scheduled for September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2013 and January 28, 2014, Vringo Germany filed two suits in the Regional Court of Düsseldorf, alleging infringement of two additional European patents. Both cases are scheduled to be heard in November 2014. On April 23, 2014, Google commenced the process to intervene in the fourth filed suit as an interested third party. As a result of this process, Google is entitled to file defensive briefs in tandem with ZTE.</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ZTE filed nullity suits with respect to the first and second European patents in the Federal Patents Court in Munich, Germany during the second and fourth quarters, respectively, of 2013. Trials in the nullity suits have not been scheduled. 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November and December 2012, ZTE filed reexamination requests in China against three Chinese patents owned by Vringo before the Patent Reexamination Board of the Patent Office of the People’s Republic of China. On July 3, 2013, the patent rights for one of those patents was upheld. On May 30, 2014, the patent rights for another one of those patents was upheld. The oral hearing for the remaining patent occurred on January 23, 2014, </w:t>
      </w:r>
      <w:r>
        <w:rPr>
          <w:rFonts w:ascii="Arial" w:cs="Arial" w:eastAsia="Arial" w:hAnsi="Arial"/>
          <w:sz w:val="17"/>
          <w:szCs w:val="17"/>
          <w:color w:val="181818"/>
        </w:rPr>
        <w:t>for which the</w:t>
      </w:r>
      <w:r>
        <w:rPr>
          <w:rFonts w:ascii="Arial" w:cs="Arial" w:eastAsia="Arial" w:hAnsi="Arial"/>
          <w:sz w:val="17"/>
          <w:szCs w:val="17"/>
          <w:color w:val="auto"/>
        </w:rPr>
        <w:t xml:space="preserve"> </w:t>
      </w:r>
      <w:r>
        <w:rPr>
          <w:rFonts w:ascii="Arial" w:cs="Arial" w:eastAsia="Arial" w:hAnsi="Arial"/>
          <w:sz w:val="17"/>
          <w:szCs w:val="17"/>
          <w:color w:val="181818"/>
        </w:rPr>
        <w:t>ruling is still pending. Between December 20 and December 28, 2013, ZTE filed four more additional reexamination requests against four other Chinese patents owned by Vringo. Vringo filed responses for these four patents in early May 2014. The oral hearing for one of the patents occurred on June 17, 2014. Oral hearings for the remaining three patents are expected to occur later in the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Between May and July of 2014, ZTE filed reexamination requests in China against 25 additional Chinese patents owned by Vringo before the Patent Reexamination Board of the Patent Office of the People’s Republic of China. Vringo’s initial responses are due in August of 2014. The remaining schedule in these 25 new re-examinations is not yet available.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On February 21, 2014, ZTE filed a civil antitrust complaint against Vringo and Vringo Infrastructure in the Shenzhen Intermediate Court. Vringo received notice of the action on June 26, 2014. Vringo intends to vigorously contest all aspects of this action in the appropriate manner. A schedule for the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 these patents has been scheduled for December 2014 before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division of the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chamber of the Tribunal de Grande Instance de Paris (specializing in IP matters).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We currently anticipate that the Court will set a trial date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7, 2013, we, along with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appellate panel instituted an interim arrangement, requiring ZTE to file an accounting affidavit disclosing the number of CDMA devices sold by its entities in India, revenue derived therefrom, and other supporting documentation. The Court also required ZTE to pay a bond approximately $800,000, directed Indian customs authorities to notify us when all relevant ZTE goods are imported into India, and required ZTE to give us the opportunity to inspect those goods. ZTE filed its accounting affidavit on January 13, 2014.</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2014, we filed a motion for contempt for ZTE’s failure to comply with the Court’s order, and requested that the Court order ZTE to pay an increased bond.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 xml:space="preserve">On January 31, 2014, we and our subsidiary, Vringo Infrastructure, filed a patent infringement lawsuit in the High Court of Delhi at New Delhi, alleging infringement of a second Indian patent related to GSM Infrastructure. The Court, finding a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case of infringement, granted an ex-parte preliminary injunction, restraining ZTE and its officers, directors, agents, distributors and customers from importing, selling, offering for sale, advertising, installing, or operating any infringing products, and giving us the right to inspect any infringing goods arriving in India, which are to be detained by customs authorities. The judge granted the injunction after ruling that we would suffer an irreparable loss if such an injunction were not put into place. ZTE subsequently appealed the injunction. On August 5, 2014, ZTE's appeal was heard by the Court. A ruling is 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14, 2014, Vringo Infrastructure filed a patent infringement lawsuit in the 5th Trial Court of Rio de Janeiro State Court in Brazil, alleging infringement of a Brazilian patent related to 3G/4G/LTE infrastructure. On April 15, 2014, the court granted an ex-parte preliminary injunction restraining ZTE from manufacturing, using, offering for sale, selling, installing, testing, or importing such infrastructure equipment, subject to a fine. To enforce the injunction, the Company posted a bond of approximately $904,000 with the court on April 17, 2014. On May 9, 2014, ZTE filed an interlocutory appeal against the injunction. This appeal was denied by the Court on June 16, 2014.</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A schedule has not yet been set in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The remaining schedule has not yet been set in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A schedule has not yet been set in this matter.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24, 2014, ZTE filed an action for a preliminary injunction in District Court of The Hague against Vringo Infrastructure for the release of allegedly wrongfully detained goods. This matter will be heard on September 16,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NDA,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The cases are scheduled to be heard in November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is scheduled to be heard before the Commercial Court of Barcelona in November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A schedule for the case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28, 2014, the Company entered into a confidential agreement with Tyco that resolved all litigation pending between the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risk factors set forth below update the risk factors in Part I, “Item 1A. Risk Factors” in our Annual Report on Form 10-K for the year ended December 31, 2013 and Part II, “Item 1A. Risk Factors in our Quarterly Report on Form 10-Q for the quarterly period ended March 31, 2014. In addition to the risk factors below and the risk factors included in our Annual Report on Form 10-K, as updated by our Quarterly Report on Form 10-Q,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business is focused on the assertion of our patent portfolio of which the earliest patent was acquired by us in June 2011. Therefore, we not only have a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960" w:hanging="804"/>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960" w:hanging="8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We commenced legal proceedings against major online search engines, security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license or otherwise monetize the patent assets that we own, we commenced legal proceedings against a number of large, multi-national companies, pursuant to which we allege that such companies infringe on one or more of our patents. Our viability is highly dependent on the outcome of these litigations, and there is a risk that we may be unable to achieve the results we desire from such litigation, failure from which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inter alia, revocation of our patents or file collateral litigations or initiate investigations in the United States, Europe, India, and China or elsewhere in an effort to avoid or limit liability and damages for patent infringement. If such actions are successful, they may preclude our ability to derive licensing revenue from the patents currently being asserted.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should we be deemed the losing party in many of our litigations, we may be liable for some or all of our opponents’ legal fees. In addition, in connection with litigation, we have made several affirmative financial guarantees to courts around the world, and might face the need to make additional guarantees in the future.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any of our applications to the Court in the UK ZTE litigation or for the entire UK ZTE litigation, we may be held responsible for a substantial percentage of the defendant’s legal fees for the relevant application or for the litigation. These fees may be substantial. Pursuant to negotiation with ZTE’s United Kingdom subsidiary, we placed two written commitments, in November 2012 and May 2013, to ensure payment should a liability by Vringo Infrastructure arise as a result of the two cases we filed. To date, ZTE has asserted that its anticipated fees in defending the UK litigation may be approximately $5,800,000.</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Australia, should we be deemed the losing party in any of our applications to the Court or for the entire litigation, we may be held responsible for a substantial percentage of the defendant’s legal fees for the relevant application or for the litigation. These fees may be substantial. In addition, pursuant to negotiations with ZTE’s Australian subsidiary, we placed a written commitment in April 2014 to ensure payment should a liability by Vringo Infrastructure arise as a result of the case filed. The amount of such commitment cannot be reasonably estimated at this time, and we assess the likelihood of such payment as remote.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The estimated value in dispute for each of the four patent infringement cases we have filed against ZTE in Germany, and for each of the two patent infringement cases we have filed against ASUS in Germany is approximately $1,400,000. The estimated value in dispute for each of the three invalidity cases which ZTE has filed against us in Germany is approximately $1,700,000. Under the current statute, our risk is capped at approximately $1,000,000 were the court to determine that the value in dispute is at the highest tier under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spacing w:after="0" w:line="272" w:lineRule="auto"/>
        <w:rPr>
          <w:sz w:val="20"/>
          <w:szCs w:val="20"/>
          <w:color w:val="auto"/>
        </w:rPr>
      </w:pPr>
      <w:r>
        <w:rPr>
          <w:rFonts w:ascii="Arial" w:cs="Arial" w:eastAsia="Arial" w:hAnsi="Arial"/>
          <w:sz w:val="17"/>
          <w:szCs w:val="17"/>
          <w:color w:val="auto"/>
        </w:rPr>
        <w:t>In Germany, should the court order an injunction, for it to be enforced, we will have to pay a security based on the relevant statutory rate. In our litigations against ZTE and ASUS the statutory rate is approximately $1,400,000 for each patent asserted. We have already deposited a bond of $1,400,000 on May 5, 2014 in one of our cases. The statutory rate is only loosely correlated to any actual harm the defendant may suffer from an injunction. The district court judge is entitled to increase the amount of the security. Generally, the courts take the value in dispute as the amount payable as security. Should the injunction be successfully overturned on appeal, we may be obligated to compensate the defendant for any damages allegedly suffered as a result of the enforcement of the injunction, which would be ascertained through separate damages proceedings. Should the judgment which granted the injunction be affirmed on appeal, however, the amount paid as security would be returnable to us in full.</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 and 60%.</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Brazil, as a condition of the relief requested, we deposited $904,000 as a surety against the truth of the allegations contained in the complaint. Unless ZTE is the prevailing party and proves that actual material damages were suffered while the requested relief was in place, the funds are returnable at the end of the litigation.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be required to grant additional written commitments, as necessary, in connection with our commenced proceedings against ZTE Corporation and its subsidiaries in various countries. As of today, we cannot estimate our potential future liability. However, should we be successful on any court applications, for example, in the UK, Australia, France, or Germany or the entire litigation and/or litigations, our adversary may be responsible for a substantial percentage of our legal fees.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While we believe that the patents we own are being infringed there is a risk that a court will find the patents invalid, not infringed or unenforceable and/or that the U.S. Patent and Trademark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certain companies infringe our patents, but recognize that obtaining and collecting a judgment against such companies may be difficult or impossible. Patent litigation is inherently risky and the outcome is uncertain. Some of the parties that we believe infringe on our patents are large and well-financed companies with substantially greater resources than ours. We believe that these parties would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in standard business litigation. The defendant to any case we bring, may file as many appeals as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acquired from Nokia, nor any of the other patent acquisitions, thus we may fail to realize all of the anticipated benefits of such acquisition.</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is no assurance that we will be able to successfully monetize the patent portfolio that we acquired from Nokia, nor any of the other patent acquisitions.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jc w:val="both"/>
        <w:ind w:left="1500" w:hanging="803"/>
        <w:spacing w:after="0" w:line="264"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81" w:lineRule="exact"/>
        <w:rPr>
          <w:rFonts w:ascii="Arial" w:cs="Arial" w:eastAsia="Arial" w:hAnsi="Arial"/>
          <w:sz w:val="18"/>
          <w:szCs w:val="18"/>
          <w:color w:val="auto"/>
        </w:rPr>
      </w:pPr>
    </w:p>
    <w:p>
      <w:pPr>
        <w:jc w:val="both"/>
        <w:ind w:left="1500" w:hanging="803"/>
        <w:spacing w:after="0" w:line="264"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would lead to the loss of our investments in such activities.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of our management team have experience as inventors.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even if we are able to internally develop new inventions, in order for those inventions to be viable and to compete effectively, we would need to develop and maintain them,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81" w:lineRule="exact"/>
        <w:rPr>
          <w:sz w:val="20"/>
          <w:szCs w:val="20"/>
          <w:color w:val="auto"/>
        </w:rPr>
      </w:pPr>
    </w:p>
    <w:p>
      <w:pPr>
        <w:ind w:left="1620" w:hanging="802"/>
        <w:spacing w:after="0"/>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patent applications we may file may not result in issued patents or may take longer than we expect to result in issued patents;</w:t>
      </w:r>
    </w:p>
    <w:p>
      <w:pPr>
        <w:spacing w:after="0" w:line="236" w:lineRule="exact"/>
        <w:rPr>
          <w:rFonts w:ascii="Arial" w:cs="Arial" w:eastAsia="Arial" w:hAnsi="Arial"/>
          <w:sz w:val="17"/>
          <w:szCs w:val="17"/>
          <w:color w:val="auto"/>
        </w:rPr>
      </w:pPr>
    </w:p>
    <w:p>
      <w:pPr>
        <w:ind w:left="1620" w:hanging="80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620" w:hanging="802"/>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Intellectual property is the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the appropriate restrictions are on the ability of owners of patents declared to technical standards to receive both injunctions and royalties.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United States patent laws have been amended by the Leahy-Smith America Invents Act, or the America Invents Act. The America Invents Act includes a number of significant changes to U.S. patent law. In general, the legislation attempts to address issues surrounding the enforceability of patents and the increase in patent litigation by, among other things, establishing new procedures for patent litigation. For example, the America Invents Act changes the way that parties may be joined in patent infringement actions, increasing the likelihood that such actions will need to be brought against individual parties allegedly infringing by their respective individual actions or activities. At this time, it is not clear what, if any, impact the America Invents Act will have on the operation of our enforcement business. However, the America Invents Act and its implementation could increase the uncertainties and costs surrounding the enforcement of our patented technologies, which could have a material adverse effect on our business and financial condition.</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U.S. Department of Justice (“DOJ”) has conducted reviews of the patent system to evaluate the impact of patent assertion entities on industries in which those patents relate. It is possible that the findings and recommendations of the DOJ could impact the ability to effectively license and enforce standards-essential patents and could increase the uncertainties and costs surrounding the enforcement of any such patented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in various pending litigation and appeals in the United States Federal courts, various arguments and legal theories are being advanced to potentially limit the scope of damages that a patent licensing company such as us might be entitled to. Any one of these pending cases could result in new legal doctrines that could make our existing or future patent portfolios less valuable or more costly to enforce.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Acquisitions of patents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patents or other intellectual property assets, there is no guarantee that we will generate sufficient revenue related to those assets to offset the acquisition costs. While we will seek to conduct confirmatory due diligence on the patents or other intellectual property assets we are considering for acquisition, we may acquire such assets from a seller who does not have proper title to those assets. In those cases, we may be required to spend significant resources to defend our interest in such assets and, if we are not successful, our acquisition may be invalid, in which case we could lose part or all of our investment in those assets.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identify patents or other intellectual property assets that cost more than we are prepared to spend with our own capital resources. We may incur significant costs to organize and negotiate a structured acquisition that does not ultimately result in an acquisition of any patents or other intellectual property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confidential information may be disclosed by other parties.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or to our disadvantage including in legal proceedings in which we are involved. Our ability to act against such third parties may be limited, as we may not be in privity of contract with such third parties.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spacing w:after="0" w:line="282" w:lineRule="auto"/>
        <w:rPr>
          <w:sz w:val="20"/>
          <w:szCs w:val="20"/>
          <w:color w:val="auto"/>
        </w:rPr>
      </w:pPr>
      <w:r>
        <w:rPr>
          <w:rFonts w:ascii="Arial" w:cs="Arial" w:eastAsia="Arial" w:hAnsi="Arial"/>
          <w:sz w:val="18"/>
          <w:szCs w:val="18"/>
          <w:b w:val="1"/>
          <w:bCs w:val="1"/>
          <w:color w:val="auto"/>
        </w:rPr>
        <w:t>Competition is intense in the industries in which our subsidiaries do business and as a result, we may not be able to grow or maintain our market share for our technologies and patents.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encounter competition in the area of patent acquisition and enforcement as the number of companies entering this market is increasing. This includes competitors seeking to acquire the same or similar patents and technologies that we may seek to acquire. As new technological advances occur, many of our patented technologies may become obsolete before they are completely monetized. If we are unable to replace obsolete technologies with more technologically advanced patented technologies, then this obsolescence could have a negative effect on our ability to generate future revenues.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licensing business also competes with venture capital firms and various industry leaders for technology licensing opportunities. Many of these competitors may have more financial and human resources than we do. As we become more successful, we may find more companies entering the market for similar technology opportunities, which may reduce our market share in one or more technology industries that we currently rely upon to generate future revenue.</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Should our warrants outstanding as of July 25, 2014, be exercised, there would be an additional 17,423,851 shares of common stock eligible for trading in the public market. In addition, we currently have incentive equity instruments outstanding to purchase 10,102,094 shares of our common stock granted to our management, employees, directors and consultants. Certain options granted to officers, directors and certain key employees are subject to acceleration of vesting of 75% and 100% (according to the agreement signed with each grantee), upon a subsequent change of control. Certain options granted in prior years that are outstanding have exercise prices that are below recent market prices. Such securities, if exercised, will increase the number of issued and outstanding shares of our common stock. Therefore, the sale, or even the possibility of sale, of the shares of common stock underlying the warrants and options could have an adverse effect on the market price for our securities and/or on our ability to obtain future financing.</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July 25, 2014, we had 92,545,862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company stock prices are especially volatile, and this volatility may depress the price of our common stock.</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stock market has experienced significant price and volume fluctuations, and the market prices of technology companies have been highly volatile. We believe that various factors may cause the market price of our common stock to fluctuate, perhaps substantially, including, among others, the following:</w:t>
      </w:r>
    </w:p>
    <w:p>
      <w:pPr>
        <w:spacing w:after="0" w:line="124" w:lineRule="exact"/>
        <w:rPr>
          <w:sz w:val="20"/>
          <w:szCs w:val="20"/>
          <w:color w:val="auto"/>
        </w:rPr>
      </w:pPr>
    </w:p>
    <w:p>
      <w:pPr>
        <w:ind w:left="1720" w:hanging="564"/>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patents;</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developments in our patent enforcement actions;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4" w:name="page45"/>
    <w:bookmarkEnd w:id="44"/>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720" w:right="520" w:hanging="564"/>
        <w:spacing w:after="0" w:line="250" w:lineRule="auto"/>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strategic partnerships, capital commitments, new technologies, or patents;</w:t>
      </w:r>
    </w:p>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prices of the securities of technology companies have been highly volatile and are likely to remain highly volatile in the future. The stock market as a whole also has experienced extreme price and volume fluctuations that have affected the market price of many technology companies in ways that may have been unrelated to these companies' operating performance. Furthermore, we believe that fluctuations in our stock price can also be impacted by court rulings and/or other developments in our patent licensing and enforcement actions and stock price may reflect certain future growth and profitability expectations. If we fail to meet these expectations then our stock price may significantly decline which could have an adverse impact on investor confidence.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consolidated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18"/>
                <w:szCs w:val="18"/>
                <w:color w:val="auto"/>
              </w:rPr>
            </w:pPr>
          </w:p>
        </w:tc>
      </w:tr>
      <w:tr>
        <w:trPr>
          <w:trHeight w:val="234"/>
        </w:trPr>
        <w:tc>
          <w:tcPr>
            <w:tcW w:w="920" w:type="dxa"/>
            <w:vAlign w:val="bottom"/>
            <w:gridSpan w:val="2"/>
          </w:tcPr>
          <w:p>
            <w:pPr>
              <w:ind w:left="280"/>
              <w:spacing w:after="0"/>
              <w:rPr>
                <w:sz w:val="20"/>
                <w:szCs w:val="20"/>
                <w:color w:val="auto"/>
              </w:rPr>
            </w:pPr>
            <w:r>
              <w:rPr>
                <w:rFonts w:ascii="Arial" w:cs="Arial" w:eastAsia="Arial" w:hAnsi="Arial"/>
                <w:sz w:val="18"/>
                <w:szCs w:val="18"/>
                <w:b w:val="1"/>
                <w:bCs w:val="1"/>
                <w:color w:val="auto"/>
              </w:rPr>
              <w:t>No.</w:t>
            </w:r>
          </w:p>
        </w:tc>
        <w:tc>
          <w:tcPr>
            <w:tcW w:w="10500" w:type="dxa"/>
            <w:vAlign w:val="bottom"/>
          </w:tcPr>
          <w:p>
            <w:pPr>
              <w:ind w:left="48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warrant, dated June 20, 2014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 of</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Principal Financial Officer pursuant to Exchange Act Rules 13a – 14(a) and 15d – 14(a), as adopted pursuant to Section 302 of</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Certifications of Principal Executive Officer and Principal Financial Officer Pursuant to 18 U.S.C. Section 1350, as adopted pursuant to Section</w:t>
            </w:r>
          </w:p>
        </w:tc>
      </w:tr>
      <w:tr>
        <w:trPr>
          <w:trHeight w:val="230"/>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920" w:hanging="912"/>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20" w:hanging="912"/>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6th day of August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VRINGO, INC.</w:t>
            </w:r>
          </w:p>
        </w:tc>
        <w:tc>
          <w:tcPr>
            <w:tcW w:w="8360" w:type="dxa"/>
            <w:vAlign w:val="bottom"/>
          </w:tcPr>
          <w:p>
            <w:pPr>
              <w:spacing w:after="0"/>
              <w:rPr>
                <w:sz w:val="20"/>
                <w:szCs w:val="20"/>
                <w:color w:val="auto"/>
              </w:rPr>
            </w:pPr>
          </w:p>
        </w:tc>
      </w:tr>
      <w:tr>
        <w:trPr>
          <w:trHeight w:val="432"/>
        </w:trPr>
        <w:tc>
          <w:tcPr>
            <w:tcW w:w="3060" w:type="dxa"/>
            <w:vAlign w:val="bottom"/>
            <w:gridSpan w:val="2"/>
          </w:tcPr>
          <w:p>
            <w:pPr>
              <w:spacing w:after="0"/>
              <w:rPr>
                <w:sz w:val="20"/>
                <w:szCs w:val="20"/>
                <w:color w:val="auto"/>
              </w:rPr>
            </w:pPr>
            <w:r>
              <w:rPr>
                <w:rFonts w:ascii="Arial" w:cs="Arial" w:eastAsia="Arial" w:hAnsi="Arial"/>
                <w:sz w:val="18"/>
                <w:szCs w:val="18"/>
                <w:color w:val="auto"/>
              </w:rPr>
              <w:t>By:</w:t>
            </w:r>
          </w:p>
        </w:tc>
        <w:tc>
          <w:tcPr>
            <w:tcW w:w="8360" w:type="dxa"/>
            <w:vAlign w:val="bottom"/>
          </w:tcPr>
          <w:p>
            <w:pPr>
              <w:jc w:val="center"/>
              <w:ind w:right="1810"/>
              <w:spacing w:after="0"/>
              <w:rPr>
                <w:sz w:val="20"/>
                <w:szCs w:val="20"/>
                <w:color w:val="auto"/>
              </w:rPr>
            </w:pPr>
            <w:r>
              <w:rPr>
                <w:rFonts w:ascii="Arial" w:cs="Arial" w:eastAsia="Arial" w:hAnsi="Arial"/>
                <w:sz w:val="18"/>
                <w:szCs w:val="18"/>
                <w:color w:val="auto"/>
              </w:rPr>
              <w:t>/s/  ANASTASIA NYRKOVSKAYA</w:t>
            </w:r>
          </w:p>
        </w:tc>
      </w:tr>
      <w:tr>
        <w:trPr>
          <w:trHeight w:val="191"/>
        </w:trPr>
        <w:tc>
          <w:tcPr>
            <w:tcW w:w="116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8360" w:type="dxa"/>
            <w:vAlign w:val="bottom"/>
            <w:tcBorders>
              <w:top w:val="single" w:sz="8" w:color="auto"/>
            </w:tcBorders>
          </w:tcPr>
          <w:p>
            <w:pPr>
              <w:jc w:val="center"/>
              <w:ind w:right="181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360" w:type="dxa"/>
            <w:vAlign w:val="bottom"/>
          </w:tcPr>
          <w:p>
            <w:pPr>
              <w:jc w:val="center"/>
              <w:ind w:right="1810"/>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648"/>
        </w:trPr>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878" w:right="239" w:bottom="1440" w:gutter="0" w:footer="0" w:header="0"/>
        </w:sectPr>
      </w:pPr>
    </w:p>
    <w:bookmarkStart w:id="47" w:name="page48"/>
    <w:bookmarkEnd w:id="47"/>
    <w:p>
      <w:pPr>
        <w:ind w:left="10580"/>
        <w:spacing w:after="0"/>
        <w:rPr>
          <w:sz w:val="20"/>
          <w:szCs w:val="20"/>
          <w:color w:val="auto"/>
        </w:rPr>
      </w:pPr>
      <w:r>
        <w:rPr>
          <w:rFonts w:ascii="Arial" w:cs="Arial" w:eastAsia="Arial" w:hAnsi="Arial"/>
          <w:sz w:val="16"/>
          <w:szCs w:val="16"/>
          <w:b w:val="1"/>
          <w:bCs w:val="1"/>
          <w:u w:val="single" w:color="auto"/>
          <w:color w:val="auto"/>
        </w:rPr>
        <w:t>Exhibit 4.1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Warrant No. W-___</w:t>
            </w:r>
          </w:p>
        </w:tc>
        <w:tc>
          <w:tcPr>
            <w:tcW w:w="4000" w:type="dxa"/>
            <w:vAlign w:val="bottom"/>
          </w:tcPr>
          <w:p>
            <w:pPr>
              <w:ind w:left="1520"/>
              <w:spacing w:after="0"/>
              <w:rPr>
                <w:sz w:val="20"/>
                <w:szCs w:val="20"/>
                <w:color w:val="auto"/>
              </w:rPr>
            </w:pPr>
            <w:r>
              <w:rPr>
                <w:rFonts w:ascii="Arial" w:cs="Arial" w:eastAsia="Arial" w:hAnsi="Arial"/>
                <w:sz w:val="18"/>
                <w:szCs w:val="18"/>
                <w:color w:val="auto"/>
                <w:w w:val="89"/>
              </w:rPr>
              <w:t>Number of Shares: ____________</w:t>
            </w:r>
          </w:p>
        </w:tc>
      </w:tr>
      <w:tr>
        <w:trPr>
          <w:trHeight w:val="392"/>
        </w:trPr>
        <w:tc>
          <w:tcPr>
            <w:tcW w:w="4200" w:type="dxa"/>
            <w:vAlign w:val="bottom"/>
            <w:gridSpan w:val="3"/>
          </w:tcPr>
          <w:p>
            <w:pPr>
              <w:spacing w:after="0"/>
              <w:rPr>
                <w:sz w:val="20"/>
                <w:szCs w:val="20"/>
                <w:color w:val="auto"/>
              </w:rPr>
            </w:pPr>
            <w:r>
              <w:rPr>
                <w:rFonts w:ascii="Arial" w:cs="Arial" w:eastAsia="Arial" w:hAnsi="Arial"/>
                <w:sz w:val="18"/>
                <w:szCs w:val="18"/>
                <w:color w:val="auto"/>
              </w:rPr>
              <w:t>Date of Issuance: June 20, 2014 (“Issuance Date”)</w:t>
            </w:r>
          </w:p>
        </w:tc>
        <w:tc>
          <w:tcPr>
            <w:tcW w:w="4000" w:type="dxa"/>
            <w:vAlign w:val="bottom"/>
          </w:tcPr>
          <w:p>
            <w:pPr>
              <w:spacing w:after="0"/>
              <w:rPr>
                <w:sz w:val="24"/>
                <w:szCs w:val="24"/>
                <w:color w:val="auto"/>
              </w:rPr>
            </w:pPr>
          </w:p>
        </w:tc>
      </w:tr>
      <w:tr>
        <w:trPr>
          <w:trHeight w:val="453"/>
        </w:trPr>
        <w:tc>
          <w:tcPr>
            <w:tcW w:w="25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tcPr>
          <w:p>
            <w:pPr>
              <w:jc w:val="center"/>
              <w:ind w:right="87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Common Stock Warrant</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 or its registered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is entitled,</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June 21, 2015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 (_______)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Five Dollars and Six Cents ($5.06) per share (subject to adjustment as set forth in Section 2).</w:t>
      </w:r>
    </w:p>
    <w:p>
      <w:pPr>
        <w:spacing w:after="0" w:line="180" w:lineRule="exact"/>
        <w:rPr>
          <w:sz w:val="20"/>
          <w:szCs w:val="20"/>
          <w:color w:val="auto"/>
        </w:rPr>
      </w:pPr>
    </w:p>
    <w:p>
      <w:pPr>
        <w:ind w:left="1160" w:hanging="180"/>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8"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exercised by the Registered Holder, in whole or in part, by delivering the form appended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executed by such Registered Holder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w:t>
      </w:r>
    </w:p>
    <w:p>
      <w:pPr>
        <w:spacing w:after="0" w:line="183" w:lineRule="exact"/>
        <w:rPr>
          <w:rFonts w:ascii="Arial" w:cs="Arial" w:eastAsia="Arial" w:hAnsi="Arial"/>
          <w:sz w:val="18"/>
          <w:szCs w:val="18"/>
          <w:color w:val="auto"/>
        </w:rPr>
      </w:pPr>
    </w:p>
    <w:p>
      <w:pPr>
        <w:jc w:val="both"/>
        <w:ind w:firstLine="1305"/>
        <w:spacing w:after="0" w:line="281" w:lineRule="auto"/>
        <w:tabs>
          <w:tab w:leader="none" w:pos="1565" w:val="left"/>
        </w:tabs>
        <w:numPr>
          <w:ilvl w:val="1"/>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 the close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1(c) below shall be deemed to have become the holder or holders of record of the Warrant Stock represented by such certificates.</w:t>
      </w:r>
    </w:p>
    <w:p>
      <w:pPr>
        <w:spacing w:after="0" w:line="164" w:lineRule="exact"/>
        <w:rPr>
          <w:rFonts w:ascii="Arial" w:cs="Arial" w:eastAsia="Arial" w:hAnsi="Arial"/>
          <w:sz w:val="17"/>
          <w:szCs w:val="17"/>
          <w:color w:val="auto"/>
        </w:rPr>
      </w:pPr>
    </w:p>
    <w:p>
      <w:pPr>
        <w:jc w:val="both"/>
        <w:ind w:firstLine="1305"/>
        <w:spacing w:after="0" w:line="266" w:lineRule="auto"/>
        <w:tabs>
          <w:tab w:leader="none" w:pos="1555"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the exercise of this Warrant in whole or in part, and in any event within three (3)</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ind w:left="960" w:hanging="207"/>
        <w:spacing w:after="0"/>
        <w:tabs>
          <w:tab w:leader="none" w:pos="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236" w:lineRule="exact"/>
        <w:rPr>
          <w:rFonts w:ascii="Arial" w:cs="Arial" w:eastAsia="Arial" w:hAnsi="Arial"/>
          <w:sz w:val="17"/>
          <w:szCs w:val="17"/>
          <w:color w:val="auto"/>
        </w:rPr>
      </w:pPr>
    </w:p>
    <w:p>
      <w:pPr>
        <w:jc w:val="both"/>
        <w:ind w:left="-1200" w:firstLine="1953"/>
        <w:spacing w:after="0" w:line="312" w:lineRule="auto"/>
        <w:tabs>
          <w:tab w:leader="none" w:pos="1014"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42" w:lineRule="exact"/>
        <w:rPr>
          <w:rFonts w:ascii="Arial" w:cs="Arial" w:eastAsia="Arial" w:hAnsi="Arial"/>
          <w:sz w:val="16"/>
          <w:szCs w:val="16"/>
          <w:color w:val="auto"/>
        </w:rPr>
      </w:pPr>
    </w:p>
    <w:p>
      <w:pPr>
        <w:jc w:val="both"/>
        <w:ind w:left="-1200" w:firstLine="1305"/>
        <w:spacing w:after="0" w:line="286" w:lineRule="auto"/>
        <w:tabs>
          <w:tab w:leader="none" w:pos="351"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 available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168" w:lineRule="exact"/>
        <w:rPr>
          <w:rFonts w:ascii="Arial" w:cs="Arial" w:eastAsia="Arial" w:hAnsi="Arial"/>
          <w:sz w:val="16"/>
          <w:szCs w:val="16"/>
          <w:color w:val="auto"/>
        </w:rPr>
      </w:pPr>
    </w:p>
    <w:p>
      <w:pPr>
        <w:jc w:val="both"/>
        <w:ind w:left="-1200" w:firstLine="1305"/>
        <w:spacing w:after="0" w:line="284" w:lineRule="auto"/>
        <w:tabs>
          <w:tab w:leader="none" w:pos="341" w:val="left"/>
        </w:tabs>
        <w:numPr>
          <w:ilvl w:val="0"/>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1(e)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1(e),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1(e)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536575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49" w:name="page50"/>
    <w:bookmarkEnd w:id="49"/>
    <w:p>
      <w:pPr>
        <w:ind w:left="320" w:hanging="320"/>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firstLine="1305"/>
        <w:spacing w:after="0" w:line="255" w:lineRule="auto"/>
        <w:tabs>
          <w:tab w:leader="none" w:pos="561"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outstanding shares of the Company’s Common Stock shall be subdivided into a greater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189" w:lineRule="exact"/>
        <w:rPr>
          <w:rFonts w:ascii="Arial" w:cs="Arial" w:eastAsia="Arial" w:hAnsi="Arial"/>
          <w:sz w:val="18"/>
          <w:szCs w:val="18"/>
          <w:color w:val="auto"/>
        </w:rPr>
      </w:pPr>
    </w:p>
    <w:p>
      <w:pPr>
        <w:jc w:val="both"/>
        <w:ind w:left="-980" w:firstLine="1305"/>
        <w:spacing w:after="0" w:line="285" w:lineRule="auto"/>
        <w:tabs>
          <w:tab w:leader="none" w:pos="571"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 consolidation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531495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50" w:name="page51"/>
    <w:bookmarkEnd w:id="50"/>
    <w:p>
      <w:pPr>
        <w:jc w:val="both"/>
        <w:ind w:firstLine="1305"/>
        <w:spacing w:after="0" w:line="314" w:lineRule="auto"/>
        <w:tabs>
          <w:tab w:leader="none" w:pos="1555" w:val="left"/>
        </w:tabs>
        <w:numPr>
          <w:ilvl w:val="1"/>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42"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58" w:lineRule="auto"/>
        <w:tabs>
          <w:tab w:leader="none" w:pos="1541"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 Securities Act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183" w:lineRule="exact"/>
        <w:rPr>
          <w:rFonts w:ascii="Arial" w:cs="Arial" w:eastAsia="Arial" w:hAnsi="Arial"/>
          <w:sz w:val="18"/>
          <w:szCs w:val="18"/>
          <w:color w:val="auto"/>
        </w:rPr>
      </w:pPr>
    </w:p>
    <w:p>
      <w:pPr>
        <w:jc w:val="both"/>
        <w:ind w:firstLine="1305"/>
        <w:spacing w:after="0" w:line="289" w:lineRule="auto"/>
        <w:tabs>
          <w:tab w:leader="none" w:pos="1551"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3(a) hereof, this Warrant and all rights hereunder are transferable, in whole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at the principal office of the Company.</w:t>
      </w:r>
    </w:p>
    <w:p>
      <w:pPr>
        <w:spacing w:after="0" w:line="158" w:lineRule="exact"/>
        <w:rPr>
          <w:rFonts w:ascii="Arial" w:cs="Arial" w:eastAsia="Arial" w:hAnsi="Arial"/>
          <w:sz w:val="17"/>
          <w:szCs w:val="17"/>
          <w:color w:val="auto"/>
        </w:rPr>
      </w:pPr>
    </w:p>
    <w:p>
      <w:pPr>
        <w:jc w:val="both"/>
        <w:ind w:firstLine="1305"/>
        <w:spacing w:after="0" w:line="277" w:lineRule="auto"/>
        <w:tabs>
          <w:tab w:leader="none" w:pos="1541" w:val="left"/>
        </w:tabs>
        <w:numPr>
          <w:ilvl w:val="1"/>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 Holders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68" w:lineRule="exact"/>
        <w:rPr>
          <w:rFonts w:ascii="Arial" w:cs="Arial" w:eastAsia="Arial" w:hAnsi="Arial"/>
          <w:sz w:val="17"/>
          <w:szCs w:val="17"/>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(and the right to purchase securities upon exercise hereof) shall terminate at 5:00 p.m., Eastern time, on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ExpirationDate.</w:t>
      </w:r>
    </w:p>
    <w:p>
      <w:pPr>
        <w:spacing w:after="0" w:line="206" w:lineRule="exact"/>
        <w:rPr>
          <w:rFonts w:ascii="Arial" w:cs="Arial" w:eastAsia="Arial" w:hAnsi="Arial"/>
          <w:sz w:val="16"/>
          <w:szCs w:val="16"/>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firstLine="1305"/>
        <w:spacing w:after="0" w:line="264" w:lineRule="auto"/>
        <w:tabs>
          <w:tab w:leader="none" w:pos="15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74" w:lineRule="exact"/>
        <w:rPr>
          <w:sz w:val="20"/>
          <w:szCs w:val="20"/>
          <w:color w:val="auto"/>
        </w:rPr>
      </w:pPr>
    </w:p>
    <w:p>
      <w:pPr>
        <w:ind w:right="20" w:firstLine="980"/>
        <w:spacing w:after="0" w:line="271" w:lineRule="auto"/>
        <w:tabs>
          <w:tab w:leader="none" w:pos="1152"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 for the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74" w:lineRule="exact"/>
        <w:rPr>
          <w:rFonts w:ascii="Arial" w:cs="Arial" w:eastAsia="Arial" w:hAnsi="Arial"/>
          <w:sz w:val="17"/>
          <w:szCs w:val="17"/>
          <w:color w:val="auto"/>
        </w:rPr>
      </w:pPr>
    </w:p>
    <w:p>
      <w:pPr>
        <w:ind w:right="40" w:firstLine="980"/>
        <w:spacing w:after="0" w:line="261"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evidence reasonably satisfactory to the Company of the loss, theft, destruction or mutilation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80" w:lineRule="exact"/>
        <w:rPr>
          <w:rFonts w:ascii="Arial" w:cs="Arial" w:eastAsia="Arial" w:hAnsi="Arial"/>
          <w:sz w:val="18"/>
          <w:szCs w:val="18"/>
          <w:color w:val="auto"/>
        </w:rPr>
      </w:pPr>
    </w:p>
    <w:p>
      <w:pPr>
        <w:ind w:firstLine="980"/>
        <w:spacing w:after="0" w:line="258"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83" w:lineRule="exact"/>
        <w:rPr>
          <w:rFonts w:ascii="Arial" w:cs="Arial" w:eastAsia="Arial" w:hAnsi="Arial"/>
          <w:sz w:val="18"/>
          <w:szCs w:val="18"/>
          <w:color w:val="auto"/>
        </w:rPr>
      </w:pPr>
    </w:p>
    <w:p>
      <w:pPr>
        <w:ind w:right="180" w:firstLine="980"/>
        <w:spacing w:after="0" w:line="282" w:lineRule="auto"/>
        <w:tabs>
          <w:tab w:leader="none" w:pos="115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hereof as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480" w:firstLine="980"/>
        <w:spacing w:after="0" w:line="347" w:lineRule="auto"/>
        <w:tabs>
          <w:tab w:leader="none" w:pos="1242"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No Fractional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No fractional shares of Common Stock will be issued in connection with any exercise hereunder. In lieu of any</w:t>
      </w:r>
      <w:r>
        <w:rPr>
          <w:rFonts w:ascii="Arial" w:cs="Arial" w:eastAsia="Arial" w:hAnsi="Arial"/>
          <w:sz w:val="16"/>
          <w:szCs w:val="16"/>
          <w:b w:val="1"/>
          <w:bCs w:val="1"/>
          <w:color w:val="auto"/>
        </w:rPr>
        <w:t xml:space="preserve"> </w:t>
      </w:r>
      <w:r>
        <w:rPr>
          <w:rFonts w:ascii="Arial" w:cs="Arial" w:eastAsia="Arial" w:hAnsi="Arial"/>
          <w:sz w:val="16"/>
          <w:szCs w:val="16"/>
          <w:color w:val="auto"/>
        </w:rPr>
        <w:t>fractional shares which would otherwise be issuable, the Company shall round the amount of Warrant Stock issuable to the nearest whole share.</w:t>
      </w:r>
    </w:p>
    <w:p>
      <w:pPr>
        <w:spacing w:after="0" w:line="116" w:lineRule="exact"/>
        <w:rPr>
          <w:rFonts w:ascii="Arial" w:cs="Arial" w:eastAsia="Arial" w:hAnsi="Arial"/>
          <w:sz w:val="16"/>
          <w:szCs w:val="16"/>
          <w:color w:val="auto"/>
        </w:rPr>
      </w:pPr>
    </w:p>
    <w:p>
      <w:pPr>
        <w:ind w:left="1240" w:hanging="260"/>
        <w:spacing w:after="0"/>
        <w:tabs>
          <w:tab w:leader="none" w:pos="1240"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06" w:lineRule="exact"/>
        <w:rPr>
          <w:rFonts w:ascii="Arial" w:cs="Arial" w:eastAsia="Arial" w:hAnsi="Arial"/>
          <w:sz w:val="16"/>
          <w:szCs w:val="16"/>
          <w:color w:val="auto"/>
        </w:rPr>
      </w:pPr>
    </w:p>
    <w:p>
      <w:pPr>
        <w:ind w:right="640" w:firstLine="980"/>
        <w:spacing w:after="0" w:line="282" w:lineRule="auto"/>
        <w:tabs>
          <w:tab w:leader="none" w:pos="124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161" w:lineRule="exact"/>
        <w:rPr>
          <w:rFonts w:ascii="Arial" w:cs="Arial" w:eastAsia="Arial" w:hAnsi="Arial"/>
          <w:sz w:val="18"/>
          <w:szCs w:val="18"/>
          <w:color w:val="auto"/>
        </w:rPr>
      </w:pPr>
    </w:p>
    <w:p>
      <w:pPr>
        <w:ind w:right="460" w:firstLine="980"/>
        <w:spacing w:after="0" w:line="347" w:lineRule="auto"/>
        <w:tabs>
          <w:tab w:leader="none" w:pos="1242"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Warrant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New York, without giving effect to principles of conflicts of law.</w:t>
      </w:r>
    </w:p>
    <w:p>
      <w:pPr>
        <w:spacing w:after="0" w:line="116" w:lineRule="exact"/>
        <w:rPr>
          <w:rFonts w:ascii="Arial" w:cs="Arial" w:eastAsia="Arial" w:hAnsi="Arial"/>
          <w:sz w:val="16"/>
          <w:szCs w:val="16"/>
          <w:color w:val="auto"/>
        </w:rPr>
      </w:pPr>
    </w:p>
    <w:p>
      <w:pPr>
        <w:ind w:right="520" w:firstLine="980"/>
        <w:spacing w:after="0" w:line="282" w:lineRule="auto"/>
        <w:tabs>
          <w:tab w:leader="none" w:pos="124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representations and covenants of the Registered Holder:</w:t>
      </w:r>
    </w:p>
    <w:p>
      <w:pPr>
        <w:spacing w:after="0" w:line="161" w:lineRule="exact"/>
        <w:rPr>
          <w:rFonts w:ascii="Arial" w:cs="Arial" w:eastAsia="Arial" w:hAnsi="Arial"/>
          <w:sz w:val="18"/>
          <w:szCs w:val="18"/>
          <w:color w:val="auto"/>
        </w:rPr>
      </w:pPr>
    </w:p>
    <w:p>
      <w:pPr>
        <w:ind w:right="20" w:firstLine="1305"/>
        <w:spacing w:after="0" w:line="282" w:lineRule="auto"/>
        <w:tabs>
          <w:tab w:leader="none" w:pos="1541"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 the Warrant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account, not as a nominee or agent and with no present intention of selling or otherwise distributing any part thereof.</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565"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 qualified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14.</w:t>
      </w:r>
    </w:p>
    <w:p>
      <w:pPr>
        <w:spacing w:after="0" w:line="180" w:lineRule="exact"/>
        <w:rPr>
          <w:rFonts w:ascii="Arial" w:cs="Arial" w:eastAsia="Arial" w:hAnsi="Arial"/>
          <w:sz w:val="18"/>
          <w:szCs w:val="18"/>
          <w:color w:val="auto"/>
        </w:rPr>
      </w:pPr>
    </w:p>
    <w:p>
      <w:pPr>
        <w:jc w:val="both"/>
        <w:ind w:firstLine="1305"/>
        <w:spacing w:after="0" w:line="255" w:lineRule="auto"/>
        <w:tabs>
          <w:tab w:leader="none" w:pos="1555"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Disposition of Registered Holder’s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will the Registered Holder make a disposition of the Warrant or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89" w:lineRule="exact"/>
        <w:rPr>
          <w:rFonts w:ascii="Arial" w:cs="Arial" w:eastAsia="Arial" w:hAnsi="Arial"/>
          <w:sz w:val="18"/>
          <w:szCs w:val="18"/>
          <w:color w:val="auto"/>
        </w:rPr>
      </w:pPr>
    </w:p>
    <w:p>
      <w:pPr>
        <w:ind w:firstLine="1305"/>
        <w:spacing w:after="0" w:line="282" w:lineRule="auto"/>
        <w:tabs>
          <w:tab w:leader="none" w:pos="1565" w:val="left"/>
        </w:tabs>
        <w:numPr>
          <w:ilvl w:val="1"/>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interests in connection with its investment.</w:t>
      </w:r>
    </w:p>
    <w:p>
      <w:pPr>
        <w:spacing w:after="0" w:line="161" w:lineRule="exact"/>
        <w:rPr>
          <w:rFonts w:ascii="Arial" w:cs="Arial" w:eastAsia="Arial" w:hAnsi="Arial"/>
          <w:sz w:val="18"/>
          <w:szCs w:val="18"/>
          <w:color w:val="auto"/>
        </w:rPr>
      </w:pPr>
    </w:p>
    <w:p>
      <w:pPr>
        <w:ind w:left="1540" w:hanging="235"/>
        <w:spacing w:after="0"/>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an “accredited investor” as defined by Rule 501 of Regulation D promulgated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ectPr>
          <w:pgSz w:w="11900" w:h="16838" w:orient="portrait"/>
          <w:cols w:equalWidth="0" w:num="1">
            <w:col w:w="9559"/>
          </w:cols>
          <w:pgMar w:left="900" w:top="909" w:right="1440" w:bottom="1440" w:gutter="0" w:footer="0" w:header="0"/>
        </w:sectPr>
      </w:pPr>
    </w:p>
    <w:p>
      <w:pPr>
        <w:spacing w:after="0" w:line="24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VRINGO, INC.</w:t>
      </w:r>
    </w:p>
    <w:p>
      <w:pPr>
        <w:spacing w:after="0" w:line="200" w:lineRule="exact"/>
        <w:rPr>
          <w:sz w:val="20"/>
          <w:szCs w:val="20"/>
          <w:color w:val="auto"/>
        </w:rPr>
      </w:pPr>
    </w:p>
    <w:p>
      <w:pPr>
        <w:spacing w:after="0" w:line="24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Andrew D. Perlman</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424815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u w:val="single" w:color="auto"/>
          <w:color w:val="auto"/>
        </w:rPr>
        <w:t>VRINGO,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EXERCISE FORM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hereby irrevocably elects to exercise the within Warrant to the extent of purchasing </w:t>
      </w:r>
      <w:r>
        <w:rPr>
          <w:rFonts w:ascii="Arial" w:cs="Arial" w:eastAsia="Arial" w:hAnsi="Arial"/>
          <w:sz w:val="16"/>
          <w:szCs w:val="16"/>
          <w:u w:val="single" w:color="auto"/>
          <w:color w:val="auto"/>
        </w:rPr>
        <w:t>_____________</w:t>
      </w:r>
      <w:r>
        <w:rPr>
          <w:rFonts w:ascii="Arial" w:cs="Arial" w:eastAsia="Arial" w:hAnsi="Arial"/>
          <w:sz w:val="16"/>
          <w:szCs w:val="16"/>
          <w:color w:val="auto"/>
        </w:rPr>
        <w:t xml:space="preserve"> shares of Common Stock of Vringo,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and hereby makes payment of $</w:t>
      </w:r>
      <w:r>
        <w:rPr>
          <w:rFonts w:ascii="Arial" w:cs="Arial" w:eastAsia="Arial" w:hAnsi="Arial"/>
          <w:sz w:val="17"/>
          <w:szCs w:val="17"/>
          <w:u w:val="single" w:color="auto"/>
          <w:color w:val="auto"/>
        </w:rPr>
        <w:t>___________</w:t>
      </w:r>
      <w:r>
        <w:rPr>
          <w:rFonts w:ascii="Arial" w:cs="Arial" w:eastAsia="Arial" w:hAnsi="Arial"/>
          <w:sz w:val="17"/>
          <w:szCs w:val="17"/>
          <w:color w:val="auto"/>
        </w:rPr>
        <w:t xml:space="preserve"> in payment therefore, all in accordance with the terms and conditions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DWAC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Broker Name and 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at DTC Participant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5715</wp:posOffset>
            </wp:positionV>
            <wp:extent cx="22466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ISSUANCE OF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other than to the registered holder of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297815</wp:posOffset>
            </wp:positionV>
            <wp:extent cx="2246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250430" cy="2437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43776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This Warrant Exercise Form shall be delivered to AST via email, fax or mail, as follows: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Mail:</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Payment shall be delivered to AST via a check with mailed Warrant Exercise Form or by wire transfer.</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Wire instructions are as follows: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BANK NAME: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ABA #:</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ACCT #:</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ACCT NAME: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Bank Address:</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Once the Warrant Exercise Form and payment are received, AST will begin processing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u w:val="single" w:color="auto"/>
          <w:color w:val="auto"/>
        </w:rPr>
        <w:t>VRINGO,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ASSIGNMENT FORM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VALUE RECEIVED, the Holder hereby sells, assigns and transfers unto the transferee listed below the right 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297815</wp:posOffset>
            </wp:positionV>
            <wp:extent cx="22466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14605</wp:posOffset>
            </wp:positionV>
            <wp:extent cx="22466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50430" cy="2163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634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0" w:right="80"/>
        <w:spacing w:after="0" w:line="261" w:lineRule="auto"/>
        <w:rPr>
          <w:sz w:val="20"/>
          <w:szCs w:val="20"/>
          <w:color w:val="auto"/>
        </w:rPr>
      </w:pPr>
      <w:r>
        <w:rPr>
          <w:rFonts w:ascii="Arial" w:cs="Arial" w:eastAsia="Arial" w:hAnsi="Arial"/>
          <w:sz w:val="18"/>
          <w:szCs w:val="18"/>
          <w:b w:val="1"/>
          <w:bCs w:val="1"/>
          <w:color w:val="auto"/>
        </w:rPr>
        <w:t>This Warrant Assignment Form shall be delivered to Vringo, Inc.'s transfer agent, American Stock Transfer &amp; Trust Company, LLC (AST), via email, fax or mail, as follows:</w:t>
      </w:r>
    </w:p>
    <w:p>
      <w:pPr>
        <w:ind w:left="8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Mail:</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Holder shall also deliver to AST at the above Mail address:</w:t>
      </w:r>
    </w:p>
    <w:p>
      <w:pPr>
        <w:spacing w:after="0" w:line="27" w:lineRule="exact"/>
        <w:rPr>
          <w:sz w:val="20"/>
          <w:szCs w:val="20"/>
          <w:color w:val="auto"/>
        </w:rPr>
      </w:pPr>
    </w:p>
    <w:p>
      <w:pPr>
        <w:ind w:left="300" w:hanging="220"/>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Stock Power with a Medallion Guarantee of signature, and</w:t>
      </w:r>
    </w:p>
    <w:p>
      <w:pPr>
        <w:spacing w:after="0" w:line="9" w:lineRule="exact"/>
        <w:rPr>
          <w:rFonts w:ascii="Arial" w:cs="Arial" w:eastAsia="Arial" w:hAnsi="Arial"/>
          <w:sz w:val="18"/>
          <w:szCs w:val="18"/>
          <w:color w:val="auto"/>
        </w:rPr>
      </w:pPr>
    </w:p>
    <w:p>
      <w:pPr>
        <w:ind w:left="340" w:hanging="260"/>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Warrant.</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Once all of the foregoing have been delivered, AST will begin processing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Vringo, Inc., a Delaware corporation (the “Company”), does hereby certify, to such officer’s knowledge, that:</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Quarterly Report for the quarter ended June 30, 2014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25" w:lineRule="exact"/>
        <w:rPr>
          <w:sz w:val="20"/>
          <w:szCs w:val="20"/>
          <w:color w:val="auto"/>
        </w:rPr>
      </w:pPr>
    </w:p>
    <w:p>
      <w:pPr>
        <w:ind w:left="4400"/>
        <w:spacing w:after="0"/>
        <w:tabs>
          <w:tab w:leader="none" w:pos="47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2014</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lvl w:ilvl="1">
      <w:lvlJc w:val="left"/>
      <w:lvlText w:val="(%2)"/>
      <w:numFmt w:val="lowerLetter"/>
      <w:start w:val="1"/>
    </w:lvl>
  </w:abstractNum>
  <w:abstractNum w:abstractNumId="20">
    <w:nsid w:val="2901D82"/>
    <w:multiLevelType w:val="hybridMultilevel"/>
    <w:lvl w:ilvl="0">
      <w:lvlJc w:val="left"/>
      <w:lvlText w:val="%1"/>
      <w:numFmt w:val="lowerLetter"/>
      <w:start w:val="1"/>
    </w:lvl>
    <w:lvl w:ilvl="1">
      <w:lvlJc w:val="left"/>
      <w:lvlText w:val="(%2)"/>
      <w:numFmt w:val="lowerRoman"/>
      <w:start w:val="1"/>
    </w:lvl>
  </w:abstractNum>
  <w:abstractNum w:abstractNumId="21">
    <w:nsid w:val="3A95F874"/>
    <w:multiLevelType w:val="hybridMultilevel"/>
    <w:lvl w:ilvl="0">
      <w:lvlJc w:val="left"/>
      <w:lvlText w:val="(%1)"/>
      <w:numFmt w:val="lowerLetter"/>
      <w:start w:val="4"/>
    </w:lvl>
    <w:lvl w:ilvl="1">
      <w:lvlJc w:val="left"/>
      <w:lvlText w:val="%2"/>
      <w:numFmt w:val="lowerRoman"/>
      <w:start w:val="1"/>
    </w:lvl>
  </w:abstractNum>
  <w:abstractNum w:abstractNumId="22">
    <w:nsid w:val="8138641"/>
    <w:multiLevelType w:val="hybridMultilevel"/>
    <w:lvl w:ilvl="0">
      <w:lvlJc w:val="left"/>
      <w:lvlText w:val="%1."/>
      <w:numFmt w:val="decimal"/>
      <w:start w:val="2"/>
    </w:lvl>
    <w:lvl w:ilvl="1">
      <w:lvlJc w:val="left"/>
      <w:lvlText w:val="(%2)"/>
      <w:numFmt w:val="lowerLetter"/>
      <w:start w:val="1"/>
    </w:lvl>
  </w:abstractNum>
  <w:abstractNum w:abstractNumId="23">
    <w:nsid w:val="1E7FF521"/>
    <w:multiLevelType w:val="hybridMultilevel"/>
    <w:lvl w:ilvl="0">
      <w:lvlJc w:val="left"/>
      <w:lvlText w:val="%1"/>
      <w:numFmt w:val="decimal"/>
      <w:start w:val="1"/>
    </w:lvl>
    <w:lvl w:ilvl="1">
      <w:lvlJc w:val="left"/>
      <w:lvlText w:val="(%2)"/>
      <w:numFmt w:val="lowerLetter"/>
      <w:start w:val="3"/>
    </w:lvl>
  </w:abstractNum>
  <w:abstractNum w:abstractNumId="24">
    <w:nsid w:val="7C3DBD3D"/>
    <w:multiLevelType w:val="hybridMultilevel"/>
    <w:lvl w:ilvl="0">
      <w:lvlJc w:val="left"/>
      <w:lvlText w:val="%1."/>
      <w:numFmt w:val="decimal"/>
      <w:start w:val="3"/>
    </w:lvl>
    <w:lvl w:ilvl="1">
      <w:lvlJc w:val="left"/>
      <w:lvlText w:val="(%2)"/>
      <w:numFmt w:val="lowerLetter"/>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decimal"/>
      <w:start w:val="6"/>
    </w:lvl>
  </w:abstractNum>
  <w:abstractNum w:abstractNumId="27">
    <w:nsid w:val="22221A70"/>
    <w:multiLevelType w:val="hybridMultilevel"/>
    <w:lvl w:ilvl="0">
      <w:lvlJc w:val="left"/>
      <w:lvlText w:val="%1."/>
      <w:numFmt w:val="decimal"/>
      <w:start w:val="10"/>
    </w:lvl>
    <w:lvl w:ilvl="1">
      <w:lvlJc w:val="left"/>
      <w:lvlText w:val="(%2)"/>
      <w:numFmt w:val="lowerLetter"/>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5"/>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2019-12-07T16:23:20Z</dcterms:created>
  <dcterms:modified xsi:type="dcterms:W3CDTF">2019-12-07T16:23:20Z</dcterms:modified>
</cp:coreProperties>
</file>