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Wizenberg Gaelle Sandra</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XWELL,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XWEL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XWELL, INC.</w:t>
            </w:r>
          </w:p>
        </w:tc>
        <w:tc>
          <w:tcPr>
            <w:tcW w:w="13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190,698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("RSUs"), which such RSUs shall vest on the thirtieth (30th) day following the date of grant, provided that the reporting person remains employed by or is providing services to the Issuer. The RSUs were granted subject to the closing of the transaction contemplated by that certain securities purchase agreement, dated as of February 24, 2026, by and between the Company and the purchaser signatory thereto, which occurred on February 27,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Gaelle Wizenberg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03/02/2026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7571"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2026-03-02T18:41:37Z</dcterms:created>
  <dcterms:modified xsi:type="dcterms:W3CDTF">2026-03-02T18:41:37Z</dcterms:modified>
</cp:coreProperties>
</file>