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30,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001-34785</w:t>
            </w:r>
          </w:p>
        </w:tc>
        <w:tc>
          <w:tcPr>
            <w:tcW w:w="220" w:type="dxa"/>
            <w:vAlign w:val="bottom"/>
          </w:tcPr>
          <w:p>
            <w:pPr>
              <w:spacing w:after="0"/>
              <w:rPr>
                <w:sz w:val="22"/>
                <w:szCs w:val="22"/>
                <w:color w:val="auto"/>
              </w:rPr>
            </w:pPr>
          </w:p>
        </w:tc>
        <w:tc>
          <w:tcPr>
            <w:tcW w:w="55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254 West 31st Street, 11th Floor, New York, New York</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10001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September 30, 2021, XpresSpa Group, Inc. (the “Company” or “XpresSpa Group”) held its 2021 Annual Meeting of Stockholders (the “Annual Meeting”). At the Annual Meeting, the Company’s stockholders voted on the five proposals described below.</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the record date for the Annual Meeting, there were 105,569,045 shares of common stock outstanding and entitled to vote on each matter presented for vote at the Annual Meeting. At the Annual Meeting, 51,774,299 (49.04% of the total outstanding) shares of common stock were represented in person or by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final results for each of the matters submitted to a vote of stockholders at the Annual Meeting are as follows: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u w:val="single" w:color="auto"/>
          <w:color w:val="auto"/>
        </w:rPr>
        <w:t>Item 1</w:t>
      </w:r>
      <w:r>
        <w:rPr>
          <w:rFonts w:ascii="Arial" w:cs="Arial" w:eastAsia="Arial" w:hAnsi="Arial"/>
          <w:sz w:val="17"/>
          <w:szCs w:val="17"/>
          <w:color w:val="auto"/>
        </w:rPr>
        <w:t>: The following five nominees were elected or reelected to serve on the Board of Directors until the 2022 Annual Meeting of Stockholders or until their respective successors have been elected and qualified, or until their earlier resignation or removal, having received the following votes:</w:t>
      </w:r>
    </w:p>
    <w:p>
      <w:pPr>
        <w:spacing w:after="0" w:line="129"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Name</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ind w:right="1340"/>
              <w:spacing w:after="0"/>
              <w:rPr>
                <w:sz w:val="20"/>
                <w:szCs w:val="20"/>
                <w:color w:val="auto"/>
              </w:rPr>
            </w:pPr>
            <w:r>
              <w:rPr>
                <w:rFonts w:ascii="Arial" w:cs="Arial" w:eastAsia="Arial" w:hAnsi="Arial"/>
                <w:sz w:val="18"/>
                <w:szCs w:val="18"/>
                <w:color w:val="auto"/>
                <w:w w:val="88"/>
              </w:rPr>
              <w:t>For</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7"/>
              </w:rPr>
              <w:t>Withheld</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Broker Non-Votes</w:t>
            </w:r>
          </w:p>
        </w:tc>
      </w:tr>
      <w:tr>
        <w:trPr>
          <w:trHeight w:val="20"/>
        </w:trPr>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22"/>
        </w:trPr>
        <w:tc>
          <w:tcPr>
            <w:tcW w:w="216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Douglas Satzman</w:t>
            </w:r>
          </w:p>
        </w:tc>
        <w:tc>
          <w:tcPr>
            <w:tcW w:w="2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14,459,374</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1,873,680</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35,441,245</w:t>
            </w:r>
          </w:p>
        </w:tc>
      </w:tr>
      <w:tr>
        <w:trPr>
          <w:trHeight w:val="216"/>
        </w:trPr>
        <w:tc>
          <w:tcPr>
            <w:tcW w:w="216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Bruce T. Bernstein</w:t>
            </w:r>
          </w:p>
        </w:tc>
        <w:tc>
          <w:tcPr>
            <w:tcW w:w="2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10,583,896</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5,749,158</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35,441,245</w:t>
            </w:r>
          </w:p>
        </w:tc>
      </w:tr>
      <w:tr>
        <w:trPr>
          <w:trHeight w:val="216"/>
        </w:trPr>
        <w:tc>
          <w:tcPr>
            <w:tcW w:w="216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Robert Weinstein</w:t>
            </w:r>
          </w:p>
        </w:tc>
        <w:tc>
          <w:tcPr>
            <w:tcW w:w="2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14,231,351</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2,101,703</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35,441,245</w:t>
            </w:r>
          </w:p>
        </w:tc>
      </w:tr>
      <w:tr>
        <w:trPr>
          <w:trHeight w:val="216"/>
        </w:trPr>
        <w:tc>
          <w:tcPr>
            <w:tcW w:w="216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Donald E. Stout</w:t>
            </w:r>
          </w:p>
        </w:tc>
        <w:tc>
          <w:tcPr>
            <w:tcW w:w="2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13,999,552</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2,333,502</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35,441,245</w:t>
            </w:r>
          </w:p>
        </w:tc>
      </w:tr>
      <w:tr>
        <w:trPr>
          <w:trHeight w:val="230"/>
        </w:trPr>
        <w:tc>
          <w:tcPr>
            <w:tcW w:w="2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Michael Lebowitz</w:t>
            </w:r>
          </w:p>
        </w:tc>
        <w:tc>
          <w:tcPr>
            <w:tcW w:w="2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14,382,712</w:t>
            </w: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1,950,342</w:t>
            </w:r>
          </w:p>
        </w:tc>
        <w:tc>
          <w:tcPr>
            <w:tcW w:w="22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35,441,245</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Item 2</w:t>
      </w:r>
      <w:r>
        <w:rPr>
          <w:rFonts w:ascii="Arial" w:cs="Arial" w:eastAsia="Arial" w:hAnsi="Arial"/>
          <w:sz w:val="18"/>
          <w:szCs w:val="18"/>
          <w:color w:val="auto"/>
        </w:rPr>
        <w:t>: The appointment of Friedman LLP as the Company’s independent registered public accounting firm for the fiscal year ending December 31, 2021 was ratified, having received the following votes: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Against</w:t>
            </w:r>
          </w:p>
        </w:tc>
        <w:tc>
          <w:tcPr>
            <w:tcW w:w="3560" w:type="dxa"/>
            <w:vAlign w:val="bottom"/>
            <w:gridSpan w:val="3"/>
          </w:tcPr>
          <w:p>
            <w:pPr>
              <w:jc w:val="center"/>
              <w:ind w:right="620"/>
              <w:spacing w:after="0"/>
              <w:rPr>
                <w:sz w:val="20"/>
                <w:szCs w:val="20"/>
                <w:color w:val="auto"/>
              </w:rPr>
            </w:pPr>
            <w:r>
              <w:rPr>
                <w:rFonts w:ascii="Arial" w:cs="Arial" w:eastAsia="Arial" w:hAnsi="Arial"/>
                <w:sz w:val="18"/>
                <w:szCs w:val="18"/>
                <w:color w:val="auto"/>
                <w:w w:val="91"/>
              </w:rPr>
              <w:t>Abstentions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1900" w:type="dxa"/>
            <w:vAlign w:val="bottom"/>
            <w:gridSpan w:val="3"/>
          </w:tcPr>
          <w:p>
            <w:pPr>
              <w:jc w:val="right"/>
              <w:ind w:right="1080"/>
              <w:spacing w:after="0"/>
              <w:rPr>
                <w:sz w:val="20"/>
                <w:szCs w:val="20"/>
                <w:color w:val="auto"/>
              </w:rPr>
            </w:pPr>
            <w:r>
              <w:rPr>
                <w:rFonts w:ascii="Arial" w:cs="Arial" w:eastAsia="Arial" w:hAnsi="Arial"/>
                <w:sz w:val="18"/>
                <w:szCs w:val="18"/>
                <w:color w:val="auto"/>
                <w:w w:val="88"/>
              </w:rPr>
              <w:t>50,184,473</w:t>
            </w:r>
          </w:p>
        </w:tc>
        <w:tc>
          <w:tcPr>
            <w:tcW w:w="2720" w:type="dxa"/>
            <w:vAlign w:val="bottom"/>
            <w:gridSpan w:val="3"/>
          </w:tcPr>
          <w:p>
            <w:pPr>
              <w:ind w:left="1080"/>
              <w:spacing w:after="0"/>
              <w:rPr>
                <w:sz w:val="20"/>
                <w:szCs w:val="20"/>
                <w:color w:val="auto"/>
              </w:rPr>
            </w:pPr>
            <w:r>
              <w:rPr>
                <w:rFonts w:ascii="Arial" w:cs="Arial" w:eastAsia="Arial" w:hAnsi="Arial"/>
                <w:sz w:val="18"/>
                <w:szCs w:val="18"/>
                <w:color w:val="auto"/>
              </w:rPr>
              <w:t>722,424</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867,402</w:t>
            </w:r>
          </w:p>
        </w:tc>
        <w:tc>
          <w:tcPr>
            <w:tcW w:w="16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right="660"/>
        <w:spacing w:after="0" w:line="277" w:lineRule="auto"/>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 The proposal to approve an amendment to XpresSpa Group’s Amended and Restated Certificate of Incorporation to increase the number of authorized shares of common stock by 100,000,000 shares was not approved, having received the following votes: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Against</w:t>
            </w:r>
          </w:p>
        </w:tc>
        <w:tc>
          <w:tcPr>
            <w:tcW w:w="35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Abstentions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1840" w:type="dxa"/>
            <w:vAlign w:val="bottom"/>
            <w:gridSpan w:val="3"/>
          </w:tcPr>
          <w:p>
            <w:pPr>
              <w:jc w:val="right"/>
              <w:ind w:right="1020"/>
              <w:spacing w:after="0"/>
              <w:rPr>
                <w:sz w:val="20"/>
                <w:szCs w:val="20"/>
                <w:color w:val="auto"/>
              </w:rPr>
            </w:pPr>
            <w:r>
              <w:rPr>
                <w:rFonts w:ascii="Arial" w:cs="Arial" w:eastAsia="Arial" w:hAnsi="Arial"/>
                <w:sz w:val="18"/>
                <w:szCs w:val="18"/>
                <w:color w:val="auto"/>
                <w:w w:val="88"/>
              </w:rPr>
              <w:t>32,494,144</w:t>
            </w:r>
          </w:p>
        </w:tc>
        <w:tc>
          <w:tcPr>
            <w:tcW w:w="2840" w:type="dxa"/>
            <w:vAlign w:val="bottom"/>
            <w:gridSpan w:val="3"/>
          </w:tcPr>
          <w:p>
            <w:pPr>
              <w:jc w:val="right"/>
              <w:ind w:right="1000"/>
              <w:spacing w:after="0"/>
              <w:rPr>
                <w:sz w:val="20"/>
                <w:szCs w:val="20"/>
                <w:color w:val="auto"/>
              </w:rPr>
            </w:pPr>
            <w:r>
              <w:rPr>
                <w:rFonts w:ascii="Arial" w:cs="Arial" w:eastAsia="Arial" w:hAnsi="Arial"/>
                <w:sz w:val="18"/>
                <w:szCs w:val="18"/>
                <w:color w:val="auto"/>
              </w:rPr>
              <w:t>19,079,027</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201,128</w:t>
            </w:r>
          </w:p>
        </w:tc>
        <w:tc>
          <w:tcPr>
            <w:tcW w:w="16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 The compensation of XpresSpa Group’s named executive officers was approved, on an advisory basis, by stockholders, having received the following votes: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8"/>
                <w:szCs w:val="18"/>
                <w:color w:val="auto"/>
                <w:w w:val="93"/>
              </w:rPr>
              <w:t>Against</w:t>
            </w:r>
          </w:p>
        </w:tc>
        <w:tc>
          <w:tcPr>
            <w:tcW w:w="352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Abstentions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1860" w:type="dxa"/>
            <w:vAlign w:val="bottom"/>
            <w:gridSpan w:val="3"/>
          </w:tcPr>
          <w:p>
            <w:pPr>
              <w:jc w:val="right"/>
              <w:ind w:right="1040"/>
              <w:spacing w:after="0"/>
              <w:rPr>
                <w:sz w:val="20"/>
                <w:szCs w:val="20"/>
                <w:color w:val="auto"/>
              </w:rPr>
            </w:pPr>
            <w:r>
              <w:rPr>
                <w:rFonts w:ascii="Arial" w:cs="Arial" w:eastAsia="Arial" w:hAnsi="Arial"/>
                <w:sz w:val="18"/>
                <w:szCs w:val="18"/>
                <w:color w:val="auto"/>
                <w:w w:val="88"/>
              </w:rPr>
              <w:t>10,082,890</w:t>
            </w:r>
          </w:p>
        </w:tc>
        <w:tc>
          <w:tcPr>
            <w:tcW w:w="2800" w:type="dxa"/>
            <w:vAlign w:val="bottom"/>
            <w:gridSpan w:val="3"/>
          </w:tcPr>
          <w:p>
            <w:pPr>
              <w:jc w:val="right"/>
              <w:ind w:right="1020"/>
              <w:spacing w:after="0"/>
              <w:rPr>
                <w:sz w:val="20"/>
                <w:szCs w:val="20"/>
                <w:color w:val="auto"/>
              </w:rPr>
            </w:pPr>
            <w:r>
              <w:rPr>
                <w:rFonts w:ascii="Arial" w:cs="Arial" w:eastAsia="Arial" w:hAnsi="Arial"/>
                <w:sz w:val="18"/>
                <w:szCs w:val="18"/>
                <w:color w:val="auto"/>
              </w:rPr>
              <w:t>5,708,377</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541,787</w:t>
            </w:r>
          </w:p>
        </w:tc>
        <w:tc>
          <w:tcPr>
            <w:tcW w:w="166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35,441,245</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 The proposal to approve the adjournment of the Annual Meeting, if necessary, to solicit additional proxies if there are not sufficient votes to approve Items 2 through 4 was approved, having received the following votes: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Against</w:t>
            </w:r>
          </w:p>
        </w:tc>
        <w:tc>
          <w:tcPr>
            <w:tcW w:w="35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Abstentions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1840" w:type="dxa"/>
            <w:vAlign w:val="bottom"/>
            <w:gridSpan w:val="3"/>
          </w:tcPr>
          <w:p>
            <w:pPr>
              <w:jc w:val="right"/>
              <w:ind w:right="1020"/>
              <w:spacing w:after="0"/>
              <w:rPr>
                <w:sz w:val="20"/>
                <w:szCs w:val="20"/>
                <w:color w:val="auto"/>
              </w:rPr>
            </w:pPr>
            <w:r>
              <w:rPr>
                <w:rFonts w:ascii="Arial" w:cs="Arial" w:eastAsia="Arial" w:hAnsi="Arial"/>
                <w:sz w:val="18"/>
                <w:szCs w:val="18"/>
                <w:color w:val="auto"/>
                <w:w w:val="88"/>
              </w:rPr>
              <w:t>35,468,319</w:t>
            </w:r>
          </w:p>
        </w:tc>
        <w:tc>
          <w:tcPr>
            <w:tcW w:w="2840" w:type="dxa"/>
            <w:vAlign w:val="bottom"/>
            <w:gridSpan w:val="3"/>
          </w:tcPr>
          <w:p>
            <w:pPr>
              <w:jc w:val="right"/>
              <w:ind w:right="1000"/>
              <w:spacing w:after="0"/>
              <w:rPr>
                <w:sz w:val="20"/>
                <w:szCs w:val="20"/>
                <w:color w:val="auto"/>
              </w:rPr>
            </w:pPr>
            <w:r>
              <w:rPr>
                <w:rFonts w:ascii="Arial" w:cs="Arial" w:eastAsia="Arial" w:hAnsi="Arial"/>
                <w:sz w:val="18"/>
                <w:szCs w:val="18"/>
                <w:color w:val="auto"/>
              </w:rPr>
              <w:t>15,468,149</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837,831</w:t>
            </w:r>
          </w:p>
        </w:tc>
        <w:tc>
          <w:tcPr>
            <w:tcW w:w="16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Number Description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rPr>
              <w:t>Date: October 4,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Douglas Satzman</w:t>
            </w:r>
          </w:p>
        </w:tc>
      </w:tr>
      <w:tr>
        <w:trPr>
          <w:trHeight w:val="202"/>
        </w:trPr>
        <w:tc>
          <w:tcPr>
            <w:tcW w:w="362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201" w:lineRule="exact"/>
              <w:rPr>
                <w:sz w:val="20"/>
                <w:szCs w:val="20"/>
                <w:color w:val="auto"/>
              </w:rPr>
            </w:pPr>
            <w:r>
              <w:rPr>
                <w:rFonts w:ascii="Arial" w:cs="Arial" w:eastAsia="Arial" w:hAnsi="Arial"/>
                <w:sz w:val="18"/>
                <w:szCs w:val="18"/>
                <w:color w:val="auto"/>
              </w:rPr>
              <w:t>Douglas Satzman</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2021-10-04T15:14:38Z</dcterms:created>
  <dcterms:modified xsi:type="dcterms:W3CDTF">2021-10-04T15:14:38Z</dcterms:modified>
</cp:coreProperties>
</file>