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November 6, 2025, the Board of Directors of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determined that the Company’s 2025 Annual Meeting of Stockholders (the “</w:t>
      </w:r>
      <w:r>
        <w:rPr>
          <w:rFonts w:ascii="Times New Roman" w:cs="Times New Roman" w:eastAsia="Times New Roman" w:hAnsi="Times New Roman"/>
          <w:sz w:val="18"/>
          <w:szCs w:val="18"/>
          <w:b w:val="1"/>
          <w:bCs w:val="1"/>
          <w:i w:val="1"/>
          <w:iCs w:val="1"/>
          <w:color w:val="auto"/>
        </w:rPr>
        <w:t>2025 Annual Meeting</w:t>
      </w:r>
      <w:r>
        <w:rPr>
          <w:rFonts w:ascii="Times New Roman" w:cs="Times New Roman" w:eastAsia="Times New Roman" w:hAnsi="Times New Roman"/>
          <w:sz w:val="18"/>
          <w:szCs w:val="18"/>
          <w:color w:val="auto"/>
        </w:rPr>
        <w:t>”) will be held on Thursday, December 18, 2025 at 10:00 a.m. (Eastern Time). The location of the 2025 Annual Meeting will be as set forth in the Company’s definitive proxy statement for the 2025 Annual Meeting to be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fact that the date of the 2025 Annual Meeting has been changed by more than 30 days from the anniversary date of the 2025 Annual Meeting of Stockholders, the Company is providing the due date for submission of any qualified stockholder proposal or qualified stockholder nominations.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the requirements contained in the Company’s Third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stockholders of the of the Company who wish to have a proposal considered for inclusion in the Company’s proxy materials for the 2025 Annual Meeting pursuant to Rule 14a-8 under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must ensure that such proposal is received by the Company’s Corporate Secretary at 254 West 31st</w:t>
      </w:r>
    </w:p>
    <w:p>
      <w:pPr>
        <w:jc w:val="both"/>
        <w:spacing w:after="0" w:line="221" w:lineRule="auto"/>
        <w:rPr>
          <w:sz w:val="20"/>
          <w:szCs w:val="20"/>
          <w:color w:val="auto"/>
        </w:rPr>
      </w:pPr>
      <w:r>
        <w:rPr>
          <w:rFonts w:ascii="Times New Roman" w:cs="Times New Roman" w:eastAsia="Times New Roman" w:hAnsi="Times New Roman"/>
          <w:sz w:val="18"/>
          <w:szCs w:val="18"/>
          <w:color w:val="auto"/>
        </w:rPr>
        <w:t>Street, 11th Floor, New York, New York, not later than the close of business on the later of November 17, 2025, which is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date following the date hereof. Any such proposal must also meet the requirements set forth in the rules and regulations of the SEC in order to be eligible for inclusion in the proxy materials for the 2025 Annual Meeting.</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Additionally, in accordance with the requirements contained in the Bylaws, stockholders of the Company who wish to bring business before the 2025 Annual Meeting outside of Rule 14a-8 of the Exchange Act or to nominate a person for election as a director must ensure that written notice of such proposal (including all information specified in the Company’s Bylaws) is received by the Company’s Chief Executive Officer at the address specified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above no later than the close of business on November 17, 2025, which is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date following the date hereof. Any such proposal must meet the requirements set forth in the Company’s Bylaws in order to be brought before the 2025 Annual Meeting.</w:t>
      </w:r>
    </w:p>
    <w:p>
      <w:pPr>
        <w:spacing w:after="0" w:line="20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by November 17, 2025, which is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date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2025-11-07T16:08:09Z</dcterms:created>
  <dcterms:modified xsi:type="dcterms:W3CDTF">2025-11-07T16:08:09Z</dcterms:modified>
</cp:coreProperties>
</file>