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356870</wp:posOffset>
            </wp:positionH>
            <wp:positionV relativeFrom="paragraph">
              <wp:posOffset>211455</wp:posOffset>
            </wp:positionV>
            <wp:extent cx="6543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10-Q/A</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356870</wp:posOffset>
            </wp:positionH>
            <wp:positionV relativeFrom="paragraph">
              <wp:posOffset>85725</wp:posOffset>
            </wp:positionV>
            <wp:extent cx="6543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3980" w:right="1260" w:hanging="3972"/>
        <w:spacing w:after="0" w:line="484" w:lineRule="auto"/>
        <w:tabs>
          <w:tab w:leader="none" w:pos="59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2011</w:t>
      </w:r>
    </w:p>
    <w:p>
      <w:pPr>
        <w:spacing w:after="0" w:line="2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6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Commission file number: 001-34785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gridSpan w:val="4"/>
          </w:tcPr>
          <w:p>
            <w:pPr>
              <w:spacing w:after="0"/>
              <w:rPr>
                <w:sz w:val="18"/>
                <w:szCs w:val="18"/>
                <w:color w:val="auto"/>
              </w:rPr>
            </w:pPr>
          </w:p>
        </w:tc>
        <w:tc>
          <w:tcPr>
            <w:tcW w:w="14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20-4988129</w:t>
            </w:r>
          </w:p>
        </w:tc>
      </w:tr>
      <w:tr>
        <w:trPr>
          <w:trHeight w:val="20"/>
        </w:trPr>
        <w:tc>
          <w:tcPr>
            <w:tcW w:w="1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680" w:type="dxa"/>
            <w:vAlign w:val="bottom"/>
            <w:gridSpan w:val="6"/>
          </w:tcPr>
          <w:p>
            <w:pPr>
              <w:jc w:val="center"/>
              <w:ind w:right="3680"/>
              <w:spacing w:after="0"/>
              <w:rPr>
                <w:sz w:val="20"/>
                <w:szCs w:val="20"/>
                <w:color w:val="auto"/>
              </w:rPr>
            </w:pPr>
            <w:r>
              <w:rPr>
                <w:rFonts w:ascii="Arial" w:cs="Arial" w:eastAsia="Arial" w:hAnsi="Arial"/>
                <w:sz w:val="18"/>
                <w:szCs w:val="18"/>
                <w:color w:val="auto"/>
                <w:w w:val="92"/>
              </w:rPr>
              <w:t>(State or other jurisdiction of</w:t>
            </w:r>
          </w:p>
        </w:tc>
        <w:tc>
          <w:tcPr>
            <w:tcW w:w="1420" w:type="dxa"/>
            <w:vAlign w:val="bottom"/>
            <w:gridSpan w:val="5"/>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680" w:type="dxa"/>
            <w:vAlign w:val="bottom"/>
            <w:gridSpan w:val="6"/>
          </w:tcPr>
          <w:p>
            <w:pPr>
              <w:jc w:val="center"/>
              <w:ind w:right="3700"/>
              <w:spacing w:after="0"/>
              <w:rPr>
                <w:sz w:val="20"/>
                <w:szCs w:val="20"/>
                <w:color w:val="auto"/>
              </w:rPr>
            </w:pPr>
            <w:r>
              <w:rPr>
                <w:rFonts w:ascii="Arial" w:cs="Arial" w:eastAsia="Arial" w:hAnsi="Arial"/>
                <w:sz w:val="18"/>
                <w:szCs w:val="18"/>
                <w:color w:val="auto"/>
                <w:w w:val="92"/>
              </w:rPr>
              <w:t>Incorporation or Organization)</w:t>
            </w:r>
          </w:p>
        </w:tc>
        <w:tc>
          <w:tcPr>
            <w:tcW w:w="1420" w:type="dxa"/>
            <w:vAlign w:val="bottom"/>
            <w:gridSpan w:val="5"/>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24"/>
        </w:trPr>
        <w:tc>
          <w:tcPr>
            <w:tcW w:w="6680" w:type="dxa"/>
            <w:vAlign w:val="bottom"/>
            <w:gridSpan w:val="6"/>
          </w:tcPr>
          <w:p>
            <w:pPr>
              <w:jc w:val="center"/>
              <w:ind w:right="3700"/>
              <w:spacing w:after="0"/>
              <w:rPr>
                <w:sz w:val="20"/>
                <w:szCs w:val="20"/>
                <w:color w:val="auto"/>
              </w:rPr>
            </w:pPr>
            <w:r>
              <w:rPr>
                <w:rFonts w:ascii="Arial" w:cs="Arial" w:eastAsia="Arial" w:hAnsi="Arial"/>
                <w:sz w:val="18"/>
                <w:szCs w:val="18"/>
                <w:b w:val="1"/>
                <w:bCs w:val="1"/>
                <w:color w:val="auto"/>
                <w:w w:val="91"/>
              </w:rPr>
              <w:t>44 W. 28th Street New York, New York</w:t>
            </w:r>
          </w:p>
        </w:tc>
        <w:tc>
          <w:tcPr>
            <w:tcW w:w="11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10001</w:t>
            </w:r>
          </w:p>
        </w:tc>
        <w:tc>
          <w:tcPr>
            <w:tcW w:w="240" w:type="dxa"/>
            <w:vAlign w:val="bottom"/>
          </w:tcPr>
          <w:p>
            <w:pPr>
              <w:spacing w:after="0"/>
              <w:rPr>
                <w:sz w:val="24"/>
                <w:szCs w:val="24"/>
                <w:color w:val="auto"/>
              </w:rPr>
            </w:pPr>
          </w:p>
        </w:tc>
      </w:tr>
      <w:tr>
        <w:trPr>
          <w:trHeight w:val="20"/>
        </w:trPr>
        <w:tc>
          <w:tcPr>
            <w:tcW w:w="298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29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(Zip Code)</w:t>
            </w:r>
          </w:p>
        </w:tc>
      </w:tr>
      <w:tr>
        <w:trPr>
          <w:trHeight w:val="392"/>
        </w:trPr>
        <w:tc>
          <w:tcPr>
            <w:tcW w:w="5040" w:type="dxa"/>
            <w:vAlign w:val="bottom"/>
            <w:gridSpan w:val="5"/>
          </w:tcPr>
          <w:p>
            <w:pPr>
              <w:jc w:val="right"/>
              <w:spacing w:after="0"/>
              <w:rPr>
                <w:sz w:val="20"/>
                <w:szCs w:val="20"/>
                <w:color w:val="auto"/>
              </w:rPr>
            </w:pPr>
            <w:r>
              <w:rPr>
                <w:rFonts w:ascii="Arial" w:cs="Arial" w:eastAsia="Arial" w:hAnsi="Arial"/>
                <w:sz w:val="18"/>
                <w:szCs w:val="18"/>
                <w:b w:val="1"/>
                <w:bCs w:val="1"/>
                <w:color w:val="auto"/>
              </w:rPr>
              <w:t>(646) 525-4319</w:t>
            </w: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8" w:lineRule="exact"/>
        <w:rPr>
          <w:sz w:val="24"/>
          <w:szCs w:val="24"/>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18 East 16th Street, 7th Floor, New York, New York 10003</w:t>
      </w:r>
    </w:p>
    <w:p>
      <w:pPr>
        <w:spacing w:after="0" w:line="27"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72" w:right="65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0"/>
          <w:szCs w:val="20"/>
          <w:color w:val="auto"/>
        </w:rPr>
      </w:pPr>
    </w:p>
    <w:p>
      <w:pPr>
        <w:sectPr>
          <w:pgSz w:w="11900" w:h="16838" w:orient="portrait"/>
          <w:cols w:equalWidth="0" w:num="4">
            <w:col w:w="2140" w:space="720"/>
            <w:col w:w="4400" w:space="720"/>
            <w:col w:w="2120" w:space="720"/>
            <w:col w:w="560"/>
          </w:cols>
          <w:pgMar w:left="240" w:top="517" w:right="2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3" w:lineRule="exact"/>
        <w:rPr>
          <w:sz w:val="20"/>
          <w:szCs w:val="20"/>
          <w:color w:val="auto"/>
        </w:rPr>
      </w:pPr>
    </w:p>
    <w:p>
      <w:pPr>
        <w:sectPr>
          <w:pgSz w:w="11900" w:h="16838" w:orient="portrait"/>
          <w:cols w:equalWidth="0" w:num="5">
            <w:col w:w="2140" w:space="720"/>
            <w:col w:w="160" w:space="140"/>
            <w:col w:w="4100" w:space="720"/>
            <w:col w:w="2120" w:space="720"/>
            <w:col w:w="560"/>
          </w:cols>
          <w:pgMar w:left="240" w:top="517" w:right="27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2">
            <w:col w:w="8880" w:space="220"/>
            <w:col w:w="2280"/>
          </w:cols>
          <w:pgMar w:left="240" w:top="517" w:right="2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As of August 15, 2011, 6,136,613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purpose of this Amendment No. 1 to the Quarterly Report on Form 10-Q of Vringo, Inc. for the quarterly period ended June 30, 2011, filed with the Securities and Exchange Commission on August 15, 2011 (the “Form 10-Q”), is solely to furnish Exhibit 101 to the Form 10-Q in accordance with Rule 405 of Regulation S-T. Exhibit 101 to this report provides the consolidated financial statements and related notes from the Form 10-Q formatted in XBRL (eXtensible Business Reporting Language).</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 other changes have been made to the Form 10-Q. This Amendment No. 1 to the Form 10-Q speaks as of the original filing date of the Form 10-Q, does not reflect events that may have occurred subsequent to the original filing date, and does not modify or update in any way disclosures made in the original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ind w:left="4160"/>
              <w:spacing w:after="0"/>
              <w:rPr>
                <w:sz w:val="20"/>
                <w:szCs w:val="20"/>
                <w:color w:val="auto"/>
              </w:rPr>
            </w:pPr>
            <w:r>
              <w:rPr>
                <w:rFonts w:ascii="Arial" w:cs="Arial" w:eastAsia="Arial" w:hAnsi="Arial"/>
                <w:sz w:val="18"/>
                <w:szCs w:val="18"/>
                <w:b w:val="1"/>
                <w:bCs w:val="1"/>
                <w:color w:val="auto"/>
              </w:rPr>
              <w:t>Part II</w:t>
            </w:r>
          </w:p>
        </w:tc>
      </w:tr>
      <w:tr>
        <w:trPr>
          <w:trHeight w:val="432"/>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Pr>
          <w:p>
            <w:pPr>
              <w:ind w:left="340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Item 6. Exhibits.</w:t>
            </w:r>
          </w:p>
        </w:tc>
        <w:tc>
          <w:tcPr>
            <w:tcW w:w="2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441"/>
        </w:trPr>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241"/>
        </w:trPr>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No.</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Borders>
              <w:bottom w:val="single" w:sz="8" w:color="auto"/>
            </w:tcBorders>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3"/>
              </w:rPr>
              <w:t>Settlement Agreement, by and between the Company, Silicon Valley Bank, SVB Financial Group and Gold Hill Venture Lending 03, L.P.</w:t>
            </w:r>
          </w:p>
        </w:tc>
      </w:tr>
      <w:tr>
        <w:trPr>
          <w:trHeight w:val="230"/>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rPr>
              <w:t>(incorporated by reference to Exhibit 10.1 to the Company's Current Report on Form 8-K filed on June 14, 2011).</w:t>
            </w: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8"/>
              </w:rPr>
              <w:t>Pledge and Security Agreement, between the Company and Silicon Valley Bank. (incorporated by reference to Exhibit 10.2 to the</w:t>
            </w:r>
          </w:p>
        </w:tc>
      </w:tr>
      <w:tr>
        <w:trPr>
          <w:trHeight w:val="230"/>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rPr>
              <w:t>Company's Current Report on Form 8-K filed on June 14, 2011).</w:t>
            </w: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3"/>
              </w:rPr>
              <w:t>Certification of Principal Executive Officer Pursuant to Rule 13-14(a) of the Securities Exchange Act of 1934, pursuant to Section 302 of</w:t>
            </w:r>
          </w:p>
        </w:tc>
      </w:tr>
      <w:tr>
        <w:trPr>
          <w:trHeight w:val="230"/>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1"/>
              </w:rPr>
              <w:t>Certification of Principal Financial Officer Pursuant to Rule 13-14(a) of the Securities Exchange Act of 1934, pursuant to Section 302 of the</w:t>
            </w:r>
          </w:p>
        </w:tc>
      </w:tr>
      <w:tr>
        <w:trPr>
          <w:trHeight w:val="230"/>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rPr>
              <w:t>Sarbanes-Oxley Act of 2002.</w:t>
            </w: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Executive Officer Pursuant to 18 U.S.C. Section 1350, pursuant to Section 906 of the Sarbanes-Oxley Act of</w:t>
            </w:r>
          </w:p>
        </w:tc>
      </w:tr>
      <w:tr>
        <w:trPr>
          <w:trHeight w:val="230"/>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rPr>
              <w:t>2002.</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1"/>
              </w:rPr>
              <w:t>Certification of Principal Financial Officer Pursuant to 18 U.S.C. Section 1350, pursuant to Section 906 of the Sarbanes-Oxley Act of 2002.</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with original Form 10-Q on August 15, 2011.</w:t>
      </w:r>
    </w:p>
    <w:p>
      <w:pPr>
        <w:spacing w:after="0" w:line="23" w:lineRule="exact"/>
        <w:rPr>
          <w:sz w:val="20"/>
          <w:szCs w:val="20"/>
          <w:color w:val="auto"/>
        </w:rPr>
      </w:pPr>
    </w:p>
    <w:p>
      <w:pPr>
        <w:ind w:left="340" w:right="2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as amended, and otherwise is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2011.</w:t>
      </w:r>
    </w:p>
    <w:p>
      <w:pPr>
        <w:spacing w:after="0" w:line="212"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rPr>
              <w:t>VRINGO, INC.</w:t>
            </w:r>
          </w:p>
        </w:tc>
      </w:tr>
      <w:tr>
        <w:trPr>
          <w:trHeight w:val="37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2"/>
                <w:szCs w:val="12"/>
                <w:color w:val="auto"/>
              </w:rPr>
              <w:t>S</w:t>
            </w:r>
            <w:r>
              <w:rPr>
                <w:rFonts w:ascii="Arial" w:cs="Arial" w:eastAsia="Arial" w:hAnsi="Arial"/>
                <w:sz w:val="18"/>
                <w:szCs w:val="18"/>
                <w:color w:val="auto"/>
              </w:rPr>
              <w:t xml:space="preserve"> /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tc>
      </w:tr>
      <w:tr>
        <w:trPr>
          <w:trHeight w:val="198"/>
        </w:trPr>
        <w:tc>
          <w:tcPr>
            <w:tcW w:w="500" w:type="dxa"/>
            <w:vAlign w:val="bottom"/>
          </w:tcPr>
          <w:p>
            <w:pPr>
              <w:spacing w:after="0"/>
              <w:rPr>
                <w:sz w:val="17"/>
                <w:szCs w:val="17"/>
                <w:color w:val="auto"/>
              </w:rPr>
            </w:pPr>
          </w:p>
        </w:tc>
        <w:tc>
          <w:tcPr>
            <w:tcW w:w="46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Ellen Cohl</w:t>
            </w:r>
          </w:p>
        </w:tc>
      </w:tr>
      <w:tr>
        <w:trPr>
          <w:trHeight w:val="216"/>
        </w:trPr>
        <w:tc>
          <w:tcPr>
            <w:tcW w:w="50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0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bl>
    <w:p>
      <w:pPr>
        <w:spacing w:after="0" w:line="1" w:lineRule="exact"/>
        <w:rPr>
          <w:sz w:val="20"/>
          <w:szCs w:val="20"/>
          <w:color w:val="auto"/>
        </w:rPr>
      </w:pPr>
    </w:p>
    <w:sectPr>
      <w:pgSz w:w="11900" w:h="16838" w:orient="portrait"/>
      <w:cols w:equalWidth="0" w:num="1">
        <w:col w:w="11220"/>
      </w:cols>
      <w:pgMar w:left="240" w:top="7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2019-12-11T05:28:54Z</dcterms:created>
  <dcterms:modified xsi:type="dcterms:W3CDTF">2019-12-11T05:28:54Z</dcterms:modified>
</cp:coreProperties>
</file>