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290195</wp:posOffset>
            </wp:positionV>
            <wp:extent cx="651573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735" cy="279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346075</wp:posOffset>
            </wp:positionV>
            <wp:extent cx="65157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735" cy="698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jc w:val="center"/>
        <w:spacing w:after="0" w:line="210" w:lineRule="auto"/>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10-K</w:t>
      </w:r>
    </w:p>
    <w:p>
      <w:pPr>
        <w:spacing w:after="0" w:line="11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2"/>
          <w:szCs w:val="12"/>
          <w:b w:val="1"/>
          <w:bCs w:val="1"/>
          <w:color w:val="auto"/>
        </w:rPr>
        <w:t>(Mark One)</w:t>
      </w:r>
    </w:p>
    <w:p>
      <w:pPr>
        <w:ind w:left="4020" w:right="4040" w:hanging="3929"/>
        <w:spacing w:after="0" w:line="231" w:lineRule="auto"/>
        <w:tabs>
          <w:tab w:leader="none" w:pos="389"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 For the fiscal year ended December 31, 2023</w:t>
      </w:r>
    </w:p>
    <w:p>
      <w:pPr>
        <w:ind w:left="5040"/>
        <w:spacing w:after="0"/>
        <w:rPr>
          <w:rFonts w:ascii="Arial" w:cs="Arial" w:eastAsia="Arial" w:hAnsi="Arial"/>
          <w:sz w:val="11"/>
          <w:szCs w:val="11"/>
          <w:color w:val="auto"/>
        </w:rPr>
      </w:pPr>
      <w:r>
        <w:rPr>
          <w:rFonts w:ascii="Times New Roman" w:cs="Times New Roman" w:eastAsia="Times New Roman" w:hAnsi="Times New Roman"/>
          <w:sz w:val="12"/>
          <w:szCs w:val="12"/>
          <w:b w:val="1"/>
          <w:bCs w:val="1"/>
          <w:color w:val="auto"/>
        </w:rPr>
        <w:t>OR</w:t>
      </w:r>
    </w:p>
    <w:p>
      <w:pPr>
        <w:spacing w:after="0" w:line="101" w:lineRule="exact"/>
        <w:rPr>
          <w:sz w:val="24"/>
          <w:szCs w:val="24"/>
          <w:color w:val="auto"/>
        </w:rPr>
      </w:pPr>
    </w:p>
    <w:p>
      <w:pPr>
        <w:ind w:left="4100" w:right="3920" w:hanging="4009"/>
        <w:spacing w:after="0" w:line="269" w:lineRule="auto"/>
        <w:tabs>
          <w:tab w:leader="none" w:pos="388" w:val="left"/>
        </w:tabs>
        <w:numPr>
          <w:ilvl w:val="0"/>
          <w:numId w:val="2"/>
        </w:numPr>
        <w:rPr>
          <w:rFonts w:ascii="Arial" w:cs="Arial" w:eastAsia="Arial" w:hAnsi="Arial"/>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 ___ to ___</w:t>
      </w:r>
    </w:p>
    <w:p>
      <w:pPr>
        <w:ind w:left="4240"/>
        <w:spacing w:after="0"/>
        <w:rPr>
          <w:rFonts w:ascii="Arial" w:cs="Arial" w:eastAsia="Arial" w:hAnsi="Arial"/>
          <w:sz w:val="11"/>
          <w:szCs w:val="11"/>
          <w:color w:val="auto"/>
        </w:rPr>
      </w:pPr>
      <w:r>
        <w:rPr>
          <w:rFonts w:ascii="Times New Roman" w:cs="Times New Roman" w:eastAsia="Times New Roman" w:hAnsi="Times New Roman"/>
          <w:sz w:val="12"/>
          <w:szCs w:val="12"/>
          <w:b w:val="1"/>
          <w:bCs w:val="1"/>
          <w:color w:val="auto"/>
        </w:rPr>
        <w:t>Commission file number 001-34785</w:t>
      </w:r>
    </w:p>
    <w:p>
      <w:pPr>
        <w:spacing w:after="0" w:line="26" w:lineRule="exact"/>
        <w:rPr>
          <w:rFonts w:ascii="Arial" w:cs="Arial" w:eastAsia="Arial" w:hAnsi="Arial"/>
          <w:sz w:val="11"/>
          <w:szCs w:val="11"/>
          <w:color w:val="auto"/>
        </w:rPr>
      </w:pPr>
    </w:p>
    <w:p>
      <w:pPr>
        <w:ind w:left="4780"/>
        <w:spacing w:after="0"/>
        <w:rPr>
          <w:rFonts w:ascii="Arial" w:cs="Arial" w:eastAsia="Arial" w:hAnsi="Arial"/>
          <w:sz w:val="11"/>
          <w:szCs w:val="11"/>
          <w:color w:val="auto"/>
        </w:rPr>
      </w:pPr>
      <w:r>
        <w:rPr>
          <w:rFonts w:ascii="Times New Roman" w:cs="Times New Roman" w:eastAsia="Times New Roman" w:hAnsi="Times New Roman"/>
          <w:sz w:val="12"/>
          <w:szCs w:val="12"/>
          <w:b w:val="1"/>
          <w:bCs w:val="1"/>
          <w:color w:val="auto"/>
        </w:rPr>
        <w:t>XWELL, Inc.</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00" w:type="dxa"/>
            <w:vAlign w:val="bottom"/>
            <w:gridSpan w:val="4"/>
          </w:tcPr>
          <w:p>
            <w:pPr>
              <w:jc w:val="center"/>
              <w:ind w:left="81"/>
              <w:spacing w:after="0"/>
              <w:rPr>
                <w:sz w:val="20"/>
                <w:szCs w:val="20"/>
                <w:color w:val="auto"/>
              </w:rPr>
            </w:pPr>
            <w:r>
              <w:rPr>
                <w:rFonts w:ascii="Times New Roman" w:cs="Times New Roman" w:eastAsia="Times New Roman" w:hAnsi="Times New Roman"/>
                <w:sz w:val="12"/>
                <w:szCs w:val="12"/>
                <w:b w:val="1"/>
                <w:bCs w:val="1"/>
                <w:color w:val="auto"/>
                <w:w w:val="97"/>
              </w:rPr>
              <w:t>(Exact name of registrant as specified in its charter)</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jc w:val="center"/>
              <w:ind w:left="1381"/>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0" w:type="dxa"/>
            <w:vAlign w:val="bottom"/>
          </w:tcPr>
          <w:p>
            <w:pPr>
              <w:jc w:val="right"/>
              <w:ind w:right="2221"/>
              <w:spacing w:after="0"/>
              <w:rPr>
                <w:sz w:val="20"/>
                <w:szCs w:val="20"/>
                <w:color w:val="auto"/>
              </w:rPr>
            </w:pPr>
            <w:r>
              <w:rPr>
                <w:rFonts w:ascii="Times New Roman" w:cs="Times New Roman" w:eastAsia="Times New Roman" w:hAnsi="Times New Roman"/>
                <w:sz w:val="12"/>
                <w:szCs w:val="12"/>
                <w:b w:val="1"/>
                <w:bCs w:val="1"/>
                <w:color w:val="auto"/>
              </w:rPr>
              <w:t>20-4988129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40" w:type="dxa"/>
            <w:vAlign w:val="bottom"/>
          </w:tcPr>
          <w:p>
            <w:pPr>
              <w:jc w:val="center"/>
              <w:ind w:left="1381"/>
              <w:spacing w:after="0" w:line="121" w:lineRule="exact"/>
              <w:rPr>
                <w:sz w:val="20"/>
                <w:szCs w:val="20"/>
                <w:color w:val="auto"/>
              </w:rPr>
            </w:pPr>
            <w:r>
              <w:rPr>
                <w:rFonts w:ascii="Times New Roman" w:cs="Times New Roman" w:eastAsia="Times New Roman" w:hAnsi="Times New Roman"/>
                <w:sz w:val="12"/>
                <w:szCs w:val="12"/>
                <w:color w:val="auto"/>
                <w:w w:val="98"/>
              </w:rPr>
              <w:t>(State or other jurisdiction of incorporation or</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tcPr>
          <w:p>
            <w:pPr>
              <w:jc w:val="center"/>
              <w:ind w:right="1281"/>
              <w:spacing w:after="0" w:line="121" w:lineRule="exact"/>
              <w:rPr>
                <w:sz w:val="20"/>
                <w:szCs w:val="20"/>
                <w:color w:val="auto"/>
              </w:rPr>
            </w:pPr>
            <w:r>
              <w:rPr>
                <w:rFonts w:ascii="Times New Roman" w:cs="Times New Roman" w:eastAsia="Times New Roman" w:hAnsi="Times New Roman"/>
                <w:sz w:val="12"/>
                <w:szCs w:val="12"/>
                <w:color w:val="auto"/>
                <w:w w:val="97"/>
              </w:rPr>
              <w:t>(I.R.S. Employer Identification No.)</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40" w:type="dxa"/>
            <w:vAlign w:val="bottom"/>
          </w:tcPr>
          <w:p>
            <w:pPr>
              <w:jc w:val="center"/>
              <w:ind w:left="1361"/>
              <w:spacing w:after="0"/>
              <w:rPr>
                <w:sz w:val="20"/>
                <w:szCs w:val="20"/>
                <w:color w:val="auto"/>
              </w:rPr>
            </w:pPr>
            <w:r>
              <w:rPr>
                <w:rFonts w:ascii="Times New Roman" w:cs="Times New Roman" w:eastAsia="Times New Roman" w:hAnsi="Times New Roman"/>
                <w:sz w:val="12"/>
                <w:szCs w:val="12"/>
                <w:color w:val="auto"/>
                <w:w w:val="96"/>
              </w:rPr>
              <w:t>organization)</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jc w:val="center"/>
              <w:ind w:left="1381"/>
              <w:spacing w:after="0"/>
              <w:rPr>
                <w:sz w:val="20"/>
                <w:szCs w:val="20"/>
                <w:color w:val="auto"/>
              </w:rPr>
            </w:pPr>
            <w:r>
              <w:rPr>
                <w:rFonts w:ascii="Times New Roman" w:cs="Times New Roman" w:eastAsia="Times New Roman" w:hAnsi="Times New Roman"/>
                <w:sz w:val="12"/>
                <w:szCs w:val="12"/>
                <w:b w:val="1"/>
                <w:bCs w:val="1"/>
                <w:color w:val="auto"/>
                <w:w w:val="93"/>
              </w:rPr>
              <w:t>254 West 31</w:t>
            </w:r>
            <w:r>
              <w:rPr>
                <w:rFonts w:ascii="Times New Roman" w:cs="Times New Roman" w:eastAsia="Times New Roman" w:hAnsi="Times New Roman"/>
                <w:sz w:val="17"/>
                <w:szCs w:val="17"/>
                <w:b w:val="1"/>
                <w:bCs w:val="1"/>
                <w:color w:val="auto"/>
                <w:w w:val="93"/>
                <w:vertAlign w:val="superscript"/>
              </w:rPr>
              <w:t>st</w:t>
            </w:r>
            <w:r>
              <w:rPr>
                <w:rFonts w:ascii="Times New Roman" w:cs="Times New Roman" w:eastAsia="Times New Roman" w:hAnsi="Times New Roman"/>
                <w:sz w:val="12"/>
                <w:szCs w:val="12"/>
                <w:b w:val="1"/>
                <w:bCs w:val="1"/>
                <w:color w:val="auto"/>
                <w:w w:val="93"/>
              </w:rPr>
              <w:t xml:space="preserve"> Street, 11</w:t>
            </w:r>
            <w:r>
              <w:rPr>
                <w:rFonts w:ascii="Times New Roman" w:cs="Times New Roman" w:eastAsia="Times New Roman" w:hAnsi="Times New Roman"/>
                <w:sz w:val="17"/>
                <w:szCs w:val="17"/>
                <w:b w:val="1"/>
                <w:bCs w:val="1"/>
                <w:color w:val="auto"/>
                <w:w w:val="93"/>
                <w:vertAlign w:val="superscript"/>
              </w:rPr>
              <w:t>th</w:t>
            </w:r>
            <w:r>
              <w:rPr>
                <w:rFonts w:ascii="Times New Roman" w:cs="Times New Roman" w:eastAsia="Times New Roman" w:hAnsi="Times New Roman"/>
                <w:sz w:val="12"/>
                <w:szCs w:val="12"/>
                <w:b w:val="1"/>
                <w:bCs w:val="1"/>
                <w:color w:val="auto"/>
                <w:w w:val="93"/>
              </w:rPr>
              <w:t xml:space="preserve"> Floor</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vMerge w:val="restart"/>
          </w:tcPr>
          <w:p>
            <w:pPr>
              <w:jc w:val="right"/>
              <w:ind w:right="2361"/>
              <w:spacing w:after="0"/>
              <w:rPr>
                <w:sz w:val="20"/>
                <w:szCs w:val="20"/>
                <w:color w:val="auto"/>
              </w:rPr>
            </w:pPr>
            <w:r>
              <w:rPr>
                <w:rFonts w:ascii="Times New Roman" w:cs="Times New Roman" w:eastAsia="Times New Roman" w:hAnsi="Times New Roman"/>
                <w:sz w:val="12"/>
                <w:szCs w:val="12"/>
                <w:b w:val="1"/>
                <w:bCs w:val="1"/>
                <w:color w:val="auto"/>
              </w:rPr>
              <w:t>10001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40" w:type="dxa"/>
            <w:vAlign w:val="bottom"/>
          </w:tcPr>
          <w:p>
            <w:pPr>
              <w:jc w:val="center"/>
              <w:ind w:left="1381"/>
              <w:spacing w:after="0" w:line="123" w:lineRule="exact"/>
              <w:rPr>
                <w:sz w:val="20"/>
                <w:szCs w:val="20"/>
                <w:color w:val="auto"/>
              </w:rPr>
            </w:pPr>
            <w:r>
              <w:rPr>
                <w:rFonts w:ascii="Times New Roman" w:cs="Times New Roman" w:eastAsia="Times New Roman" w:hAnsi="Times New Roman"/>
                <w:sz w:val="12"/>
                <w:szCs w:val="12"/>
                <w:b w:val="1"/>
                <w:bCs w:val="1"/>
                <w:color w:val="auto"/>
                <w:w w:val="95"/>
              </w:rPr>
              <w:t>New York, NY</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40" w:type="dxa"/>
            <w:vAlign w:val="bottom"/>
          </w:tcPr>
          <w:p>
            <w:pPr>
              <w:jc w:val="center"/>
              <w:ind w:left="1361"/>
              <w:spacing w:after="0"/>
              <w:rPr>
                <w:sz w:val="20"/>
                <w:szCs w:val="20"/>
                <w:color w:val="auto"/>
              </w:rPr>
            </w:pPr>
            <w:r>
              <w:rPr>
                <w:rFonts w:ascii="Times New Roman" w:cs="Times New Roman" w:eastAsia="Times New Roman" w:hAnsi="Times New Roman"/>
                <w:sz w:val="12"/>
                <w:szCs w:val="12"/>
                <w:color w:val="auto"/>
                <w:w w:val="97"/>
              </w:rPr>
              <w:t>(Address of principal executive offices)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0" w:type="dxa"/>
            <w:vAlign w:val="bottom"/>
          </w:tcPr>
          <w:p>
            <w:pPr>
              <w:jc w:val="center"/>
              <w:ind w:right="1301"/>
              <w:spacing w:after="0"/>
              <w:rPr>
                <w:sz w:val="20"/>
                <w:szCs w:val="20"/>
                <w:color w:val="auto"/>
              </w:rPr>
            </w:pPr>
            <w:r>
              <w:rPr>
                <w:rFonts w:ascii="Times New Roman" w:cs="Times New Roman" w:eastAsia="Times New Roman" w:hAnsi="Times New Roman"/>
                <w:sz w:val="12"/>
                <w:szCs w:val="12"/>
                <w:color w:val="auto"/>
                <w:w w:val="98"/>
              </w:rPr>
              <w:t>(Zip Code)</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24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Registrant’s telephone number, including area code: (212)-750-9595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6600" w:type="dxa"/>
            <w:vAlign w:val="bottom"/>
            <w:gridSpan w:val="5"/>
          </w:tcPr>
          <w:p>
            <w:pPr>
              <w:jc w:val="center"/>
              <w:ind w:right="3601"/>
              <w:spacing w:after="0"/>
              <w:rPr>
                <w:sz w:val="20"/>
                <w:szCs w:val="20"/>
                <w:color w:val="auto"/>
              </w:rPr>
            </w:pPr>
            <w:r>
              <w:rPr>
                <w:rFonts w:ascii="Times New Roman" w:cs="Times New Roman" w:eastAsia="Times New Roman" w:hAnsi="Times New Roman"/>
                <w:sz w:val="12"/>
                <w:szCs w:val="12"/>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640" w:type="dxa"/>
            <w:vAlign w:val="bottom"/>
          </w:tcPr>
          <w:p>
            <w:pPr>
              <w:ind w:left="15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Trading Symbol</w:t>
            </w:r>
          </w:p>
        </w:tc>
        <w:tc>
          <w:tcPr>
            <w:tcW w:w="380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XWEL</w:t>
            </w:r>
          </w:p>
        </w:tc>
        <w:tc>
          <w:tcPr>
            <w:tcW w:w="160" w:type="dxa"/>
            <w:vAlign w:val="bottom"/>
          </w:tcPr>
          <w:p>
            <w:pPr>
              <w:spacing w:after="0"/>
              <w:rPr>
                <w:sz w:val="12"/>
                <w:szCs w:val="12"/>
                <w:color w:val="auto"/>
              </w:rPr>
            </w:pPr>
          </w:p>
        </w:tc>
        <w:tc>
          <w:tcPr>
            <w:tcW w:w="3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The Nasdaq Stock Market LLC</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p>
      <w:pPr>
        <w:spacing w:after="0" w:line="14" w:lineRule="exact"/>
        <w:rPr>
          <w:sz w:val="24"/>
          <w:szCs w:val="24"/>
          <w:color w:val="auto"/>
        </w:rPr>
      </w:pPr>
    </w:p>
    <w:p>
      <w:pPr>
        <w:ind w:right="3800"/>
        <w:spacing w:after="0" w:line="19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6" w:lineRule="exact"/>
        <w:rPr>
          <w:sz w:val="24"/>
          <w:szCs w:val="24"/>
          <w:color w:val="auto"/>
        </w:rPr>
      </w:pPr>
    </w:p>
    <w:p>
      <w:pPr>
        <w:jc w:val="both"/>
        <w:spacing w:after="0" w:line="15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6" w:lineRule="exact"/>
        <w:rPr>
          <w:sz w:val="24"/>
          <w:szCs w:val="24"/>
          <w:color w:val="auto"/>
        </w:rPr>
      </w:pPr>
    </w:p>
    <w:p>
      <w:pPr>
        <w:jc w:val="both"/>
        <w:spacing w:after="0" w:line="15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4"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2"/>
          <w:szCs w:val="12"/>
          <w:i w:val="1"/>
          <w:iCs w:val="1"/>
          <w:color w:val="auto"/>
        </w:rPr>
        <w:t>large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accelerated filer,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accelerated filer,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smaller reporting company,</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emerging growth company</w:t>
      </w:r>
      <w:r>
        <w:rPr>
          <w:rFonts w:ascii="Times New Roman" w:cs="Times New Roman" w:eastAsia="Times New Roman" w:hAnsi="Times New Roman"/>
          <w:sz w:val="12"/>
          <w:szCs w:val="12"/>
          <w:color w:val="auto"/>
        </w:rPr>
        <w:t>”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860" w:type="dxa"/>
            <w:vAlign w:val="bottom"/>
          </w:tcPr>
          <w:p>
            <w:pPr>
              <w:ind w:left="760"/>
              <w:spacing w:after="0" w:line="161" w:lineRule="exact"/>
              <w:rPr>
                <w:sz w:val="20"/>
                <w:szCs w:val="20"/>
                <w:color w:val="auto"/>
              </w:rPr>
            </w:pPr>
            <w:r>
              <w:rPr>
                <w:rFonts w:ascii="Arial Unicode MS" w:cs="Arial Unicode MS" w:eastAsia="Arial Unicode MS" w:hAnsi="Arial Unicode MS"/>
                <w:sz w:val="12"/>
                <w:szCs w:val="12"/>
                <w:color w:val="auto"/>
              </w:rPr>
              <w:t>☐</w:t>
            </w:r>
          </w:p>
        </w:tc>
        <w:tc>
          <w:tcPr>
            <w:tcW w:w="392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Accelerated filer</w:t>
            </w:r>
          </w:p>
        </w:tc>
        <w:tc>
          <w:tcPr>
            <w:tcW w:w="760" w:type="dxa"/>
            <w:vAlign w:val="bottom"/>
          </w:tcPr>
          <w:p>
            <w:pPr>
              <w:ind w:left="660"/>
              <w:spacing w:after="0" w:line="161" w:lineRule="exact"/>
              <w:rPr>
                <w:sz w:val="20"/>
                <w:szCs w:val="20"/>
                <w:color w:val="auto"/>
              </w:rPr>
            </w:pPr>
            <w:r>
              <w:rPr>
                <w:rFonts w:ascii="Arial Unicode MS" w:cs="Arial Unicode MS" w:eastAsia="Arial Unicode MS" w:hAnsi="Arial Unicode MS"/>
                <w:sz w:val="12"/>
                <w:szCs w:val="12"/>
                <w:color w:val="auto"/>
                <w:w w:val="90"/>
              </w:rPr>
              <w:t>☐</w:t>
            </w:r>
          </w:p>
        </w:tc>
      </w:tr>
      <w:tr>
        <w:trPr>
          <w:trHeight w:val="143"/>
        </w:trPr>
        <w:tc>
          <w:tcPr>
            <w:tcW w:w="18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860" w:type="dxa"/>
            <w:vAlign w:val="bottom"/>
          </w:tcPr>
          <w:p>
            <w:pPr>
              <w:ind w:left="760"/>
              <w:spacing w:after="0" w:line="143" w:lineRule="exact"/>
              <w:rPr>
                <w:sz w:val="20"/>
                <w:szCs w:val="20"/>
                <w:color w:val="auto"/>
              </w:rPr>
            </w:pPr>
            <w:r>
              <w:rPr>
                <w:rFonts w:ascii="Arial Unicode MS" w:cs="Arial Unicode MS" w:eastAsia="Arial Unicode MS" w:hAnsi="Arial Unicode MS"/>
                <w:sz w:val="12"/>
                <w:szCs w:val="12"/>
                <w:color w:val="auto"/>
              </w:rPr>
              <w:t>☒</w:t>
            </w:r>
          </w:p>
        </w:tc>
        <w:tc>
          <w:tcPr>
            <w:tcW w:w="392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60" w:type="dxa"/>
            <w:vAlign w:val="bottom"/>
          </w:tcPr>
          <w:p>
            <w:pPr>
              <w:ind w:left="660"/>
              <w:spacing w:after="0" w:line="143" w:lineRule="exact"/>
              <w:rPr>
                <w:sz w:val="20"/>
                <w:szCs w:val="20"/>
                <w:color w:val="auto"/>
              </w:rPr>
            </w:pPr>
            <w:r>
              <w:rPr>
                <w:rFonts w:ascii="Arial Unicode MS" w:cs="Arial Unicode MS" w:eastAsia="Arial Unicode MS" w:hAnsi="Arial Unicode MS"/>
                <w:sz w:val="12"/>
                <w:szCs w:val="12"/>
                <w:color w:val="auto"/>
                <w:w w:val="90"/>
              </w:rPr>
              <w:t>☒</w:t>
            </w:r>
          </w:p>
        </w:tc>
      </w:tr>
      <w:tr>
        <w:trPr>
          <w:trHeight w:val="197"/>
        </w:trPr>
        <w:tc>
          <w:tcPr>
            <w:tcW w:w="18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2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Emerging growth company</w:t>
            </w:r>
          </w:p>
        </w:tc>
        <w:tc>
          <w:tcPr>
            <w:tcW w:w="760" w:type="dxa"/>
            <w:vAlign w:val="bottom"/>
          </w:tcPr>
          <w:p>
            <w:pPr>
              <w:ind w:left="660"/>
              <w:spacing w:after="0" w:line="161" w:lineRule="exact"/>
              <w:rPr>
                <w:sz w:val="20"/>
                <w:szCs w:val="20"/>
                <w:color w:val="auto"/>
              </w:rPr>
            </w:pPr>
            <w:r>
              <w:rPr>
                <w:rFonts w:ascii="Arial Unicode MS" w:cs="Arial Unicode MS" w:eastAsia="Arial Unicode MS" w:hAnsi="Arial Unicode MS"/>
                <w:sz w:val="12"/>
                <w:szCs w:val="12"/>
                <w:color w:val="auto"/>
                <w:w w:val="90"/>
              </w:rPr>
              <w:t>☐</w:t>
            </w:r>
          </w:p>
        </w:tc>
      </w:tr>
    </w:tbl>
    <w:p>
      <w:pPr>
        <w:spacing w:after="0" w:line="38" w:lineRule="exact"/>
        <w:rPr>
          <w:sz w:val="24"/>
          <w:szCs w:val="24"/>
          <w:color w:val="auto"/>
        </w:rPr>
      </w:pPr>
    </w:p>
    <w:p>
      <w:pPr>
        <w:jc w:val="both"/>
        <w:ind w:right="20"/>
        <w:spacing w:after="0" w:line="151"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2"/>
          <w:szCs w:val="12"/>
          <w:color w:val="auto"/>
        </w:rPr>
        <w:t>☐</w:t>
      </w:r>
    </w:p>
    <w:p>
      <w:pPr>
        <w:spacing w:after="0" w:line="6" w:lineRule="exact"/>
        <w:rPr>
          <w:sz w:val="24"/>
          <w:szCs w:val="24"/>
          <w:color w:val="auto"/>
        </w:rPr>
      </w:pPr>
    </w:p>
    <w:p>
      <w:pPr>
        <w:jc w:val="both"/>
        <w:spacing w:after="0" w:line="15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2"/>
          <w:szCs w:val="12"/>
          <w:color w:val="auto"/>
        </w:rPr>
        <w:t>☐</w:t>
      </w:r>
    </w:p>
    <w:p>
      <w:pPr>
        <w:spacing w:after="0" w:line="6" w:lineRule="exact"/>
        <w:rPr>
          <w:sz w:val="24"/>
          <w:szCs w:val="24"/>
          <w:color w:val="auto"/>
        </w:rPr>
      </w:pPr>
    </w:p>
    <w:p>
      <w:pPr>
        <w:jc w:val="both"/>
        <w:spacing w:after="0" w:line="151"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2"/>
          <w:szCs w:val="12"/>
          <w:color w:val="auto"/>
        </w:rPr>
        <w:t>☒</w:t>
      </w:r>
    </w:p>
    <w:p>
      <w:pPr>
        <w:spacing w:after="0" w:line="6" w:lineRule="exact"/>
        <w:rPr>
          <w:sz w:val="24"/>
          <w:szCs w:val="24"/>
          <w:color w:val="auto"/>
        </w:rPr>
      </w:pPr>
    </w:p>
    <w:p>
      <w:pPr>
        <w:jc w:val="both"/>
        <w:ind w:right="20"/>
        <w:spacing w:after="0" w:line="151"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2"/>
          <w:szCs w:val="12"/>
          <w:color w:val="auto"/>
        </w:rPr>
        <w:t>☐</w:t>
      </w:r>
    </w:p>
    <w:p>
      <w:pPr>
        <w:spacing w:after="0" w:line="1" w:lineRule="exact"/>
        <w:rPr>
          <w:sz w:val="24"/>
          <w:szCs w:val="24"/>
          <w:color w:val="auto"/>
        </w:rPr>
      </w:pPr>
    </w:p>
    <w:p>
      <w:pPr>
        <w:spacing w:after="0" w:line="161" w:lineRule="exact"/>
        <w:tabs>
          <w:tab w:leader="none" w:pos="534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ab/>
        <w:t xml:space="preserve">No </w:t>
      </w:r>
      <w:r>
        <w:rPr>
          <w:rFonts w:ascii="Arial Unicode MS" w:cs="Arial Unicode MS" w:eastAsia="Arial Unicode MS" w:hAnsi="Arial Unicode MS"/>
          <w:sz w:val="12"/>
          <w:szCs w:val="12"/>
          <w:color w:val="auto"/>
        </w:rPr>
        <w:t>⌧</w:t>
      </w:r>
    </w:p>
    <w:p>
      <w:pPr>
        <w:spacing w:after="0" w:line="3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3"/>
          <w:szCs w:val="13"/>
          <w:color w:val="auto"/>
        </w:rPr>
        <w:t>The aggregate market value of the registrant’s voting common stock held by non-affiliates of the registrant, as of June 30, 2023, the last business day of the registrant’s most recently completed second quarter, was $16,663,729 computed by reference to the closing sale price of $4.00 per share on the Nasdaq Stock Market LLC on June 30, 2023. The registrant does not have any non-voting common stock.</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April 15, 2024, 4,183,435 shares of the registrant’s common stock are outstanding.</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DOCUMENTS INCORPORATED BY REFERENCE</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Certain information required by Part III will be included in an amendment to this Annual Report on Form 10-K within 120 days of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441960</wp:posOffset>
            </wp:positionV>
            <wp:extent cx="65157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735"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44450</wp:posOffset>
            </wp:positionV>
            <wp:extent cx="65157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73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72390</wp:posOffset>
            </wp:positionV>
            <wp:extent cx="651573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735" cy="27940"/>
                    </a:xfrm>
                    <a:prstGeom prst="rect">
                      <a:avLst/>
                    </a:prstGeom>
                    <a:noFill/>
                  </pic:spPr>
                </pic:pic>
              </a:graphicData>
            </a:graphic>
          </wp:anchor>
        </w:drawing>
      </w:r>
    </w:p>
    <w:p>
      <w:pPr>
        <w:sectPr>
          <w:pgSz w:w="11900" w:h="16838" w:orient="portrait"/>
          <w:cols w:equalWidth="0" w:num="1">
            <w:col w:w="10260"/>
          </w:cols>
          <w:pgMar w:left="820" w:top="564"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40" w:type="dxa"/>
            <w:vAlign w:val="bottom"/>
            <w:gridSpan w:val="27"/>
          </w:tcPr>
          <w:p>
            <w:pPr>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680" w:type="dxa"/>
            <w:vAlign w:val="bottom"/>
          </w:tcPr>
          <w:p>
            <w:pPr>
              <w:spacing w:after="0"/>
              <w:rPr>
                <w:sz w:val="16"/>
                <w:szCs w:val="16"/>
                <w:color w:val="auto"/>
              </w:rPr>
            </w:pPr>
          </w:p>
        </w:tc>
      </w:tr>
      <w:tr>
        <w:trPr>
          <w:trHeight w:val="330"/>
        </w:trPr>
        <w:tc>
          <w:tcPr>
            <w:tcW w:w="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89"/>
              </w:rPr>
              <w:t>PART I</w:t>
            </w:r>
          </w:p>
        </w:tc>
        <w:tc>
          <w:tcPr>
            <w:tcW w:w="7800" w:type="dxa"/>
            <w:vAlign w:val="bottom"/>
            <w:gridSpan w:val="2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ITEM 1. BUSINESS</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7"/>
        </w:trPr>
        <w:tc>
          <w:tcPr>
            <w:tcW w:w="1660" w:type="dxa"/>
            <w:vAlign w:val="bottom"/>
            <w:tcBorders>
              <w:bottom w:val="single" w:sz="8" w:color="0000EE"/>
            </w:tcBorders>
            <w:gridSpan w:val="10"/>
          </w:tcPr>
          <w:p>
            <w:pPr>
              <w:spacing w:after="0" w:line="167" w:lineRule="exact"/>
              <w:rPr>
                <w:sz w:val="20"/>
                <w:szCs w:val="20"/>
                <w:color w:val="auto"/>
              </w:rPr>
            </w:pPr>
            <w:r>
              <w:rPr>
                <w:rFonts w:ascii="Times New Roman" w:cs="Times New Roman" w:eastAsia="Times New Roman" w:hAnsi="Times New Roman"/>
                <w:sz w:val="15"/>
                <w:szCs w:val="15"/>
                <w:color w:val="0000EE"/>
                <w:w w:val="95"/>
              </w:rPr>
              <w:t>ITEM 1A. RISK FACTORS</w:t>
            </w:r>
          </w:p>
        </w:tc>
        <w:tc>
          <w:tcPr>
            <w:tcW w:w="6580" w:type="dxa"/>
            <w:vAlign w:val="bottom"/>
            <w:gridSpan w:val="17"/>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8</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ITEM 1B. UNRESOLVED STAFF COMMENTS</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31</w:t>
            </w:r>
          </w:p>
        </w:tc>
      </w:tr>
      <w:tr>
        <w:trPr>
          <w:trHeight w:val="167"/>
        </w:trPr>
        <w:tc>
          <w:tcPr>
            <w:tcW w:w="1840" w:type="dxa"/>
            <w:vAlign w:val="bottom"/>
            <w:tcBorders>
              <w:top w:val="single" w:sz="8" w:color="0000EE"/>
              <w:bottom w:val="single" w:sz="8" w:color="0000EE"/>
            </w:tcBorders>
            <w:gridSpan w:val="11"/>
          </w:tcPr>
          <w:p>
            <w:pPr>
              <w:spacing w:after="0" w:line="167" w:lineRule="exact"/>
              <w:rPr>
                <w:sz w:val="20"/>
                <w:szCs w:val="20"/>
                <w:color w:val="auto"/>
              </w:rPr>
            </w:pPr>
            <w:r>
              <w:rPr>
                <w:rFonts w:ascii="Times New Roman" w:cs="Times New Roman" w:eastAsia="Times New Roman" w:hAnsi="Times New Roman"/>
                <w:sz w:val="15"/>
                <w:szCs w:val="15"/>
                <w:color w:val="0000EE"/>
                <w:w w:val="96"/>
              </w:rPr>
              <w:t>ITEM 1C. CYBERSECURITY</w:t>
            </w:r>
          </w:p>
        </w:tc>
        <w:tc>
          <w:tcPr>
            <w:tcW w:w="1080" w:type="dxa"/>
            <w:vAlign w:val="bottom"/>
            <w:tcBorders>
              <w:top w:val="single" w:sz="8" w:color="0000EE"/>
            </w:tcBorders>
            <w:gridSpan w:val="6"/>
          </w:tcPr>
          <w:p>
            <w:pPr>
              <w:spacing w:after="0"/>
              <w:rPr>
                <w:sz w:val="14"/>
                <w:szCs w:val="14"/>
                <w:color w:val="auto"/>
              </w:rPr>
            </w:pPr>
          </w:p>
        </w:tc>
        <w:tc>
          <w:tcPr>
            <w:tcW w:w="5320" w:type="dxa"/>
            <w:vAlign w:val="bottom"/>
            <w:gridSpan w:val="10"/>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31</w:t>
            </w:r>
          </w:p>
        </w:tc>
      </w:tr>
      <w:tr>
        <w:trPr>
          <w:trHeight w:val="167"/>
        </w:trPr>
        <w:tc>
          <w:tcPr>
            <w:tcW w:w="1400" w:type="dxa"/>
            <w:vAlign w:val="bottom"/>
            <w:tcBorders>
              <w:bottom w:val="single" w:sz="8" w:color="0000EE"/>
            </w:tcBorders>
            <w:gridSpan w:val="9"/>
          </w:tcPr>
          <w:p>
            <w:pPr>
              <w:spacing w:after="0" w:line="167" w:lineRule="exact"/>
              <w:rPr>
                <w:sz w:val="20"/>
                <w:szCs w:val="20"/>
                <w:color w:val="auto"/>
              </w:rPr>
            </w:pPr>
            <w:r>
              <w:rPr>
                <w:rFonts w:ascii="Times New Roman" w:cs="Times New Roman" w:eastAsia="Times New Roman" w:hAnsi="Times New Roman"/>
                <w:sz w:val="15"/>
                <w:szCs w:val="15"/>
                <w:color w:val="0000EE"/>
                <w:w w:val="95"/>
              </w:rPr>
              <w:t>ITEM 2. PROPERTIES</w:t>
            </w:r>
          </w:p>
        </w:tc>
        <w:tc>
          <w:tcPr>
            <w:tcW w:w="6840" w:type="dxa"/>
            <w:vAlign w:val="bottom"/>
            <w:gridSpan w:val="18"/>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33</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ITEM 3. LEGAL PROCEEDINGS</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7"/>
        </w:trPr>
        <w:tc>
          <w:tcPr>
            <w:tcW w:w="2540" w:type="dxa"/>
            <w:vAlign w:val="bottom"/>
            <w:tcBorders>
              <w:bottom w:val="single" w:sz="8" w:color="0000EE"/>
            </w:tcBorders>
            <w:gridSpan w:val="15"/>
          </w:tcPr>
          <w:p>
            <w:pPr>
              <w:spacing w:after="0" w:line="167" w:lineRule="exact"/>
              <w:rPr>
                <w:sz w:val="20"/>
                <w:szCs w:val="20"/>
                <w:color w:val="auto"/>
              </w:rPr>
            </w:pPr>
            <w:r>
              <w:rPr>
                <w:rFonts w:ascii="Times New Roman" w:cs="Times New Roman" w:eastAsia="Times New Roman" w:hAnsi="Times New Roman"/>
                <w:sz w:val="15"/>
                <w:szCs w:val="15"/>
                <w:color w:val="0000EE"/>
                <w:w w:val="97"/>
              </w:rPr>
              <w:t>ITEM 4. MINE SAFETY DISCLOSURES</w:t>
            </w:r>
          </w:p>
        </w:tc>
        <w:tc>
          <w:tcPr>
            <w:tcW w:w="5700" w:type="dxa"/>
            <w:vAlign w:val="bottom"/>
            <w:gridSpan w:val="12"/>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33</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PART II</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7"/>
        </w:trPr>
        <w:tc>
          <w:tcPr>
            <w:tcW w:w="7580" w:type="dxa"/>
            <w:vAlign w:val="bottom"/>
            <w:tcBorders>
              <w:bottom w:val="single" w:sz="8" w:color="0000EE"/>
            </w:tcBorders>
            <w:gridSpan w:val="24"/>
          </w:tcPr>
          <w:p>
            <w:pPr>
              <w:spacing w:after="0" w:line="167" w:lineRule="exact"/>
              <w:rPr>
                <w:sz w:val="20"/>
                <w:szCs w:val="20"/>
                <w:color w:val="auto"/>
              </w:rPr>
            </w:pPr>
            <w:r>
              <w:rPr>
                <w:rFonts w:ascii="Times New Roman" w:cs="Times New Roman" w:eastAsia="Times New Roman" w:hAnsi="Times New Roman"/>
                <w:sz w:val="15"/>
                <w:szCs w:val="15"/>
                <w:color w:val="0000EE"/>
                <w:w w:val="96"/>
              </w:rPr>
              <w:t>ITEM 5. MARKET FOR THE REGISTRANT’S COMMON EQUITY, RELATED STOCKHOLDER MATTERS AND ISSUER</w:t>
            </w:r>
          </w:p>
        </w:tc>
        <w:tc>
          <w:tcPr>
            <w:tcW w:w="66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520" w:type="dxa"/>
            <w:vAlign w:val="bottom"/>
            <w:tcBorders>
              <w:bottom w:val="single" w:sz="8" w:color="0000EE"/>
            </w:tcBorders>
            <w:gridSpan w:val="14"/>
          </w:tcPr>
          <w:p>
            <w:pPr>
              <w:spacing w:after="0" w:line="167" w:lineRule="exact"/>
              <w:rPr>
                <w:sz w:val="20"/>
                <w:szCs w:val="20"/>
                <w:color w:val="auto"/>
              </w:rPr>
            </w:pPr>
            <w:r>
              <w:rPr>
                <w:rFonts w:ascii="Times New Roman" w:cs="Times New Roman" w:eastAsia="Times New Roman" w:hAnsi="Times New Roman"/>
                <w:sz w:val="15"/>
                <w:szCs w:val="15"/>
                <w:color w:val="0000EE"/>
                <w:w w:val="96"/>
              </w:rPr>
              <w:t>PURCHASES OF EQUITY SECURITIES</w:t>
            </w:r>
          </w:p>
        </w:tc>
        <w:tc>
          <w:tcPr>
            <w:tcW w:w="5720" w:type="dxa"/>
            <w:vAlign w:val="bottom"/>
            <w:gridSpan w:val="13"/>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34</w:t>
            </w:r>
          </w:p>
        </w:tc>
      </w:tr>
      <w:tr>
        <w:trPr>
          <w:trHeight w:val="167"/>
        </w:trPr>
        <w:tc>
          <w:tcPr>
            <w:tcW w:w="1380" w:type="dxa"/>
            <w:vAlign w:val="bottom"/>
            <w:tcBorders>
              <w:bottom w:val="single" w:sz="8" w:color="0000EE"/>
            </w:tcBorders>
            <w:gridSpan w:val="8"/>
          </w:tcPr>
          <w:p>
            <w:pPr>
              <w:spacing w:after="0" w:line="167" w:lineRule="exact"/>
              <w:rPr>
                <w:sz w:val="20"/>
                <w:szCs w:val="20"/>
                <w:color w:val="auto"/>
              </w:rPr>
            </w:pPr>
            <w:r>
              <w:rPr>
                <w:rFonts w:ascii="Times New Roman" w:cs="Times New Roman" w:eastAsia="Times New Roman" w:hAnsi="Times New Roman"/>
                <w:sz w:val="15"/>
                <w:szCs w:val="15"/>
                <w:color w:val="0000EE"/>
                <w:w w:val="95"/>
              </w:rPr>
              <w:t>ITEM 6. [RESERVED]</w:t>
            </w:r>
          </w:p>
        </w:tc>
        <w:tc>
          <w:tcPr>
            <w:tcW w:w="6860" w:type="dxa"/>
            <w:vAlign w:val="bottom"/>
            <w:gridSpan w:val="19"/>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34</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ITEM 7. MANAGEMENT’S DISCUSSION AND ANALYSIS OF FINANCIAL CONDITION AND RESULTS OF OPERATIONS</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35</w:t>
            </w:r>
          </w:p>
        </w:tc>
      </w:tr>
      <w:tr>
        <w:trPr>
          <w:trHeight w:val="167"/>
        </w:trPr>
        <w:tc>
          <w:tcPr>
            <w:tcW w:w="5640" w:type="dxa"/>
            <w:vAlign w:val="bottom"/>
            <w:tcBorders>
              <w:top w:val="single" w:sz="8" w:color="0000EE"/>
              <w:bottom w:val="single" w:sz="8" w:color="0000EE"/>
            </w:tcBorders>
            <w:gridSpan w:val="22"/>
          </w:tcPr>
          <w:p>
            <w:pPr>
              <w:spacing w:after="0" w:line="167" w:lineRule="exact"/>
              <w:rPr>
                <w:sz w:val="20"/>
                <w:szCs w:val="20"/>
                <w:color w:val="auto"/>
              </w:rPr>
            </w:pPr>
            <w:r>
              <w:rPr>
                <w:rFonts w:ascii="Times New Roman" w:cs="Times New Roman" w:eastAsia="Times New Roman" w:hAnsi="Times New Roman"/>
                <w:sz w:val="15"/>
                <w:szCs w:val="15"/>
                <w:color w:val="0000EE"/>
                <w:w w:val="96"/>
              </w:rPr>
              <w:t>ITEM 7A. QUANTITATIVE AND QUALITATIVE DISCLOSURES ABOUT MARKET RISK</w:t>
            </w:r>
          </w:p>
        </w:tc>
        <w:tc>
          <w:tcPr>
            <w:tcW w:w="2140" w:type="dxa"/>
            <w:vAlign w:val="bottom"/>
            <w:tcBorders>
              <w:top w:val="single" w:sz="8" w:color="0000EE"/>
            </w:tcBorders>
            <w:gridSpan w:val="3"/>
          </w:tcPr>
          <w:p>
            <w:pPr>
              <w:spacing w:after="0"/>
              <w:rPr>
                <w:sz w:val="14"/>
                <w:szCs w:val="14"/>
                <w:color w:val="auto"/>
              </w:rPr>
            </w:pPr>
          </w:p>
        </w:tc>
        <w:tc>
          <w:tcPr>
            <w:tcW w:w="460" w:type="dxa"/>
            <w:vAlign w:val="bottom"/>
            <w:gridSpan w:val="2"/>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40</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ITEM 8. FINANCIAL STATEMENTS AND SUPPLEMENTARY DATA</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40</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7"/>
        </w:trPr>
        <w:tc>
          <w:tcPr>
            <w:tcW w:w="7940" w:type="dxa"/>
            <w:vAlign w:val="bottom"/>
            <w:tcBorders>
              <w:bottom w:val="single" w:sz="8" w:color="0000EE"/>
            </w:tcBorders>
            <w:gridSpan w:val="26"/>
          </w:tcPr>
          <w:p>
            <w:pPr>
              <w:spacing w:after="0" w:line="167" w:lineRule="exact"/>
              <w:rPr>
                <w:sz w:val="20"/>
                <w:szCs w:val="20"/>
                <w:color w:val="auto"/>
              </w:rPr>
            </w:pPr>
            <w:r>
              <w:rPr>
                <w:rFonts w:ascii="Times New Roman" w:cs="Times New Roman" w:eastAsia="Times New Roman" w:hAnsi="Times New Roman"/>
                <w:sz w:val="15"/>
                <w:szCs w:val="15"/>
                <w:color w:val="0000EE"/>
                <w:w w:val="97"/>
              </w:rPr>
              <w:t>ITEM 9. CHANGES IN AND DISAGREEMENTS WITH ACCOUNTANTS ON ACCOUNTING AND FINANCIAL DISCLOSURE</w:t>
            </w:r>
          </w:p>
        </w:tc>
        <w:tc>
          <w:tcPr>
            <w:tcW w:w="300" w:type="dxa"/>
            <w:vAlign w:val="bottom"/>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40</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PART III</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43</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ITEM 10. DIRECTORS, EXECUTIVE OFFICERS, AND CORPORATE GOVERNANCE</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43</w:t>
            </w:r>
          </w:p>
        </w:tc>
      </w:tr>
      <w:tr>
        <w:trPr>
          <w:trHeight w:val="167"/>
        </w:trPr>
        <w:tc>
          <w:tcPr>
            <w:tcW w:w="2600" w:type="dxa"/>
            <w:vAlign w:val="bottom"/>
            <w:tcBorders>
              <w:top w:val="single" w:sz="8" w:color="0000EE"/>
              <w:bottom w:val="single" w:sz="8" w:color="0000EE"/>
            </w:tcBorders>
            <w:gridSpan w:val="16"/>
          </w:tcPr>
          <w:p>
            <w:pPr>
              <w:spacing w:after="0" w:line="167" w:lineRule="exact"/>
              <w:rPr>
                <w:sz w:val="20"/>
                <w:szCs w:val="20"/>
                <w:color w:val="auto"/>
              </w:rPr>
            </w:pPr>
            <w:r>
              <w:rPr>
                <w:rFonts w:ascii="Times New Roman" w:cs="Times New Roman" w:eastAsia="Times New Roman" w:hAnsi="Times New Roman"/>
                <w:sz w:val="15"/>
                <w:szCs w:val="15"/>
                <w:color w:val="0000EE"/>
                <w:w w:val="96"/>
              </w:rPr>
              <w:t>ITEM 11. EXECUTIVE COMPENSATION</w:t>
            </w:r>
          </w:p>
        </w:tc>
        <w:tc>
          <w:tcPr>
            <w:tcW w:w="2760" w:type="dxa"/>
            <w:vAlign w:val="bottom"/>
            <w:tcBorders>
              <w:top w:val="single" w:sz="8" w:color="0000EE"/>
            </w:tcBorders>
            <w:gridSpan w:val="5"/>
          </w:tcPr>
          <w:p>
            <w:pPr>
              <w:spacing w:after="0"/>
              <w:rPr>
                <w:sz w:val="14"/>
                <w:szCs w:val="14"/>
                <w:color w:val="auto"/>
              </w:rPr>
            </w:pPr>
          </w:p>
        </w:tc>
        <w:tc>
          <w:tcPr>
            <w:tcW w:w="2880" w:type="dxa"/>
            <w:vAlign w:val="bottom"/>
            <w:gridSpan w:val="6"/>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43</w:t>
            </w:r>
          </w:p>
        </w:tc>
      </w:tr>
      <w:tr>
        <w:trPr>
          <w:trHeight w:val="167"/>
        </w:trPr>
        <w:tc>
          <w:tcPr>
            <w:tcW w:w="8240" w:type="dxa"/>
            <w:vAlign w:val="bottom"/>
            <w:tcBorders>
              <w:bottom w:val="single" w:sz="8" w:color="0000EE"/>
            </w:tcBorders>
            <w:gridSpan w:val="27"/>
          </w:tcPr>
          <w:p>
            <w:pPr>
              <w:spacing w:after="0" w:line="167" w:lineRule="exact"/>
              <w:rPr>
                <w:sz w:val="20"/>
                <w:szCs w:val="20"/>
                <w:color w:val="auto"/>
              </w:rPr>
            </w:pPr>
            <w:r>
              <w:rPr>
                <w:rFonts w:ascii="Times New Roman" w:cs="Times New Roman" w:eastAsia="Times New Roman" w:hAnsi="Times New Roman"/>
                <w:sz w:val="15"/>
                <w:szCs w:val="15"/>
                <w:color w:val="0000EE"/>
                <w:w w:val="96"/>
              </w:rPr>
              <w:t>ITEM 12. SECURITY OWNERSHIP OF CERTAIN BENEFICIAL OWNERS AND MANAGEMENT AND RELATED STOCKHOLDER</w:t>
            </w:r>
          </w:p>
        </w:tc>
        <w:tc>
          <w:tcPr>
            <w:tcW w:w="680" w:type="dxa"/>
            <w:vAlign w:val="bottom"/>
          </w:tcPr>
          <w:p>
            <w:pPr>
              <w:spacing w:after="0"/>
              <w:rPr>
                <w:sz w:val="14"/>
                <w:szCs w:val="14"/>
                <w:color w:val="auto"/>
              </w:rPr>
            </w:pP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MATTERS</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43</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7"/>
        </w:trPr>
        <w:tc>
          <w:tcPr>
            <w:tcW w:w="6880" w:type="dxa"/>
            <w:vAlign w:val="bottom"/>
            <w:tcBorders>
              <w:bottom w:val="single" w:sz="8" w:color="0000EE"/>
            </w:tcBorders>
            <w:gridSpan w:val="23"/>
          </w:tcPr>
          <w:p>
            <w:pPr>
              <w:spacing w:after="0" w:line="167" w:lineRule="exact"/>
              <w:rPr>
                <w:sz w:val="20"/>
                <w:szCs w:val="20"/>
                <w:color w:val="auto"/>
              </w:rPr>
            </w:pPr>
            <w:r>
              <w:rPr>
                <w:rFonts w:ascii="Times New Roman" w:cs="Times New Roman" w:eastAsia="Times New Roman" w:hAnsi="Times New Roman"/>
                <w:sz w:val="15"/>
                <w:szCs w:val="15"/>
                <w:color w:val="0000EE"/>
                <w:w w:val="96"/>
              </w:rPr>
              <w:t>ITEM 13. CERTAIN RELATIONSHIPS AND RELATED TRANSACTIONS, AND DIRECTOR INDEPENDENCE</w:t>
            </w:r>
          </w:p>
        </w:tc>
        <w:tc>
          <w:tcPr>
            <w:tcW w:w="1360" w:type="dxa"/>
            <w:vAlign w:val="bottom"/>
            <w:gridSpan w:val="4"/>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43</w:t>
            </w:r>
          </w:p>
        </w:tc>
      </w:tr>
      <w:tr>
        <w:trPr>
          <w:trHeight w:val="167"/>
        </w:trPr>
        <w:tc>
          <w:tcPr>
            <w:tcW w:w="3840" w:type="dxa"/>
            <w:vAlign w:val="bottom"/>
            <w:tcBorders>
              <w:bottom w:val="single" w:sz="8" w:color="0000EE"/>
            </w:tcBorders>
            <w:gridSpan w:val="18"/>
          </w:tcPr>
          <w:p>
            <w:pPr>
              <w:spacing w:after="0" w:line="167" w:lineRule="exact"/>
              <w:rPr>
                <w:sz w:val="20"/>
                <w:szCs w:val="20"/>
                <w:color w:val="auto"/>
              </w:rPr>
            </w:pPr>
            <w:r>
              <w:rPr>
                <w:rFonts w:ascii="Times New Roman" w:cs="Times New Roman" w:eastAsia="Times New Roman" w:hAnsi="Times New Roman"/>
                <w:sz w:val="15"/>
                <w:szCs w:val="15"/>
                <w:color w:val="0000EE"/>
                <w:w w:val="96"/>
              </w:rPr>
              <w:t>ITEM 14. PRINCIPAL ACCOUNTANT FEES AND SERVICES</w:t>
            </w:r>
          </w:p>
        </w:tc>
        <w:tc>
          <w:tcPr>
            <w:tcW w:w="4400" w:type="dxa"/>
            <w:vAlign w:val="bottom"/>
            <w:gridSpan w:val="9"/>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43</w:t>
            </w:r>
          </w:p>
        </w:tc>
      </w:tr>
      <w:tr>
        <w:trPr>
          <w:trHeight w:val="167"/>
        </w:trPr>
        <w:tc>
          <w:tcPr>
            <w:tcW w:w="540" w:type="dxa"/>
            <w:vAlign w:val="bottom"/>
            <w:tcBorders>
              <w:bottom w:val="single" w:sz="8" w:color="0000EE"/>
            </w:tcBorders>
            <w:gridSpan w:val="4"/>
          </w:tcPr>
          <w:p>
            <w:pPr>
              <w:spacing w:after="0" w:line="167" w:lineRule="exact"/>
              <w:rPr>
                <w:sz w:val="20"/>
                <w:szCs w:val="20"/>
                <w:color w:val="auto"/>
              </w:rPr>
            </w:pPr>
            <w:r>
              <w:rPr>
                <w:rFonts w:ascii="Times New Roman" w:cs="Times New Roman" w:eastAsia="Times New Roman" w:hAnsi="Times New Roman"/>
                <w:sz w:val="15"/>
                <w:szCs w:val="15"/>
                <w:color w:val="0000EE"/>
                <w:w w:val="89"/>
              </w:rPr>
              <w:t>PART IV</w:t>
            </w:r>
          </w:p>
        </w:tc>
        <w:tc>
          <w:tcPr>
            <w:tcW w:w="7700" w:type="dxa"/>
            <w:vAlign w:val="bottom"/>
            <w:gridSpan w:val="23"/>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44</w:t>
            </w:r>
          </w:p>
        </w:tc>
      </w:tr>
      <w:tr>
        <w:trPr>
          <w:trHeight w:val="167"/>
        </w:trPr>
        <w:tc>
          <w:tcPr>
            <w:tcW w:w="4220" w:type="dxa"/>
            <w:vAlign w:val="bottom"/>
            <w:tcBorders>
              <w:bottom w:val="single" w:sz="8" w:color="0000EE"/>
            </w:tcBorders>
            <w:gridSpan w:val="19"/>
          </w:tcPr>
          <w:p>
            <w:pPr>
              <w:spacing w:after="0" w:line="167" w:lineRule="exact"/>
              <w:rPr>
                <w:sz w:val="20"/>
                <w:szCs w:val="20"/>
                <w:color w:val="auto"/>
              </w:rPr>
            </w:pPr>
            <w:r>
              <w:rPr>
                <w:rFonts w:ascii="Times New Roman" w:cs="Times New Roman" w:eastAsia="Times New Roman" w:hAnsi="Times New Roman"/>
                <w:sz w:val="15"/>
                <w:szCs w:val="15"/>
                <w:color w:val="0000EE"/>
                <w:w w:val="96"/>
              </w:rPr>
              <w:t>ITEM 15. EXHIBITS AND FINANCIAL STATEMENT SCHEDULES</w:t>
            </w:r>
          </w:p>
        </w:tc>
        <w:tc>
          <w:tcPr>
            <w:tcW w:w="4020" w:type="dxa"/>
            <w:vAlign w:val="bottom"/>
            <w:gridSpan w:val="8"/>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44</w:t>
            </w:r>
          </w:p>
        </w:tc>
      </w:tr>
      <w:tr>
        <w:trPr>
          <w:trHeight w:val="167"/>
        </w:trPr>
        <w:tc>
          <w:tcPr>
            <w:tcW w:w="8240" w:type="dxa"/>
            <w:vAlign w:val="bottom"/>
            <w:gridSpan w:val="27"/>
          </w:tcPr>
          <w:p>
            <w:pPr>
              <w:spacing w:after="0" w:line="167" w:lineRule="exact"/>
              <w:rPr>
                <w:sz w:val="20"/>
                <w:szCs w:val="20"/>
                <w:color w:val="auto"/>
              </w:rPr>
            </w:pPr>
            <w:r>
              <w:rPr>
                <w:rFonts w:ascii="Times New Roman" w:cs="Times New Roman" w:eastAsia="Times New Roman" w:hAnsi="Times New Roman"/>
                <w:sz w:val="15"/>
                <w:szCs w:val="15"/>
                <w:color w:val="0000EE"/>
              </w:rPr>
              <w:t>ITEM 16. FORM 10-K SUMMARY</w:t>
            </w: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49</w:t>
            </w:r>
          </w:p>
        </w:tc>
      </w:tr>
      <w:tr>
        <w:trPr>
          <w:trHeight w:val="167"/>
        </w:trPr>
        <w:tc>
          <w:tcPr>
            <w:tcW w:w="2140" w:type="dxa"/>
            <w:vAlign w:val="bottom"/>
            <w:tcBorders>
              <w:top w:val="single" w:sz="8" w:color="0000EE"/>
            </w:tcBorders>
            <w:gridSpan w:val="13"/>
          </w:tcPr>
          <w:p>
            <w:pPr>
              <w:spacing w:after="0" w:line="167" w:lineRule="exact"/>
              <w:rPr>
                <w:sz w:val="20"/>
                <w:szCs w:val="20"/>
                <w:color w:val="auto"/>
              </w:rPr>
            </w:pPr>
            <w:r>
              <w:rPr>
                <w:rFonts w:ascii="Times New Roman" w:cs="Times New Roman" w:eastAsia="Times New Roman" w:hAnsi="Times New Roman"/>
                <w:sz w:val="15"/>
                <w:szCs w:val="15"/>
                <w:color w:val="0000EE"/>
              </w:rPr>
              <w:t>SIGNATURES</w:t>
            </w:r>
          </w:p>
        </w:tc>
        <w:tc>
          <w:tcPr>
            <w:tcW w:w="6100" w:type="dxa"/>
            <w:vAlign w:val="bottom"/>
            <w:gridSpan w:val="14"/>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r>
      <w:tr>
        <w:trPr>
          <w:trHeight w:val="20"/>
        </w:trPr>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8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These risks and uncertainties, many of which are beyond our control, include, but are not limited to, the following:</w:t>
      </w:r>
    </w:p>
    <w:p>
      <w:pPr>
        <w:spacing w:after="0" w:line="179" w:lineRule="exact"/>
        <w:rPr>
          <w:sz w:val="20"/>
          <w:szCs w:val="20"/>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adverse effects of public health epidemics, similar to the coronavirus outbreak, on our business, results of operations and financial condition;</w:t>
      </w:r>
    </w:p>
    <w:p>
      <w:pPr>
        <w:spacing w:after="0" w:line="140"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material weaknesses we identified in our internal control over financial reporting, our efforts to remediate such material weaknesses and the timing of remediation;</w:t>
      </w:r>
    </w:p>
    <w:p>
      <w:pPr>
        <w:spacing w:after="0" w:line="140"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Restatement of our financial statements for Q3 2023 and the impact of such Restatement on our future financial statements and other financial measures (each as defined herein);</w:t>
      </w:r>
    </w:p>
    <w:p>
      <w:pPr>
        <w:spacing w:after="0" w:line="140"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offer new products and services;</w:t>
      </w:r>
    </w:p>
    <w:p>
      <w:pPr>
        <w:spacing w:after="0" w:line="179"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effectively deploy our available cash resources, as well as our ability raise additional capital to fund our operations and business plan, to the extent necessary;</w:t>
      </w:r>
    </w:p>
    <w:p>
      <w:pPr>
        <w:spacing w:after="0" w:line="140"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 and level of consumer and corporate spending on health, wellness and travel;</w:t>
      </w:r>
    </w:p>
    <w:p>
      <w:pPr>
        <w:spacing w:after="0" w:line="179"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secure new locations, maintain XpresSpa, Naples Wax, Treat and CDC Bio surveillance testing locations, and ensure continued customer traffic at those locations;</w:t>
      </w:r>
    </w:p>
    <w:p>
      <w:pPr>
        <w:spacing w:after="0" w:line="140"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a skilled labor force and the costs associated with that labor;</w:t>
      </w:r>
    </w:p>
    <w:p>
      <w:pPr>
        <w:spacing w:after="0" w:line="179"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accurately forecast the costs associated with opening new retail locations and maintaining or converting existing ones, and the revenue derived from our retail locations;</w:t>
      </w:r>
    </w:p>
    <w:p>
      <w:pPr>
        <w:spacing w:after="0" w:line="140"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by our Airport Concession Disadvantaged Business Enterprise partners on obligations set forth in our joint venture agreements;</w:t>
      </w:r>
    </w:p>
    <w:p>
      <w:pPr>
        <w:spacing w:after="0" w:line="140"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protect our confidential information and customers’ financial data and other personal information;</w:t>
      </w:r>
    </w:p>
    <w:p>
      <w:pPr>
        <w:spacing w:after="0" w:line="179"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or disruption to our information technology systems;</w:t>
      </w:r>
    </w:p>
    <w:p>
      <w:pPr>
        <w:spacing w:after="0" w:line="179"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key members of our management team;</w:t>
      </w:r>
    </w:p>
    <w:p>
      <w:pPr>
        <w:spacing w:after="0" w:line="179"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or an adverse change with regard to, one or more of our significant suppliers, distributors, vendors or other business relationships;</w:t>
      </w:r>
    </w:p>
    <w:p>
      <w:pPr>
        <w:spacing w:after="0" w:line="140"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events and trends in the health, wellness and travel industries;</w:t>
      </w:r>
    </w:p>
    <w:p>
      <w:pPr>
        <w:spacing w:after="0" w:line="179" w:lineRule="exact"/>
        <w:rPr>
          <w:rFonts w:ascii="Times New Roman" w:cs="Times New Roman" w:eastAsia="Times New Roman" w:hAnsi="Times New Roman"/>
          <w:sz w:val="15"/>
          <w:szCs w:val="15"/>
          <w:color w:val="auto"/>
        </w:rPr>
      </w:pPr>
    </w:p>
    <w:p>
      <w:pPr>
        <w:ind w:left="840" w:right="59" w:hanging="256"/>
        <w:spacing w:after="0" w:line="269" w:lineRule="auto"/>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acceptance, quality, pricing, availability and useful life of our products and/or services, as well as the mix of our products and services sold;</w:t>
      </w:r>
    </w:p>
    <w:p>
      <w:pPr>
        <w:spacing w:after="0" w:line="140"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conditions within our industries;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40" w:right="59" w:hanging="256"/>
        <w:spacing w:after="0" w:line="269" w:lineRule="auto"/>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compliance with laws and regulations in the jurisdictions in which we do business and any new laws and regulations or changes in existing laws and regulations;</w:t>
      </w:r>
    </w:p>
    <w:p>
      <w:pPr>
        <w:spacing w:after="0" w:line="140"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regulatory actions in the healthcare sector that could impact our ability to continue operations;</w:t>
      </w:r>
    </w:p>
    <w:p>
      <w:pPr>
        <w:spacing w:after="0" w:line="179"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discontinuance of emergency use authorization (“EUA”) policies that could impact our business</w:t>
      </w:r>
    </w:p>
    <w:p>
      <w:pPr>
        <w:spacing w:after="0" w:line="179"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compliance with the Nasdaq Capital Market’s listing standards;</w:t>
      </w:r>
    </w:p>
    <w:p>
      <w:pPr>
        <w:spacing w:after="0" w:line="179"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lawsuits, claims, and investigations that may be filed against us and other events that may adversely affect our reputation; and</w:t>
      </w:r>
    </w:p>
    <w:p>
      <w:pPr>
        <w:spacing w:after="0" w:line="179" w:lineRule="exact"/>
        <w:rPr>
          <w:rFonts w:ascii="Times New Roman" w:cs="Times New Roman" w:eastAsia="Times New Roman" w:hAnsi="Times New Roman"/>
          <w:sz w:val="15"/>
          <w:szCs w:val="15"/>
          <w:color w:val="auto"/>
        </w:rPr>
      </w:pPr>
    </w:p>
    <w:p>
      <w:pPr>
        <w:ind w:left="840" w:hanging="256"/>
        <w:spacing w:after="0"/>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protect and maintain our intellectual property.</w:t>
      </w:r>
    </w:p>
    <w:p>
      <w:pPr>
        <w:spacing w:after="0" w:line="179" w:lineRule="exact"/>
        <w:rPr>
          <w:sz w:val="20"/>
          <w:szCs w:val="20"/>
          <w:color w:val="auto"/>
        </w:rPr>
      </w:pPr>
    </w:p>
    <w:p>
      <w:pPr>
        <w:jc w:val="both"/>
        <w:ind w:left="40" w:right="39"/>
        <w:spacing w:after="0" w:line="264" w:lineRule="auto"/>
        <w:rPr>
          <w:sz w:val="20"/>
          <w:szCs w:val="20"/>
          <w:color w:val="auto"/>
        </w:rPr>
      </w:pPr>
      <w:r>
        <w:rPr>
          <w:rFonts w:ascii="Times New Roman" w:cs="Times New Roman" w:eastAsia="Times New Roman" w:hAnsi="Times New Roman"/>
          <w:sz w:val="14"/>
          <w:szCs w:val="14"/>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154"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All references in this Annual Report on Form 10-K to “we,” “us” and “our” refer to XWELL, Inc. (prior to October 25, 2022 known as “XpresSpa Group, Inc.” and prior to January 5, 2018, known as “FORM Holdings Corp.”), a Delaware corporation, and its consolidated subsidiaries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 BUSINESS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8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XWELL is a global wellness company operating multiple brands and focused on bringing restorative, regenerative and reinvigorating products and services to travelers. XWELL currently has four reportable operating segments: XpresSpa®, XpresTest®, Naples Wax Center and Treat™.</w:t>
      </w:r>
    </w:p>
    <w:p>
      <w:pPr>
        <w:spacing w:after="0" w:line="14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The Company filed an amended and restated certificate of incorporation with the Delaware Secretary of State on October 24, 2022 (the “Amended and Restated Certificate”) reflecting the name change. Rebranding to XWELL aligned the Company’s corporate strategy to build a pure-play wellness services company, in both the airport and off-airport marketplaces.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XpresSpa</w:t>
      </w:r>
    </w:p>
    <w:p>
      <w:pPr>
        <w:spacing w:after="0" w:line="17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4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As of December 31, 2023, there were 21 domestic XpressSpa locations in total, 19 Company-owned locations and two franchises. The Company also had 11 international locations operating as of December 31, 2023, including two XpresSpa locations in Dubai International Airport in the United Arab Emirates, one XpresSpa location in Zayad International Airport in Abu Dhabi, UAE, three XpresSpa locations in Schiphol Amsterdam Airport in the Netherlands and five XpresSpa locations in the Istanbul Airport in Turkey.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XpresTest</w:t>
      </w:r>
    </w:p>
    <w:p>
      <w:pPr>
        <w:spacing w:after="0" w:line="17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The Company, in partnership with certain COVID-19 testing partners, successfully launched its XpresCheck Wellness Centers, in June of 2020, through its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locations, the Company closed XpresCheck Wellness Centers. As of December 31, 2023, we have closed all XpresCheck locations.</w:t>
      </w:r>
    </w:p>
    <w:p>
      <w:pPr>
        <w:spacing w:after="0" w:line="15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XpresTest began conducting bio surveillance monitoring with the Centers for Disease Control and Prevention (CDC) in collaboration with Concentric by Ginkgo BioWorks in 2021 and on January 31, 2022, we announced the extension of our initial program, bringing the total contract to $5,537. As of August 2022, the program was renewed in partnership with Ginkgo BioWorks. A new two-year contract was initiated which represents approximately $7,330 in revenue (for the first year) for the XpresTest segment.</w:t>
      </w:r>
    </w:p>
    <w:p>
      <w:pPr>
        <w:spacing w:after="0" w:line="15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The program was renewed in August 2023 through a new one-year contract. The revenue to XpresTest from such one-year extension totaled approximately $7,044. In March 2024, the program funding and scope were expanded, a revenue increase of $4,000, to an estimated $11,044 in revenue for XpresTest with new collection locations at U.S. international airports in Miami (MIA) and Chicago (ORD) and the roll out of multi-pathogen testing across the program.</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HyperPointe</w:t>
      </w:r>
    </w:p>
    <w:p>
      <w:pPr>
        <w:spacing w:after="0" w:line="179"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XWELL’s subsidiary, gcg Connect, LLC, operating as HyperPointe, provides direct to business marketing support across a number of health and health-related channels. From the creation of marketing campaigns for the pharmaceutical industry,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to learning management systems to website and health related content creation, HyperPointe is a complementary service provider to XWELL’s health-focused brands as well as providing the majority of services to the external community.</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 reporting purposes, the former HyperPointe segment has been consolidated into the XpresTest segment.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Treat</w:t>
      </w:r>
    </w:p>
    <w:p>
      <w:pPr>
        <w:spacing w:after="0" w:line="179"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Treat, which is operating through XWELL’s subsidiary Treat, Inc. (“Treat”) is a wellness brand that provides access to wellness services for travelers at on-site centers (currently located in JFK International Airport and in Salt Lake City International Airport).</w:t>
      </w:r>
    </w:p>
    <w:p>
      <w:pPr>
        <w:spacing w:after="0" w:line="141"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In 2022, Treat opened a new location in Phoenix Sky Harbor International Airport but by the fourth quarter of 2022, the decision was made to close this location. The remaining Treat locations offer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Naples Wax Center</w:t>
      </w:r>
    </w:p>
    <w:p>
      <w:pPr>
        <w:spacing w:after="0" w:line="17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On September 12, 2023, XWELL acquired Naples Wax, LLC, a group of upscale hair removal boutiques in Florida, for a purchase price of $1,624. Aiming to provide a memorable customer experience, Naples Wax Center operates three high-performing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spacing w:after="0" w:line="15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Although we recognize four segments of business, we believe there is opportunity to leverage a segment of our products and services across the Company’s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5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We also plan to build our capability for delivering health and wellness services outside of the airport. We believe operating outside of the airport complements our offering and represents the fastest way to scale the XWELL family of brands.</w:t>
      </w:r>
    </w:p>
    <w:p>
      <w:pPr>
        <w:spacing w:after="0" w:line="141"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We will be looking to further expand internationally. With international travel slowly returning to pre-pandemic levels, we continue to be opportunistic in our approach, by taking advantage of the current market to growth. We believe a strategy for international expansion further advances our ability to expand our other brands including bio surveillance outside of the US.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TreatStudios</w:t>
      </w:r>
    </w:p>
    <w:p>
      <w:pPr>
        <w:spacing w:after="0" w:line="17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Further, in Q4 of 2023, the Company began plans to open its first TreatStudios location in Jacksonville, Florida in 2024. TreatStudios is an out-of-airport concept providing leased space to established wellness service providers. Revenue will be derived from both lease payments received from the stylists, the sale of retail at the wellness center and in specific locations curated services that are XWELL branded.</w:t>
      </w:r>
    </w:p>
    <w:p>
      <w:pPr>
        <w:spacing w:after="0" w:line="149"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These strategic imperatives will be accomplished through development of an infrastructure specifically focused on enabling scalable and efficient growth.</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Our Strategy and Outlook</w:t>
      </w:r>
    </w:p>
    <w:p>
      <w:pPr>
        <w:spacing w:after="0" w:line="185"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We believe that our company is well positioned to benefit from consumers’ growing interest and pent-up demand in travel health and wellness and increasing demand for health and wellness related services and products. Our go-forward plan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includes the expansion and integration of products and services across our six brands; the right-sizing of our existing airport portfolio to a leaner and more profitable business; the execution of an ‘off-airport’ strategy through acquisition to deliver more products and services, which will serve as a catalyst for our future growth; the implementation of an international expansion plan; and ensuring we can scale our growth in a responsible way that drives shareholder value. Through right-sizing our existing business, optimizing our cost structure and making acquisitions that further leverage the strength of our brand portfolio, XWELL is positioning itself for both financial and operational growth now and in the future.</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Competition</w:t>
      </w:r>
    </w:p>
    <w:p>
      <w:pPr>
        <w:spacing w:after="0" w:line="185"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Our domestic units operate within many of the largest and most heavily trafficked airports in the United States. The balance of the domestic market is highly fragmented and is represented largely by small, privately-owned entities. The largest domestic competitor operated 14 locations in 9 airports in the United States.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Our Market</w:t>
      </w:r>
    </w:p>
    <w:p>
      <w:pPr>
        <w:spacing w:after="0" w:line="185"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Airport retailers differ significantly from traditional retailers. Unlike traditional retailers, airport retailers benefit from a steady and predictable flow of traffic from a constantly changing customer base. Airport retailers also benefit from “dwell time,” the period after travelers have passed through airport security and before they board an aircraft. For over 21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XWELL is uniquely positioned to address this gap focusing on an expedient experience that still allows its customers to escape the hectic confines of the airport.</w:t>
      </w:r>
    </w:p>
    <w:p>
      <w:pPr>
        <w:spacing w:after="0" w:line="15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To take advantage of growing demand for unique travel wellness products, XWELL has made significant investments in a new retail offering that addresses this growing consumer demand. Further, as more and more airports exchange services for more traditional food and beverage providers, XWELL is positioned to take advantage of passenger demand for healthier and bio-nutrient rich snack and food offerings as part of its grab and go strategy.</w:t>
      </w:r>
    </w:p>
    <w:p>
      <w:pPr>
        <w:spacing w:after="0" w:line="154"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4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Equally as important to the industry growth is XWELL’s flexible, valuable, and desirable retail format and footprint within the airport retail segment. XWELL historically opened multiple locations annually, which have ranged in size from 200 square feet to 2,600 square feet, with a typical size of approximately 800 square feet. XWELL has been able to adapt its operating model to almost any size location available in space constrained airports. This increased flexibility compared to other retail concepts has allowed and will continue to allow XWELL to operate multiple stores within an airport, including in some cases for different concepts.</w:t>
      </w:r>
    </w:p>
    <w:p>
      <w:pPr>
        <w:spacing w:after="0" w:line="156"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Additionally, we believe that our acquisition of Naples Wax Center is an important first step to creating and growing our out of airport locations, which will enable us to diversify our portfolio and have less dependance on our in-airport locations.</w:t>
      </w:r>
    </w:p>
    <w:p>
      <w:pPr>
        <w:spacing w:after="0" w:line="141"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Although we have historically focused our growth in the airport space, our strategy continues to shift with further emphasis on growth outside the airport—in and out of travel focused centers. This shift includes taking our XpresSpa brand out of the airport and into other transit centers such as rail terminals. It also includes growth through acquisition such as Naples Wax Centers where we can apply our wellness pedigree to expand that business from both a location standpoint and from a diversification of products and services standpoint. Additionally, we are currently advancing another off-airport model called TreatStudios. This concept represents a departure from our traditional “brick and mortar” spa operation business building wellness centers where established service providers can lease space from TreatStudios to deliver their services to their customers. While similar to other coworking space concepts, TreatStudios has the unique advantage of offering space focused entirely on delivery of wellness services and the creation of a “wellness community” where practitioners can leverage others in the space to further develop their profession.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Our goal continues to be opportunistic expansion outside the airport and we believe our family of brands will help to serve that growth strategy.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Regulation</w:t>
      </w:r>
    </w:p>
    <w:p>
      <w:pPr>
        <w:spacing w:after="0" w:line="185"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157" w:lineRule="exact"/>
        <w:rPr>
          <w:sz w:val="20"/>
          <w:szCs w:val="20"/>
          <w:color w:val="auto"/>
        </w:rPr>
      </w:pPr>
    </w:p>
    <w:p>
      <w:pPr>
        <w:jc w:val="both"/>
        <w:ind w:left="40" w:right="39"/>
        <w:spacing w:after="0" w:line="246" w:lineRule="auto"/>
        <w:rPr>
          <w:sz w:val="20"/>
          <w:szCs w:val="20"/>
          <w:color w:val="auto"/>
        </w:rPr>
      </w:pPr>
      <w:r>
        <w:rPr>
          <w:rFonts w:ascii="Times New Roman" w:cs="Times New Roman" w:eastAsia="Times New Roman" w:hAnsi="Times New Roman"/>
          <w:sz w:val="15"/>
          <w:szCs w:val="15"/>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161"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We are subject to the Fair Labor Standards Act, the Immigration Reform and Control Act of 1986, the Occupational Safety and Health Act, the Family and Medical Leave Act, the Affordable Care Act, the Healthcare Insurance Portability and Accountability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57"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41"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We are also subject to HIPAA and the HITECH Act as they relate to patients’ Protected Health Information (PHI), patient rights, breach notification and other actions.</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Employees</w:t>
      </w:r>
    </w:p>
    <w:p>
      <w:pPr>
        <w:spacing w:after="0" w:line="18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181818"/>
        </w:rPr>
        <w:t>As of December 31, 2023, we had approximately 266 full-time and 71 part-time employees of XWELL. We consider our relationships with our employees to be good.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Corporate Information</w:t>
      </w:r>
    </w:p>
    <w:p>
      <w:pPr>
        <w:spacing w:after="0" w:line="185" w:lineRule="exact"/>
        <w:rPr>
          <w:sz w:val="20"/>
          <w:szCs w:val="20"/>
          <w:color w:val="auto"/>
        </w:rPr>
      </w:pPr>
    </w:p>
    <w:p>
      <w:pPr>
        <w:jc w:val="both"/>
        <w:ind w:left="40" w:right="39"/>
        <w:spacing w:after="0" w:line="226" w:lineRule="auto"/>
        <w:rPr>
          <w:sz w:val="20"/>
          <w:szCs w:val="20"/>
          <w:color w:val="auto"/>
        </w:rPr>
      </w:pPr>
      <w:r>
        <w:rPr>
          <w:rFonts w:ascii="Times New Roman" w:cs="Times New Roman" w:eastAsia="Times New Roman" w:hAnsi="Times New Roman"/>
          <w:sz w:val="15"/>
          <w:szCs w:val="15"/>
          <w:color w:val="auto"/>
        </w:rPr>
        <w:t>Our common stock, par value $0.01 per share, which was previously listed since January 8, 2018 under the trading symbol “XSPA” on the Nasdaq Capital Market, has been listed under the trading symbol “XWELL” since October 25, 2022. Our principal executive offices are located at 254 West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5"/>
          <w:szCs w:val="15"/>
          <w:color w:val="auto"/>
        </w:rPr>
        <w:t xml:space="preserve"> Street,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Floor, New York, New York 10001. Our telephone number is (212) 309-7549 and our website address is </w:t>
      </w:r>
      <w:r>
        <w:rPr>
          <w:rFonts w:ascii="Times New Roman" w:cs="Times New Roman" w:eastAsia="Times New Roman" w:hAnsi="Times New Roman"/>
          <w:sz w:val="15"/>
          <w:szCs w:val="15"/>
          <w:i w:val="1"/>
          <w:iCs w:val="1"/>
          <w:color w:val="auto"/>
        </w:rPr>
        <w:t>www.xwell.com</w:t>
      </w:r>
      <w:r>
        <w:rPr>
          <w:rFonts w:ascii="Times New Roman" w:cs="Times New Roman" w:eastAsia="Times New Roman" w:hAnsi="Times New Roman"/>
          <w:sz w:val="15"/>
          <w:szCs w:val="15"/>
          <w:color w:val="auto"/>
        </w:rPr>
        <w:t xml:space="preserve">. We also operate the websites </w:t>
      </w:r>
      <w:r>
        <w:rPr>
          <w:rFonts w:ascii="Times New Roman" w:cs="Times New Roman" w:eastAsia="Times New Roman" w:hAnsi="Times New Roman"/>
          <w:sz w:val="15"/>
          <w:szCs w:val="15"/>
          <w:i w:val="1"/>
          <w:iCs w:val="1"/>
          <w:color w:val="auto"/>
        </w:rPr>
        <w:t>www.xpresspa.com, www.treat.com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www.xprescheck.com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www.hyperpointe.com</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www.napleswaxcenter.com</w:t>
      </w:r>
      <w:r>
        <w:rPr>
          <w:rFonts w:ascii="Times New Roman" w:cs="Times New Roman" w:eastAsia="Times New Roman" w:hAnsi="Times New Roman"/>
          <w:sz w:val="15"/>
          <w:szCs w:val="15"/>
          <w:color w:val="auto"/>
        </w:rPr>
        <w:t>.</w:t>
      </w:r>
    </w:p>
    <w:p>
      <w:pPr>
        <w:spacing w:after="0" w:line="16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References in this Annual Report on Form 10-K to our website address and websites we operate do not constitute incorporation by reference of the information contained on the websites. We make our filings with the Securities and Exchange Commission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56" w:lineRule="exact"/>
        <w:rPr>
          <w:sz w:val="20"/>
          <w:szCs w:val="20"/>
          <w:color w:val="auto"/>
        </w:rPr>
      </w:pPr>
    </w:p>
    <w:p>
      <w:pPr>
        <w:ind w:left="580" w:hanging="260"/>
        <w:spacing w:after="0"/>
        <w:tabs>
          <w:tab w:leader="none" w:pos="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corporate code of conduct and our insider trading compliance manual; and</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charters for our audit committee, compensation committee, and nominating and corporate governance committee.</w:t>
      </w:r>
    </w:p>
    <w:p>
      <w:pPr>
        <w:spacing w:after="0" w:line="179"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 xml:space="preserve">The SEC maintains an Internet website that contains reports, proxy and information statements, and other information regarding issuers, including us, that file electronically with the SEC. The public can obtain any documents that we file with the SEC at </w:t>
      </w:r>
      <w:r>
        <w:rPr>
          <w:rFonts w:ascii="Times New Roman" w:cs="Times New Roman" w:eastAsia="Times New Roman" w:hAnsi="Times New Roman"/>
          <w:sz w:val="15"/>
          <w:szCs w:val="15"/>
          <w:i w:val="1"/>
          <w:iCs w:val="1"/>
          <w:color w:val="auto"/>
        </w:rPr>
        <w:t>http://www.sec.gov</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79"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i w:val="1"/>
          <w:iCs w:val="1"/>
          <w:color w:val="auto"/>
        </w:rPr>
        <w:t>We are subject to various risks that may materially harm our business, prospects, financial condition and results of operations. An investment in our common stock is speculative and involves a high degree of risk, and you should carefully consider the risks described below, together with the other information included in this Annual Report on Form 10-K, including the consolidated financial statements and related notes before making an investment decision regarding our common stock. Our business, financial condition, results of operations and the trading price of our common stock could be materially adversely affected by any of the following risks as well as the other risks highlighted elsewhere in this Annual Report on Form 10-K. Although this section discusses all of the material risks currently known to us, additional risks and uncertainties not presently known to us or that we currently deem immaterial also may materially affect our business, financial condition and results of operations.</w:t>
      </w:r>
    </w:p>
    <w:p>
      <w:pPr>
        <w:spacing w:after="0" w:line="154" w:lineRule="exact"/>
        <w:rPr>
          <w:sz w:val="20"/>
          <w:szCs w:val="20"/>
          <w:color w:val="auto"/>
        </w:rPr>
      </w:pPr>
    </w:p>
    <w:p>
      <w:pPr>
        <w:jc w:val="both"/>
        <w:ind w:left="40" w:right="39"/>
        <w:spacing w:after="0" w:line="251" w:lineRule="auto"/>
        <w:rPr>
          <w:sz w:val="20"/>
          <w:szCs w:val="20"/>
          <w:color w:val="auto"/>
        </w:rPr>
      </w:pPr>
      <w:r>
        <w:rPr>
          <w:rFonts w:ascii="Times New Roman" w:cs="Times New Roman" w:eastAsia="Times New Roman" w:hAnsi="Times New Roman"/>
          <w:sz w:val="15"/>
          <w:szCs w:val="15"/>
          <w:i w:val="1"/>
          <w:iCs w:val="1"/>
          <w:color w:val="auto"/>
        </w:rPr>
        <w:t>If any of the events described in the following risk factors actually occurs, or if additional risks and uncertainties later materialize, that are not presently known to us or that we currently deem immaterial, then our business, prospects, results of operations and financial condition could be materially adversely affected. In that event, the trading price of our common stock could decline, and you may lose all or part of your investment in our shares. The risks discussed below include forward-looking statements, and our actual results may differ substantially from those discussed in these forward-looking statements.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Risk Factor Summary</w:t>
      </w:r>
    </w:p>
    <w:p>
      <w:pPr>
        <w:spacing w:after="0" w:line="183"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4"/>
          <w:szCs w:val="14"/>
          <w:i w:val="1"/>
          <w:iCs w:val="1"/>
          <w:color w:val="auto"/>
        </w:rPr>
        <w:t>Below is a summary of the principal factors that make an investment in our common stock speculative or risky. This summary does not address all the risks that we face. Additional discussion of the risks summarized in this risk factor summary, and other risks that we face, can be found below following this summary, and should be carefully considered, together with other information in this Annual Report on Form 10-K, including the consolidated financial statements and related notes thereto, and our other filings with the SEC, before making an investment decision regarding our common stock.</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Financial Condition and Capital Requirements</w:t>
      </w:r>
    </w:p>
    <w:p>
      <w:pPr>
        <w:spacing w:after="0" w:line="183" w:lineRule="exact"/>
        <w:rPr>
          <w:sz w:val="20"/>
          <w:szCs w:val="20"/>
          <w:color w:val="auto"/>
        </w:rPr>
      </w:pPr>
    </w:p>
    <w:p>
      <w:pPr>
        <w:jc w:val="both"/>
        <w:ind w:left="580" w:right="59" w:hanging="260"/>
        <w:spacing w:after="0" w:line="252"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certain material weaknesses in our internal controls over financial reporting, which could impair our ability to produce accurate consolidated financial statements on a timely basis and result in material 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154"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use our net operating loss carryforwards and certain other tax attributes may be limited.</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economic and market conditions may adversely affect our business, financial condition, and operating results.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Increasing inflation could adversely affect our business, financial condition, results of operations or cash flows.</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requires substantial capital expenditures, and we may not have access to the capital required to maintain and grow our operations.</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bio surveillance monitoring activities conducted by XpresTest are funded partially by government contracts awards, which may not be available to us in the future, and such contracts awards are subject to guidelines regulating certain aspects of our operations.</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funding for our bio surveillance monitoring activities from the CDC may be impacted by possible reductions in federal spending.</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Business Operations</w:t>
      </w:r>
    </w:p>
    <w:p>
      <w:pPr>
        <w:spacing w:after="0" w:line="183" w:lineRule="exact"/>
        <w:rPr>
          <w:sz w:val="20"/>
          <w:szCs w:val="20"/>
          <w:color w:val="auto"/>
        </w:rPr>
      </w:pPr>
    </w:p>
    <w:p>
      <w:pPr>
        <w:jc w:val="both"/>
        <w:ind w:left="580" w:right="59" w:hanging="260"/>
        <w:spacing w:after="0" w:line="257"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4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operations may be materially impaired if we do not comply with privacy laws or information security policies.</w:t>
      </w:r>
    </w:p>
    <w:p>
      <w:pPr>
        <w:spacing w:after="0" w:line="179" w:lineRule="exact"/>
        <w:rPr>
          <w:rFonts w:ascii="Times New Roman" w:cs="Times New Roman" w:eastAsia="Times New Roman" w:hAnsi="Times New Roman"/>
          <w:sz w:val="15"/>
          <w:szCs w:val="15"/>
          <w:color w:val="auto"/>
        </w:rPr>
      </w:pPr>
    </w:p>
    <w:p>
      <w:pPr>
        <w:jc w:val="both"/>
        <w:ind w:left="580" w:right="59" w:hanging="260"/>
        <w:spacing w:after="0" w:line="257"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4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must comply with complex and overlapping laws protecting the privacy and security of health information and personal data.</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capital expenditures in the new TreatStudios and Naples Wax Center locations may not generate a positive return and we will incur significant additional costs.</w:t>
      </w:r>
    </w:p>
    <w:p>
      <w:pPr>
        <w:spacing w:after="0" w:line="140" w:lineRule="exact"/>
        <w:rPr>
          <w:rFonts w:ascii="Times New Roman" w:cs="Times New Roman" w:eastAsia="Times New Roman" w:hAnsi="Times New Roman"/>
          <w:sz w:val="15"/>
          <w:szCs w:val="15"/>
          <w:color w:val="auto"/>
        </w:rPr>
      </w:pPr>
    </w:p>
    <w:p>
      <w:pPr>
        <w:jc w:val="both"/>
        <w:ind w:left="580" w:right="59" w:hanging="260"/>
        <w:spacing w:after="0" w:line="257"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4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a limited number of distributors and suppliers for certain of our products, and events outside our control may disrupt our supply chain, which could result in an inability to perform our obligations under our concession agreements and cause us to lose our concessions.</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may fluctuate significantly due to certain factors, some of which are beyond our control.</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hanging="260"/>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expansion into new airports or off-airport locations may present increased risks due to our unfamiliarity with those areas.</w:t>
      </w:r>
    </w:p>
    <w:p>
      <w:pPr>
        <w:spacing w:after="0" w:line="179" w:lineRule="exact"/>
        <w:rPr>
          <w:rFonts w:ascii="Times New Roman" w:cs="Times New Roman" w:eastAsia="Times New Roman" w:hAnsi="Times New Roman"/>
          <w:sz w:val="15"/>
          <w:szCs w:val="15"/>
          <w:color w:val="auto"/>
        </w:rPr>
      </w:pPr>
    </w:p>
    <w:p>
      <w:pPr>
        <w:jc w:val="both"/>
        <w:ind w:left="580" w:right="59" w:hanging="260"/>
        <w:spacing w:after="0" w:line="252"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execute our growth strategy to expand and integrate new concessions or future acquisitions into our business or remodel existing concessions, our recently acquired entity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54" w:lineRule="exact"/>
        <w:rPr>
          <w:rFonts w:ascii="Times New Roman" w:cs="Times New Roman" w:eastAsia="Times New Roman" w:hAnsi="Times New Roman"/>
          <w:sz w:val="15"/>
          <w:szCs w:val="15"/>
          <w:color w:val="auto"/>
        </w:rPr>
      </w:pPr>
    </w:p>
    <w:p>
      <w:pPr>
        <w:ind w:left="580" w:right="37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estimates and assumptions we use to determine the size of our market are inaccurate, our future growth rate may be impacted. If we cannot hire adequate staff for our locations, we will not be able to operate.</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labor force could unionize, putting upward pressure on labor costs.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predict accurately or fulfill customer preferences or demands.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leases may be terminated, either for convenience by the landlord or because of a XpresSpa, Naples Wax or Treat of a default.</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operate depends on the traffic patterns of the terminals in which we operate, and the cessation or disruption of air traveler traffic in these terminals would negatively impact XpresSpa’s, XpresTest’s and Treat’s addressable market.</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with minimum airport concession disadvantaged business enterprise participation goals and requirements could lead to lost business opportunities or the loss of existing business.</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protect our customers’ credit card data and other personal information, we could be exposed to data loss, litigation and liability, and our reputation could be significantly harmed.</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Negative social media regarding XWELL, XpresSpa, Treat, XpresTest, Naples Wax Center, TreatStudios or HyperPointe could result in decreased revenues and impact our ability to recruit worker.</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source, develop, and sell products that may result in product liability defense costs and product liability payments.</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and our subsidiaries have been, are, and may become involved in litigation that could divert management’s attention and harm our businesses.</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acquisitions or business opportunities could involve unknown risks that could harm our business and adversely affect our financial condition and the results of operations.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Capital Stock</w:t>
      </w:r>
    </w:p>
    <w:p>
      <w:pPr>
        <w:spacing w:after="0" w:line="183" w:lineRule="exact"/>
        <w:rPr>
          <w:sz w:val="20"/>
          <w:szCs w:val="20"/>
          <w:color w:val="auto"/>
        </w:rPr>
      </w:pPr>
    </w:p>
    <w:p>
      <w:pPr>
        <w:ind w:left="580" w:hanging="260"/>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prices can be volatile, and this volatility may depress the price of our common stock.</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no current plans to pay dividends on our common stock, and our investors may not receive funds without selling their stock.</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meet the continued listing requirements of Nasdaq could result in a delisting of our common stock.</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right="59" w:hanging="260"/>
        <w:spacing w:after="0" w:line="269" w:lineRule="auto"/>
        <w:tabs>
          <w:tab w:leader="none" w:pos="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securities analysts do not publish research or reports about our business, or if they publish negative evaluations, the price of our Common Stock could decline.</w:t>
      </w:r>
    </w:p>
    <w:p>
      <w:pPr>
        <w:spacing w:after="0" w:line="140" w:lineRule="exact"/>
        <w:rPr>
          <w:rFonts w:ascii="Times New Roman" w:cs="Times New Roman" w:eastAsia="Times New Roman" w:hAnsi="Times New Roman"/>
          <w:sz w:val="15"/>
          <w:szCs w:val="15"/>
          <w:color w:val="auto"/>
        </w:rPr>
      </w:pPr>
    </w:p>
    <w:p>
      <w:pPr>
        <w:ind w:left="580" w:right="239" w:hanging="260"/>
        <w:spacing w:after="0" w:line="269" w:lineRule="auto"/>
        <w:tabs>
          <w:tab w:leader="none" w:pos="5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Having availed ourselves of scaled disclosure available to smaller reporting companies, we cannot be certain if such reduced disclosure will make our common stock less attractive to investors.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Risk Factors</w:t>
      </w:r>
    </w:p>
    <w:p>
      <w:pPr>
        <w:spacing w:after="0" w:line="183" w:lineRule="exact"/>
        <w:rPr>
          <w:sz w:val="20"/>
          <w:szCs w:val="20"/>
          <w:color w:val="auto"/>
        </w:rPr>
      </w:pPr>
    </w:p>
    <w:p>
      <w:pPr>
        <w:ind w:left="580" w:hanging="260"/>
        <w:spacing w:after="0"/>
        <w:tabs>
          <w:tab w:leader="none" w:pos="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confidential information may be disclosed by other parties.</w:t>
      </w:r>
    </w:p>
    <w:p>
      <w:pPr>
        <w:spacing w:after="0" w:line="179" w:lineRule="exact"/>
        <w:rPr>
          <w:rFonts w:ascii="Times New Roman" w:cs="Times New Roman" w:eastAsia="Times New Roman" w:hAnsi="Times New Roman"/>
          <w:sz w:val="15"/>
          <w:szCs w:val="15"/>
          <w:color w:val="auto"/>
        </w:rPr>
      </w:pPr>
    </w:p>
    <w:p>
      <w:pPr>
        <w:ind w:left="580" w:right="179" w:hanging="260"/>
        <w:spacing w:after="0" w:line="269" w:lineRule="auto"/>
        <w:tabs>
          <w:tab w:leader="none" w:pos="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fail to meet publicly announced financial guidance or other expectations about our business, which would cause our stock to decline in value.</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Financial Condition and Capital Requirements</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We have identified certain material weaknesses in our internal controls over financial reporting, which could impair our ability to produce accurate consolidated financial statements on a timely basis and result in material misstatements in our consolidated financial statements if not remediated. If we fail to maintain an effective system of internal control over financial reporting, we may not be able to accurately report our financial results and current and potential stockholders may lose confidence in our financial reporting.</w:t>
      </w:r>
    </w:p>
    <w:p>
      <w:pPr>
        <w:spacing w:after="0" w:line="154"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color w:val="auto"/>
        </w:rPr>
        <w:t>We are subject to the reporting requirements of the Securities Exchange Act of 1934, as amended, the Sarbanes-Oxley Act and the rules and regulations of The Nasdaq Capital Market (“Nasdaq”). The Sarbanes-Oxley Act requires, among other things, that we maintain effective disclosure controls and procedures and internal control over financial reporting. As required by Section 404 of the Sarbanes-Oxley Act, we must perform system and process evaluation and testing of our internal control over financial reporting to allow management to report on the effectiveness of our internal control over financial reporting in our Form 10-K filing for each fiscal year. This requires us to incur substantial additional professional fees and internal costs to expand our accounting and finance functions and we expend significant management efforts.</w:t>
      </w:r>
    </w:p>
    <w:p>
      <w:pPr>
        <w:spacing w:after="0" w:line="157"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As of the fiscal year ended December 31, 2023, our management evaluated, with the participation of our chief executive officer and chief financial officer, the effectiveness of our disclosure controls and procedures, pursuant to Rule 13a-15(b) under the Exchange Act.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December 31, 2023, due to the following material weaknesses:</w:t>
      </w:r>
    </w:p>
    <w:p>
      <w:pPr>
        <w:spacing w:after="0" w:line="157" w:lineRule="exact"/>
        <w:rPr>
          <w:sz w:val="20"/>
          <w:szCs w:val="20"/>
          <w:color w:val="auto"/>
        </w:rPr>
      </w:pPr>
    </w:p>
    <w:p>
      <w:pPr>
        <w:ind w:left="560" w:right="59" w:hanging="262"/>
        <w:spacing w:after="0" w:line="269" w:lineRule="auto"/>
        <w:tabs>
          <w:tab w:leader="none" w:pos="5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properly design, implement, and consistently operate effective controls over the completeness and accuracy of its accounting for leases under ASC 842.</w:t>
      </w:r>
    </w:p>
    <w:p>
      <w:pPr>
        <w:spacing w:after="0" w:line="140" w:lineRule="exact"/>
        <w:rPr>
          <w:rFonts w:ascii="Times New Roman" w:cs="Times New Roman" w:eastAsia="Times New Roman" w:hAnsi="Times New Roman"/>
          <w:sz w:val="15"/>
          <w:szCs w:val="15"/>
          <w:color w:val="auto"/>
        </w:rPr>
      </w:pPr>
    </w:p>
    <w:p>
      <w:pPr>
        <w:ind w:left="560" w:hanging="262"/>
        <w:spacing w:after="0"/>
        <w:tabs>
          <w:tab w:leader="none" w:pos="5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properly design or maintain effective entity level monitoring controls over the financial close and reporting process.</w:t>
      </w:r>
    </w:p>
    <w:p>
      <w:pPr>
        <w:spacing w:after="0" w:line="179" w:lineRule="exact"/>
        <w:rPr>
          <w:rFonts w:ascii="Times New Roman" w:cs="Times New Roman" w:eastAsia="Times New Roman" w:hAnsi="Times New Roman"/>
          <w:sz w:val="15"/>
          <w:szCs w:val="15"/>
          <w:color w:val="auto"/>
        </w:rPr>
      </w:pPr>
    </w:p>
    <w:p>
      <w:pPr>
        <w:jc w:val="both"/>
        <w:ind w:left="560" w:right="59" w:hanging="262"/>
        <w:spacing w:after="0" w:line="257" w:lineRule="auto"/>
        <w:tabs>
          <w:tab w:leader="none" w:pos="597"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149" w:lineRule="exact"/>
        <w:rPr>
          <w:rFonts w:ascii="Times New Roman" w:cs="Times New Roman" w:eastAsia="Times New Roman" w:hAnsi="Times New Roman"/>
          <w:sz w:val="15"/>
          <w:szCs w:val="15"/>
          <w:color w:val="auto"/>
        </w:rPr>
      </w:pPr>
    </w:p>
    <w:p>
      <w:pPr>
        <w:jc w:val="both"/>
        <w:ind w:left="560" w:right="59" w:hanging="262"/>
        <w:spacing w:after="0" w:line="257" w:lineRule="auto"/>
        <w:tabs>
          <w:tab w:leader="none" w:pos="5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49" w:lineRule="exact"/>
        <w:rPr>
          <w:rFonts w:ascii="Times New Roman" w:cs="Times New Roman" w:eastAsia="Times New Roman" w:hAnsi="Times New Roman"/>
          <w:sz w:val="15"/>
          <w:szCs w:val="15"/>
          <w:color w:val="auto"/>
        </w:rPr>
      </w:pPr>
    </w:p>
    <w:p>
      <w:pPr>
        <w:ind w:left="560" w:hanging="262"/>
        <w:spacing w:after="0"/>
        <w:tabs>
          <w:tab w:leader="none" w:pos="5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design, implement, and consistently operate effective controls over its’ foreign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Subsequent to the filing of the Quarterly Report on Form 10-Q for the three and nine months ended September 30, 2023 (“Q3 2023”), filed with the SEC on November 14, 2023 (the “Third Quarter Quarterly Report”), on April 12, 2024, the Audit Committee (the “Audit Committee”) of our Board of Directors and consultation with management and with its independent registered public accounting firm, determined that the Company incorrectly applied U.S. Generally Accepted Accounting Principles (“GAAP”) as related to the determination of the impairment of our Treat business segment for Q3 2023. The material weakness was primarily attributable to the misapplication of GAAP accounting guidance surrounding the treatment of segment impairment analysis for the quarter ended September 30, 2023.</w:t>
      </w:r>
    </w:p>
    <w:p>
      <w:pPr>
        <w:spacing w:after="0" w:line="157"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As part of its determination, the Audit Committee concluded that it was appropriate to correct the misapplication of GAAP described above for financial statements for Q3 2023 included in the Third Quarter Quarterly Report, by restating such unaudited financial information because the errors in the financial statements are material to the financial statements for Q3 2023 in this Annual Report on Form 10-K (the “Restatement”). The financial effect of this error from previously reported information for the quarter ended September 30, 2023, resulted in an increase in net loss of $1,613, primarily as a result of additional impairment expense on our Treat segment right-of-use and fixed assets. (See note 19 of the consolidated financial statements for further discussion).</w:t>
      </w:r>
    </w:p>
    <w:p>
      <w:pPr>
        <w:spacing w:after="0" w:line="15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We cannot assure you that any of our remedial measures will be effective in resolving our material weaknesses.</w:t>
      </w:r>
    </w:p>
    <w:p>
      <w:pPr>
        <w:spacing w:after="0" w:line="179"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If we are not able to comply with the requirements of Section 404 of the Sarbanes-Oxley Act in a timely manner, or if we are unable to maintain proper and effective internal controls or remediate our material weaknesses, we may not be able to produce timely and or accurate financial statements, which may lead to material misstatements in our financial statements. This could result in a restatement of our consolidated financial statements, cause us to fail to meet our reporting obligations, reduce our ability to obtain financing or cause investors to lose confidence in our reported financial information. If that were to happen, the market price of our common stock could decline and we could be subject to sanctions or investigations by Nasdaq, the SEC, or other regulatory authorities.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ability to use our net operating loss carryforwards and certain other tax attributes may be limited.</w:t>
      </w:r>
    </w:p>
    <w:p>
      <w:pPr>
        <w:spacing w:after="0" w:line="183"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As of December 31, 2023, our estimated aggregate total net operating loss carryforwards (“NOLs”) were $150,926 for U.S. federal purposes, expiring 20 years from the respective tax years to which they relate, and $97,968 for U.S. federal purposes with an indefinite life due to new regulations in the Tax Cuts and Jobs Act of 2017. Our ability to utilize our NOLs may be limited under Section 382 of the Internal Revenue Code (“Section 382”).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our ability to utilize all such NOL and credit carryforwards may be limited. Future changes in stock ownership may also trigger an ownership change and, consequently, a Section 382 limitation.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Global economic and market conditions may adversely affect our business, financial condition, and operating results.</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Our business plan depends significantly on worldwide economic conditions and our success is dependent on consumer spending, which is sensitive to economic downturns; inflation and any associated rise in unemployment; declines in consumer confidence; adverse changes in exchange rates; increases in interest rates; the impact of high energy, fuel, food and healthcare costs; , deflation, direct or indirect taxes, increases in consumer debt levels; fears of war or actual conflicts, such as the Russian invasion of Ukraine and the armed conflict between Israel and Palestine, civil unrest, terrorism or violence; and increased stock market volatility. As a result, economic downturns may have a material adverse impact on our business, financial condition, and results of operations. Moreover, uncertainty about global economic conditions poses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Increasing inflation could adversely affect our business, financial condition, results of operations or cash flows.</w:t>
      </w:r>
    </w:p>
    <w:p>
      <w:pPr>
        <w:spacing w:after="0" w:line="183"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Inflation and some of the measures taken by or that may be taken by the governments in countries where we operate to curb inflation may have negative effects on the economies of those countries generally. If the United States or other countries where we operate experience substantial inflation in the future, our business may be adversely affected. In addition, we may not be able to adjust the prices we charge for our products and services to offset the impact of inflation on our expenses, leading to an increase in our operating expenses and a reduction in our margins. This could have a material adverse impact on our business, financial condition, results of operations or cash flows.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business requires substantial capital expenditures, and we may not have access to the capital required to maintain and grow our operations.</w:t>
      </w:r>
    </w:p>
    <w:p>
      <w:pPr>
        <w:spacing w:after="0" w:line="18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color w:val="auto"/>
        </w:rPr>
        <w:t>The development of our new branding concept in the travel health and wellness space, as well as maintaining and expanding our operations in our existing and new locations, are all capital-intensive activities. Specifically, the construction, redesign, and maintenance of our locations in airport terminals where we operate, technology costs, and compliance with applicable laws and regulations require substantial capital expenditures. Moreover, the creation of a digital platform in the travel health and wellness space will take substantial capital resources. In connection with all of the foregoing, we will require significant capital to fund our operations and respond to potential strategic opportunities, such as investments, acquisitions and expansions.</w:t>
      </w:r>
    </w:p>
    <w:p>
      <w:pPr>
        <w:spacing w:after="0" w:line="157"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Since mid-2020, we have been able to obtain additional capital through access to the equity markets, selling our common stock and warrants. While we have mitigated the cash crisis we faced in the first half of 2020, throughout our operating history prior to the successful launch of our XpresCheck business, we did not generate sufficient cash from operations to fund new store development. Accordingly, we will be dependent upon managing and effectively deploying our existing cash resources and may require additional funding to fully realize the design and implementation of our travel health and wellness concept. If and to the extent we determine it is necessary or desirable, we may not be able to obtain such additional financing, through equity capital when needed, on acceptable terms, or at all. In addition, the terms of our financings may be dilutive to, or otherwise adversely affect, holders of our common stock. Moreover, our ability to raise additional equity capital will be constrained because of our relatively low stock price, and we may need to undertake a reverse stock split soon to maintain our Nasdaq listing and flexibility in access to the equity capital markets. If we are unable to obtain additional funding on a timely basis, we may be required to curtail or terminate some or all our business plans. Any such financing that we undertake will likely be dilutive to our current stockholders.</w:t>
      </w:r>
    </w:p>
    <w:p>
      <w:pPr>
        <w:spacing w:after="0" w:line="158" w:lineRule="exact"/>
        <w:rPr>
          <w:sz w:val="20"/>
          <w:szCs w:val="20"/>
          <w:color w:val="auto"/>
        </w:rPr>
      </w:pPr>
    </w:p>
    <w:p>
      <w:pPr>
        <w:jc w:val="both"/>
        <w:ind w:left="40" w:right="39"/>
        <w:spacing w:after="0" w:line="284" w:lineRule="auto"/>
        <w:rPr>
          <w:sz w:val="20"/>
          <w:szCs w:val="20"/>
          <w:color w:val="auto"/>
        </w:rPr>
      </w:pPr>
      <w:r>
        <w:rPr>
          <w:rFonts w:ascii="Times New Roman" w:cs="Times New Roman" w:eastAsia="Times New Roman" w:hAnsi="Times New Roman"/>
          <w:sz w:val="14"/>
          <w:szCs w:val="14"/>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28" w:lineRule="exact"/>
        <w:rPr>
          <w:sz w:val="20"/>
          <w:szCs w:val="20"/>
          <w:color w:val="auto"/>
        </w:rPr>
      </w:pPr>
    </w:p>
    <w:p>
      <w:pPr>
        <w:jc w:val="both"/>
        <w:ind w:left="40" w:right="3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bio surveillance monitoring activities conducted by XpresTest are funded partially by government contracts awards, which may not be available to us in the future, and such contracts awards are subject to guidelines regulating certain aspects of our operations.</w:t>
      </w:r>
    </w:p>
    <w:p>
      <w:pPr>
        <w:spacing w:after="0" w:line="136"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We have received and intend to continue to seek funding for the bio surveillance monitoring activities conducted by XpresTest under contract with Gingko Bioworks Inc. However, funding by the CDC or other governmental agencies may be significantly reduced or eliminated in the future for several reasons. For example, some programs are subject to a yearly appropriations process overseen by the U.S. Congress. In addition, we may not receive full funding under current or future contracts because of the budgeting constraints of the CDC or the unsatisfactory performance of past contracts. Therefore, we cannot provide any assurance that we will receive any future funding under contracts from any government agencies,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or, if received, we will realize the full value of the contract. Any such reductions failure to realize expected funds could delay the development of our business.</w:t>
      </w:r>
    </w:p>
    <w:p>
      <w:pPr>
        <w:spacing w:after="0" w:line="14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Our operations conducted under such federal contracts are subject to certain federal regulations regarding how we conduct our business, and we will be obligated to abide by the agreement terms relating to those contracts. Failure to follow the regulations and agreement terms could jeopardize our ability to realize the value of our government contracts and our ability to obtain future government contracts, which could have a material adverse effect on our results of operations and financial condition. In addition, any failure to comply with applicable laws or regulations affecting such contracts could harm our business and divert our management’s attention.</w:t>
      </w:r>
    </w:p>
    <w:p>
      <w:pPr>
        <w:spacing w:after="0" w:line="152"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ability to obtain funding for our bio surveillance monitoring activities from the CDC may be impacted by possible reductions in federal spending.</w:t>
      </w:r>
    </w:p>
    <w:p>
      <w:pPr>
        <w:spacing w:after="0" w:line="136"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U.S. federal government agencies currently face potentially significant spending reductions. The U.S. federal budget remains in flux, however, which could, among other things, result in cuts to the CDC and otherwise affect federal spending on public health surveillance. Changing attitudes toward the risks associated with COVID-19 may lead to a decrease in funding available for bio surveillance monitoring activities. The full impact on our business of any future cuts to the CDC or other programs is uncertain. In addition, we cannot predict any impact which the actions of President Biden’s administration and the U.S. Congress may have on the federal budget.</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operate globally and changes in tax laws could adversely affect our results.</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We operate globally and changes in tax laws could adversely affect our results. We have international operations and generate substantial revenues and profits in foreign jurisdictions. The domestic and international tax environments continue to evolve because of tax changes in various jurisdictions in which we operate and changes in the tax laws in certain countries, including the United States, could impact our future operating results. A significant increase in the U.S. corporate tax rate could negatively impact our financial results.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Business Operations</w:t>
      </w:r>
    </w:p>
    <w:p>
      <w:pPr>
        <w:spacing w:after="0" w:line="179" w:lineRule="exact"/>
        <w:rPr>
          <w:sz w:val="20"/>
          <w:szCs w:val="20"/>
          <w:color w:val="auto"/>
        </w:rPr>
      </w:pPr>
    </w:p>
    <w:p>
      <w:pPr>
        <w:jc w:val="both"/>
        <w:ind w:left="40" w:right="3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use potentially hazardous materials, chemicals, and patient samples in our XpresTest diagnostic testing and bio surveillance business and any disputes relating to improper handling, storage or disposal of these materials could be time consuming and costly.</w:t>
      </w:r>
    </w:p>
    <w:p>
      <w:pPr>
        <w:spacing w:after="0" w:line="136"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Our professional practice partner’s diagnostic testing activities involve the controlled use of hazardous laboratory materials and chemicals, including small quantities of acid and alcohol, and patient samples. They are subject to U.S. laws and regulations related to the protection of the environment, the health and safety of employees and the handling, transportation and disposal of medical specimens, infectious and hazardous waste. They could be liable for accidental contamination or discharge or any resultant injury from hazardous materials, and conveyance, processing, and storage of and data on patient samples. If they fail to comply with applicable laws or regulations, they could be required to pay penalties or be held liable for any damages that result and this liability could exceed their financial resources. Further, future changes to environmental health and safety laws could cause them to incur additional expenses or restrict operations.</w:t>
      </w:r>
    </w:p>
    <w:p>
      <w:pPr>
        <w:spacing w:after="0" w:line="15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In the event of a lawsuit or investigation concerning such hazardous materials, we could be held responsible for any injury caused to persons or property by exposure to, or release of, these hazardous materials or patient samples that may contain infectious materials. The cost of this liability could exceed our resources. While we expect to maintain broad form liability insurance coverage for these risks, and we expect our professional practice partner to maintain appropriate malpractice insurance, the level or breadth of our or their coverage may not be adequate to fully cover potential liability claims to which we might be exposed.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U.S. Food and Drug Administration (“FDA”) regulation of diagnostic products could result in increased costs and the imposition of fines or penalties and could have a material adverse effect upon our business.</w:t>
      </w:r>
    </w:p>
    <w:p>
      <w:pPr>
        <w:spacing w:after="0" w:line="136"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w:t>
      </w:r>
    </w:p>
    <w:p>
      <w:pPr>
        <w:spacing w:after="0" w:line="149"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FDA regulation of the diagnostic products we use could result in increased costs and administrative and legal actions for noncompliance, including warning letters, fines, penalties, product suspensions, product recalls, injunctions, and other civil and criminal sanctions, which could have a material adverse effect on our business, financial condition, results of operation and cash flows.</w:t>
      </w:r>
    </w:p>
    <w:p>
      <w:pPr>
        <w:spacing w:after="0" w:line="145"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fail to comply with the complex federal, state, local and foreign laws and regulations that apply to all our businesses, we could suffer severe consequences that could materially and adversely affect our operating results and financial condition.</w:t>
      </w:r>
    </w:p>
    <w:p>
      <w:pPr>
        <w:spacing w:after="0" w:line="136"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Our XpresTest operations are subject to extensive federal, state, local and foreign laws and regulations, all of which are subject to change. These laws and regulations currently include, among other things:</w:t>
      </w:r>
    </w:p>
    <w:p>
      <w:pPr>
        <w:spacing w:after="0" w:line="141" w:lineRule="exact"/>
        <w:rPr>
          <w:sz w:val="20"/>
          <w:szCs w:val="20"/>
          <w:color w:val="auto"/>
        </w:rPr>
      </w:pPr>
    </w:p>
    <w:p>
      <w:pPr>
        <w:ind w:left="580" w:hanging="260"/>
        <w:spacing w:after="0"/>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CLIA, which requires that laboratories obtain certification from the federal government, and state licensure laws;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FDA laws and regulations;</w:t>
      </w:r>
    </w:p>
    <w:p>
      <w:pPr>
        <w:spacing w:after="0" w:line="179" w:lineRule="exact"/>
        <w:rPr>
          <w:rFonts w:ascii="Times New Roman" w:cs="Times New Roman" w:eastAsia="Times New Roman" w:hAnsi="Times New Roman"/>
          <w:sz w:val="15"/>
          <w:szCs w:val="15"/>
          <w:color w:val="auto"/>
        </w:rPr>
      </w:pPr>
    </w:p>
    <w:p>
      <w:pPr>
        <w:ind w:left="580" w:right="119" w:hanging="260"/>
        <w:spacing w:after="0" w:line="252"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HIPAA, which imposes comprehensive federal standards with respect to the privacy and security of protected health information and requirements for the use of certain standardized electronic transactions, and amendments to HIPAA under the HITECH, which strengthen and expand HIPAA privacy and security compliance requirements, increase penalties for violators, extend enforcement authority to state attorneys general and impose requirements for breach notification;</w:t>
      </w:r>
    </w:p>
    <w:p>
      <w:pPr>
        <w:spacing w:after="0" w:line="154" w:lineRule="exact"/>
        <w:rPr>
          <w:rFonts w:ascii="Times New Roman" w:cs="Times New Roman" w:eastAsia="Times New Roman" w:hAnsi="Times New Roman"/>
          <w:sz w:val="15"/>
          <w:szCs w:val="15"/>
          <w:color w:val="auto"/>
        </w:rPr>
      </w:pPr>
    </w:p>
    <w:p>
      <w:pPr>
        <w:ind w:left="580" w:right="179" w:hanging="260"/>
        <w:spacing w:after="0" w:line="269"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spacing w:after="0" w:line="140" w:lineRule="exact"/>
        <w:rPr>
          <w:rFonts w:ascii="Times New Roman" w:cs="Times New Roman" w:eastAsia="Times New Roman" w:hAnsi="Times New Roman"/>
          <w:sz w:val="15"/>
          <w:szCs w:val="15"/>
          <w:color w:val="auto"/>
        </w:rPr>
      </w:pPr>
    </w:p>
    <w:p>
      <w:pPr>
        <w:jc w:val="both"/>
        <w:ind w:left="580" w:right="119" w:hanging="260"/>
        <w:spacing w:after="0" w:line="257"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49" w:lineRule="exact"/>
        <w:rPr>
          <w:rFonts w:ascii="Times New Roman" w:cs="Times New Roman" w:eastAsia="Times New Roman" w:hAnsi="Times New Roman"/>
          <w:sz w:val="15"/>
          <w:szCs w:val="15"/>
          <w:color w:val="auto"/>
        </w:rPr>
      </w:pPr>
    </w:p>
    <w:p>
      <w:pPr>
        <w:ind w:left="580" w:right="119" w:hanging="260"/>
        <w:spacing w:after="0" w:line="269"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federal and state fraud and abuse laws, such as anti-kickback laws, prohibitions on self-referral, and false claims acts, which may extend to services reimbursable by any third-party payor, including private insurers;</w:t>
      </w:r>
    </w:p>
    <w:p>
      <w:pPr>
        <w:spacing w:after="0" w:line="140" w:lineRule="exact"/>
        <w:rPr>
          <w:rFonts w:ascii="Times New Roman" w:cs="Times New Roman" w:eastAsia="Times New Roman" w:hAnsi="Times New Roman"/>
          <w:sz w:val="15"/>
          <w:szCs w:val="15"/>
          <w:color w:val="auto"/>
        </w:rPr>
      </w:pPr>
    </w:p>
    <w:p>
      <w:pPr>
        <w:ind w:left="580" w:right="439" w:hanging="260"/>
        <w:spacing w:after="0" w:line="257"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Payments Sunshine Act, which requires medical device manufactures to track and report to the federal government certain payments and other transfers of value made to physicians and teaching hospitals and ownership or investment interests held by physicians and their immediate family members;</w:t>
      </w:r>
    </w:p>
    <w:p>
      <w:pPr>
        <w:spacing w:after="0" w:line="149" w:lineRule="exact"/>
        <w:rPr>
          <w:rFonts w:ascii="Times New Roman" w:cs="Times New Roman" w:eastAsia="Times New Roman" w:hAnsi="Times New Roman"/>
          <w:sz w:val="15"/>
          <w:szCs w:val="15"/>
          <w:color w:val="auto"/>
        </w:rPr>
      </w:pPr>
    </w:p>
    <w:p>
      <w:pPr>
        <w:ind w:left="580" w:right="159" w:hanging="260"/>
        <w:spacing w:after="0" w:line="269" w:lineRule="auto"/>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216 of the federal Protecting Access to Medicare Act of 2014, which requires applicable laboratories to report private payor data in a timely and accurate manner beginning in 2017 and every three years thereafter (and in some cases annually);</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laws that impose reporting and other compliance-related requirements;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right="79" w:hanging="260"/>
        <w:spacing w:after="0" w:line="257" w:lineRule="auto"/>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 billing laws, including regulations on “pass through billing” which may limit our ability to submit claims for payment and/or mark up the cost of services in excess of the price paid for such services, and “direct bill” laws which may limit our ability to purchase services from a laboratory and bill for the services ordered; and</w:t>
      </w:r>
    </w:p>
    <w:p>
      <w:pPr>
        <w:spacing w:after="0" w:line="14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similar foreign laws and regulations that apply to us in the countries in which we operate.</w:t>
      </w:r>
    </w:p>
    <w:p>
      <w:pPr>
        <w:spacing w:after="0" w:line="179" w:lineRule="exact"/>
        <w:rPr>
          <w:sz w:val="20"/>
          <w:szCs w:val="20"/>
          <w:color w:val="auto"/>
        </w:rPr>
      </w:pPr>
    </w:p>
    <w:p>
      <w:pPr>
        <w:jc w:val="both"/>
        <w:ind w:left="40" w:right="39"/>
        <w:spacing w:after="0" w:line="270" w:lineRule="auto"/>
        <w:rPr>
          <w:sz w:val="20"/>
          <w:szCs w:val="20"/>
          <w:color w:val="auto"/>
        </w:rPr>
      </w:pPr>
      <w:r>
        <w:rPr>
          <w:rFonts w:ascii="Times New Roman" w:cs="Times New Roman" w:eastAsia="Times New Roman" w:hAnsi="Times New Roman"/>
          <w:sz w:val="14"/>
          <w:szCs w:val="14"/>
          <w:color w:val="auto"/>
        </w:rPr>
        <w:t>These laws and regulations are complex and are subject to interpretation by the courts and by government agencies. Our failure to comply could lead to civil or criminal penalties, exclusion from participation in state and federal healthcare programs, or prohibitions or restrictions on our laboratory’s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40" w:lineRule="exact"/>
        <w:rPr>
          <w:sz w:val="20"/>
          <w:szCs w:val="20"/>
          <w:color w:val="auto"/>
        </w:rPr>
      </w:pPr>
    </w:p>
    <w:p>
      <w:pPr>
        <w:jc w:val="both"/>
        <w:ind w:left="40" w:right="3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Changes in the way that the FDA regulates COVID-19 tests could result in additional expense in XpresTest offering tests and would affect the profitability of our XpresTest business.</w:t>
      </w:r>
    </w:p>
    <w:p>
      <w:pPr>
        <w:spacing w:after="0" w:line="136" w:lineRule="exact"/>
        <w:rPr>
          <w:sz w:val="20"/>
          <w:szCs w:val="20"/>
          <w:color w:val="auto"/>
        </w:rPr>
      </w:pPr>
    </w:p>
    <w:p>
      <w:pPr>
        <w:jc w:val="both"/>
        <w:ind w:left="40" w:right="39"/>
        <w:spacing w:after="0" w:line="246" w:lineRule="auto"/>
        <w:rPr>
          <w:sz w:val="20"/>
          <w:szCs w:val="20"/>
          <w:color w:val="auto"/>
        </w:rPr>
      </w:pPr>
      <w:r>
        <w:rPr>
          <w:rFonts w:ascii="Times New Roman" w:cs="Times New Roman" w:eastAsia="Times New Roman" w:hAnsi="Times New Roman"/>
          <w:sz w:val="15"/>
          <w:szCs w:val="15"/>
          <w:color w:val="auto"/>
        </w:rPr>
        <w:t>Historically, the FDA has exercised enforcement discretion with respect to most laboratory-developed tests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Notwithstanding the discussion paper, the FDA continues to exercise enforcement discretion and may decide to regulate certain LDTs on a case-by-case basis at any time, which could result in additional expense in offering tests. Until the FDA finalizes its regulatory position regarding LDTs, or other legislation is passed reforming the federal government’s regulation of LDTs, it is unknown how the FDA may regulate tests we use in the future and what testing and data may be required to support any required clearance or approval.</w:t>
      </w:r>
    </w:p>
    <w:p>
      <w:pPr>
        <w:spacing w:after="0" w:line="160" w:lineRule="exact"/>
        <w:rPr>
          <w:sz w:val="20"/>
          <w:szCs w:val="20"/>
          <w:color w:val="auto"/>
        </w:rPr>
      </w:pPr>
    </w:p>
    <w:p>
      <w:pPr>
        <w:jc w:val="both"/>
        <w:ind w:left="40" w:right="3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depend on third parties to provide services critical to our XpresTest bio surveillance business, and we depend on them to comply with applicable laws and regulations. Additionally, any breaches of the information technology systems of third parties could have a material adverse effect on our operations.</w:t>
      </w:r>
    </w:p>
    <w:p>
      <w:pPr>
        <w:spacing w:after="0" w:line="149"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We depend on third parties to provide services critical to our XpresTest bio surveillance business, including supplies, ground and air transport of clinical and diagnostic testing supplies and specimens, research products, and people, among other services. Third parties that provide services to us are subject to similar risks related to security of customer-related information and compliance with U.S., state, local, or international environmental, health and safety, and privacy and security laws and regulations as those faced by us. Any failure by third parties to comply with applicable laws, or any failure of third parties to provide services more generally, could have a material impact on us, whether because of the loss of the ability to receive services from the third parties, our legal liability for the actions or inactions of third parties, or otherwise. In addition, third parties to whom we outsource certain services or functions may process personal data, or other confidential information belonging to us. A breach or attack affecting these third parties could also harm our business, results of operations and reputation.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business operations and reputation may be materially impaired if we do not comply with privacy laws or information security policies.</w:t>
      </w:r>
    </w:p>
    <w:p>
      <w:pPr>
        <w:spacing w:after="0" w:line="183"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We collect, generate, process, or maintain sensitive information, such as patient data and other personal information. If we do not use or adequately safeguard that information in compliance with applicable requirements under federal, state, and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international laws, or if it were disclosed to persons or entities that should not have access to it, our business could be materially impaired, our reputation could suffer, and we could be subject to fines, penalties, and litigation. In the event of a data security breach, we may be subject to notification obligations, litigation and governmental investigation or sanctions, and may suffer reputational damage, which could have an adverse impact on our business.</w:t>
      </w:r>
    </w:p>
    <w:p>
      <w:pPr>
        <w:spacing w:after="0" w:line="154"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We are subject to laws and regulations regarding protecting the security and privacy of certain healthcare and personal information, including: (a) at the federal level, HIPAA and the regulations thereunder, which establish (i) a complex regulatory framework including requirements for safeguarding protected health information and (ii) comprehensive federal standards regarding the uses and disclosures of protected health information; and (b) state laws, including the California Consumer Privacy Act.</w:t>
      </w:r>
    </w:p>
    <w:p>
      <w:pPr>
        <w:spacing w:after="0" w:line="15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Hardware and software failures or delays in our information technology systems, including failures resulting from our systems conversions or otherwise, could disrupt our operations and cause the loss of confidential information, customers and business opportunities or otherwise adversely impact our business.</w:t>
      </w:r>
    </w:p>
    <w:p>
      <w:pPr>
        <w:spacing w:after="0" w:line="149"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IT systems are used extensively in virtually all aspects of our business, including clinical testing, test reporting, billing, customer service, logistics and management of medical data. Our success depends, in part, on the continued and uninterrupted performance of our IT systems. A failure or delay in our IT systems could impede our ability to serve our customers and patients and protect their confidential personal data. Despite redundancy and backup measures and precautions that we have implemented, our IT systems may be vulnerable to damage, disruptions, and shutdown from a variety of sources, including telecommunications or network failures, system conversion or standardization initiatives, human acts, and natural disasters. These issues can also arise because of failures by third parties with whom we do business and for which we have limited control. Any disruption or failure of our IT systems could have a material impact on our ability to serve our customers and patients, including negatively affecting our reputation in the marketplace.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must comply with complex and overlapping laws protecting the privacy and security of health information and personal data.</w:t>
      </w:r>
    </w:p>
    <w:p>
      <w:pPr>
        <w:spacing w:after="0" w:line="183"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There are several state, federal and international laws protecting the privacy and security of health information and personal data. Under the administrative simplification provisions of HIPAA, the U.S. Department of Health and Human Services has issued regulations which establish uniform standards governing the conduct of certain electronic healthcare transactions and protecting the privacy and security of PHI used or disclosed by healthcare providers and other covered entities.</w:t>
      </w:r>
    </w:p>
    <w:p>
      <w:pPr>
        <w:spacing w:after="0" w:line="154"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The privacy regulations regulate the use and disclosure of PHI by healthcare providers engaging in certain electronic transactions or “standard transactions.” They also set forth certain rights that an individual has with respect to his or her PHI maintained by a covered healthcare provider, including the right to access or amend certain records containing PHI or to request restrictions on the use or disclosure of PHI. The HIPAA security regulations establish administrative, physical, and technical standards for maintaining the integrity and availability of PHI in electronic form. These standards apply to covered healthcare providers and to “business associates” or third parties providing services involving the use or disclosure of PHI. The HIPAA privacy and security regulations establish a uniform federal “floor” and do not supersede state laws that are more stringent or provide individuals with greater rights with respect to the privacy or security of, and access to, their records containing PHI. As a result, we may be required to comply with both HIPAA privacy regulations and varying state privacy and data security laws.</w:t>
      </w:r>
    </w:p>
    <w:p>
      <w:pPr>
        <w:spacing w:after="0" w:line="15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Moreover, HITECH, among other things, established certain health information security breach notification requirements. In the event of a breach of unsecured PHI, a covered entity must notify everyone whose PHI is breached, federal regulators and in some cases, must publicize the breach in local or national media. Breaches affecting 500 individuals or more are publicized by federal regulators who publicly identify the breaching entity, the circumstances of the breach and the number of individuals affected.</w:t>
      </w:r>
    </w:p>
    <w:p>
      <w:pPr>
        <w:spacing w:after="0" w:line="154"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These laws contain significant fines and other penalties for wrongful use or disclosure of PHI. Given the complexity of HIPAA and HITECH and their overlap with state privacy and security laws, and the fact that these laws are rapidly evolving and are subject to changing and potentially conflicting interpretation, our ability to comply with the HIPAA,</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HITECH and state privacy requirements is uncertain and the costs of compliance are significant. Adding to the complexity is that our operations are currently evolving, and the requirements of these laws will apply differently depending on such things as whether or not we bill electronically for our services or provide services involving the use or disclosure of PHI and incur compliance obligations as a business associate. The costs of complying with any changes to HIPAA, HITECH and state privacy restrictions may have a negative impact on our operations. Noncompliance could subject us to criminal penalties, civil sanctions, and significant monetary penalties as well as reputational damage.</w:t>
      </w:r>
    </w:p>
    <w:p>
      <w:pPr>
        <w:spacing w:after="0" w:line="156"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We are also required to collect and maintain personal information about our employees as well as receive and transfer certain payment information, to accept payments from our customers, including credit card information. Most states have adopted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United States implicate local and national data protection standards, impose additional compliance requirements, and generate additional risks of enforcement for non-compliance. The collection and use of such information may be subject to contractual obligations as well. If the security and information systems that we or our outsourced third-party providers use to store or process such information are compromised or if we, or such third parties, otherwise fail to comply with these laws, regulations, and contractual obligations, we could face litigation and the imposition of penalties that could adversely affect our financial performance.</w:t>
      </w:r>
    </w:p>
    <w:p>
      <w:pPr>
        <w:spacing w:after="0" w:line="160"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We must comply with all applicable privacy and data security laws to operate our business and may be required to expend significant capital and other resources to ensure ongoing compliance, to protect against security breaches and hackers or to alleviate problems caused by such breaches. Breaches of health information and/or personal data may be extremely expensive to remediate, may prompt federal or state investigation, fines, civil and/or criminal sanctions, and significant reputational damage.</w:t>
      </w:r>
    </w:p>
    <w:p>
      <w:pPr>
        <w:spacing w:after="0" w:line="150"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capital expenditures in the new TreatStudios and Naples Wax locations may not generate a positive return and we will incur significant additional costs.</w:t>
      </w:r>
    </w:p>
    <w:p>
      <w:pPr>
        <w:spacing w:after="0" w:line="136"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 xml:space="preserve">Our capital expenditures may not generate a positive return. Significant capital expenditures will be required to construct new TreatStudios and Naples Wax centers to accommodate our proposed new business model. No assurance can be given that our future capital expenditures will generate a positive return or that we will have adequate capital available to finance such construction or renovations. If we are unable to, or elect not to, pay for costs associated with such construction or renovations, our competitive position could be harmed. </w:t>
      </w:r>
      <w:r>
        <w:rPr>
          <w:rFonts w:ascii="Times New Roman" w:cs="Times New Roman" w:eastAsia="Times New Roman" w:hAnsi="Times New Roman"/>
          <w:sz w:val="15"/>
          <w:szCs w:val="15"/>
          <w:color w:val="212529"/>
        </w:rPr>
        <w:t>These developments, and others that are difficult 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12529"/>
        </w:rPr>
        <w:t>impossible to predict, could materially impact our business, financial results, cash flows, and financial position.</w:t>
      </w:r>
    </w:p>
    <w:p>
      <w:pPr>
        <w:spacing w:after="0" w:line="152"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rely on international and domestic airplane travel, and the time that airline passengers spend in United States airports post-security. A decrease in the desire of customers to buy spa services and products, or decreased time spent in airports would negatively impact our operations.</w:t>
      </w:r>
    </w:p>
    <w:p>
      <w:pPr>
        <w:spacing w:after="0" w:line="136"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We depend upon a large number of airplane travelers with the propensity for health and wellness, and in particular spa treatments and products, spending significant time post-security clearance check points.</w:t>
      </w:r>
    </w:p>
    <w:p>
      <w:pPr>
        <w:spacing w:after="0" w:line="14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The number of airline travelers has been extremely volatile since the onset of COVID-19 in March 2020. If the time that these travelers spend post-security decreases, and/or if travelers’ ability or willingness to pay for our products and services diminishes, this could have an adverse effect on our growth, business activities, cash flow, financial condition, and results of operations. Some reasons for these events could include:</w:t>
      </w:r>
    </w:p>
    <w:p>
      <w:pPr>
        <w:spacing w:after="0" w:line="149" w:lineRule="exact"/>
        <w:rPr>
          <w:sz w:val="20"/>
          <w:szCs w:val="20"/>
          <w:color w:val="auto"/>
        </w:rPr>
      </w:pPr>
    </w:p>
    <w:p>
      <w:pPr>
        <w:jc w:val="both"/>
        <w:ind w:left="580" w:right="59" w:hanging="260"/>
        <w:spacing w:after="0" w:line="252" w:lineRule="auto"/>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terrorist activities (including cyber-attacks) impacting either domestic or international travel through airports where we operate, causing fear of flying, flight cancellations, or an economic downturn, fears of war or actual conflicts, such as the Russian invasion of Ukraine, the armed conflict between Israel and Palestine, civil unrest, terrorism or violence or any other events of a similar nature, even if not directly affecting the airline industry, may lead to a significant reduction in the number of airline passengers;</w:t>
      </w:r>
    </w:p>
    <w:p>
      <w:pPr>
        <w:spacing w:after="0" w:line="154"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 in business spending that impacts business travel, such as a recession;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right="59" w:hanging="260"/>
        <w:spacing w:after="0" w:line="269" w:lineRule="auto"/>
        <w:tabs>
          <w:tab w:leader="none" w:pos="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decrease in consumer spending that impacts leisure travel, such as a recession or a stock market downturn or a change in consumer lending regulations impacting available credit for leisure travel;</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airfare prices that impacts the willingness of air travelers to fly, such as an increase in oil prices or heightened taxation from federal or other aviation authorities;</w:t>
      </w:r>
    </w:p>
    <w:p>
      <w:pPr>
        <w:spacing w:after="0" w:line="140" w:lineRule="exact"/>
        <w:rPr>
          <w:rFonts w:ascii="Times New Roman" w:cs="Times New Roman" w:eastAsia="Times New Roman" w:hAnsi="Times New Roman"/>
          <w:sz w:val="15"/>
          <w:szCs w:val="15"/>
          <w:color w:val="auto"/>
        </w:rPr>
      </w:pPr>
    </w:p>
    <w:p>
      <w:pPr>
        <w:jc w:val="both"/>
        <w:ind w:left="580" w:right="59" w:hanging="260"/>
        <w:spacing w:after="0" w:line="257" w:lineRule="auto"/>
        <w:tabs>
          <w:tab w:leader="none" w:pos="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4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our spa business, scientific studies that malign the use of spa services or the products used in spa services, such as the impact of certain chemicals and procedures on health and wellness; or</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streamlined security screening checkpoints, which could decrease the wait time at checkpoints and therefore the time air travelers budget for spending time at the airport.</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preferences for services in general at the airport could change as dwell times in US airports continues to go down and more airports are focusing available concession space on quicker service food and beverage concepts.</w:t>
      </w:r>
    </w:p>
    <w:p>
      <w:pPr>
        <w:spacing w:after="0" w:line="141"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Further, any disruption to, or suspension of services provided by airlines and the travel industry because of financial difficulties, labor disputes, construction work, increased security, changes to regulations governing airlines, mergers and acquisitions in the airline industry, higher fuel prices and challenging economic conditions causing airlines to reduce flight schedules or increase the price of airline tickets could negatively affect the number of airline passengers.</w:t>
      </w:r>
    </w:p>
    <w:p>
      <w:pPr>
        <w:spacing w:after="0" w:line="15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4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41"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37" w:lineRule="exact"/>
        <w:rPr>
          <w:sz w:val="20"/>
          <w:szCs w:val="20"/>
          <w:color w:val="auto"/>
        </w:rPr>
      </w:pPr>
    </w:p>
    <w:p>
      <w:pPr>
        <w:jc w:val="both"/>
        <w:ind w:left="40" w:right="3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cause us to lose our concessions.</w:t>
      </w:r>
    </w:p>
    <w:p>
      <w:pPr>
        <w:spacing w:after="0" w:line="136"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We rely on a small number of suppliers for our products. As a result, these suppliers may have increased bargaining power and we may be required to accept less favorable purchasing terms. In the event of a dispute with a supplier,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We have publicized our sale of certain brands of products in our stores – our failure to sell these brands may adversely affect our business.</w:t>
      </w:r>
    </w:p>
    <w:p>
      <w:pPr>
        <w:spacing w:after="0" w:line="15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(such as the Russian invasion of Ukraine and the armed conflict between Israel and Palestine), pandemics, industrial accidents or other occupational health and safety issues, strikes and other labor disputes, customs or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operating results may fluctuate significantly due to certain factors, some of which are beyond our control.</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Our operating results may fluctuate from period to period significantly because of numerous factors, including:</w:t>
      </w:r>
    </w:p>
    <w:p>
      <w:pPr>
        <w:spacing w:after="0" w:line="179" w:lineRule="exact"/>
        <w:rPr>
          <w:sz w:val="20"/>
          <w:szCs w:val="20"/>
          <w:color w:val="auto"/>
        </w:rPr>
      </w:pPr>
    </w:p>
    <w:p>
      <w:pPr>
        <w:ind w:left="580" w:hanging="260"/>
        <w:spacing w:after="0"/>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size of new unit openings, particularly the launch of new terminals;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passenger traffic and seasonality of air travel;</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price and availability of supplies;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macroeconomic conditions, nationally locally and internationally;</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consumer preferences and competitive conditions;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to new markets and new locations; and</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infrastructure costs, including those costs associated with the build-out of new concession locations and renovating existing concession locations.</w:t>
      </w:r>
    </w:p>
    <w:p>
      <w:pPr>
        <w:spacing w:after="0" w:line="14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Our operating results may fluctuate significantly because of the factors discussed above. Accordingly, results for any period are not necessarily indicative of results to be expected for any other period or for any year.</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expansion into new airports or off-airport locations may present increased risks due to unfamiliarity with those areas.</w:t>
      </w:r>
    </w:p>
    <w:p>
      <w:pPr>
        <w:spacing w:after="0" w:line="183"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Our growth strategy depends upon developing our off-airport locations which will include travel health and wellness mini locations and expanding Naples Wax and TreatStudios. Those markets and locations may have demographic characteristics, consumer tastes and discretionary spending patterns that are different from those in the markets where our existing spa and testing operations are located. As a result, new airport terminal and/or off-airport operations may be less successful than existing concession locations in current airport terminals. We may find it more difficult in new markets to hire, motivate and keep qualified employees who can project its vision, passion, and culture. We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we currently operate. Operations in new markets may also take longer to ramp up and reach expected sales and profit levels, and may never do so, thereby negatively affecting our results of operations.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growth strategy is dependent in part on our ability to successfully identify and open new locations.</w:t>
      </w:r>
    </w:p>
    <w:p>
      <w:pPr>
        <w:spacing w:after="0" w:line="183"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We will need to assess and mitigate the risk of any new locations, to open the location on favorable terms and to successfully integrate their operations with ours. We may not be able to successfully identify opportunities that meet these criteria, or, if we do, we may not be able to successfully negotiate and open new locations on a timely basis. If we are unable to identify and open new locations in accordance with its operating plan, our revenue growth rate and financial performance may fall short of our expectations.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0" w:right="3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profitability relating to our operations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49" w:lineRule="exact"/>
        <w:rPr>
          <w:sz w:val="20"/>
          <w:szCs w:val="20"/>
          <w:color w:val="auto"/>
        </w:rPr>
      </w:pPr>
    </w:p>
    <w:p>
      <w:pPr>
        <w:jc w:val="both"/>
        <w:ind w:left="40" w:right="39"/>
        <w:spacing w:after="0" w:line="268" w:lineRule="auto"/>
        <w:rPr>
          <w:sz w:val="20"/>
          <w:szCs w:val="20"/>
          <w:color w:val="auto"/>
        </w:rPr>
      </w:pPr>
      <w:r>
        <w:rPr>
          <w:rFonts w:ascii="Times New Roman" w:cs="Times New Roman" w:eastAsia="Times New Roman" w:hAnsi="Times New Roman"/>
          <w:sz w:val="14"/>
          <w:szCs w:val="14"/>
          <w:color w:val="auto"/>
        </w:rPr>
        <w:t>The number of airline passengers that visit the terminals in which we have concessions is dependent in part on decisions made by airlines and airport authorities relating to flight arrivals and departures. A decrease in the number of flights and a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most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4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37" w:lineRule="exact"/>
        <w:rPr>
          <w:sz w:val="20"/>
          <w:szCs w:val="20"/>
          <w:color w:val="auto"/>
        </w:rPr>
      </w:pPr>
    </w:p>
    <w:p>
      <w:pPr>
        <w:jc w:val="both"/>
        <w:ind w:left="40" w:right="3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execute our growth strategy to expand and integrate new concessions, our recently acquired entity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49"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Part of our growth strategy is to expand and remodel our existing facilities and to seek new concessions through tenders, direct negotiations, or other acquisition opportunities. In this regard, our future growth will depend upon several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54"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54"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4"/>
          <w:szCs w:val="14"/>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13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New concessions and acquisitions, and in some cases future expansions and remodeling of existing concessions, could pose numerous risks to our operations, including that we may:</w:t>
      </w:r>
    </w:p>
    <w:p>
      <w:pPr>
        <w:spacing w:after="0" w:line="141" w:lineRule="exact"/>
        <w:rPr>
          <w:sz w:val="20"/>
          <w:szCs w:val="20"/>
          <w:color w:val="auto"/>
        </w:rPr>
      </w:pPr>
    </w:p>
    <w:p>
      <w:pPr>
        <w:ind w:left="580" w:hanging="260"/>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difficulty integrating operations or personnel;</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substantial unanticipated integration costs;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unexpected construction and development costs and project delays;</w:t>
      </w:r>
    </w:p>
    <w:p>
      <w:pPr>
        <w:spacing w:after="0" w:line="179" w:lineRule="exact"/>
        <w:rPr>
          <w:rFonts w:ascii="Times New Roman" w:cs="Times New Roman" w:eastAsia="Times New Roman" w:hAnsi="Times New Roman"/>
          <w:sz w:val="15"/>
          <w:szCs w:val="15"/>
          <w:color w:val="auto"/>
        </w:rPr>
      </w:pPr>
    </w:p>
    <w:p>
      <w:pPr>
        <w:jc w:val="both"/>
        <w:ind w:left="580" w:right="59" w:hanging="260"/>
        <w:spacing w:after="0" w:line="257" w:lineRule="auto"/>
        <w:tabs>
          <w:tab w:leader="none" w:pos="5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hanging="260"/>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challenges identifying and engaging local business partners to meet ACDBE requirements in concession agreements;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 able to obtain construction materials or labor at acceptable costs;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face engineering or environmental problems associated with our new and existing facilities;</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significant diversion of management attention and financial resources from our existing operations in order to integrate expanded, new or acquired businesses, which could disrupt our ongoing business;</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lose key employees, particularly with respect to acquired or new operations;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difficulty retaining or developing acquired or new business customers;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our existing business relationships with suppliers or other third parties as a result of acquisitions;</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 to realize the potential cost savings or other financial benefits and/or the strategic benefits of acquisitions, new concessions, or remodeling; and</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liabilities from the acquired businesses and we may not be successful in seeking indemnification for such liabilities.</w:t>
      </w:r>
    </w:p>
    <w:p>
      <w:pPr>
        <w:spacing w:after="0" w:line="17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If the estimates and assumptions we use to determine the size of our market are inaccurate, our future growth rate may be impacted.</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Market opportunity estimates and growth forecasts are subject to uncertainty and are based on assumptions and estimates that may not prove to be accurate. The estimates and forecasts in this Annual Report on Form 10-K relating to the size and expected reemergence of the travel retail market may prove to be inaccurate. Even if the market in which we compete meets our size estimates and rate of return to normalized travel activity, our business could fail to reemerge or grow at similar rates, if at all. The principal assumptions relating to our market opportunity include projected reemergence and growth in the travel retail market and our share of the market. If these assumptions prove inaccurate, our business, financial condition and results of operations could be adversely affected.</w:t>
      </w:r>
    </w:p>
    <w:p>
      <w:pPr>
        <w:spacing w:after="0" w:line="153"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currently rely on a skilled, licensed labor force to provide our services, and the supply of this labor force is finite. If we cannot hire adequate staff for our locations, we will not be able to operate.</w:t>
      </w:r>
    </w:p>
    <w:p>
      <w:pPr>
        <w:spacing w:after="0" w:line="136"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As of December 31, 2023, we had approximately 266 full-time and 71 part-time employees in its locations. Excluding some dedicated retail staff, most of these employees are licensed to perform spa services, and hold such licenses as masseuses, nail technicians, and aestheticians. The demand for these licensed technicians has been increasing as more consumers gravitate to health and wellness treatments such as spa services. We compete not only with other airport-based spa companies but with spa companies outside of the airport for this skilled labor force. In addition, all staff hired by us must pass the background checks and security clearances necessary to work in airport locations. If we are unable to attract and retain qualified staff to work in our airport locations, its ability to operate will be impacted negatively.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3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We are subject to various laws and regulations in the United States, Netherlands, Turkey,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54"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to comply with applicable standards. Compliance with such laws and regulations can be costly and can increase our exposure to litigation or governmental investigations or proceedings.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labor force could unionize, putting upward pressure on labor costs.</w:t>
      </w:r>
    </w:p>
    <w:p>
      <w:pPr>
        <w:spacing w:after="0" w:line="18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Major players in labor organizations could target our locations for its unionization efforts. In the event of the successful unionization of all our labor force, we would likely incur additional costs in the form of higher wages, more benefits such as vacation and sick leave, and potentially also higher health care insurance costs.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compete for new locations in airports and may not be able to secure new locations.</w:t>
      </w:r>
    </w:p>
    <w:p>
      <w:pPr>
        <w:spacing w:after="0" w:line="183"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4"/>
          <w:szCs w:val="14"/>
          <w:color w:val="auto"/>
        </w:rPr>
        <w:t>We participate in the highly competitive and lucrative airport concessions industry, and as a result compete for retail leases with a variety of larger, better capitalized concessions companies as well as smaller, mid-tier and single unit operators. Frequently, an airport includes only one similar travel health and wellness concept per terminal within its retail offering and, in those instances, we compete primarily with these other concessionaires.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predict accurately or fulfill customer preferences or demands.</w:t>
      </w:r>
    </w:p>
    <w:p>
      <w:pPr>
        <w:spacing w:after="0" w:line="183"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leases may be terminated, either for convenience by the landlord or because of a XpresSpa, Naples Wax or Treat default.</w:t>
      </w:r>
    </w:p>
    <w:p>
      <w:pPr>
        <w:spacing w:after="0" w:line="183"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We have stores and kiosks in several airports and off airport locations in which the landlord, with prior written notice to us, can terminate our lease, including for convenience or as necessary for operations. If a landlord elects to terminate a lease, we may have to shut down one or more affected locations.</w:t>
      </w:r>
    </w:p>
    <w:p>
      <w:pPr>
        <w:spacing w:after="0" w:line="149"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Additionally, our leases have numerous provisions governing the operation of our stores. Violation of one or more of these provisions, even unintentionally, may result in the landlord finding that we are in default of the lease. Violation of lease provisions may result in fines and, in some cases, termination of a lease.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ability to operate depends on the traffic patterns of the terminals in which we operate, and the cessation or disruption of air traveler traffic in these terminals would negatively impact XpresSpa’s, XpresTest’s and Treat’s addressable market.</w:t>
      </w:r>
    </w:p>
    <w:p>
      <w:pPr>
        <w:spacing w:after="0" w:line="13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We depend on a high volume of air travelers in its terminals. It is possible that a terminal in which we operate could become subject to a lower volume of air travelers, which would significantly impact traffic near and around our locations and therefore its total addressable market. Lower volume in a terminal could be caused by:</w:t>
      </w:r>
    </w:p>
    <w:p>
      <w:pPr>
        <w:spacing w:after="0" w:line="149" w:lineRule="exact"/>
        <w:rPr>
          <w:sz w:val="20"/>
          <w:szCs w:val="20"/>
          <w:color w:val="auto"/>
        </w:rPr>
      </w:pPr>
    </w:p>
    <w:p>
      <w:pPr>
        <w:ind w:left="580" w:right="59" w:hanging="260"/>
        <w:spacing w:after="0" w:line="269" w:lineRule="auto"/>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terminal construction that results in the temporary or permanent closure of a unit, or adversely impacts the volume or pattern of traffic flows within an airport;</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airline utilizing an airport in which we operate could abandon that airport or an individual terminal in favor of other airports or terminals, or because it is contracting operations; or</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weather conditions could cause damage to the terminal or airport in which we operate, resulting in the temporary or permanent closure of a unit.</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are dependent on our local partners.</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57" w:lineRule="exact"/>
        <w:rPr>
          <w:sz w:val="20"/>
          <w:szCs w:val="20"/>
          <w:color w:val="auto"/>
        </w:rPr>
      </w:pPr>
    </w:p>
    <w:p>
      <w:pPr>
        <w:ind w:left="580" w:hanging="26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in a position to take action contrary to our instructions, our requests, our policies, our objectives or applicable laws;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actions that reduce our return on investment;</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 bankrupt or are otherwise unable to meet their capital contribution obligations;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economic or business interests or goals that are or become inconsistent with our business interests or goals; or</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actions that harm our reputation or restrict our ability to run our business.</w:t>
      </w:r>
    </w:p>
    <w:p>
      <w:pPr>
        <w:spacing w:after="0" w:line="175"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36"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Pursuant to ACDBE participation requirements, we are often required to meet, or use good faith efforts to meet, certain minimum ACDBE participation requirements when bidding on or submitting proposals for new concession contracts. If we are unable to find and/or partner with an appropriate ACDBE, we may lose opportunities to open new locations. In addition, several of our existing leases contain minimum ACDBE participation requirements which require the ACDBE to own a significant portion of the business being operated under those leases. The level of ACDBE participation requirements may affect our profitability and/or its ability to meet financial forecasts.</w:t>
      </w:r>
    </w:p>
    <w:p>
      <w:pPr>
        <w:spacing w:after="0" w:line="156"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Further, if we fail to comply with the minimum ACDBE participation requirements, we may be held responsible for a breach of contract, which could result in the termination of a lease and impairment of our ability to bid on or obtain future concession contracts. To the extent that our leases are terminated, and we are required to shut down one or more store locations, there could be a material adverse impact to our business and results of operations.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Continued minimum wage increases could negatively impact our cost of labor.</w:t>
      </w:r>
    </w:p>
    <w:p>
      <w:pPr>
        <w:spacing w:after="0" w:line="183"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An increase in the minimum wage could increase our cost of labor and have an adverse impact on our business, financial condition, and results of operations.</w:t>
      </w:r>
    </w:p>
    <w:p>
      <w:pPr>
        <w:spacing w:after="0" w:line="137"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Information technology systems failure or disruption, or changes to information technology related to payment systems, could impact our day-to-day operations.</w:t>
      </w:r>
    </w:p>
    <w:p>
      <w:pPr>
        <w:spacing w:after="0" w:line="136"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58"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52"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protect our customers’ credit card data and other personal information, we could be exposed to data loss, litigation and liability, and our reputation could be significantly harmed.</w:t>
      </w:r>
    </w:p>
    <w:p>
      <w:pPr>
        <w:spacing w:after="0" w:line="13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Privacy protection is increasingly demanding, and the use of electronic payment methods and collection of other personal information, including order history, travel history and other preferences, exposes us to increased risk of privacy and/or security breaches as well as other risks. Our sales are by credit or debit cards. Additionally, we collect and store personal information from individuals, including our customers and employees.</w:t>
      </w:r>
    </w:p>
    <w:p>
      <w:pPr>
        <w:spacing w:after="0" w:line="149" w:lineRule="exact"/>
        <w:rPr>
          <w:sz w:val="20"/>
          <w:szCs w:val="20"/>
          <w:color w:val="auto"/>
        </w:rPr>
      </w:pPr>
    </w:p>
    <w:p>
      <w:pPr>
        <w:jc w:val="both"/>
        <w:ind w:left="40" w:right="39"/>
        <w:spacing w:after="0" w:line="246" w:lineRule="auto"/>
        <w:rPr>
          <w:sz w:val="20"/>
          <w:szCs w:val="20"/>
          <w:color w:val="auto"/>
        </w:rPr>
      </w:pPr>
      <w:r>
        <w:rPr>
          <w:rFonts w:ascii="Times New Roman" w:cs="Times New Roman" w:eastAsia="Times New Roman" w:hAnsi="Times New Roman"/>
          <w:sz w:val="15"/>
          <w:szCs w:val="15"/>
          <w:color w:val="auto"/>
        </w:rPr>
        <w:t>In the future, we may experience security breaches in which credit and debit card information or other personal information is stolen. Although we use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us. In addition, contractors, or third parties with whom we do business or to whom we outsource business operations may attempt to circumvent its security measures to misappropriate such information and may purposefully or inadvertently cause a breach involving such information. If a person can circumvent our security measures or those of third parties, he or she could destroy or steal valuable information or disrupt our operations. We may become subject to claims for purportedly fraudulent transactions arising out of the actual or alleged theft of credit or debit card information, and we may also be subject to lawsuits or other proceedings relating to these types of incidents. Any such claim or proceeding could cause us to incur significant unplanned expenses, which could have an adverse effect on its business or results of operations. Further, adverse publicity resulting from these allegations could significantly harm its reputation and may have a material adverse effect on it. Although we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carry cyber liability insurance to protect against these risks, there can be no assurance that such insurance will provide adequate levels of coverage against all potential claims.</w:t>
      </w:r>
    </w:p>
    <w:p>
      <w:pPr>
        <w:spacing w:after="0" w:line="137"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Negative social media regarding XWELL, XpresSpa, Treat, XpresTest, Naples Wax Center, TreatStudios or HyperPointe could result in decreased revenues and impact our ability to recruit workers.</w:t>
      </w:r>
    </w:p>
    <w:p>
      <w:pPr>
        <w:spacing w:after="0" w:line="136"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Our affinity among consumers is highly dependent on their positive feelings about our brands, our customer service and the range and quality of services and products that we offer. A negative customer experience that is posted to social media outlets and is distributed virally could tarnish each of the XpresSpa’s, Treat’s, XpresTest’s, Naples Wax Center, TreatStudios or HyperPointe’s brand and our customers may opt to no longer engage with that particular brand, or any of our brands.</w:t>
      </w:r>
    </w:p>
    <w:p>
      <w:pPr>
        <w:spacing w:after="0" w:line="150" w:lineRule="exact"/>
        <w:rPr>
          <w:sz w:val="20"/>
          <w:szCs w:val="20"/>
          <w:color w:val="auto"/>
        </w:rPr>
      </w:pPr>
    </w:p>
    <w:p>
      <w:pPr>
        <w:jc w:val="both"/>
        <w:ind w:left="40" w:right="3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employ people in multiple different jurisdictions, and the employment laws of those jurisdictions are subject to change. In addition, our services are regulated through government-issued operating licenses. Noncompliance with applicable laws could result in employee lawsuits or legal action taken by government authorities.</w:t>
      </w:r>
    </w:p>
    <w:p>
      <w:pPr>
        <w:spacing w:after="0" w:line="14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We must comply with a variety of employment and business practices laws across the United States, Netherlands, Turkey, and United Arab Emirates. We monitor the laws governing our activities, but in the event we do not become aware of a new regulation or fail to comply with a regulation, we could be subject to disciplinary action by governing bodies and potentially employee lawsuits.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source, develop, and sell products that may result in product liability defense costs and product liability payments.</w:t>
      </w:r>
    </w:p>
    <w:p>
      <w:pPr>
        <w:spacing w:after="0" w:line="183" w:lineRule="exact"/>
        <w:rPr>
          <w:sz w:val="20"/>
          <w:szCs w:val="20"/>
          <w:color w:val="auto"/>
        </w:rPr>
      </w:pPr>
    </w:p>
    <w:p>
      <w:pPr>
        <w:jc w:val="both"/>
        <w:ind w:left="40" w:right="39"/>
        <w:spacing w:after="0" w:line="273" w:lineRule="auto"/>
        <w:rPr>
          <w:sz w:val="20"/>
          <w:szCs w:val="20"/>
          <w:color w:val="auto"/>
        </w:rPr>
      </w:pPr>
      <w:r>
        <w:rPr>
          <w:rFonts w:ascii="Times New Roman" w:cs="Times New Roman" w:eastAsia="Times New Roman" w:hAnsi="Times New Roman"/>
          <w:sz w:val="14"/>
          <w:szCs w:val="14"/>
          <w:color w:val="auto"/>
        </w:rPr>
        <w:t>Our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We may face substantial product liability exposure for products we sell to the public or that we use in our services. Product liability claims, regardless of their merits, could be costly and divert management’s attention, and adversely affect our reputation and the demand for our products and services. XWELL to date has not been named as a defendant in any product liability action.</w:t>
      </w:r>
    </w:p>
    <w:p>
      <w:pPr>
        <w:spacing w:after="0" w:line="135"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and our subsidiaries have been, are, and may again become involved in litigation that could divert management’s attention and harm our businesses.</w:t>
      </w:r>
    </w:p>
    <w:p>
      <w:pPr>
        <w:spacing w:after="0" w:line="13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Litigation is often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have the right to be indemnified against such costs, the indemnifying party may be unable to uphold its contractual obligations.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New legislation, regulations or court rulings related to enforcing patents could harm our business and operating results.</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way we conduct our business and negatively impact our business, prospects, financial condition, and results of operations.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36"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55"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Any future acquisitions or business opportunities could involve unknown risks that could harm our business and adversely affect our financial condition and the results of operations.</w:t>
      </w:r>
    </w:p>
    <w:p>
      <w:pPr>
        <w:spacing w:after="0" w:line="136"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our due diligence investigations may not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Risks associated with international operations could result in additional costs and inefficiencies.</w:t>
      </w:r>
    </w:p>
    <w:p>
      <w:pPr>
        <w:spacing w:after="0" w:line="183" w:lineRule="exact"/>
        <w:rPr>
          <w:sz w:val="20"/>
          <w:szCs w:val="20"/>
          <w:color w:val="auto"/>
        </w:rPr>
      </w:pPr>
    </w:p>
    <w:p>
      <w:pPr>
        <w:jc w:val="both"/>
        <w:ind w:left="40" w:right="39"/>
        <w:spacing w:after="0" w:line="273" w:lineRule="auto"/>
        <w:rPr>
          <w:sz w:val="20"/>
          <w:szCs w:val="20"/>
          <w:color w:val="auto"/>
        </w:rPr>
      </w:pPr>
      <w:r>
        <w:rPr>
          <w:rFonts w:ascii="Times New Roman" w:cs="Times New Roman" w:eastAsia="Times New Roman" w:hAnsi="Times New Roman"/>
          <w:sz w:val="14"/>
          <w:szCs w:val="14"/>
          <w:color w:val="auto"/>
        </w:rPr>
        <w:t>In addition to many of the risks we face in our U.S. operations, international operations present a unique set of risks and challenges, including local laws and customs, various and potentially complex international tax regulations and compliance requirements, U.S. laws applicable to foreign operations, and political and socio-economic conditions. Our ability to operate effectively and grow in international markets could be impacted by these risks resulting in legal liabilities, additional costs, and the distraction of management’s attention. Compliance with the Foreign Corrupt Practices Act and protection of intellectual property rights surrounding items such as trade names and trademarks in foreign jurisdictions can pose significant challenges.</w:t>
      </w:r>
    </w:p>
    <w:p>
      <w:pPr>
        <w:spacing w:after="0" w:line="13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In addition, our operations in international markets are conducted primarily in the local currency of those countries. Given that our Consolidated Financial Statements are denominated in U.S. dollars, amounts of assets, liabilities, net sales, and other revenues and expenses denominated in local currencies must be translated into U.S. dollars using exchange rates for the current period. As a result, foreign currency exchange rates and fluctuations in those rates may adversely impact our financial performance.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Risks Related to our Capital Stock</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Stock prices can be volatile, and this volatility may depress the price of our common stock.</w:t>
      </w:r>
    </w:p>
    <w:p>
      <w:pPr>
        <w:spacing w:after="0" w:line="183"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6" w:lineRule="exact"/>
        <w:rPr>
          <w:sz w:val="20"/>
          <w:szCs w:val="20"/>
          <w:color w:val="auto"/>
        </w:rPr>
      </w:pPr>
    </w:p>
    <w:p>
      <w:pPr>
        <w:ind w:left="4440" w:right="2999" w:hanging="4120"/>
        <w:spacing w:after="0" w:line="758" w:lineRule="auto"/>
        <w:tabs>
          <w:tab w:leader="none" w:pos="593"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departures of our key personnel, or our overall ability to retain key personnel;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43180</wp:posOffset>
            </wp:positionV>
            <wp:extent cx="56788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innovations by us or our competitors;</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contracts, acquisitions, strategic partnerships, capital commitments, or new technologies;</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regulatory pronouncements and changes in regulatory guidelines;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or disputes concerning intellectual property rights generally;</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lawsuits, claims, and investigations that may be filed against us, and other events that may adversely affect our reputation;</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financial estimates or recommendations by securities analysts;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and industry-specific economic conditions;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develop and introduce new products and services;</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raise additional capital to fund our operations and business plan and the effects that such financing may have on the value of the equity instruments held by our stockholders;</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hire a skilled labor force and the costs associated;</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secure new retail locations, maintain existing ones, and ensure continued customer traffic at those locations;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one or more of our significant suppliers;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trends in the health and wellness and travel industries and potential technology and service obsolescence; and</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acceptance, quality, pricing, availability, and useful life of our products and/or services, as well as the mix of our products and services sold.</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We have no current plans to pay dividends on our common stock, and our investors may not receive funds without selling their stock.</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currently.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Accordingly, our investors may have to sell some or all their common stock in order to generate cash from their investment. You may not receive a gain on your investment when you sell our common stock and may lose the entire amount of your investment.</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failure to meet the continued listing requirements of Nasdaq could result in a delisting of our common stock.</w:t>
      </w:r>
    </w:p>
    <w:p>
      <w:pPr>
        <w:spacing w:after="0" w:line="18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The continued listing standards of Nasdaq provide, among other things, that a company may be delisted if the bid price of its stock drops below $1.00 for a period of 30 consecutive business days or if stockholders’ equity is less than $2,500,000.</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4"/>
          <w:szCs w:val="14"/>
          <w:color w:val="auto"/>
        </w:rPr>
        <w:t>While we are currently in compliance, we have in the past been, and may in the future be, unable to comply with certain of the listing standards that we are required to meet to maintain the listing of our common stock on Nasdaq. For example, on October 28, 2022, we received a deficiency letter from Nasdaq which indicated that we were not in compliance with the minimum bid price requirement. We received an additional 180-day extension period to comply with on April 27, 2023, pursuant to written notification from Nasdaq. We may be unable to regain compliance in the future if our stock price again falls below the minimum bid price. Additionally, if we fail to comply with any other continued listing standards of Nasdaq, our common stock would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The delisting of our common stock also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w:t>
      </w:r>
    </w:p>
    <w:p>
      <w:pPr>
        <w:spacing w:after="0" w:line="144"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On September 28, 2023, we effected the Reverse Stock Split to regain compliance with Nasdaq’s listing rules and on October 12, 2023, we received written notice from Nasdaq indicating that we had regained compliance with the minimum bid price requirement under Nasdaq Listing Rule 5550(a)(2), and the matter is now closed. The primary intent for the Reverse Stock Split was that the anticipated increase in the price of our common stock immediately following and resulting from a reverse stock split due to the reduction in the number of issued and outstanding shares of common stock that would help us meet the minimum bid price requirement. It cannot be assured that the Reverse Stock Split will result in any sustained proportionate increase in the market price of our common stock, which is dependent upon many factors, including our business and financial performance, general market conditions, and prospects for future success, which are unrelated to the number of shares of our common stock outstanding. It is not uncommon for the market price of a company’s common stock to decline in the period following a reverse stock split. Thus, while we have regained compliance with the continued listing requirements for Nasdaq, it cannot be assured that we will continue to do so. If in the future we seek to implement a reverse stock split to remain listed on Nasdaq, the announcement and/or implementation of a reverse stock split could significantly negatively affect the price of our common stock.</w:t>
      </w:r>
    </w:p>
    <w:p>
      <w:pPr>
        <w:spacing w:after="0" w:line="15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50" w:lineRule="exact"/>
        <w:rPr>
          <w:sz w:val="20"/>
          <w:szCs w:val="20"/>
          <w:color w:val="auto"/>
        </w:rPr>
      </w:pPr>
    </w:p>
    <w:p>
      <w:pPr>
        <w:jc w:val="both"/>
        <w:ind w:left="40" w:right="3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3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50" w:lineRule="exact"/>
        <w:rPr>
          <w:sz w:val="20"/>
          <w:szCs w:val="20"/>
          <w:color w:val="auto"/>
        </w:rPr>
      </w:pPr>
    </w:p>
    <w:p>
      <w:pPr>
        <w:jc w:val="both"/>
        <w:ind w:left="40" w:right="3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4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30" w:lineRule="auto"/>
        <w:rPr>
          <w:sz w:val="20"/>
          <w:szCs w:val="20"/>
          <w:color w:val="auto"/>
        </w:rPr>
      </w:pPr>
      <w:r>
        <w:rPr>
          <w:rFonts w:ascii="Times New Roman" w:cs="Times New Roman" w:eastAsia="Times New Roman" w:hAnsi="Times New Roman"/>
          <w:sz w:val="15"/>
          <w:szCs w:val="15"/>
          <w:color w:val="auto"/>
        </w:rPr>
        <w:t>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5"/>
          <w:szCs w:val="15"/>
          <w:color w:val="auto"/>
        </w:rPr>
        <w:t>/</w:t>
      </w:r>
      <w:r>
        <w:rPr>
          <w:rFonts w:ascii="Times New Roman" w:cs="Times New Roman" w:eastAsia="Times New Roman" w:hAnsi="Times New Roman"/>
          <w:sz w:val="21"/>
          <w:szCs w:val="21"/>
          <w:color w:val="auto"/>
          <w:vertAlign w:val="subscript"/>
        </w:rPr>
        <w:t>3</w:t>
      </w:r>
      <w:r>
        <w:rPr>
          <w:rFonts w:ascii="Times New Roman" w:cs="Times New Roman" w:eastAsia="Times New Roman" w:hAnsi="Times New Roman"/>
          <w:sz w:val="15"/>
          <w:szCs w:val="15"/>
          <w:color w:val="auto"/>
        </w:rPr>
        <w:t xml:space="preserve"> percent vote of our stockholders other than the “interested stockholder,” each as specifically provided in Section 203.</w:t>
      </w:r>
    </w:p>
    <w:p>
      <w:pPr>
        <w:spacing w:after="0" w:line="163" w:lineRule="exact"/>
        <w:rPr>
          <w:sz w:val="20"/>
          <w:szCs w:val="20"/>
          <w:color w:val="auto"/>
        </w:rPr>
      </w:pPr>
    </w:p>
    <w:p>
      <w:pPr>
        <w:jc w:val="both"/>
        <w:ind w:left="40" w:right="39"/>
        <w:spacing w:after="0" w:line="273" w:lineRule="auto"/>
        <w:rPr>
          <w:sz w:val="20"/>
          <w:szCs w:val="20"/>
          <w:color w:val="auto"/>
        </w:rPr>
      </w:pPr>
      <w:r>
        <w:rPr>
          <w:rFonts w:ascii="Times New Roman" w:cs="Times New Roman" w:eastAsia="Times New Roman" w:hAnsi="Times New Roman"/>
          <w:sz w:val="14"/>
          <w:szCs w:val="14"/>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3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its purpose, the Section 382 Rights Plan could have the effect of making it uneconomical for a third party to acquire us on a hostile basis.</w:t>
      </w:r>
    </w:p>
    <w:p>
      <w:pPr>
        <w:spacing w:after="0" w:line="15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45"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securities analysts do not publish research or reports about our business, or if they publish negative evaluations, the price of our Common Stock could decline.</w:t>
      </w:r>
    </w:p>
    <w:p>
      <w:pPr>
        <w:spacing w:after="0" w:line="136"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color w:val="auto"/>
        </w:rPr>
        <w:t>The trading market for our common stock relies in part on the availability of research and reports that third-party industry or financial analysts publish about us. There are many large, publicly traded companies active in the life sciences and biopharmaceutical industries, which may mean it will be less likely that we receive widespread analyst coverage. Furthermore, if one or more of the analysts who do cover our company (if any) downgrades our stock, our stock price would likely decline. If one or more of these analysts cease coverage of our company, we could lose visibility in the market, which in turn could cause our stock price to decline. Additionally, if securities analysts publish negative evaluations of competitors in the life sciences and biopharmaceutical industries, the comparative effect could cause our stock price to decline.</w:t>
      </w:r>
    </w:p>
    <w:p>
      <w:pPr>
        <w:spacing w:after="0" w:line="153" w:lineRule="exact"/>
        <w:rPr>
          <w:sz w:val="20"/>
          <w:szCs w:val="20"/>
          <w:color w:val="auto"/>
        </w:rPr>
      </w:pPr>
    </w:p>
    <w:p>
      <w:pPr>
        <w:jc w:val="both"/>
        <w:ind w:left="40" w:right="3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36"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Under Section 12b-2 of the Exchange Act, a “smaller reporting company” is a company that is not an investment company, an asset-backed issuer, or a majority-owned subsidiary of a parent company that is not a smaller reporting company, and (i) has a public float of less than $250 million as measured on the last business day of our second fiscal quarter, or (ii) has annual revenues of less than $100 million during the most recently completed fiscal year and whose value of common stock held by non-affiliates is less than $700 million as measured on the last business day of the second fiscal quarter.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because of our having availed ourselves of scaled disclosure may make it harder for investors to analyze our results of operations and financial prospects.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59"/>
        <w:spacing w:after="0" w:line="276" w:lineRule="auto"/>
        <w:rPr>
          <w:sz w:val="20"/>
          <w:szCs w:val="20"/>
          <w:color w:val="auto"/>
        </w:rPr>
      </w:pPr>
      <w:r>
        <w:rPr>
          <w:rFonts w:ascii="Times New Roman" w:cs="Times New Roman" w:eastAsia="Times New Roman" w:hAnsi="Times New Roman"/>
          <w:sz w:val="14"/>
          <w:szCs w:val="14"/>
          <w:color w:val="auto"/>
        </w:rPr>
        <w:t>Furthermore, we are a non-accelerated filer as defined by Rule 12b-2 of the Exchange Act, and, as such, are not required to provide an auditor attestation of management’s assessment of internal control over financial reporting, which is generally required for SEC reporting companies under Section 404(b) of the Sarbanes-Oxley Act. Because we are not required to, and have not, had our auditor provide an attestation of our management’s assessment of internal control over financial reporting, a material weakness in internal controls may remain undetected for a longer period.</w:t>
      </w:r>
    </w:p>
    <w:p>
      <w:pPr>
        <w:spacing w:after="0" w:line="138"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We cannot predict if investors will find our securities less attractive because we may rely on these exemptions. If some investors find our securities less attractive as a result, there may be a less active trading market for our securities and the price of our securities may be more volatile.</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Other Risk Factors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confidential information may be disclosed by other parties.</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53" w:lineRule="exact"/>
        <w:rPr>
          <w:sz w:val="20"/>
          <w:szCs w:val="20"/>
          <w:color w:val="auto"/>
        </w:rPr>
      </w:pPr>
    </w:p>
    <w:p>
      <w:pPr>
        <w:jc w:val="both"/>
        <w:ind w:left="40" w:right="5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fail to meet publicly announced financial guidance or other expectations about our business, which would cause our stock to decline in value.</w:t>
      </w:r>
    </w:p>
    <w:p>
      <w:pPr>
        <w:spacing w:after="0" w:line="136"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1C. CYBERSECURITY</w:t>
      </w:r>
    </w:p>
    <w:p>
      <w:pPr>
        <w:spacing w:after="0" w:line="18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We operate in the health and wellness sector, which faces various cybersecurity risks that could adversely impact our business, financial condition, and operations. These risks include, but are not limited to, potential attacks to steal intellectual property, commit fraud or extortion, harm employees or customers, violate privacy laws, or damage our reputation. Recognizing the importance of cybersecurity, we have measures in place to protect sensitive information and prevent data loss or other security breaches. Management is actively involved in continuously assessing and addressing privacy and compliance cybersecurity threats through prevention, detection, and response.</w:t>
      </w:r>
    </w:p>
    <w:p>
      <w:pPr>
        <w:spacing w:after="0" w:line="156"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4"/>
          <w:szCs w:val="14"/>
          <w:color w:val="auto"/>
        </w:rPr>
        <w:t>Our current program was established in 2022 and is based on the NIST Cybersecurity Framework (“NIST CSF”), outlining governance, policies, procedures, and technologies to identify and manage cyber risks. Our Director of Data Privacy &amp; Security and the Privacy &amp; Compliance Committee (“Committee”) oversee day-to-day cybersecurity activities, supported by our managed service provider (“MSP”) partner. The Director of Data Privacy</w:t>
      </w:r>
    </w:p>
    <w:p>
      <w:pPr>
        <w:spacing w:after="0" w:line="1" w:lineRule="exact"/>
        <w:rPr>
          <w:sz w:val="20"/>
          <w:szCs w:val="20"/>
          <w:color w:val="auto"/>
        </w:rPr>
      </w:pPr>
    </w:p>
    <w:p>
      <w:pPr>
        <w:jc w:val="both"/>
        <w:ind w:left="40" w:right="39" w:hanging="5"/>
        <w:spacing w:after="0" w:line="246" w:lineRule="auto"/>
        <w:tabs>
          <w:tab w:leader="none" w:pos="22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is a highly qualified cybersecurity governance practitioner with industry credentials such as Certified Information Systems Security Professional (CISSP), Certified Cloud Security Professional (CCSP), Project Management Professional (PMP), and Certified Secure Software Lifecycle Professional (CSSLP) amongst others. The Committee provides oversight and receives regular updates on program status, capabilities, objectives, and evolving threats. The Committee members include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our Director of Data Privacy &amp; Security and Director of Technology Operations. In the event of a cybersecurity incident, the Committee would then be expanded to include our General Counsel. Data is collected and reviewed as needed and reviewed weekly by our Director of Technology Operations. The Committee reviews all potential incidents as well as all remediation and future mitigation measures. Formal updates regarding potential incidents and/or other cybersecurity initiatives are provided to our CEO on an as-needed basis, and our CEO communicates such incidents and/or cybersecurity initiatives to the Audit Committee of the Board of Directors (the “Audit Committee”). Depending on the materiality of a potential incident and/or cybersecurity initiatives, the Committee will present all information directly to the Audit Committee.</w:t>
      </w:r>
    </w:p>
    <w:p>
      <w:pPr>
        <w:spacing w:after="0" w:line="157"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Our cybersecurity program implements a defense-in-depth strategy, ensuring comprehensive safeguards are in place across various security domains. These include Intrusion Detection Firewalls (IPS/IDS) with Advanced malware prevention (AMP), Azure Conditional Access Policies, Multi-Factor Authentication (MFA), Identity and Access Management (IAM), Vulnerability Management, Endpoint Detection and Response (EDR) using CrowdStrike Falcon Complete with Managed Detection and Response (MDR), Data Loss Prevention (DLP), Barracuda XDR for Security Information Event Management (SIEM) and ongoing Security Awareness and Phishing Simulation exercises via KnowBe4 aimed at mitigating the risk of social engineering attacks, and Mobile Device Security Management. A robust incident response system is in place via our MSP partner to handle all security incidents including email (malware, phishing, etc.), cloud, endpoint, data loss prevention alerts and incidents across the organization. Our information security governance is underpinned by standards and policies documents that are reviewed by the Committee and updated annually by the Director of Data Privacy &amp; Security.</w:t>
      </w:r>
    </w:p>
    <w:p>
      <w:pPr>
        <w:spacing w:after="0" w:line="16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Selection of domain areas for monitoring was based on a risk-based approach aligned with the NIST CSF and accounted for the current threat landscape. Through risk assessments evaluating threats, vulnerabilities, and potential impacts, domains are prioritized by severity and likelihood. This allows us to focus our monitoring strategy and resources on the highest risk areas while adapting to the evolving cybersecurity environment.</w:t>
      </w:r>
    </w:p>
    <w:p>
      <w:pPr>
        <w:spacing w:after="0" w:line="149"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When a security threat is detected, we follow an established process of threat identification and validation: assessment of the severity based on affected assets and potential impacts; evaluation of overall risk as it relates to our risk tolerance; planning and executing a response plan with mitigating actions; continuous monitoring and adjustment of the response; and conducting a post-incident review to identify lessons learned from such event and preventative measures.</w:t>
      </w:r>
    </w:p>
    <w:p>
      <w:pPr>
        <w:spacing w:after="0" w:line="154"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Key risks that have been deemed material include, but are not limited to, the potential for data exfiltration from unmanaged devices, insufficient staffing, and tools due to recent budgetary reductions, increased risk of managing of protected health information in-house, potentially ineffective cybersecurity governance due to singular reporting structure, and lack of visibility and protection for the remote workforce.</w:t>
      </w:r>
    </w:p>
    <w:p>
      <w:pPr>
        <w:spacing w:after="0" w:line="14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While no major incident has significantly impacted our business, operations or financial condition, a breach could damage our reputation, disrupt operations, and trigger legal or regulatory actions, among others. We currently have cyber insurance to help cover potential impacts. Our disclosure outlines program highlights while summarizing key risks and plans to continue maturing cybersecurity capabilities to safeguard the business.</w:t>
      </w:r>
    </w:p>
    <w:p>
      <w:pPr>
        <w:spacing w:after="0" w:line="149"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The Audit Committee is responsible for oversight of risks from cybersecurity threats in conjunction with the Committee. The Audit Committee receives quarterly reports and updates from the Committee with respect to the management of risks from cybersecurity threats. Such reports cover our information technology security program, including its status, capabilities, objectives, and plans, as well as the evolving cybersecurity threat landscape. Additionally, the Audit Committee considers risks from cybersecurity threats as part of its oversight of our business strategy, risk management, and financial oversight by reviewing our incident and response matrix, as well as unmediated threats. In addition, The Committee will provide a mitigation and remediation roadmap based on threat criticality for review by the Audit Committee.</w:t>
      </w:r>
    </w:p>
    <w:p>
      <w:pPr>
        <w:spacing w:after="0" w:line="157" w:lineRule="exact"/>
        <w:rPr>
          <w:sz w:val="20"/>
          <w:szCs w:val="20"/>
          <w:color w:val="auto"/>
        </w:rPr>
      </w:pPr>
    </w:p>
    <w:p>
      <w:pPr>
        <w:jc w:val="both"/>
        <w:ind w:left="40" w:right="39"/>
        <w:spacing w:after="0" w:line="306" w:lineRule="auto"/>
        <w:rPr>
          <w:sz w:val="20"/>
          <w:szCs w:val="20"/>
          <w:color w:val="auto"/>
        </w:rPr>
      </w:pPr>
      <w:r>
        <w:rPr>
          <w:rFonts w:ascii="Times New Roman" w:cs="Times New Roman" w:eastAsia="Times New Roman" w:hAnsi="Times New Roman"/>
          <w:sz w:val="14"/>
          <w:szCs w:val="14"/>
          <w:color w:val="auto"/>
        </w:rPr>
        <w:t>We leverage the advice of our MSP partner to actively monitor our networks and software through their dedicated security operations center. We also have policies and procedures to oversee and identify the risks from cybersecurity threats associated with our use of third-party service providers.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A third-party risk management program was established in 2022, defining four vendor risk tiers based on data sensitivity, regulatory requirements, and service criticality. All vendors undergo risk assessments, with Tier 1 and 2 high-risk vendors facing more rigorous reviews during onboarding, offboarding, and annual recertifications. Vendors complete risk control surveys, with additional documentation like SOC reports requested from Tier 1 and 2 vendors depending on their risk profile. Each vendor is scored based on service type and data and their responses to the questionnaire. This risk-based approach ensures proper oversight of vendor relationships and informs decisions on both who and how we choose to partner.</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2. PROPERTIES</w:t>
      </w:r>
    </w:p>
    <w:p>
      <w:pPr>
        <w:spacing w:after="0" w:line="174" w:lineRule="exact"/>
        <w:rPr>
          <w:sz w:val="20"/>
          <w:szCs w:val="20"/>
          <w:color w:val="auto"/>
        </w:rPr>
      </w:pPr>
    </w:p>
    <w:p>
      <w:pPr>
        <w:jc w:val="both"/>
        <w:ind w:left="40" w:right="39"/>
        <w:spacing w:after="0" w:line="232" w:lineRule="auto"/>
        <w:rPr>
          <w:sz w:val="20"/>
          <w:szCs w:val="20"/>
          <w:color w:val="auto"/>
        </w:rPr>
      </w:pPr>
      <w:r>
        <w:rPr>
          <w:rFonts w:ascii="Times New Roman" w:cs="Times New Roman" w:eastAsia="Times New Roman" w:hAnsi="Times New Roman"/>
          <w:sz w:val="15"/>
          <w:szCs w:val="15"/>
          <w:color w:val="auto"/>
        </w:rPr>
        <w:t>As of December 31, 2023, besides our Global Support Center at 254 West 31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5"/>
          <w:szCs w:val="15"/>
          <w:color w:val="auto"/>
        </w:rPr>
        <w:t xml:space="preserve"> Street in New York City, XWELL had 37 spas and wellness centers in 18 airport and off airport locations, in the United States, Netherlands, Turkey, and the United Arab Emirates. All of the locations as of that date were leased, typically with one or two renewal options after the initial term. Economic terms vary by type and location of store and, on average, the lease terms are 5-10 years with several locations operating on a month-to-month basis. We believe that our facility and our leases are adequate to accommodate our business needs.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3. LEGAL PROCEEDINGS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Litigation and legal proceedings</w:t>
      </w:r>
    </w:p>
    <w:p>
      <w:pPr>
        <w:spacing w:after="0" w:line="183"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Certain of our outstanding legal matters include speculative claims for substantial or indeterminate amounts of damages. We regularly evaluate developments in our legal matters that could affect the amount of any potential liability and adjust as appropriate. Significant judgment is required to determine both the likelihood of there being any potential liability and the estimated amount of a loss related to our legal matters.</w:t>
      </w:r>
    </w:p>
    <w:p>
      <w:pPr>
        <w:spacing w:after="0" w:line="149"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 xml:space="preserve">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have recorded a liability of approximately $449 for all outstanding legal matters as of December 31, 2023, which is included in </w:t>
      </w:r>
      <w:r>
        <w:rPr>
          <w:rFonts w:ascii="Times New Roman" w:cs="Times New Roman" w:eastAsia="Times New Roman" w:hAnsi="Times New Roman"/>
          <w:sz w:val="15"/>
          <w:szCs w:val="15"/>
          <w:i w:val="1"/>
          <w:iCs w:val="1"/>
          <w:color w:val="auto"/>
        </w:rPr>
        <w:t>“Accrued expenses and other current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liabilities” </w:t>
      </w:r>
      <w:r>
        <w:rPr>
          <w:rFonts w:ascii="Times New Roman" w:cs="Times New Roman" w:eastAsia="Times New Roman" w:hAnsi="Times New Roman"/>
          <w:sz w:val="15"/>
          <w:szCs w:val="15"/>
          <w:color w:val="auto"/>
        </w:rPr>
        <w:t>in the consolidated balance sheet. Related legal fees are recorded in the period in which they are incurred.</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OTG Management PHL B v. XpresSpa Philadelphia Terminal B et al.</w:t>
      </w:r>
    </w:p>
    <w:p>
      <w:pPr>
        <w:spacing w:after="0" w:line="18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On May 9, 2022, a lawsuit was filed in the Philadelphia Court of Common Pleas by OTG Management at Philadelphia International Airport, claiming that XWELL improperly backed out of its sublease for space at Terminal B and now owes between $865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January 9, 2024, the court placed the matter on Civil Suspense.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79"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5"/>
          <w:szCs w:val="15"/>
          <w:b w:val="1"/>
          <w:bCs w:val="1"/>
          <w:color w:val="auto"/>
        </w:rPr>
        <w:t>ITEM 5. MARKET FOR THE REGISTRANT’S COMMON EQUITY, RELATED STOCKHOLDER MATTERS AND ISSUER PURCHASES OF EQUITY SECURITIES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u w:val="single" w:color="auto"/>
          <w:color w:val="auto"/>
        </w:rPr>
        <w:t>Market Information</w:t>
      </w:r>
    </w:p>
    <w:p>
      <w:pPr>
        <w:spacing w:after="0" w:line="18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since the opening of the trading market on October 25, 2022. The Company filed an amended and restated certificate of incorporation with the Delaware Secretary of State on October 24, 2022 (the “Amended and Restated Certificate”) reflecting the name change. Rebranding to XWELL aligned the Company’s corporate strategy to build a pure-play wellness services company, in both the airport and off-airport marketplaces.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u w:val="single" w:color="auto"/>
          <w:color w:val="auto"/>
        </w:rPr>
        <w:t>Stockholders</w:t>
      </w:r>
    </w:p>
    <w:p>
      <w:pPr>
        <w:spacing w:after="0" w:line="18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As of April 15, 2024, we had 86 stockholders of record of the 4,183,435 outstanding shares of our common stock. This does not reflect persons or entities that hold their stock in nominee or “street” name through various brokerage firms.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u w:val="single" w:color="auto"/>
          <w:color w:val="auto"/>
        </w:rPr>
        <w:t>Dividend Policy</w:t>
      </w:r>
    </w:p>
    <w:p>
      <w:pPr>
        <w:spacing w:after="0" w:line="181"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u w:val="single" w:color="auto"/>
          <w:color w:val="auto"/>
        </w:rPr>
        <w:t>Unregistered Sales of Equity Securities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None.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7. MANAGEMENT’S DISCUSSION AND ANALYSIS OF FINANCIAL CONDITION AND RESULTS OF OPERATIONS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Unless otherwise stated, dollar amounts are provided in thousands, except share and per share data.</w:t>
      </w:r>
    </w:p>
    <w:p>
      <w:pPr>
        <w:spacing w:after="0" w:line="17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u w:val="single" w:color="auto"/>
          <w:color w:val="auto"/>
        </w:rPr>
        <w:t>Overview</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Our Strategy and Outlook</w:t>
      </w:r>
    </w:p>
    <w:p>
      <w:pPr>
        <w:spacing w:after="0" w:line="181"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We believe that our company is well positioned to benefit from consumers’ growing interest and pent-up demand in travel health and wellness and increasing demand for health and wellness related services and products. Our go-forward plan includes the expansion and integration of products and services across our six brands; the right-sizing of our existing airport portfolio to a leaner and more profitable business; the execution of an ‘off-airport’ strategy through acquisition to deliver more products and services, which will serve as a catalyst for our future growth; the implementation of an international expansion plan; and ensuring we can scale our growth in a responsible way that drives shareholder value. Through right-sizing our existing business, optimizing our cost structure, and making acquisitions that further leverage the strength of our brand portfolio, XWELL is positioning itself for both financial and operational growth now and in the future.</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2023 compared to the year ended December 31, 2022</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52"/>
        </w:trPr>
        <w:tc>
          <w:tcPr>
            <w:tcW w:w="586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3"/>
        </w:trPr>
        <w:tc>
          <w:tcPr>
            <w:tcW w:w="5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r>
      <w:tr>
        <w:trPr>
          <w:trHeight w:val="167"/>
        </w:trPr>
        <w:tc>
          <w:tcPr>
            <w:tcW w:w="5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7"/>
              <w:spacing w:after="0" w:line="167" w:lineRule="exact"/>
              <w:rPr>
                <w:sz w:val="20"/>
                <w:szCs w:val="20"/>
                <w:color w:val="auto"/>
              </w:rPr>
            </w:pPr>
            <w:r>
              <w:rPr>
                <w:rFonts w:ascii="Times New Roman" w:cs="Times New Roman" w:eastAsia="Times New Roman" w:hAnsi="Times New Roman"/>
                <w:sz w:val="15"/>
                <w:szCs w:val="15"/>
                <w:b w:val="1"/>
                <w:bCs w:val="1"/>
                <w:color w:val="auto"/>
                <w:w w:val="99"/>
              </w:rPr>
              <w:t>Variance</w:t>
            </w:r>
          </w:p>
        </w:tc>
      </w:tr>
      <w:tr>
        <w:trPr>
          <w:trHeight w:val="167"/>
        </w:trPr>
        <w:tc>
          <w:tcPr>
            <w:tcW w:w="586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revenue</w:t>
            </w: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30,109</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55,939</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(25,830)</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During the year ended December 31, 2023, total revenues decreased $25,830, or 46%. The decrease in revenue was primarily due to reduction in patient service revenue triggered by the rapid decline of the XpresTest segment. As countries continued to relax their testing requirements and the closure of our XpresCheck locations as we progressed through 2023.</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9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sales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63"/>
        </w:trPr>
        <w:tc>
          <w:tcPr>
            <w:tcW w:w="5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r>
      <w:tr>
        <w:trPr>
          <w:trHeight w:val="167"/>
        </w:trPr>
        <w:tc>
          <w:tcPr>
            <w:tcW w:w="5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7"/>
              <w:spacing w:after="0" w:line="167" w:lineRule="exact"/>
              <w:rPr>
                <w:sz w:val="20"/>
                <w:szCs w:val="20"/>
                <w:color w:val="auto"/>
              </w:rPr>
            </w:pPr>
            <w:r>
              <w:rPr>
                <w:rFonts w:ascii="Times New Roman" w:cs="Times New Roman" w:eastAsia="Times New Roman" w:hAnsi="Times New Roman"/>
                <w:sz w:val="15"/>
                <w:szCs w:val="15"/>
                <w:b w:val="1"/>
                <w:bCs w:val="1"/>
                <w:color w:val="auto"/>
                <w:w w:val="95"/>
              </w:rPr>
              <w:t>Variance</w:t>
            </w:r>
          </w:p>
        </w:tc>
      </w:tr>
      <w:tr>
        <w:trPr>
          <w:trHeight w:val="167"/>
        </w:trPr>
        <w:tc>
          <w:tcPr>
            <w:tcW w:w="592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Cost of sales</w:t>
            </w:r>
          </w:p>
        </w:tc>
        <w:tc>
          <w:tcPr>
            <w:tcW w:w="18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26,428</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43,891</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(17,463)</w:t>
            </w: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The decrease in total cost of sales during the year ended December 31, 2023, was primarily driven by the corresponding decline in our XpresTest locations as countries continued to relax their testing requirements. The largest components in the cost of sales for that segment are costs of testing kits and labor costs at the location-level, rent and related occupancy costs, which primarily includes rent based on percentage of sales, and other operating costs. The Company did not reopen spas that were shut down during Covid and close spas that were open during the year that were under performing. That resulted in additional costs of sales.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0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Depreciation and amortization</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63"/>
        </w:trPr>
        <w:tc>
          <w:tcPr>
            <w:tcW w:w="6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r>
      <w:tr>
        <w:trPr>
          <w:trHeight w:val="167"/>
        </w:trPr>
        <w:tc>
          <w:tcPr>
            <w:tcW w:w="6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7"/>
              <w:spacing w:after="0" w:line="167" w:lineRule="exact"/>
              <w:rPr>
                <w:sz w:val="20"/>
                <w:szCs w:val="20"/>
                <w:color w:val="auto"/>
              </w:rPr>
            </w:pPr>
            <w:r>
              <w:rPr>
                <w:rFonts w:ascii="Times New Roman" w:cs="Times New Roman" w:eastAsia="Times New Roman" w:hAnsi="Times New Roman"/>
                <w:sz w:val="15"/>
                <w:szCs w:val="15"/>
                <w:b w:val="1"/>
                <w:bCs w:val="1"/>
                <w:color w:val="auto"/>
                <w:w w:val="95"/>
              </w:rPr>
              <w:t>Variance</w:t>
            </w:r>
          </w:p>
        </w:tc>
      </w:tr>
      <w:tr>
        <w:trPr>
          <w:trHeight w:val="167"/>
        </w:trPr>
        <w:tc>
          <w:tcPr>
            <w:tcW w:w="60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2,065</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5,429</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(3,364)</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During the year ended December 31, 2023, depreciation and amortization expense decreased $3,364, or 62%, compared to the depreciation and amortization expense recorded during the year ended December 31, 2022. The decrease was primarily due to fewer long-lived assets available for depreciation.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Impairment</w:t>
      </w:r>
    </w:p>
    <w:p>
      <w:pPr>
        <w:spacing w:after="0" w:line="183"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The following table summarizes impairment charges the years ended December 31, 2023 and 2022, recorded on the consolidated statement of operations and comprehensive loss: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60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67"/>
        </w:trPr>
        <w:tc>
          <w:tcPr>
            <w:tcW w:w="39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7"/>
              <w:spacing w:after="0" w:line="167" w:lineRule="exact"/>
              <w:rPr>
                <w:sz w:val="20"/>
                <w:szCs w:val="20"/>
                <w:color w:val="auto"/>
              </w:rPr>
            </w:pPr>
            <w:r>
              <w:rPr>
                <w:rFonts w:ascii="Times New Roman" w:cs="Times New Roman" w:eastAsia="Times New Roman" w:hAnsi="Times New Roman"/>
                <w:sz w:val="15"/>
                <w:szCs w:val="15"/>
                <w:b w:val="1"/>
                <w:bCs w:val="1"/>
                <w:color w:val="auto"/>
                <w:w w:val="95"/>
              </w:rPr>
              <w:t>Variance</w:t>
            </w:r>
          </w:p>
        </w:tc>
      </w:tr>
      <w:tr>
        <w:trPr>
          <w:trHeight w:val="167"/>
        </w:trPr>
        <w:tc>
          <w:tcPr>
            <w:tcW w:w="39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Impairment of goodwill</w:t>
            </w:r>
          </w:p>
        </w:tc>
        <w:tc>
          <w:tcPr>
            <w:tcW w:w="20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4,024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4,024</w:t>
            </w:r>
          </w:p>
        </w:tc>
      </w:tr>
      <w:tr>
        <w:trPr>
          <w:trHeight w:val="176"/>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Impairment of intangible assets</w:t>
            </w: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2,768</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2,658</w:t>
            </w:r>
          </w:p>
        </w:tc>
      </w:tr>
      <w:tr>
        <w:trPr>
          <w:trHeight w:val="17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of long-lived assets</w:t>
            </w:r>
          </w:p>
        </w:tc>
        <w:tc>
          <w:tcPr>
            <w:tcW w:w="2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1,159</w:t>
            </w: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(3,400)</w:t>
            </w:r>
          </w:p>
        </w:tc>
      </w:tr>
      <w:tr>
        <w:trPr>
          <w:trHeight w:val="190"/>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Impairment of right-of-use assets</w:t>
            </w:r>
          </w:p>
        </w:tc>
        <w:tc>
          <w:tcPr>
            <w:tcW w:w="222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r>
    </w:tbl>
    <w:p>
      <w:pPr>
        <w:spacing w:after="0" w:line="146"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We completed an assessment of our property and equipment, intangible assets and right of use lease assets for impairment both as of December 31, 2023 and 2022. Based upon the results of the impairment test, we recorded an impairment of property and equipment, intangible assets, goodwill and right of use lease assets of approximately $1,159, $2,768, $4,024 and $926, respectively for the year ended December 31, 2023. We recorded an impairment of property and equipment, intangible assets and right of use lease assets of approximately $4,559, $110 and $1,110, respectively, in the year ended December 31, 2022. During the year ended December 31, 2022, the impairment was primarily related to the impairment of leasehold improvements made to our Treat locations and its related operating lease right of use assets where management determined that the locations discounted future cash flows were not sufficient to recover the carrying value of these assets over the remaining lease term.</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0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63"/>
        </w:trPr>
        <w:tc>
          <w:tcPr>
            <w:tcW w:w="6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r>
      <w:tr>
        <w:trPr>
          <w:trHeight w:val="167"/>
        </w:trPr>
        <w:tc>
          <w:tcPr>
            <w:tcW w:w="6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7"/>
              <w:spacing w:after="0" w:line="167" w:lineRule="exact"/>
              <w:rPr>
                <w:sz w:val="20"/>
                <w:szCs w:val="20"/>
                <w:color w:val="auto"/>
              </w:rPr>
            </w:pPr>
            <w:r>
              <w:rPr>
                <w:rFonts w:ascii="Times New Roman" w:cs="Times New Roman" w:eastAsia="Times New Roman" w:hAnsi="Times New Roman"/>
                <w:sz w:val="15"/>
                <w:szCs w:val="15"/>
                <w:b w:val="1"/>
                <w:bCs w:val="1"/>
                <w:color w:val="auto"/>
                <w:w w:val="95"/>
              </w:rPr>
              <w:t>Variance</w:t>
            </w:r>
          </w:p>
        </w:tc>
      </w:tr>
      <w:tr>
        <w:trPr>
          <w:trHeight w:val="167"/>
        </w:trPr>
        <w:tc>
          <w:tcPr>
            <w:tcW w:w="60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General and administrative</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12,957</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21,178</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(8,221)</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During the year ended December 31, 2023, general and administrative expenses decreased by $8,221 or 39%, primarily due to the reduction of functional costs associated with the operations of XpresCheck and reduced overhead spend.</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0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Salaries and benefits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63"/>
        </w:trPr>
        <w:tc>
          <w:tcPr>
            <w:tcW w:w="6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r>
      <w:tr>
        <w:trPr>
          <w:trHeight w:val="167"/>
        </w:trPr>
        <w:tc>
          <w:tcPr>
            <w:tcW w:w="60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7"/>
              <w:spacing w:after="0" w:line="167" w:lineRule="exact"/>
              <w:rPr>
                <w:sz w:val="20"/>
                <w:szCs w:val="20"/>
                <w:color w:val="auto"/>
              </w:rPr>
            </w:pPr>
            <w:r>
              <w:rPr>
                <w:rFonts w:ascii="Times New Roman" w:cs="Times New Roman" w:eastAsia="Times New Roman" w:hAnsi="Times New Roman"/>
                <w:sz w:val="15"/>
                <w:szCs w:val="15"/>
                <w:b w:val="1"/>
                <w:bCs w:val="1"/>
                <w:color w:val="auto"/>
                <w:w w:val="95"/>
              </w:rPr>
              <w:t>Variance</w:t>
            </w:r>
          </w:p>
        </w:tc>
      </w:tr>
      <w:tr>
        <w:trPr>
          <w:trHeight w:val="167"/>
        </w:trPr>
        <w:tc>
          <w:tcPr>
            <w:tcW w:w="60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Salaries and benefits</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7,954</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9,991</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(2,037)</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During the year ended December 31, 2023, salaries and benefits expenses decreased by $2,037 or 20%, primarily due to the closing of unprofitable or poorly performing spas, optimization of systems and processes that support the business, headcount reductions and elimination of infrastructure no longer necessary to support our future growth.</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Gain on securities, realized and unrealized</w:t>
            </w:r>
          </w:p>
        </w:tc>
        <w:tc>
          <w:tcPr>
            <w:tcW w:w="1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63"/>
        </w:trPr>
        <w:tc>
          <w:tcPr>
            <w:tcW w:w="4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67"/>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c>
          <w:tcPr>
            <w:tcW w:w="480" w:type="dxa"/>
            <w:vAlign w:val="bottom"/>
            <w:tcBorders>
              <w:bottom w:val="single" w:sz="8" w:color="auto"/>
            </w:tcBorders>
          </w:tcPr>
          <w:p>
            <w:pPr>
              <w:spacing w:after="0"/>
              <w:rPr>
                <w:sz w:val="24"/>
                <w:szCs w:val="24"/>
                <w:color w:val="auto"/>
              </w:rPr>
            </w:pPr>
          </w:p>
        </w:tc>
      </w:tr>
      <w:tr>
        <w:trPr>
          <w:trHeight w:val="167"/>
        </w:trPr>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280" w:type="dxa"/>
            <w:vAlign w:val="bottom"/>
          </w:tcPr>
          <w:p>
            <w:pPr>
              <w:spacing w:after="0"/>
              <w:rPr>
                <w:sz w:val="14"/>
                <w:szCs w:val="14"/>
                <w:color w:val="auto"/>
              </w:rPr>
            </w:pPr>
          </w:p>
        </w:tc>
        <w:tc>
          <w:tcPr>
            <w:tcW w:w="800" w:type="dxa"/>
            <w:vAlign w:val="bottom"/>
            <w:gridSpan w:val="2"/>
          </w:tcPr>
          <w:p>
            <w:pPr>
              <w:jc w:val="right"/>
              <w:ind w:right="8"/>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7"/>
              <w:spacing w:after="0" w:line="167" w:lineRule="exact"/>
              <w:rPr>
                <w:sz w:val="20"/>
                <w:szCs w:val="20"/>
                <w:color w:val="auto"/>
              </w:rPr>
            </w:pPr>
            <w:r>
              <w:rPr>
                <w:rFonts w:ascii="Times New Roman" w:cs="Times New Roman" w:eastAsia="Times New Roman" w:hAnsi="Times New Roman"/>
                <w:sz w:val="15"/>
                <w:szCs w:val="15"/>
                <w:b w:val="1"/>
                <w:bCs w:val="1"/>
                <w:color w:val="auto"/>
              </w:rPr>
              <w:t>Variance</w:t>
            </w:r>
          </w:p>
        </w:tc>
      </w:tr>
      <w:tr>
        <w:trPr>
          <w:trHeight w:val="167"/>
        </w:trPr>
        <w:tc>
          <w:tcPr>
            <w:tcW w:w="430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Gain on securities, realized and unrealized</w:t>
            </w:r>
          </w:p>
        </w:tc>
        <w:tc>
          <w:tcPr>
            <w:tcW w:w="17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437"/>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88"/>
              </w:rPr>
              <w:t>912</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(0)</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912</w:t>
            </w:r>
          </w:p>
        </w:tc>
      </w:tr>
      <w:tr>
        <w:trPr>
          <w:trHeight w:val="20"/>
        </w:trPr>
        <w:tc>
          <w:tcPr>
            <w:tcW w:w="4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 w:right="159"/>
        <w:spacing w:after="0" w:line="269" w:lineRule="auto"/>
        <w:rPr>
          <w:sz w:val="20"/>
          <w:szCs w:val="20"/>
          <w:color w:val="auto"/>
        </w:rPr>
      </w:pPr>
      <w:r>
        <w:rPr>
          <w:rFonts w:ascii="Times New Roman" w:cs="Times New Roman" w:eastAsia="Times New Roman" w:hAnsi="Times New Roman"/>
          <w:sz w:val="15"/>
          <w:szCs w:val="15"/>
          <w:color w:val="auto"/>
        </w:rPr>
        <w:t>Gain on securities is affected by the adjustments to the fair value of our equity investment, which could fluctuate materially from period to period. The fair value of these instruments depends on a variety of assumptions.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Other non-operating expenses, net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The following is a summary of the transactions included in other non-operating income (expense), net for the years ended December 31, 2023 and 2022:</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40" w:type="dxa"/>
            <w:vAlign w:val="bottom"/>
            <w:tcBorders>
              <w:bottom w:val="single" w:sz="8" w:color="auto"/>
            </w:tcBorders>
            <w:gridSpan w:val="5"/>
          </w:tcPr>
          <w:p>
            <w:pPr>
              <w:jc w:val="center"/>
              <w:ind w:left="337"/>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c>
          <w:tcPr>
            <w:tcW w:w="460" w:type="dxa"/>
            <w:vAlign w:val="bottom"/>
            <w:tcBorders>
              <w:bottom w:val="single" w:sz="8" w:color="auto"/>
            </w:tcBorders>
          </w:tcPr>
          <w:p>
            <w:pPr>
              <w:spacing w:after="0"/>
              <w:rPr>
                <w:sz w:val="16"/>
                <w:szCs w:val="16"/>
                <w:color w:val="auto"/>
              </w:rPr>
            </w:pPr>
          </w:p>
        </w:tc>
      </w:tr>
      <w:tr>
        <w:trPr>
          <w:trHeight w:val="167"/>
        </w:trPr>
        <w:tc>
          <w:tcPr>
            <w:tcW w:w="4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8"/>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460" w:type="dxa"/>
            <w:vAlign w:val="bottom"/>
          </w:tcPr>
          <w:p>
            <w:pPr>
              <w:spacing w:after="0"/>
              <w:rPr>
                <w:sz w:val="14"/>
                <w:szCs w:val="14"/>
                <w:color w:val="auto"/>
              </w:rPr>
            </w:pPr>
          </w:p>
        </w:tc>
      </w:tr>
      <w:tr>
        <w:trPr>
          <w:trHeight w:val="167"/>
        </w:trPr>
        <w:tc>
          <w:tcPr>
            <w:tcW w:w="416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Loss on equity investments</w:t>
            </w:r>
          </w:p>
        </w:tc>
        <w:tc>
          <w:tcPr>
            <w:tcW w:w="22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(54)</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ind w:right="7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(618)</w:t>
            </w:r>
          </w:p>
        </w:tc>
      </w:tr>
      <w:tr>
        <w:trPr>
          <w:trHeight w:val="176"/>
        </w:trPr>
        <w:tc>
          <w:tcPr>
            <w:tcW w:w="4160" w:type="dxa"/>
            <w:vAlign w:val="bottom"/>
          </w:tcPr>
          <w:p>
            <w:pPr>
              <w:spacing w:after="0"/>
              <w:rPr>
                <w:sz w:val="20"/>
                <w:szCs w:val="20"/>
                <w:color w:val="auto"/>
              </w:rPr>
            </w:pPr>
            <w:r>
              <w:rPr>
                <w:rFonts w:ascii="Times New Roman" w:cs="Times New Roman" w:eastAsia="Times New Roman" w:hAnsi="Times New Roman"/>
                <w:sz w:val="15"/>
                <w:szCs w:val="15"/>
                <w:color w:val="auto"/>
              </w:rPr>
              <w:t>Bank fees and financing charges</w:t>
            </w:r>
          </w:p>
        </w:tc>
        <w:tc>
          <w:tcPr>
            <w:tcW w:w="2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(321)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w:t>
            </w:r>
          </w:p>
        </w:tc>
      </w:tr>
      <w:tr>
        <w:trPr>
          <w:trHeight w:val="17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2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67"/>
        </w:trPr>
        <w:tc>
          <w:tcPr>
            <w:tcW w:w="416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w:t>
            </w:r>
          </w:p>
        </w:tc>
        <w:tc>
          <w:tcPr>
            <w:tcW w:w="2280" w:type="dxa"/>
            <w:vAlign w:val="bottom"/>
          </w:tcPr>
          <w:p>
            <w:pPr>
              <w:spacing w:after="0"/>
              <w:rPr>
                <w:sz w:val="14"/>
                <w:szCs w:val="14"/>
                <w:color w:val="auto"/>
              </w:rPr>
            </w:pPr>
          </w:p>
        </w:tc>
        <w:tc>
          <w:tcPr>
            <w:tcW w:w="6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w w:val="98"/>
              </w:rPr>
              <w:t>(410)</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28"/>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(1,131)</w:t>
            </w:r>
          </w:p>
        </w:tc>
      </w:tr>
      <w:tr>
        <w:trPr>
          <w:trHeight w:val="20"/>
        </w:trPr>
        <w:tc>
          <w:tcPr>
            <w:tcW w:w="4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39"/>
        <w:spacing w:after="0" w:line="306" w:lineRule="auto"/>
        <w:rPr>
          <w:sz w:val="20"/>
          <w:szCs w:val="20"/>
          <w:color w:val="auto"/>
        </w:rPr>
      </w:pPr>
      <w:r>
        <w:rPr>
          <w:rFonts w:ascii="Times New Roman" w:cs="Times New Roman" w:eastAsia="Times New Roman" w:hAnsi="Times New Roman"/>
          <w:sz w:val="14"/>
          <w:szCs w:val="14"/>
          <w:color w:val="auto"/>
        </w:rPr>
        <w:t>As of December 31, 2023, the equity investment in Route1 had a readily determinable fair value of $50. We recorded an unrealized loss of $54 in connection with the remeasurement of the shares of our common stock and warrants of Route1 obtained in the 2018 sale of Group Mobile to Route1.</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As of December 31, 2023, our estimated aggregate total NOLs were $150,926 for U.S. federal purposes, expiring 20 years from the respective tax years to which they relate, and $97,968 for U.S. federal purposes with an indefinite life due to new regulations in the Tax Act of 2017. The NOL amounts are presented before Internal Revenue Code, Section 382 limitations (“Section 382”). The Tax Reform Act of 1986 imposed substantial restrictions on the utilization of NOL and tax credits in the event of an ownership change of a corporation. Thus, our ability to utilize all such NOL and credit carryforwards may be limited. The CARES Act was enacted on March 27, 2020, and provides favorable changes to tax laws for businesses impacted by COVID-19. However, we do not anticipate the income tax law changes will materially benefit us.</w:t>
      </w:r>
    </w:p>
    <w:p>
      <w:pPr>
        <w:spacing w:after="0" w:line="157"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We did not have any material unrecognized tax benefits as of December 31, 2023. We do not expect to record any additional material provisions for unrecognized tax benefits within the next year.</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Liquidity and Capital Resources</w:t>
      </w:r>
    </w:p>
    <w:p>
      <w:pPr>
        <w:spacing w:after="0" w:line="183"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As of December 31, 2023, we had approximately $8,437 of cash and cash equivalents, $14,613 in marketable securities, and total current assets of approximately $26,566. Our total current liabilities balance, which includes accounts payable, deferred revenue, accrued expenses, and operating lease liabilities was approximately $9,330 as of December 31, 2023. The working capital surplus was $17,236 as of December 31, 2023, compared to a working capital surplus of $36,376 as of December 31, 2022.</w:t>
      </w:r>
    </w:p>
    <w:p>
      <w:pPr>
        <w:spacing w:after="0" w:line="154"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Our primary liquidity and capital requirements are for the maintenance of our current XpresSpa and Treat locations and brand, as well as the expansion outside the airports. During the year ended December 31, 2023, we used net cash of $16,074 to fund our operating activities.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40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63"/>
        </w:trPr>
        <w:tc>
          <w:tcPr>
            <w:tcW w:w="4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r>
      <w:tr>
        <w:trPr>
          <w:trHeight w:val="167"/>
        </w:trPr>
        <w:tc>
          <w:tcPr>
            <w:tcW w:w="44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7"/>
              <w:spacing w:after="0" w:line="167" w:lineRule="exact"/>
              <w:rPr>
                <w:sz w:val="20"/>
                <w:szCs w:val="20"/>
                <w:color w:val="auto"/>
              </w:rPr>
            </w:pPr>
            <w:r>
              <w:rPr>
                <w:rFonts w:ascii="Times New Roman" w:cs="Times New Roman" w:eastAsia="Times New Roman" w:hAnsi="Times New Roman"/>
                <w:sz w:val="15"/>
                <w:szCs w:val="15"/>
                <w:b w:val="1"/>
                <w:bCs w:val="1"/>
                <w:color w:val="auto"/>
              </w:rPr>
              <w:t>Change</w:t>
            </w:r>
          </w:p>
        </w:tc>
      </w:tr>
      <w:tr>
        <w:trPr>
          <w:trHeight w:val="167"/>
        </w:trPr>
        <w:tc>
          <w:tcPr>
            <w:tcW w:w="4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4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(16,074)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(24,188)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8,114</w:t>
            </w:r>
          </w:p>
        </w:tc>
      </w:tr>
      <w:tr>
        <w:trPr>
          <w:trHeight w:val="176"/>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62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5,650</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(34,843)</w:t>
            </w: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40,493</w:t>
            </w:r>
          </w:p>
        </w:tc>
      </w:tr>
      <w:tr>
        <w:trPr>
          <w:trHeight w:val="17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6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(27,377)</w:t>
            </w:r>
          </w:p>
        </w:tc>
        <w:tc>
          <w:tcPr>
            <w:tcW w:w="3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27,385</w:t>
            </w:r>
          </w:p>
        </w:tc>
      </w:tr>
    </w:tbl>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18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During the year ended December 31, 2023, net cash used in operating activities was $16,074 compared to net cash used in operating activities during the year ended December 31, 2022 of $24,188. The decrease in net cash used in operating activities was primarily due to the rapid decline of our XpresCheck business.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83"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During the year ended December 31, 2023, net cash provided by investing activities was $5,650 compared to net cash used in investing activities during the year ended December 31, 2022 of $34,843. Cash provided in 2023 came primarily from the sale of marketable securities of approximately $9,417. In addition, the Company had idle cash that they invested during the year ended December 31, 2022.</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83"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During the year ended December 31, 2023, net cash provided by financing activities increased by $27,385 primarily due to the repurchase of common stock and repayment of Paycheck Protection Program loan that occurred in 2022.</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83"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81"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 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statements that require estimation but are not deemed critical, as defined above.</w:t>
      </w:r>
    </w:p>
    <w:p>
      <w:pPr>
        <w:spacing w:after="0" w:line="158"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We believe the following accounting estimates to be the most critical estimates we used in preparing our consolidated financial statements for the year ended December 31, 2023.</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183" w:lineRule="exact"/>
        <w:rPr>
          <w:sz w:val="20"/>
          <w:szCs w:val="20"/>
          <w:color w:val="auto"/>
        </w:rPr>
      </w:pPr>
    </w:p>
    <w:p>
      <w:pPr>
        <w:jc w:val="both"/>
        <w:ind w:left="40" w:right="39"/>
        <w:spacing w:after="0" w:line="270" w:lineRule="auto"/>
        <w:rPr>
          <w:sz w:val="20"/>
          <w:szCs w:val="20"/>
          <w:color w:val="auto"/>
        </w:rPr>
      </w:pPr>
      <w:r>
        <w:rPr>
          <w:rFonts w:ascii="Times New Roman" w:cs="Times New Roman" w:eastAsia="Times New Roman" w:hAnsi="Times New Roman"/>
          <w:sz w:val="14"/>
          <w:szCs w:val="14"/>
          <w:color w:val="auto"/>
        </w:rPr>
        <w:t>The Company accounts for goodwill under FASB ASC 350-30, Intangibles-Goodwill and Other.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14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During the quarter ended September 30, 2023, the Company identified a triggering event and as a result recognized an impairment charge of $4,024, which is recorded in goodwill impairment on the consolidated statements of operations and comprehensive loss.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83"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Long-lived assets are tested for impairment at the lowest level at which there are identifiable operating cash flows.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flows are calculated based on forecasts over the estimated remaining useful life of the asset group, which for each of the Company’s locations, is the remaining term of the operating lease.</w:t>
      </w:r>
    </w:p>
    <w:p>
      <w:pPr>
        <w:spacing w:after="0" w:line="160"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w:t>
      </w:r>
    </w:p>
    <w:p>
      <w:pPr>
        <w:spacing w:after="0" w:line="157"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During the year ended December 31, 2023, the Company performed its annual impairment testing procedures of long-lived assets and recognized an impairment charge of $1,159 and $926, which is recorded in Impairment of long-lived assets and Impairment of operating lease right-of-use assets on the consolidated statements of operations and comprehensive loss.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w:t>
      </w:r>
    </w:p>
    <w:p>
      <w:pPr>
        <w:spacing w:after="0" w:line="183"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56"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Based upon the results of the impairment test, we recorded an impairment of intangible assets in Impairment of long-lived assets on the consolidated statements of operations and comprehensive loss of approximately $2,768 for the year ended December 31, 2023.</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pronouncements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Please refer Note 2 to Consolidated Financial Statements in Item 8 of this Annual Report on Form 10-K.</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Please refer Note 2 to Consolidated Financial Statements in Item 8 of this Annual Report on Form 10-K.</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Not required as we are a smaller reporting company.</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8. FINANCIAL STATEMENTS AND SUPPLEMENTARY DATA</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Our consolidated financial statements required by this Item are set forth in Item 15 beginning on page F-1 of this Annual Report on Form 10-K.</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 CHANGES IN AND DISAGREEMENTS WITH ACCOUNTANTS ON ACCOUNTING AND FINANCIAL DISCLOSURE</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None.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9A. CONTROLS AND PROCEDURES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Evaluation of Disclosure Controls and Procedures</w:t>
      </w:r>
    </w:p>
    <w:p>
      <w:pPr>
        <w:spacing w:after="0" w:line="181"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Under the supervision and with the participation of our management, including our Chief Executive Officer and Chief Financial Officer, we have evaluated the effectiveness of the design and operation of our “disclosure controls and procedures,” as such term is defined in Rule 13a-15(e) or Rule 15d-15(e) promulgated under the Exchange Act as of the end of the period covered by this report. Based upon that evaluation, our Chief Executive Officer and Chief Financial Officer have concluded that our disclosure controls and procedures were not effective as of the end of the period covered by this Report to provide reasonable assurance that material information required to be disclosed by us in reports that we file or submit under the Exchange Act is recorded, processed, summarized and reported within the time periods specified in SEC rules and forms due to the material weaknesses described below.</w:t>
      </w:r>
    </w:p>
    <w:p>
      <w:pPr>
        <w:spacing w:after="0" w:line="159"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Subsequent to the filing of the Original Form 10-Q, on November 14, 2023, the Company’s management determined that its September 30, 2023, ASC 360 impairment analysis on long-lived assets was incorrect. The impairment analysis was performed on our Treat segment intangibles only and did not include an analysis of our right-of-use and fixed assets. The Company’s management and in agreement with the audit committee have determined that the previously issued unaudited financial statements for the three and nine-month period ended September 30, 2023 “the Affected period” should no longer be relied upon due to this error and require restatement. The financial effect of this error from previously reported information for the quarter ended September 30, 2023, resulted in an increase in net loss of $1,613, primarily as a result of additional impairment expense on our Treat segment right-of-use and fixed assets. (See note 19 for further discussion).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Management’s Report on Internal Control over Financial Reporting</w:t>
      </w:r>
    </w:p>
    <w:p>
      <w:pPr>
        <w:spacing w:after="0" w:line="181" w:lineRule="exact"/>
        <w:rPr>
          <w:sz w:val="20"/>
          <w:szCs w:val="20"/>
          <w:color w:val="auto"/>
        </w:rPr>
      </w:pPr>
    </w:p>
    <w:p>
      <w:pPr>
        <w:jc w:val="both"/>
        <w:ind w:left="40" w:right="39"/>
        <w:spacing w:after="0" w:line="268" w:lineRule="auto"/>
        <w:rPr>
          <w:sz w:val="20"/>
          <w:szCs w:val="20"/>
          <w:color w:val="auto"/>
        </w:rPr>
      </w:pPr>
      <w:r>
        <w:rPr>
          <w:rFonts w:ascii="Times New Roman" w:cs="Times New Roman" w:eastAsia="Times New Roman" w:hAnsi="Times New Roman"/>
          <w:sz w:val="14"/>
          <w:szCs w:val="14"/>
          <w:color w:val="auto"/>
        </w:rPr>
        <w:t>Management of the Company is responsible for establishing and maintaining adequate internal control over financial reporting, as such term is defined in Exchange Act Rules 13a-15(f) and 15d-15(f). Internal control over financial reporting is a process designed by, or under the supervision of, our principal executive officer and principal financial officer, or persons performing similar functions, and effected by our board of directors to provide reasonable assurance regarding the reliability of financial reporting and the preparation of financial statements in accordance with generally accepted accounting principles. Our management evaluated, with the participation of our chief executive officer and chief financial officer (our “Certifying Officers”), the effectiveness of our disclosure controls and procedures as of December 31, 2023, pursuant to Rule 13a-15(b) under the Exchange Act. Based upon that evaluation, management, including our Chief Executive Officer and Chief Financial Officer, our Certifying Officers concluded that, as of December 31, 2023 the evaluation date, our disclosure controls and procedures were not effective due to the following material weaknesses:</w:t>
      </w:r>
    </w:p>
    <w:p>
      <w:pPr>
        <w:spacing w:after="0" w:line="144" w:lineRule="exact"/>
        <w:rPr>
          <w:sz w:val="20"/>
          <w:szCs w:val="20"/>
          <w:color w:val="auto"/>
        </w:rPr>
      </w:pPr>
    </w:p>
    <w:p>
      <w:pPr>
        <w:ind w:left="580" w:right="59" w:hanging="260"/>
        <w:spacing w:after="0" w:line="269" w:lineRule="auto"/>
        <w:tabs>
          <w:tab w:leader="none" w:pos="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properly design, implement, and consistently operate effective controls over the completeness and accuracy of its accounting for leases under ASC 842.</w:t>
      </w:r>
    </w:p>
    <w:p>
      <w:pPr>
        <w:spacing w:after="0" w:line="140"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properly design or maintain effective entity level monitoring controls over the financial close and reporting process.</w:t>
      </w:r>
    </w:p>
    <w:p>
      <w:pPr>
        <w:spacing w:after="0" w:line="179" w:lineRule="exact"/>
        <w:rPr>
          <w:rFonts w:ascii="Times New Roman" w:cs="Times New Roman" w:eastAsia="Times New Roman" w:hAnsi="Times New Roman"/>
          <w:sz w:val="15"/>
          <w:szCs w:val="15"/>
          <w:color w:val="auto"/>
        </w:rPr>
      </w:pPr>
    </w:p>
    <w:p>
      <w:pPr>
        <w:jc w:val="both"/>
        <w:ind w:left="580" w:right="59" w:hanging="260"/>
        <w:spacing w:after="0" w:line="257" w:lineRule="auto"/>
        <w:tabs>
          <w:tab w:leader="none" w:pos="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w:t>
      </w:r>
    </w:p>
    <w:p>
      <w:pPr>
        <w:spacing w:after="0" w:line="149" w:lineRule="exact"/>
        <w:rPr>
          <w:rFonts w:ascii="Times New Roman" w:cs="Times New Roman" w:eastAsia="Times New Roman" w:hAnsi="Times New Roman"/>
          <w:sz w:val="15"/>
          <w:szCs w:val="15"/>
          <w:color w:val="auto"/>
        </w:rPr>
      </w:pPr>
    </w:p>
    <w:p>
      <w:pPr>
        <w:jc w:val="both"/>
        <w:ind w:left="580" w:right="59" w:hanging="260"/>
        <w:spacing w:after="0" w:line="257" w:lineRule="auto"/>
        <w:tabs>
          <w:tab w:leader="none" w:pos="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w:t>
      </w:r>
    </w:p>
    <w:p>
      <w:pPr>
        <w:spacing w:after="0" w:line="14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did not design, implement, and consistently operate effective controls over its’ foreign subsidiaries.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Remediation Plan for Material Weaknesses in Internal Control over Financial Reporting</w:t>
      </w:r>
    </w:p>
    <w:p>
      <w:pPr>
        <w:spacing w:after="0" w:line="181"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Management is committed to the remediation of the material weaknesses described above,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because of these efforts. Management has commenced the following actions and will continue to assess additional opportunities for remediation on an ongoing basis: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hanging="260"/>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turned on the multi-currency features related to its cloud-based accounting systems.</w:t>
      </w:r>
    </w:p>
    <w:p>
      <w:pPr>
        <w:spacing w:after="0" w:line="179"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engaged outside service providers to assist with the valuation, accounting, and recording of key reporting areas such as leases, revenue recognition and stock compensation expense.</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contracted an independent consulting firm to assist with the preparation of the Financial Statements and U.S. GAAP accounting research.</w:t>
      </w:r>
    </w:p>
    <w:p>
      <w:pPr>
        <w:spacing w:after="0" w:line="140" w:lineRule="exact"/>
        <w:rPr>
          <w:rFonts w:ascii="Times New Roman" w:cs="Times New Roman" w:eastAsia="Times New Roman" w:hAnsi="Times New Roman"/>
          <w:sz w:val="15"/>
          <w:szCs w:val="15"/>
          <w:color w:val="auto"/>
        </w:rPr>
      </w:pPr>
    </w:p>
    <w:p>
      <w:pPr>
        <w:ind w:left="580" w:right="59" w:hanging="260"/>
        <w:spacing w:after="0" w:line="269" w:lineRule="auto"/>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Changes in Internal Control over Financial Reporting</w:t>
      </w:r>
    </w:p>
    <w:p>
      <w:pPr>
        <w:spacing w:after="0" w:line="18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Other than as set forth in the foregoing paragraph, there have been no changes in our internal control over financial reporting that occurred during the year ended December 31, 2023, that has materially affected, or is reasonably likely to materially affect, our internal control over financial reporting. Notwithstanding the material weaknesses in our internal control over financial reporting, our management has determined that the consolidated financial statements for the periods covered by and included in this Annual Report fairly present, in all material respects, our financial position, results of operations and cash flows for the periods presented in conformity with U.S. GAAP.</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9C. DISCLOSURE REGARDING FOREIGN JURISDICTIONS THAT PREVENT INSPECTIONS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10. DIRECTORS, EXECUTIVE OFFICERS, AND CORPORATE GOVERNANCE</w:t>
      </w:r>
    </w:p>
    <w:p>
      <w:pPr>
        <w:spacing w:after="0" w:line="181" w:lineRule="exact"/>
        <w:rPr>
          <w:sz w:val="20"/>
          <w:szCs w:val="20"/>
          <w:color w:val="auto"/>
        </w:rPr>
      </w:pPr>
    </w:p>
    <w:p>
      <w:pPr>
        <w:ind w:left="40" w:right="39"/>
        <w:spacing w:after="0" w:line="269" w:lineRule="auto"/>
        <w:rPr>
          <w:sz w:val="20"/>
          <w:szCs w:val="20"/>
          <w:color w:val="auto"/>
        </w:rPr>
      </w:pPr>
      <w:r>
        <w:rPr>
          <w:rFonts w:ascii="Times New Roman" w:cs="Times New Roman" w:eastAsia="Times New Roman" w:hAnsi="Times New Roman"/>
          <w:sz w:val="15"/>
          <w:szCs w:val="15"/>
          <w:color w:val="auto"/>
        </w:rPr>
        <w:t>Information called for by this Item will be included in an amendment to this Annual Report on Form 10-K to be filed with the SEC and is incorporated by reference in this Item 10.</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11. EXECUTIVE COMPENSATION</w:t>
      </w:r>
    </w:p>
    <w:p>
      <w:pPr>
        <w:spacing w:after="0" w:line="181" w:lineRule="exact"/>
        <w:rPr>
          <w:sz w:val="20"/>
          <w:szCs w:val="20"/>
          <w:color w:val="auto"/>
        </w:rPr>
      </w:pPr>
    </w:p>
    <w:p>
      <w:pPr>
        <w:ind w:left="40" w:right="39"/>
        <w:spacing w:after="0" w:line="269" w:lineRule="auto"/>
        <w:rPr>
          <w:sz w:val="20"/>
          <w:szCs w:val="20"/>
          <w:color w:val="auto"/>
        </w:rPr>
      </w:pPr>
      <w:r>
        <w:rPr>
          <w:rFonts w:ascii="Times New Roman" w:cs="Times New Roman" w:eastAsia="Times New Roman" w:hAnsi="Times New Roman"/>
          <w:sz w:val="15"/>
          <w:szCs w:val="15"/>
          <w:color w:val="auto"/>
        </w:rPr>
        <w:t>Information called for by this Item will be included in an amendment to this Annual Report on Form 10-K to be filed with the SEC and is incorporated by reference in this Item 11.</w:t>
      </w:r>
    </w:p>
    <w:p>
      <w:pPr>
        <w:spacing w:after="0" w:line="139" w:lineRule="exact"/>
        <w:rPr>
          <w:sz w:val="20"/>
          <w:szCs w:val="20"/>
          <w:color w:val="auto"/>
        </w:rPr>
      </w:pPr>
    </w:p>
    <w:p>
      <w:pPr>
        <w:ind w:left="40" w:right="59"/>
        <w:spacing w:after="0" w:line="272" w:lineRule="auto"/>
        <w:rPr>
          <w:sz w:val="20"/>
          <w:szCs w:val="20"/>
          <w:color w:val="auto"/>
        </w:rPr>
      </w:pPr>
      <w:r>
        <w:rPr>
          <w:rFonts w:ascii="Times New Roman" w:cs="Times New Roman" w:eastAsia="Times New Roman" w:hAnsi="Times New Roman"/>
          <w:sz w:val="15"/>
          <w:szCs w:val="15"/>
          <w:b w:val="1"/>
          <w:bCs w:val="1"/>
          <w:color w:val="auto"/>
        </w:rPr>
        <w:t>ITEM 12. SECURITY OWNERSHIP OF CERTAIN BENEFICIAL OWNERS AND MANAGEMENT AND RELATED STOCKHOLDER MATTERS</w:t>
      </w:r>
    </w:p>
    <w:p>
      <w:pPr>
        <w:spacing w:after="0" w:line="138" w:lineRule="exact"/>
        <w:rPr>
          <w:sz w:val="20"/>
          <w:szCs w:val="20"/>
          <w:color w:val="auto"/>
        </w:rPr>
      </w:pPr>
    </w:p>
    <w:p>
      <w:pPr>
        <w:ind w:left="40" w:right="39"/>
        <w:spacing w:after="0" w:line="269" w:lineRule="auto"/>
        <w:rPr>
          <w:sz w:val="20"/>
          <w:szCs w:val="20"/>
          <w:color w:val="auto"/>
        </w:rPr>
      </w:pPr>
      <w:r>
        <w:rPr>
          <w:rFonts w:ascii="Times New Roman" w:cs="Times New Roman" w:eastAsia="Times New Roman" w:hAnsi="Times New Roman"/>
          <w:sz w:val="15"/>
          <w:szCs w:val="15"/>
          <w:color w:val="auto"/>
        </w:rPr>
        <w:t>Information called for by this Item will be included in an amendment to this Annual Report on Form 10-K to be filed with the SEC and is incorporated by reference in this Item 12.</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13. CERTAIN RELATIONSHIPS AND RELATED TRANSACTIONS, AND DIRECTOR INDEPENDENCE</w:t>
      </w:r>
    </w:p>
    <w:p>
      <w:pPr>
        <w:spacing w:after="0" w:line="181" w:lineRule="exact"/>
        <w:rPr>
          <w:sz w:val="20"/>
          <w:szCs w:val="20"/>
          <w:color w:val="auto"/>
        </w:rPr>
      </w:pPr>
    </w:p>
    <w:p>
      <w:pPr>
        <w:ind w:left="40" w:right="39"/>
        <w:spacing w:after="0" w:line="269" w:lineRule="auto"/>
        <w:rPr>
          <w:sz w:val="20"/>
          <w:szCs w:val="20"/>
          <w:color w:val="auto"/>
        </w:rPr>
      </w:pPr>
      <w:r>
        <w:rPr>
          <w:rFonts w:ascii="Times New Roman" w:cs="Times New Roman" w:eastAsia="Times New Roman" w:hAnsi="Times New Roman"/>
          <w:sz w:val="15"/>
          <w:szCs w:val="15"/>
          <w:color w:val="auto"/>
        </w:rPr>
        <w:t>Information called for by this Item will be included in an amendment to this Annual Report on Form 10-K to be filed with the SEC and is incorporated by reference in this Item 13.</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14. PRINCIPAL ACCOUNTANT FEES AND SERVICES</w:t>
      </w:r>
    </w:p>
    <w:p>
      <w:pPr>
        <w:spacing w:after="0" w:line="181" w:lineRule="exact"/>
        <w:rPr>
          <w:sz w:val="20"/>
          <w:szCs w:val="20"/>
          <w:color w:val="auto"/>
        </w:rPr>
      </w:pPr>
    </w:p>
    <w:p>
      <w:pPr>
        <w:ind w:left="40" w:right="39"/>
        <w:spacing w:after="0" w:line="269" w:lineRule="auto"/>
        <w:rPr>
          <w:sz w:val="20"/>
          <w:szCs w:val="20"/>
          <w:color w:val="auto"/>
        </w:rPr>
      </w:pPr>
      <w:r>
        <w:rPr>
          <w:rFonts w:ascii="Times New Roman" w:cs="Times New Roman" w:eastAsia="Times New Roman" w:hAnsi="Times New Roman"/>
          <w:sz w:val="15"/>
          <w:szCs w:val="15"/>
          <w:color w:val="auto"/>
        </w:rPr>
        <w:t>Information called for by this Item will be included in an amendment to this Annual Report on Form 10-K to be filed with the SEC and is incorporated by reference in this Item 14.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15. EXHIBITS AND FINANCIAL STATEMENT SCHEDULES</w:t>
      </w:r>
    </w:p>
    <w:p>
      <w:pPr>
        <w:spacing w:after="0" w:line="179" w:lineRule="exact"/>
        <w:rPr>
          <w:sz w:val="20"/>
          <w:szCs w:val="20"/>
          <w:color w:val="auto"/>
        </w:rPr>
      </w:pPr>
    </w:p>
    <w:p>
      <w:pPr>
        <w:ind w:left="40" w:right="59"/>
        <w:spacing w:after="0" w:line="272" w:lineRule="auto"/>
        <w:rPr>
          <w:sz w:val="20"/>
          <w:szCs w:val="20"/>
          <w:color w:val="auto"/>
        </w:rPr>
      </w:pPr>
      <w:r>
        <w:rPr>
          <w:rFonts w:ascii="Times New Roman" w:cs="Times New Roman" w:eastAsia="Times New Roman" w:hAnsi="Times New Roman"/>
          <w:sz w:val="15"/>
          <w:szCs w:val="15"/>
          <w:color w:val="auto"/>
        </w:rPr>
        <w:t xml:space="preserve">(a)(1) </w:t>
      </w:r>
      <w:r>
        <w:rPr>
          <w:rFonts w:ascii="Times New Roman" w:cs="Times New Roman" w:eastAsia="Times New Roman" w:hAnsi="Times New Roman"/>
          <w:sz w:val="15"/>
          <w:szCs w:val="15"/>
          <w:i w:val="1"/>
          <w:iCs w:val="1"/>
          <w:color w:val="auto"/>
        </w:rPr>
        <w:t>Consolidated Financial Statements.</w:t>
      </w:r>
      <w:r>
        <w:rPr>
          <w:rFonts w:ascii="Times New Roman" w:cs="Times New Roman" w:eastAsia="Times New Roman" w:hAnsi="Times New Roman"/>
          <w:sz w:val="15"/>
          <w:szCs w:val="15"/>
          <w:color w:val="auto"/>
        </w:rPr>
        <w:t xml:space="preserve"> For the financial statements included in this Annual Report on Form 10-K, see “Index to the Financial Statements” on page F-1.</w:t>
      </w:r>
    </w:p>
    <w:p>
      <w:pPr>
        <w:spacing w:after="0" w:line="136" w:lineRule="exact"/>
        <w:rPr>
          <w:sz w:val="20"/>
          <w:szCs w:val="20"/>
          <w:color w:val="auto"/>
        </w:rPr>
      </w:pPr>
    </w:p>
    <w:p>
      <w:pPr>
        <w:ind w:left="40" w:right="39"/>
        <w:spacing w:after="0" w:line="272" w:lineRule="auto"/>
        <w:rPr>
          <w:sz w:val="20"/>
          <w:szCs w:val="20"/>
          <w:color w:val="auto"/>
        </w:rPr>
      </w:pPr>
      <w:r>
        <w:rPr>
          <w:rFonts w:ascii="Times New Roman" w:cs="Times New Roman" w:eastAsia="Times New Roman" w:hAnsi="Times New Roman"/>
          <w:sz w:val="15"/>
          <w:szCs w:val="15"/>
          <w:color w:val="auto"/>
        </w:rPr>
        <w:t xml:space="preserve">(a)(2) </w:t>
      </w:r>
      <w:r>
        <w:rPr>
          <w:rFonts w:ascii="Times New Roman" w:cs="Times New Roman" w:eastAsia="Times New Roman" w:hAnsi="Times New Roman"/>
          <w:sz w:val="15"/>
          <w:szCs w:val="15"/>
          <w:i w:val="1"/>
          <w:iCs w:val="1"/>
          <w:color w:val="auto"/>
        </w:rPr>
        <w:t>Consolidated Financial Statement Schedules.</w:t>
      </w:r>
      <w:r>
        <w:rPr>
          <w:rFonts w:ascii="Times New Roman" w:cs="Times New Roman" w:eastAsia="Times New Roman" w:hAnsi="Times New Roman"/>
          <w:sz w:val="15"/>
          <w:szCs w:val="15"/>
          <w:color w:val="auto"/>
        </w:rPr>
        <w:t xml:space="preserve"> All schedules are omitted because they are not applicable or because the required information is included in the financial statements or notes thereto.</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 xml:space="preserve">(a)(3) </w:t>
      </w:r>
      <w:r>
        <w:rPr>
          <w:rFonts w:ascii="Times New Roman" w:cs="Times New Roman" w:eastAsia="Times New Roman" w:hAnsi="Times New Roman"/>
          <w:sz w:val="15"/>
          <w:szCs w:val="15"/>
          <w:i w:val="1"/>
          <w:iCs w:val="1"/>
          <w:color w:val="auto"/>
        </w:rPr>
        <w:t>Exhibits.</w:t>
      </w:r>
      <w:r>
        <w:rPr>
          <w:rFonts w:ascii="Times New Roman" w:cs="Times New Roman" w:eastAsia="Times New Roman" w:hAnsi="Times New Roman"/>
          <w:sz w:val="15"/>
          <w:szCs w:val="15"/>
          <w:color w:val="auto"/>
        </w:rPr>
        <w:t xml:space="preserve"> The following exhibits are filed as part of, or incorporated by reference into, this Annual Report on Form 10-K.</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Exhibits Index</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8040" w:type="dxa"/>
            <w:vAlign w:val="bottom"/>
            <w:gridSpan w:val="16"/>
            <w:vMerge w:val="restart"/>
          </w:tcPr>
          <w:p>
            <w:pPr>
              <w:ind w:left="37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100" w:type="dxa"/>
            <w:vAlign w:val="bottom"/>
          </w:tcPr>
          <w:p>
            <w:pPr>
              <w:spacing w:after="0"/>
              <w:rPr>
                <w:sz w:val="13"/>
                <w:szCs w:val="13"/>
                <w:color w:val="auto"/>
              </w:rPr>
            </w:pPr>
          </w:p>
        </w:tc>
        <w:tc>
          <w:tcPr>
            <w:tcW w:w="8040" w:type="dxa"/>
            <w:vAlign w:val="bottom"/>
            <w:tcBorders>
              <w:bottom w:val="single" w:sz="8" w:color="auto"/>
            </w:tcBorders>
            <w:gridSpan w:val="1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24"/>
                <w:szCs w:val="24"/>
                <w:color w:val="auto"/>
              </w:rPr>
            </w:pPr>
          </w:p>
        </w:tc>
        <w:tc>
          <w:tcPr>
            <w:tcW w:w="8060" w:type="dxa"/>
            <w:vAlign w:val="bottom"/>
            <w:gridSpan w:val="17"/>
          </w:tcPr>
          <w:p>
            <w:pPr>
              <w:spacing w:after="0"/>
              <w:rPr>
                <w:rFonts w:ascii="Times New Roman" w:cs="Times New Roman" w:eastAsia="Times New Roman" w:hAnsi="Times New Roman"/>
                <w:sz w:val="15"/>
                <w:szCs w:val="15"/>
                <w:color w:val="0000EE"/>
              </w:rPr>
            </w:pPr>
            <w:hyperlink r:id="rId56">
              <w:r>
                <w:rPr>
                  <w:rFonts w:ascii="Times New Roman" w:cs="Times New Roman" w:eastAsia="Times New Roman" w:hAnsi="Times New Roman"/>
                  <w:sz w:val="15"/>
                  <w:szCs w:val="15"/>
                  <w:color w:val="0000EE"/>
                </w:rPr>
                <w:t>Agreement and Plan of Merger by and among FORM Holdings Corp., FHXMS, LLC, XpresSpa Holdings, LLC, the unitholders of</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920" w:type="dxa"/>
            <w:vAlign w:val="bottom"/>
            <w:tcBorders>
              <w:bottom w:val="single" w:sz="8" w:color="0000EE"/>
            </w:tcBorders>
            <w:gridSpan w:val="12"/>
          </w:tcPr>
          <w:p>
            <w:pPr>
              <w:spacing w:after="0" w:line="156" w:lineRule="exact"/>
              <w:rPr>
                <w:rFonts w:ascii="Times New Roman" w:cs="Times New Roman" w:eastAsia="Times New Roman" w:hAnsi="Times New Roman"/>
                <w:sz w:val="15"/>
                <w:szCs w:val="15"/>
                <w:color w:val="0000EE"/>
                <w:w w:val="97"/>
              </w:rPr>
            </w:pPr>
            <w:hyperlink r:id="rId56">
              <w:r>
                <w:rPr>
                  <w:rFonts w:ascii="Times New Roman" w:cs="Times New Roman" w:eastAsia="Times New Roman" w:hAnsi="Times New Roman"/>
                  <w:sz w:val="15"/>
                  <w:szCs w:val="15"/>
                  <w:color w:val="0000EE"/>
                  <w:w w:val="97"/>
                </w:rPr>
                <w:t>XpresSpa who are parties thereto and Mistral XH Representative, LLC, as representative of the unitholders, dated as of August 8, 2016</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80" w:type="dxa"/>
            <w:vAlign w:val="bottom"/>
            <w:tcBorders>
              <w:bottom w:val="single" w:sz="8" w:color="0000EE"/>
            </w:tcBorders>
            <w:gridSpan w:val="8"/>
          </w:tcPr>
          <w:p>
            <w:pPr>
              <w:spacing w:after="0" w:line="156" w:lineRule="exact"/>
              <w:rPr>
                <w:rFonts w:ascii="Times New Roman" w:cs="Times New Roman" w:eastAsia="Times New Roman" w:hAnsi="Times New Roman"/>
                <w:sz w:val="15"/>
                <w:szCs w:val="15"/>
                <w:color w:val="0000EE"/>
                <w:w w:val="97"/>
              </w:rPr>
            </w:pPr>
            <w:hyperlink r:id="rId56">
              <w:r>
                <w:rPr>
                  <w:rFonts w:ascii="Times New Roman" w:cs="Times New Roman" w:eastAsia="Times New Roman" w:hAnsi="Times New Roman"/>
                  <w:sz w:val="15"/>
                  <w:szCs w:val="15"/>
                  <w:color w:val="0000EE"/>
                  <w:w w:val="97"/>
                </w:rPr>
                <w:t>(incorporated by reference to Exhibit 2.1 to our Current Report on Form 8-K filed with the SEC on August 8, 2016)</w:t>
              </w:r>
            </w:hyperlink>
          </w:p>
        </w:tc>
        <w:tc>
          <w:tcPr>
            <w:tcW w:w="12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24"/>
                <w:szCs w:val="24"/>
                <w:color w:val="auto"/>
              </w:rPr>
            </w:pPr>
          </w:p>
        </w:tc>
        <w:tc>
          <w:tcPr>
            <w:tcW w:w="7840" w:type="dxa"/>
            <w:vAlign w:val="bottom"/>
            <w:tcBorders>
              <w:bottom w:val="single" w:sz="8" w:color="0000EE"/>
            </w:tcBorders>
            <w:gridSpan w:val="10"/>
          </w:tcPr>
          <w:p>
            <w:pPr>
              <w:spacing w:after="0"/>
              <w:rPr>
                <w:rFonts w:ascii="Times New Roman" w:cs="Times New Roman" w:eastAsia="Times New Roman" w:hAnsi="Times New Roman"/>
                <w:sz w:val="15"/>
                <w:szCs w:val="15"/>
                <w:color w:val="0000EE"/>
                <w:w w:val="97"/>
              </w:rPr>
            </w:pPr>
            <w:hyperlink r:id="rId57">
              <w:r>
                <w:rPr>
                  <w:rFonts w:ascii="Times New Roman" w:cs="Times New Roman" w:eastAsia="Times New Roman" w:hAnsi="Times New Roman"/>
                  <w:sz w:val="15"/>
                  <w:szCs w:val="15"/>
                  <w:color w:val="0000EE"/>
                  <w:w w:val="97"/>
                </w:rPr>
                <w:t>Amendment No. 1 to Agreement and Plan of Merger by and among FORM Holdings Corp., FHXMS, LLC, XpresSpa Holdings, LLC</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17"/>
          </w:tcPr>
          <w:p>
            <w:pPr>
              <w:spacing w:after="0" w:line="156" w:lineRule="exact"/>
              <w:rPr>
                <w:rFonts w:ascii="Times New Roman" w:cs="Times New Roman" w:eastAsia="Times New Roman" w:hAnsi="Times New Roman"/>
                <w:sz w:val="15"/>
                <w:szCs w:val="15"/>
                <w:color w:val="0000EE"/>
                <w:w w:val="97"/>
              </w:rPr>
            </w:pPr>
            <w:hyperlink r:id="rId57">
              <w:r>
                <w:rPr>
                  <w:rFonts w:ascii="Times New Roman" w:cs="Times New Roman" w:eastAsia="Times New Roman" w:hAnsi="Times New Roman"/>
                  <w:sz w:val="15"/>
                  <w:szCs w:val="15"/>
                  <w:color w:val="0000EE"/>
                  <w:w w:val="97"/>
                </w:rPr>
                <w:t>and Mistral XH Representative, LLC, as representative of the unitholders, dated September 8, 2016 (incorporated by reference to Exhibit</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80" w:type="dxa"/>
            <w:vAlign w:val="bottom"/>
            <w:tcBorders>
              <w:top w:val="single" w:sz="8" w:color="0000EE"/>
              <w:bottom w:val="single" w:sz="8" w:color="0000EE"/>
            </w:tcBorders>
            <w:gridSpan w:val="5"/>
          </w:tcPr>
          <w:p>
            <w:pPr>
              <w:spacing w:after="0" w:line="156" w:lineRule="exact"/>
              <w:rPr>
                <w:rFonts w:ascii="Times New Roman" w:cs="Times New Roman" w:eastAsia="Times New Roman" w:hAnsi="Times New Roman"/>
                <w:sz w:val="15"/>
                <w:szCs w:val="15"/>
                <w:color w:val="0000EE"/>
                <w:w w:val="97"/>
              </w:rPr>
            </w:pPr>
            <w:hyperlink r:id="rId57">
              <w:r>
                <w:rPr>
                  <w:rFonts w:ascii="Times New Roman" w:cs="Times New Roman" w:eastAsia="Times New Roman" w:hAnsi="Times New Roman"/>
                  <w:sz w:val="15"/>
                  <w:szCs w:val="15"/>
                  <w:color w:val="0000EE"/>
                  <w:w w:val="97"/>
                </w:rPr>
                <w:t>2.</w:t>
              </w:r>
              <w:r>
                <w:rPr>
                  <w:rFonts w:ascii="Times New Roman" w:cs="Times New Roman" w:eastAsia="Times New Roman" w:hAnsi="Times New Roman"/>
                  <w:sz w:val="15"/>
                  <w:szCs w:val="15"/>
                  <w:u w:val="single" w:color="auto"/>
                  <w:color w:val="0000EE"/>
                  <w:w w:val="97"/>
                </w:rPr>
                <w:t>1</w:t>
              </w:r>
              <w:r>
                <w:rPr>
                  <w:rFonts w:ascii="Times New Roman" w:cs="Times New Roman" w:eastAsia="Times New Roman" w:hAnsi="Times New Roman"/>
                  <w:sz w:val="15"/>
                  <w:szCs w:val="15"/>
                  <w:color w:val="0000EE"/>
                  <w:w w:val="97"/>
                </w:rPr>
                <w:t xml:space="preserve"> to our Current Report on Form 8-K filed with the SEC on September 9, 2016)</w:t>
              </w:r>
            </w:hyperlink>
          </w:p>
        </w:tc>
        <w:tc>
          <w:tcPr>
            <w:tcW w:w="3240" w:type="dxa"/>
            <w:vAlign w:val="bottom"/>
            <w:tcBorders>
              <w:top w:val="single" w:sz="8" w:color="0000EE"/>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24"/>
                <w:szCs w:val="24"/>
                <w:color w:val="auto"/>
              </w:rPr>
            </w:pPr>
          </w:p>
        </w:tc>
        <w:tc>
          <w:tcPr>
            <w:tcW w:w="7840" w:type="dxa"/>
            <w:vAlign w:val="bottom"/>
            <w:tcBorders>
              <w:bottom w:val="single" w:sz="8" w:color="0000EE"/>
            </w:tcBorders>
            <w:gridSpan w:val="10"/>
          </w:tcPr>
          <w:p>
            <w:pPr>
              <w:spacing w:after="0"/>
              <w:rPr>
                <w:rFonts w:ascii="Times New Roman" w:cs="Times New Roman" w:eastAsia="Times New Roman" w:hAnsi="Times New Roman"/>
                <w:sz w:val="15"/>
                <w:szCs w:val="15"/>
                <w:color w:val="0000EE"/>
                <w:w w:val="97"/>
              </w:rPr>
            </w:pPr>
            <w:hyperlink r:id="rId58">
              <w:r>
                <w:rPr>
                  <w:rFonts w:ascii="Times New Roman" w:cs="Times New Roman" w:eastAsia="Times New Roman" w:hAnsi="Times New Roman"/>
                  <w:sz w:val="15"/>
                  <w:szCs w:val="15"/>
                  <w:color w:val="0000EE"/>
                  <w:w w:val="97"/>
                </w:rPr>
                <w:t>Amendment No. 2 to Agreement and Plan of Merger by and among FORM Holdings Corp., FHXMS, LLC, XpresSpa Holdings, LLC</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17"/>
          </w:tcPr>
          <w:p>
            <w:pPr>
              <w:spacing w:after="0" w:line="156" w:lineRule="exact"/>
              <w:rPr>
                <w:rFonts w:ascii="Times New Roman" w:cs="Times New Roman" w:eastAsia="Times New Roman" w:hAnsi="Times New Roman"/>
                <w:sz w:val="15"/>
                <w:szCs w:val="15"/>
                <w:color w:val="0000EE"/>
                <w:w w:val="98"/>
              </w:rPr>
            </w:pPr>
            <w:hyperlink r:id="rId58">
              <w:r>
                <w:rPr>
                  <w:rFonts w:ascii="Times New Roman" w:cs="Times New Roman" w:eastAsia="Times New Roman" w:hAnsi="Times New Roman"/>
                  <w:sz w:val="15"/>
                  <w:szCs w:val="15"/>
                  <w:color w:val="0000EE"/>
                  <w:w w:val="98"/>
                </w:rPr>
                <w:t>and Mistral XH Representative, LLC, as representative of the unitholders, dated October 25, 2016 (incorporated by reference to Exhibit</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Borders>
              <w:top w:val="single" w:sz="8" w:color="0000EE"/>
              <w:bottom w:val="single" w:sz="8" w:color="0000EE"/>
            </w:tcBorders>
            <w:gridSpan w:val="4"/>
          </w:tcPr>
          <w:p>
            <w:pPr>
              <w:spacing w:after="0" w:line="156" w:lineRule="exact"/>
              <w:rPr>
                <w:rFonts w:ascii="Times New Roman" w:cs="Times New Roman" w:eastAsia="Times New Roman" w:hAnsi="Times New Roman"/>
                <w:sz w:val="15"/>
                <w:szCs w:val="15"/>
                <w:color w:val="0000EE"/>
                <w:w w:val="97"/>
              </w:rPr>
            </w:pPr>
            <w:hyperlink r:id="rId58">
              <w:r>
                <w:rPr>
                  <w:rFonts w:ascii="Times New Roman" w:cs="Times New Roman" w:eastAsia="Times New Roman" w:hAnsi="Times New Roman"/>
                  <w:sz w:val="15"/>
                  <w:szCs w:val="15"/>
                  <w:color w:val="0000EE"/>
                  <w:w w:val="97"/>
                </w:rPr>
                <w:t>2.</w:t>
              </w:r>
              <w:r>
                <w:rPr>
                  <w:rFonts w:ascii="Times New Roman" w:cs="Times New Roman" w:eastAsia="Times New Roman" w:hAnsi="Times New Roman"/>
                  <w:sz w:val="15"/>
                  <w:szCs w:val="15"/>
                  <w:u w:val="single" w:color="auto"/>
                  <w:color w:val="0000EE"/>
                  <w:w w:val="97"/>
                </w:rPr>
                <w:t>1</w:t>
              </w:r>
              <w:r>
                <w:rPr>
                  <w:rFonts w:ascii="Times New Roman" w:cs="Times New Roman" w:eastAsia="Times New Roman" w:hAnsi="Times New Roman"/>
                  <w:sz w:val="15"/>
                  <w:szCs w:val="15"/>
                  <w:color w:val="0000EE"/>
                  <w:w w:val="97"/>
                </w:rPr>
                <w:t xml:space="preserve"> to our Current Report on Form 8-K filed with the SEC on October 25, 2016)</w:t>
              </w:r>
            </w:hyperlink>
          </w:p>
        </w:tc>
        <w:tc>
          <w:tcPr>
            <w:tcW w:w="3240" w:type="dxa"/>
            <w:vAlign w:val="bottom"/>
            <w:tcBorders>
              <w:top w:val="single" w:sz="8" w:color="0000EE"/>
            </w:tcBorders>
            <w:gridSpan w:val="9"/>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24"/>
                <w:szCs w:val="24"/>
                <w:color w:val="auto"/>
              </w:rPr>
            </w:pPr>
          </w:p>
        </w:tc>
        <w:tc>
          <w:tcPr>
            <w:tcW w:w="800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7"/>
              </w:rPr>
            </w:pPr>
            <w:hyperlink r:id="rId59">
              <w:r>
                <w:rPr>
                  <w:rFonts w:ascii="Times New Roman" w:cs="Times New Roman" w:eastAsia="Times New Roman" w:hAnsi="Times New Roman"/>
                  <w:sz w:val="15"/>
                  <w:szCs w:val="15"/>
                  <w:color w:val="0000EE"/>
                  <w:w w:val="97"/>
                </w:rPr>
                <w:t>Certificate of Elimination of Series A Convertible Preferred Stock, Series D Convertible Preferred Stock, Series E Convertible Preferred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tcBorders>
              <w:bottom w:val="single" w:sz="8" w:color="0000EE"/>
            </w:tcBorders>
            <w:gridSpan w:val="17"/>
          </w:tcPr>
          <w:p>
            <w:pPr>
              <w:spacing w:after="0" w:line="156" w:lineRule="exact"/>
              <w:rPr>
                <w:rFonts w:ascii="Times New Roman" w:cs="Times New Roman" w:eastAsia="Times New Roman" w:hAnsi="Times New Roman"/>
                <w:sz w:val="15"/>
                <w:szCs w:val="15"/>
                <w:color w:val="0000EE"/>
                <w:w w:val="97"/>
              </w:rPr>
            </w:pPr>
            <w:hyperlink r:id="rId59">
              <w:r>
                <w:rPr>
                  <w:rFonts w:ascii="Times New Roman" w:cs="Times New Roman" w:eastAsia="Times New Roman" w:hAnsi="Times New Roman"/>
                  <w:sz w:val="15"/>
                  <w:szCs w:val="15"/>
                  <w:color w:val="0000EE"/>
                  <w:w w:val="97"/>
                </w:rPr>
                <w:t>Stock and Series F Convertible Preferred Stock, as filed with Secretary of State of Delaware, effective on October 24, 2022 (incorporated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17"/>
          </w:tcPr>
          <w:p>
            <w:pPr>
              <w:spacing w:after="0" w:line="156" w:lineRule="exact"/>
              <w:rPr>
                <w:rFonts w:ascii="Times New Roman" w:cs="Times New Roman" w:eastAsia="Times New Roman" w:hAnsi="Times New Roman"/>
                <w:sz w:val="15"/>
                <w:szCs w:val="15"/>
                <w:color w:val="0000EE"/>
              </w:rPr>
            </w:pPr>
            <w:hyperlink r:id="rId59">
              <w:r>
                <w:rPr>
                  <w:rFonts w:ascii="Times New Roman" w:cs="Times New Roman" w:eastAsia="Times New Roman" w:hAnsi="Times New Roman"/>
                  <w:sz w:val="15"/>
                  <w:szCs w:val="15"/>
                  <w:color w:val="0000EE"/>
                </w:rPr>
                <w:t>by reference to Exhibit 3.1 to our Current Report on Form 8-K filed with the SEC on October 24, 2022).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24"/>
                <w:szCs w:val="24"/>
                <w:color w:val="auto"/>
              </w:rPr>
            </w:pPr>
          </w:p>
        </w:tc>
        <w:tc>
          <w:tcPr>
            <w:tcW w:w="804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w w:val="97"/>
              </w:rPr>
            </w:pPr>
            <w:hyperlink r:id="rId60">
              <w:r>
                <w:rPr>
                  <w:rFonts w:ascii="Times New Roman" w:cs="Times New Roman" w:eastAsia="Times New Roman" w:hAnsi="Times New Roman"/>
                  <w:sz w:val="15"/>
                  <w:szCs w:val="15"/>
                  <w:color w:val="0000EE"/>
                  <w:w w:val="97"/>
                </w:rPr>
                <w:t>Amended and Restated Certificate of Incorporation of XWELL, Inc., effective on October 25, 2022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Borders>
              <w:bottom w:val="single" w:sz="8" w:color="0000EE"/>
            </w:tcBorders>
            <w:gridSpan w:val="3"/>
          </w:tcPr>
          <w:p>
            <w:pPr>
              <w:spacing w:after="0" w:line="156" w:lineRule="exact"/>
              <w:rPr>
                <w:rFonts w:ascii="Times New Roman" w:cs="Times New Roman" w:eastAsia="Times New Roman" w:hAnsi="Times New Roman"/>
                <w:sz w:val="15"/>
                <w:szCs w:val="15"/>
                <w:color w:val="0000EE"/>
                <w:w w:val="97"/>
              </w:rPr>
            </w:pPr>
            <w:hyperlink r:id="rId60">
              <w:r>
                <w:rPr>
                  <w:rFonts w:ascii="Times New Roman" w:cs="Times New Roman" w:eastAsia="Times New Roman" w:hAnsi="Times New Roman"/>
                  <w:sz w:val="15"/>
                  <w:szCs w:val="15"/>
                  <w:color w:val="0000EE"/>
                  <w:w w:val="97"/>
                </w:rPr>
                <w:t>3.</w:t>
              </w:r>
              <w:r>
                <w:rPr>
                  <w:rFonts w:ascii="Times New Roman" w:cs="Times New Roman" w:eastAsia="Times New Roman" w:hAnsi="Times New Roman"/>
                  <w:sz w:val="15"/>
                  <w:szCs w:val="15"/>
                  <w:u w:val="single" w:color="auto"/>
                  <w:color w:val="0000EE"/>
                  <w:w w:val="97"/>
                </w:rPr>
                <w:t>2</w:t>
              </w:r>
              <w:r>
                <w:rPr>
                  <w:rFonts w:ascii="Times New Roman" w:cs="Times New Roman" w:eastAsia="Times New Roman" w:hAnsi="Times New Roman"/>
                  <w:sz w:val="15"/>
                  <w:szCs w:val="15"/>
                  <w:color w:val="0000EE"/>
                  <w:w w:val="97"/>
                </w:rPr>
                <w:t xml:space="preserve"> to our Current Report on Form 8-K filed with the SEC on October 24, 2022.</w:t>
              </w:r>
            </w:hyperlink>
          </w:p>
        </w:tc>
        <w:tc>
          <w:tcPr>
            <w:tcW w:w="33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24"/>
                <w:szCs w:val="24"/>
                <w:color w:val="auto"/>
              </w:rPr>
            </w:pPr>
          </w:p>
        </w:tc>
        <w:tc>
          <w:tcPr>
            <w:tcW w:w="800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7"/>
              </w:rPr>
            </w:pPr>
            <w:hyperlink r:id="rId61">
              <w:r>
                <w:rPr>
                  <w:rFonts w:ascii="Times New Roman" w:cs="Times New Roman" w:eastAsia="Times New Roman" w:hAnsi="Times New Roman"/>
                  <w:sz w:val="15"/>
                  <w:szCs w:val="15"/>
                  <w:color w:val="0000EE"/>
                  <w:w w:val="97"/>
                </w:rPr>
                <w:t>Fourth Amended and Restated Bylaws of the Company, effective as of October 25, 2022 (incorporated by reference to Exhibit 3.3 to our</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17"/>
          </w:tcPr>
          <w:p>
            <w:pPr>
              <w:spacing w:after="0" w:line="156" w:lineRule="exact"/>
              <w:rPr>
                <w:rFonts w:ascii="Times New Roman" w:cs="Times New Roman" w:eastAsia="Times New Roman" w:hAnsi="Times New Roman"/>
                <w:sz w:val="15"/>
                <w:szCs w:val="15"/>
                <w:color w:val="0000EE"/>
              </w:rPr>
            </w:pPr>
            <w:hyperlink r:id="rId61">
              <w:r>
                <w:rPr>
                  <w:rFonts w:ascii="Times New Roman" w:cs="Times New Roman" w:eastAsia="Times New Roman" w:hAnsi="Times New Roman"/>
                  <w:sz w:val="15"/>
                  <w:szCs w:val="15"/>
                  <w:color w:val="0000EE"/>
                </w:rPr>
                <w:t>Current Report on Form 8-K filed with the SEC on October 24, 2022).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w w:val="97"/>
              </w:rPr>
            </w:pPr>
            <w:hyperlink r:id="rId62">
              <w:r>
                <w:rPr>
                  <w:rFonts w:ascii="Times New Roman" w:cs="Times New Roman" w:eastAsia="Times New Roman" w:hAnsi="Times New Roman"/>
                  <w:sz w:val="15"/>
                  <w:szCs w:val="15"/>
                  <w:color w:val="0000EE"/>
                  <w:w w:val="97"/>
                </w:rPr>
                <w:t>Certificate of Amendment to the Amended and Restated Certificate of Incorporation, effective as of September 27, 2023 (incorporated</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17"/>
          </w:tcPr>
          <w:p>
            <w:pPr>
              <w:spacing w:after="0" w:line="156" w:lineRule="exact"/>
              <w:rPr>
                <w:rFonts w:ascii="Times New Roman" w:cs="Times New Roman" w:eastAsia="Times New Roman" w:hAnsi="Times New Roman"/>
                <w:sz w:val="15"/>
                <w:szCs w:val="15"/>
                <w:color w:val="0000EE"/>
              </w:rPr>
            </w:pPr>
            <w:hyperlink r:id="rId62">
              <w:r>
                <w:rPr>
                  <w:rFonts w:ascii="Times New Roman" w:cs="Times New Roman" w:eastAsia="Times New Roman" w:hAnsi="Times New Roman"/>
                  <w:sz w:val="15"/>
                  <w:szCs w:val="15"/>
                  <w:color w:val="0000EE"/>
                </w:rPr>
                <w:t>by reference to Exhibit 3.1 to our Current Report on Form 8-K filed with the SEC on September 27, 2023).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24"/>
                <w:szCs w:val="24"/>
                <w:color w:val="auto"/>
              </w:rPr>
            </w:pPr>
          </w:p>
        </w:tc>
        <w:tc>
          <w:tcPr>
            <w:tcW w:w="8060" w:type="dxa"/>
            <w:vAlign w:val="bottom"/>
            <w:gridSpan w:val="17"/>
          </w:tcPr>
          <w:p>
            <w:pPr>
              <w:spacing w:after="0"/>
              <w:rPr>
                <w:rFonts w:ascii="Times New Roman" w:cs="Times New Roman" w:eastAsia="Times New Roman" w:hAnsi="Times New Roman"/>
                <w:sz w:val="15"/>
                <w:szCs w:val="15"/>
                <w:color w:val="0000EE"/>
                <w:w w:val="97"/>
              </w:rPr>
            </w:pPr>
            <w:hyperlink r:id="rId63">
              <w:r>
                <w:rPr>
                  <w:rFonts w:ascii="Times New Roman" w:cs="Times New Roman" w:eastAsia="Times New Roman" w:hAnsi="Times New Roman"/>
                  <w:sz w:val="15"/>
                  <w:szCs w:val="15"/>
                  <w:color w:val="0000EE"/>
                  <w:w w:val="97"/>
                </w:rPr>
                <w:t>Section 382 Rights Agreement, dated as of March 18, 2016, between Vringo, Inc. and American Stock Transfer &amp; Trust Company, LLC,</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0" w:type="dxa"/>
            <w:vAlign w:val="bottom"/>
            <w:tcBorders>
              <w:top w:val="single" w:sz="8" w:color="0000EE"/>
            </w:tcBorders>
            <w:gridSpan w:val="14"/>
          </w:tcPr>
          <w:p>
            <w:pPr>
              <w:spacing w:after="0" w:line="156" w:lineRule="exact"/>
              <w:rPr>
                <w:rFonts w:ascii="Times New Roman" w:cs="Times New Roman" w:eastAsia="Times New Roman" w:hAnsi="Times New Roman"/>
                <w:sz w:val="15"/>
                <w:szCs w:val="15"/>
                <w:color w:val="0000EE"/>
                <w:w w:val="98"/>
              </w:rPr>
            </w:pPr>
            <w:hyperlink r:id="rId63">
              <w:r>
                <w:rPr>
                  <w:rFonts w:ascii="Times New Roman" w:cs="Times New Roman" w:eastAsia="Times New Roman" w:hAnsi="Times New Roman"/>
                  <w:sz w:val="15"/>
                  <w:szCs w:val="15"/>
                  <w:color w:val="0000EE"/>
                  <w:w w:val="98"/>
                </w:rPr>
                <w:t>which includes the Form of Certificate of Designation of Series C Junior Participating Preferred Stock as Exhibit A, the Form of Right</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2"/>
            <w:shd w:val="clear" w:color="auto" w:fill="0000EE"/>
          </w:tcPr>
          <w:p>
            <w:pPr>
              <w:spacing w:after="0" w:line="20" w:lineRule="exact"/>
              <w:rPr>
                <w:sz w:val="1"/>
                <w:szCs w:val="1"/>
                <w:color w:val="auto"/>
              </w:rPr>
            </w:pPr>
          </w:p>
        </w:tc>
        <w:tc>
          <w:tcPr>
            <w:tcW w:w="3500" w:type="dxa"/>
            <w:vAlign w:val="bottom"/>
            <w:gridSpan w:val="9"/>
            <w:shd w:val="clear" w:color="auto" w:fill="0000EE"/>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17"/>
          </w:tcPr>
          <w:p>
            <w:pPr>
              <w:spacing w:after="0" w:line="156" w:lineRule="exact"/>
              <w:rPr>
                <w:rFonts w:ascii="Times New Roman" w:cs="Times New Roman" w:eastAsia="Times New Roman" w:hAnsi="Times New Roman"/>
                <w:sz w:val="15"/>
                <w:szCs w:val="15"/>
                <w:color w:val="0000EE"/>
                <w:w w:val="97"/>
              </w:rPr>
            </w:pPr>
            <w:hyperlink r:id="rId63">
              <w:r>
                <w:rPr>
                  <w:rFonts w:ascii="Times New Roman" w:cs="Times New Roman" w:eastAsia="Times New Roman" w:hAnsi="Times New Roman"/>
                  <w:sz w:val="15"/>
                  <w:szCs w:val="15"/>
                  <w:color w:val="0000EE"/>
                  <w:w w:val="97"/>
                </w:rPr>
                <w:t>Certificate as Exhibit B and the Summary of Rights to Purchase Preferred Stock as Exhibit C (incorporated by reference from Exhibit 4.1</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40" w:type="dxa"/>
            <w:vAlign w:val="bottom"/>
            <w:tcBorders>
              <w:top w:val="single" w:sz="8" w:color="0000EE"/>
            </w:tcBorders>
            <w:gridSpan w:val="16"/>
          </w:tcPr>
          <w:p>
            <w:pPr>
              <w:spacing w:after="0" w:line="156" w:lineRule="exact"/>
              <w:rPr>
                <w:rFonts w:ascii="Times New Roman" w:cs="Times New Roman" w:eastAsia="Times New Roman" w:hAnsi="Times New Roman"/>
                <w:sz w:val="15"/>
                <w:szCs w:val="15"/>
                <w:color w:val="0000EE"/>
              </w:rPr>
            </w:pPr>
            <w:hyperlink r:id="rId63">
              <w:r>
                <w:rPr>
                  <w:rFonts w:ascii="Times New Roman" w:cs="Times New Roman" w:eastAsia="Times New Roman" w:hAnsi="Times New Roman"/>
                  <w:sz w:val="15"/>
                  <w:szCs w:val="15"/>
                  <w:color w:val="0000EE"/>
                </w:rPr>
                <w:t>to our Current Report on Form 8-K filed with the SEC on March 21, 2016)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Borders>
              <w:top w:val="single" w:sz="8" w:color="0000EE"/>
            </w:tcBorders>
          </w:tcPr>
          <w:p>
            <w:pPr>
              <w:ind w:left="3520"/>
              <w:spacing w:after="0"/>
              <w:rPr>
                <w:sz w:val="20"/>
                <w:szCs w:val="20"/>
                <w:color w:val="auto"/>
              </w:rPr>
            </w:pPr>
            <w:r>
              <w:rPr>
                <w:rFonts w:ascii="Times New Roman" w:cs="Times New Roman" w:eastAsia="Times New Roman" w:hAnsi="Times New Roman"/>
                <w:sz w:val="15"/>
                <w:szCs w:val="15"/>
                <w:color w:val="auto"/>
              </w:rPr>
              <w:t>44</w:t>
            </w: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3"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700" w:type="dxa"/>
            <w:vAlign w:val="bottom"/>
            <w:vMerge w:val="restart"/>
          </w:tcPr>
          <w:p>
            <w:pPr>
              <w:ind w:left="2140"/>
              <w:spacing w:after="0"/>
              <w:rPr>
                <w:sz w:val="20"/>
                <w:szCs w:val="20"/>
                <w:color w:val="auto"/>
              </w:rPr>
            </w:pPr>
            <w:r>
              <w:rPr>
                <w:rFonts w:ascii="Times New Roman" w:cs="Times New Roman" w:eastAsia="Times New Roman" w:hAnsi="Times New Roman"/>
                <w:sz w:val="12"/>
                <w:szCs w:val="12"/>
                <w:b w:val="1"/>
                <w:bCs w:val="1"/>
                <w:color w:val="auto"/>
                <w:w w:val="90"/>
              </w:rPr>
              <w:t>Description</w:t>
            </w:r>
          </w:p>
        </w:tc>
        <w:tc>
          <w:tcPr>
            <w:tcW w:w="0" w:type="dxa"/>
            <w:vAlign w:val="bottom"/>
          </w:tcPr>
          <w:p>
            <w:pPr>
              <w:spacing w:after="0"/>
              <w:rPr>
                <w:sz w:val="1"/>
                <w:szCs w:val="1"/>
                <w:color w:val="auto"/>
              </w:rPr>
            </w:pP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0</wp:posOffset>
            </wp:positionV>
            <wp:extent cx="56718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671820" cy="6985"/>
                    </a:xfrm>
                    <a:prstGeom prst="rect">
                      <a:avLst/>
                    </a:prstGeom>
                    <a:noFill/>
                  </pic:spPr>
                </pic:pic>
              </a:graphicData>
            </a:graphic>
          </wp:anchor>
        </w:drawing>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4.2</w:t>
            </w:r>
          </w:p>
        </w:tc>
        <w:tc>
          <w:tcPr>
            <w:tcW w:w="770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7"/>
              </w:rPr>
            </w:pPr>
            <w:hyperlink r:id="rId65">
              <w:r>
                <w:rPr>
                  <w:rFonts w:ascii="Times New Roman" w:cs="Times New Roman" w:eastAsia="Times New Roman" w:hAnsi="Times New Roman"/>
                  <w:sz w:val="15"/>
                  <w:szCs w:val="15"/>
                  <w:color w:val="0000EE"/>
                  <w:w w:val="97"/>
                </w:rPr>
                <w:t>Amendment to Section 382 Rights Agreement, dated March 18, 2019, between the Company and American Stock Transfer &amp; Trust</w:t>
              </w:r>
            </w:hyperlink>
          </w:p>
        </w:tc>
        <w:tc>
          <w:tcPr>
            <w:tcW w:w="360" w:type="dxa"/>
            <w:vAlign w:val="bottom"/>
            <w:gridSpan w:val="10"/>
          </w:tcPr>
          <w:p>
            <w:pPr>
              <w:spacing w:after="0"/>
              <w:rPr>
                <w:sz w:val="15"/>
                <w:szCs w:val="15"/>
                <w:color w:val="auto"/>
              </w:rPr>
            </w:pPr>
          </w:p>
        </w:tc>
      </w:tr>
      <w:tr>
        <w:trPr>
          <w:trHeight w:val="156"/>
        </w:trPr>
        <w:tc>
          <w:tcPr>
            <w:tcW w:w="880" w:type="dxa"/>
            <w:vAlign w:val="bottom"/>
          </w:tcPr>
          <w:p>
            <w:pPr>
              <w:spacing w:after="0"/>
              <w:rPr>
                <w:sz w:val="13"/>
                <w:szCs w:val="13"/>
                <w:color w:val="auto"/>
              </w:rPr>
            </w:pPr>
          </w:p>
        </w:tc>
        <w:tc>
          <w:tcPr>
            <w:tcW w:w="8020" w:type="dxa"/>
            <w:vAlign w:val="bottom"/>
            <w:tcBorders>
              <w:bottom w:val="single" w:sz="8" w:color="0000EE"/>
            </w:tcBorders>
            <w:gridSpan w:val="22"/>
          </w:tcPr>
          <w:p>
            <w:pPr>
              <w:spacing w:after="0" w:line="156" w:lineRule="exact"/>
              <w:rPr>
                <w:rFonts w:ascii="Times New Roman" w:cs="Times New Roman" w:eastAsia="Times New Roman" w:hAnsi="Times New Roman"/>
                <w:sz w:val="15"/>
                <w:szCs w:val="15"/>
                <w:color w:val="0000EE"/>
                <w:w w:val="97"/>
              </w:rPr>
            </w:pPr>
            <w:hyperlink r:id="rId65">
              <w:r>
                <w:rPr>
                  <w:rFonts w:ascii="Times New Roman" w:cs="Times New Roman" w:eastAsia="Times New Roman" w:hAnsi="Times New Roman"/>
                  <w:sz w:val="15"/>
                  <w:szCs w:val="15"/>
                  <w:color w:val="0000EE"/>
                  <w:w w:val="97"/>
                </w:rPr>
                <w:t>Company, LLC (incorporated by reference from Exhibit 10.1 to our Current Report on Form 8-K filed with the SEC on March 22, 2019)</w:t>
              </w:r>
            </w:hyperlink>
          </w:p>
        </w:tc>
        <w:tc>
          <w:tcPr>
            <w:tcW w:w="40" w:type="dxa"/>
            <w:vAlign w:val="bottom"/>
            <w:gridSpan w:val="2"/>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7620" w:type="dxa"/>
            <w:vAlign w:val="bottom"/>
            <w:tcBorders>
              <w:bottom w:val="single" w:sz="8" w:color="0000EE"/>
            </w:tcBorders>
            <w:gridSpan w:val="13"/>
          </w:tcPr>
          <w:p>
            <w:pPr>
              <w:spacing w:after="0"/>
              <w:rPr>
                <w:rFonts w:ascii="Times New Roman" w:cs="Times New Roman" w:eastAsia="Times New Roman" w:hAnsi="Times New Roman"/>
                <w:sz w:val="15"/>
                <w:szCs w:val="15"/>
                <w:color w:val="0000EE"/>
                <w:w w:val="97"/>
              </w:rPr>
            </w:pPr>
            <w:hyperlink r:id="rId66">
              <w:r>
                <w:rPr>
                  <w:rFonts w:ascii="Times New Roman" w:cs="Times New Roman" w:eastAsia="Times New Roman" w:hAnsi="Times New Roman"/>
                  <w:sz w:val="15"/>
                  <w:szCs w:val="15"/>
                  <w:color w:val="0000EE"/>
                  <w:w w:val="97"/>
                </w:rPr>
                <w:t>Form of Warrant to Purchase Shares of Common Stock of FORM Holdings Corp. (incorporated by reference from Annex F to our</w:t>
              </w:r>
            </w:hyperlink>
          </w:p>
        </w:tc>
        <w:tc>
          <w:tcPr>
            <w:tcW w:w="440" w:type="dxa"/>
            <w:vAlign w:val="bottom"/>
            <w:gridSpan w:val="11"/>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4520" w:type="dxa"/>
            <w:vAlign w:val="bottom"/>
            <w:tcBorders>
              <w:bottom w:val="single" w:sz="8" w:color="0000EE"/>
            </w:tcBorders>
            <w:gridSpan w:val="12"/>
          </w:tcPr>
          <w:p>
            <w:pPr>
              <w:spacing w:after="0" w:line="156" w:lineRule="exact"/>
              <w:rPr>
                <w:rFonts w:ascii="Times New Roman" w:cs="Times New Roman" w:eastAsia="Times New Roman" w:hAnsi="Times New Roman"/>
                <w:sz w:val="15"/>
                <w:szCs w:val="15"/>
                <w:color w:val="0000EE"/>
                <w:w w:val="97"/>
              </w:rPr>
            </w:pPr>
            <w:hyperlink r:id="rId66">
              <w:r>
                <w:rPr>
                  <w:rFonts w:ascii="Times New Roman" w:cs="Times New Roman" w:eastAsia="Times New Roman" w:hAnsi="Times New Roman"/>
                  <w:sz w:val="15"/>
                  <w:szCs w:val="15"/>
                  <w:color w:val="0000EE"/>
                  <w:w w:val="97"/>
                </w:rPr>
                <w:t>Registration Statement on Form S-4 filed with the SEC on October 26, 2016)</w:t>
              </w:r>
            </w:hyperlink>
          </w:p>
        </w:tc>
        <w:tc>
          <w:tcPr>
            <w:tcW w:w="3540" w:type="dxa"/>
            <w:vAlign w:val="bottom"/>
            <w:gridSpan w:val="12"/>
          </w:tcPr>
          <w:p>
            <w:pPr>
              <w:spacing w:after="0"/>
              <w:rPr>
                <w:sz w:val="13"/>
                <w:szCs w:val="13"/>
                <w:color w:val="auto"/>
              </w:rPr>
            </w:pPr>
          </w:p>
        </w:tc>
      </w:tr>
      <w:tr>
        <w:trPr>
          <w:trHeight w:val="156"/>
        </w:trPr>
        <w:tc>
          <w:tcPr>
            <w:tcW w:w="8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4.4</w:t>
            </w:r>
          </w:p>
        </w:tc>
        <w:tc>
          <w:tcPr>
            <w:tcW w:w="8040" w:type="dxa"/>
            <w:vAlign w:val="bottom"/>
            <w:tcBorders>
              <w:bottom w:val="single" w:sz="8" w:color="0000EE"/>
            </w:tcBorders>
            <w:gridSpan w:val="23"/>
          </w:tcPr>
          <w:p>
            <w:pPr>
              <w:spacing w:after="0" w:line="156" w:lineRule="exact"/>
              <w:rPr>
                <w:rFonts w:ascii="Times New Roman" w:cs="Times New Roman" w:eastAsia="Times New Roman" w:hAnsi="Times New Roman"/>
                <w:sz w:val="15"/>
                <w:szCs w:val="15"/>
                <w:color w:val="0000EE"/>
                <w:w w:val="97"/>
              </w:rPr>
            </w:pPr>
            <w:hyperlink r:id="rId67">
              <w:r>
                <w:rPr>
                  <w:rFonts w:ascii="Times New Roman" w:cs="Times New Roman" w:eastAsia="Times New Roman" w:hAnsi="Times New Roman"/>
                  <w:sz w:val="15"/>
                  <w:szCs w:val="15"/>
                  <w:color w:val="0000EE"/>
                  <w:w w:val="97"/>
                </w:rPr>
                <w:t>Form of Secured Convertible Note (incorporated by reference from Exhibit 4.1 to our Quarterly Report on Form 10-Q filed with the SEC</w:t>
              </w:r>
            </w:hyperlink>
          </w:p>
        </w:tc>
        <w:tc>
          <w:tcPr>
            <w:tcW w:w="2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67">
              <w:r>
                <w:rPr>
                  <w:rFonts w:ascii="Times New Roman" w:cs="Times New Roman" w:eastAsia="Times New Roman" w:hAnsi="Times New Roman"/>
                  <w:sz w:val="15"/>
                  <w:szCs w:val="15"/>
                  <w:color w:val="0000EE"/>
                </w:rPr>
                <w:t>on May 15, 2018)</w:t>
              </w:r>
            </w:hyperlink>
          </w:p>
        </w:tc>
      </w:tr>
      <w:tr>
        <w:trPr>
          <w:trHeight w:val="20"/>
        </w:trPr>
        <w:tc>
          <w:tcPr>
            <w:tcW w:w="8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4.5</w:t>
            </w:r>
          </w:p>
        </w:tc>
        <w:tc>
          <w:tcPr>
            <w:tcW w:w="8060" w:type="dxa"/>
            <w:vAlign w:val="bottom"/>
            <w:gridSpan w:val="24"/>
          </w:tcPr>
          <w:p>
            <w:pPr>
              <w:spacing w:after="0"/>
              <w:rPr>
                <w:rFonts w:ascii="Times New Roman" w:cs="Times New Roman" w:eastAsia="Times New Roman" w:hAnsi="Times New Roman"/>
                <w:sz w:val="15"/>
                <w:szCs w:val="15"/>
                <w:color w:val="0000EE"/>
                <w:w w:val="98"/>
              </w:rPr>
            </w:pPr>
            <w:hyperlink r:id="rId68">
              <w:r>
                <w:rPr>
                  <w:rFonts w:ascii="Times New Roman" w:cs="Times New Roman" w:eastAsia="Times New Roman" w:hAnsi="Times New Roman"/>
                  <w:sz w:val="15"/>
                  <w:szCs w:val="15"/>
                  <w:color w:val="0000EE"/>
                  <w:w w:val="98"/>
                </w:rPr>
                <w:t>Amendment to Secured Convertible Note (incorporated by reference from Exhibit 4.1 to our Current Report on Form 8-K filed with the</w:t>
              </w:r>
            </w:hyperlink>
          </w:p>
        </w:tc>
      </w:tr>
      <w:tr>
        <w:trPr>
          <w:trHeight w:val="156"/>
        </w:trPr>
        <w:tc>
          <w:tcPr>
            <w:tcW w:w="880" w:type="dxa"/>
            <w:vAlign w:val="bottom"/>
          </w:tcPr>
          <w:p>
            <w:pPr>
              <w:spacing w:after="0"/>
              <w:rPr>
                <w:sz w:val="13"/>
                <w:szCs w:val="13"/>
                <w:color w:val="auto"/>
              </w:rPr>
            </w:pPr>
          </w:p>
        </w:tc>
        <w:tc>
          <w:tcPr>
            <w:tcW w:w="7940" w:type="dxa"/>
            <w:vAlign w:val="bottom"/>
            <w:tcBorders>
              <w:top w:val="single" w:sz="8" w:color="0000EE"/>
            </w:tcBorders>
            <w:gridSpan w:val="19"/>
          </w:tcPr>
          <w:p>
            <w:pPr>
              <w:spacing w:after="0" w:line="156" w:lineRule="exact"/>
              <w:rPr>
                <w:rFonts w:ascii="Times New Roman" w:cs="Times New Roman" w:eastAsia="Times New Roman" w:hAnsi="Times New Roman"/>
                <w:sz w:val="15"/>
                <w:szCs w:val="15"/>
                <w:color w:val="0000EE"/>
              </w:rPr>
            </w:pPr>
            <w:hyperlink r:id="rId68">
              <w:r>
                <w:rPr>
                  <w:rFonts w:ascii="Times New Roman" w:cs="Times New Roman" w:eastAsia="Times New Roman" w:hAnsi="Times New Roman"/>
                  <w:sz w:val="15"/>
                  <w:szCs w:val="15"/>
                  <w:color w:val="0000EE"/>
                </w:rPr>
                <w:t>SEC on June 27, 2019)</w:t>
              </w:r>
            </w:hyperlink>
          </w:p>
        </w:tc>
        <w:tc>
          <w:tcPr>
            <w:tcW w:w="120" w:type="dxa"/>
            <w:vAlign w:val="bottom"/>
            <w:gridSpan w:val="5"/>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4.6</w:t>
            </w:r>
          </w:p>
        </w:tc>
        <w:tc>
          <w:tcPr>
            <w:tcW w:w="8020" w:type="dxa"/>
            <w:vAlign w:val="bottom"/>
            <w:tcBorders>
              <w:bottom w:val="single" w:sz="8" w:color="0000EE"/>
            </w:tcBorders>
            <w:gridSpan w:val="22"/>
          </w:tcPr>
          <w:p>
            <w:pPr>
              <w:spacing w:after="0"/>
              <w:rPr>
                <w:rFonts w:ascii="Times New Roman" w:cs="Times New Roman" w:eastAsia="Times New Roman" w:hAnsi="Times New Roman"/>
                <w:sz w:val="15"/>
                <w:szCs w:val="15"/>
                <w:color w:val="0000EE"/>
                <w:w w:val="97"/>
              </w:rPr>
            </w:pPr>
            <w:hyperlink r:id="rId69">
              <w:r>
                <w:rPr>
                  <w:rFonts w:ascii="Times New Roman" w:cs="Times New Roman" w:eastAsia="Times New Roman" w:hAnsi="Times New Roman"/>
                  <w:sz w:val="15"/>
                  <w:szCs w:val="15"/>
                  <w:color w:val="0000EE"/>
                  <w:w w:val="97"/>
                </w:rPr>
                <w:t>Second Amended and Restated Convertible Promissory Note, dated as of July 8, 2019 (incorporated by reference from Exhibit 4.3 to our</w:t>
              </w:r>
            </w:hyperlink>
          </w:p>
        </w:tc>
        <w:tc>
          <w:tcPr>
            <w:tcW w:w="40" w:type="dxa"/>
            <w:vAlign w:val="bottom"/>
            <w:gridSpan w:val="2"/>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3800" w:type="dxa"/>
            <w:vAlign w:val="bottom"/>
            <w:tcBorders>
              <w:bottom w:val="single" w:sz="8" w:color="0000EE"/>
            </w:tcBorders>
            <w:gridSpan w:val="8"/>
          </w:tcPr>
          <w:p>
            <w:pPr>
              <w:spacing w:after="0" w:line="156" w:lineRule="exact"/>
              <w:rPr>
                <w:rFonts w:ascii="Times New Roman" w:cs="Times New Roman" w:eastAsia="Times New Roman" w:hAnsi="Times New Roman"/>
                <w:sz w:val="15"/>
                <w:szCs w:val="15"/>
                <w:color w:val="0000EE"/>
                <w:w w:val="97"/>
              </w:rPr>
            </w:pPr>
            <w:hyperlink r:id="rId69">
              <w:r>
                <w:rPr>
                  <w:rFonts w:ascii="Times New Roman" w:cs="Times New Roman" w:eastAsia="Times New Roman" w:hAnsi="Times New Roman"/>
                  <w:sz w:val="15"/>
                  <w:szCs w:val="15"/>
                  <w:color w:val="0000EE"/>
                  <w:w w:val="97"/>
                </w:rPr>
                <w:t>Current Report on Form 8-K filed with the SEC on July 8, 2019)</w:t>
              </w:r>
            </w:hyperlink>
          </w:p>
        </w:tc>
        <w:tc>
          <w:tcPr>
            <w:tcW w:w="4260" w:type="dxa"/>
            <w:vAlign w:val="bottom"/>
            <w:gridSpan w:val="16"/>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4.7</w:t>
            </w:r>
          </w:p>
        </w:tc>
        <w:tc>
          <w:tcPr>
            <w:tcW w:w="7900" w:type="dxa"/>
            <w:vAlign w:val="bottom"/>
            <w:tcBorders>
              <w:bottom w:val="single" w:sz="8" w:color="0000EE"/>
            </w:tcBorders>
            <w:gridSpan w:val="18"/>
          </w:tcPr>
          <w:p>
            <w:pPr>
              <w:spacing w:after="0"/>
              <w:rPr>
                <w:rFonts w:ascii="Times New Roman" w:cs="Times New Roman" w:eastAsia="Times New Roman" w:hAnsi="Times New Roman"/>
                <w:sz w:val="15"/>
                <w:szCs w:val="15"/>
                <w:color w:val="0000EE"/>
                <w:w w:val="97"/>
              </w:rPr>
            </w:pPr>
            <w:hyperlink r:id="rId70">
              <w:r>
                <w:rPr>
                  <w:rFonts w:ascii="Times New Roman" w:cs="Times New Roman" w:eastAsia="Times New Roman" w:hAnsi="Times New Roman"/>
                  <w:sz w:val="15"/>
                  <w:szCs w:val="15"/>
                  <w:color w:val="0000EE"/>
                  <w:w w:val="97"/>
                </w:rPr>
                <w:t>Third Amended and Restated Convertible Promissory Note, dated as of January 9, 2020 (incorporated by reference from Exhibit 4.1 to</w:t>
              </w:r>
            </w:hyperlink>
          </w:p>
        </w:tc>
        <w:tc>
          <w:tcPr>
            <w:tcW w:w="160" w:type="dxa"/>
            <w:vAlign w:val="bottom"/>
            <w:gridSpan w:val="6"/>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70">
              <w:r>
                <w:rPr>
                  <w:rFonts w:ascii="Times New Roman" w:cs="Times New Roman" w:eastAsia="Times New Roman" w:hAnsi="Times New Roman"/>
                  <w:sz w:val="15"/>
                  <w:szCs w:val="15"/>
                  <w:color w:val="0000EE"/>
                </w:rPr>
                <w:t>our Current Report on Form 8-K filed with the SEC on January 14, 2020)</w:t>
              </w:r>
            </w:hyperlink>
          </w:p>
        </w:tc>
      </w:tr>
      <w:tr>
        <w:trPr>
          <w:trHeight w:val="20"/>
        </w:trPr>
        <w:tc>
          <w:tcPr>
            <w:tcW w:w="88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4.8</w:t>
            </w:r>
          </w:p>
        </w:tc>
        <w:tc>
          <w:tcPr>
            <w:tcW w:w="8060" w:type="dxa"/>
            <w:vAlign w:val="bottom"/>
            <w:gridSpan w:val="24"/>
          </w:tcPr>
          <w:p>
            <w:pPr>
              <w:spacing w:after="0"/>
              <w:rPr>
                <w:rFonts w:ascii="Times New Roman" w:cs="Times New Roman" w:eastAsia="Times New Roman" w:hAnsi="Times New Roman"/>
                <w:sz w:val="15"/>
                <w:szCs w:val="15"/>
                <w:color w:val="0000EE"/>
                <w:w w:val="99"/>
              </w:rPr>
            </w:pPr>
            <w:hyperlink r:id="rId71">
              <w:r>
                <w:rPr>
                  <w:rFonts w:ascii="Times New Roman" w:cs="Times New Roman" w:eastAsia="Times New Roman" w:hAnsi="Times New Roman"/>
                  <w:sz w:val="15"/>
                  <w:szCs w:val="15"/>
                  <w:color w:val="0000EE"/>
                  <w:w w:val="99"/>
                </w:rPr>
                <w:t>Fourth Amended and Restated Convertible Promissory Note, dated as of March 6, 2020 (incorporated by reference from Exhibit 4.1 to</w:t>
              </w:r>
            </w:hyperlink>
          </w:p>
        </w:tc>
      </w:tr>
      <w:tr>
        <w:trPr>
          <w:trHeight w:val="156"/>
        </w:trPr>
        <w:tc>
          <w:tcPr>
            <w:tcW w:w="880" w:type="dxa"/>
            <w:vAlign w:val="bottom"/>
          </w:tcPr>
          <w:p>
            <w:pPr>
              <w:spacing w:after="0"/>
              <w:rPr>
                <w:sz w:val="13"/>
                <w:szCs w:val="13"/>
                <w:color w:val="auto"/>
              </w:rPr>
            </w:pPr>
          </w:p>
        </w:tc>
        <w:tc>
          <w:tcPr>
            <w:tcW w:w="4160" w:type="dxa"/>
            <w:vAlign w:val="bottom"/>
            <w:tcBorders>
              <w:top w:val="single" w:sz="8" w:color="0000EE"/>
              <w:bottom w:val="single" w:sz="8" w:color="0000EE"/>
            </w:tcBorders>
            <w:gridSpan w:val="10"/>
          </w:tcPr>
          <w:p>
            <w:pPr>
              <w:spacing w:after="0" w:line="156" w:lineRule="exact"/>
              <w:rPr>
                <w:rFonts w:ascii="Times New Roman" w:cs="Times New Roman" w:eastAsia="Times New Roman" w:hAnsi="Times New Roman"/>
                <w:sz w:val="15"/>
                <w:szCs w:val="15"/>
                <w:color w:val="0000EE"/>
                <w:w w:val="97"/>
              </w:rPr>
            </w:pPr>
            <w:hyperlink r:id="rId71">
              <w:r>
                <w:rPr>
                  <w:rFonts w:ascii="Times New Roman" w:cs="Times New Roman" w:eastAsia="Times New Roman" w:hAnsi="Times New Roman"/>
                  <w:sz w:val="15"/>
                  <w:szCs w:val="15"/>
                  <w:color w:val="0000EE"/>
                  <w:w w:val="97"/>
                </w:rPr>
                <w:t>our Current Report on Form 8-K filed with the SEC on March 6, 2020)</w:t>
              </w:r>
            </w:hyperlink>
          </w:p>
        </w:tc>
        <w:tc>
          <w:tcPr>
            <w:tcW w:w="3720" w:type="dxa"/>
            <w:vAlign w:val="bottom"/>
            <w:tcBorders>
              <w:top w:val="single" w:sz="8" w:color="0000EE"/>
            </w:tcBorders>
            <w:gridSpan w:val="7"/>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4.9</w:t>
            </w:r>
          </w:p>
        </w:tc>
        <w:tc>
          <w:tcPr>
            <w:tcW w:w="8060" w:type="dxa"/>
            <w:vAlign w:val="bottom"/>
            <w:gridSpan w:val="24"/>
          </w:tcPr>
          <w:p>
            <w:pPr>
              <w:spacing w:after="0"/>
              <w:rPr>
                <w:rFonts w:ascii="Times New Roman" w:cs="Times New Roman" w:eastAsia="Times New Roman" w:hAnsi="Times New Roman"/>
                <w:sz w:val="15"/>
                <w:szCs w:val="15"/>
                <w:color w:val="0000EE"/>
                <w:w w:val="99"/>
              </w:rPr>
            </w:pPr>
            <w:hyperlink r:id="rId72">
              <w:r>
                <w:rPr>
                  <w:rFonts w:ascii="Times New Roman" w:cs="Times New Roman" w:eastAsia="Times New Roman" w:hAnsi="Times New Roman"/>
                  <w:sz w:val="15"/>
                  <w:szCs w:val="15"/>
                  <w:color w:val="0000EE"/>
                  <w:w w:val="99"/>
                </w:rPr>
                <w:t>Unsecured Convertible Note due May 31, 2022 (incorporated by reference to Exhibit 4.1 to our Current Report on Form 8-K filed with</w:t>
              </w:r>
            </w:hyperlink>
          </w:p>
        </w:tc>
      </w:tr>
      <w:tr>
        <w:trPr>
          <w:trHeight w:val="156"/>
        </w:trPr>
        <w:tc>
          <w:tcPr>
            <w:tcW w:w="880" w:type="dxa"/>
            <w:vAlign w:val="bottom"/>
          </w:tcPr>
          <w:p>
            <w:pPr>
              <w:spacing w:after="0"/>
              <w:rPr>
                <w:sz w:val="13"/>
                <w:szCs w:val="13"/>
                <w:color w:val="auto"/>
              </w:rPr>
            </w:pPr>
          </w:p>
        </w:tc>
        <w:tc>
          <w:tcPr>
            <w:tcW w:w="7900" w:type="dxa"/>
            <w:vAlign w:val="bottom"/>
            <w:tcBorders>
              <w:top w:val="single" w:sz="8" w:color="0000EE"/>
            </w:tcBorders>
            <w:gridSpan w:val="18"/>
          </w:tcPr>
          <w:p>
            <w:pPr>
              <w:spacing w:after="0" w:line="156" w:lineRule="exact"/>
              <w:rPr>
                <w:rFonts w:ascii="Times New Roman" w:cs="Times New Roman" w:eastAsia="Times New Roman" w:hAnsi="Times New Roman"/>
                <w:sz w:val="15"/>
                <w:szCs w:val="15"/>
                <w:color w:val="0000EE"/>
              </w:rPr>
            </w:pPr>
            <w:hyperlink r:id="rId72">
              <w:r>
                <w:rPr>
                  <w:rFonts w:ascii="Times New Roman" w:cs="Times New Roman" w:eastAsia="Times New Roman" w:hAnsi="Times New Roman"/>
                  <w:sz w:val="15"/>
                  <w:szCs w:val="15"/>
                  <w:color w:val="0000EE"/>
                </w:rPr>
                <w:t>the SEC on July 8, 2019)</w:t>
              </w:r>
            </w:hyperlink>
          </w:p>
        </w:tc>
        <w:tc>
          <w:tcPr>
            <w:tcW w:w="160" w:type="dxa"/>
            <w:vAlign w:val="bottom"/>
            <w:gridSpan w:val="6"/>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4.10</w:t>
            </w:r>
          </w:p>
        </w:tc>
        <w:tc>
          <w:tcPr>
            <w:tcW w:w="8000" w:type="dxa"/>
            <w:vAlign w:val="bottom"/>
            <w:tcBorders>
              <w:bottom w:val="single" w:sz="8" w:color="0000EE"/>
            </w:tcBorders>
            <w:gridSpan w:val="21"/>
          </w:tcPr>
          <w:p>
            <w:pPr>
              <w:spacing w:after="0"/>
              <w:rPr>
                <w:rFonts w:ascii="Times New Roman" w:cs="Times New Roman" w:eastAsia="Times New Roman" w:hAnsi="Times New Roman"/>
                <w:sz w:val="15"/>
                <w:szCs w:val="15"/>
                <w:color w:val="0000EE"/>
                <w:w w:val="97"/>
              </w:rPr>
            </w:pPr>
            <w:hyperlink r:id="rId73">
              <w:r>
                <w:rPr>
                  <w:rFonts w:ascii="Times New Roman" w:cs="Times New Roman" w:eastAsia="Times New Roman" w:hAnsi="Times New Roman"/>
                  <w:sz w:val="15"/>
                  <w:szCs w:val="15"/>
                  <w:color w:val="0000EE"/>
                  <w:w w:val="97"/>
                </w:rPr>
                <w:t>Warrant to Purchase Common Stock in favor of Calm.com, Inc., dated as of July 8, 2019 (incorporated by reference to Exhibit 4.2 to our</w:t>
              </w:r>
            </w:hyperlink>
          </w:p>
        </w:tc>
        <w:tc>
          <w:tcPr>
            <w:tcW w:w="60" w:type="dxa"/>
            <w:vAlign w:val="bottom"/>
            <w:gridSpan w:val="3"/>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73">
              <w:r>
                <w:rPr>
                  <w:rFonts w:ascii="Times New Roman" w:cs="Times New Roman" w:eastAsia="Times New Roman" w:hAnsi="Times New Roman"/>
                  <w:sz w:val="15"/>
                  <w:szCs w:val="15"/>
                  <w:color w:val="0000EE"/>
                </w:rPr>
                <w:t>Current Report on Form 8-K filed with the SEC on July 8, 2019)</w:t>
              </w:r>
            </w:hyperlink>
          </w:p>
        </w:tc>
      </w:tr>
      <w:tr>
        <w:trPr>
          <w:trHeight w:val="20"/>
        </w:trPr>
        <w:tc>
          <w:tcPr>
            <w:tcW w:w="88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4.11</w:t>
            </w:r>
          </w:p>
        </w:tc>
        <w:tc>
          <w:tcPr>
            <w:tcW w:w="770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7"/>
              </w:rPr>
            </w:pPr>
            <w:hyperlink r:id="rId74">
              <w:r>
                <w:rPr>
                  <w:rFonts w:ascii="Times New Roman" w:cs="Times New Roman" w:eastAsia="Times New Roman" w:hAnsi="Times New Roman"/>
                  <w:sz w:val="15"/>
                  <w:szCs w:val="15"/>
                  <w:color w:val="0000EE"/>
                  <w:w w:val="97"/>
                </w:rPr>
                <w:t>Form of Pre-Funded Warrant to Purchase Common Stock, dated March 19, 2020 (incorporated by reference from Exhibit 4.1 to our</w:t>
              </w:r>
            </w:hyperlink>
          </w:p>
        </w:tc>
        <w:tc>
          <w:tcPr>
            <w:tcW w:w="360" w:type="dxa"/>
            <w:vAlign w:val="bottom"/>
            <w:gridSpan w:val="10"/>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4000" w:type="dxa"/>
            <w:vAlign w:val="bottom"/>
            <w:tcBorders>
              <w:bottom w:val="single" w:sz="8" w:color="0000EE"/>
            </w:tcBorders>
            <w:gridSpan w:val="9"/>
          </w:tcPr>
          <w:p>
            <w:pPr>
              <w:spacing w:after="0" w:line="156" w:lineRule="exact"/>
              <w:rPr>
                <w:rFonts w:ascii="Times New Roman" w:cs="Times New Roman" w:eastAsia="Times New Roman" w:hAnsi="Times New Roman"/>
                <w:sz w:val="15"/>
                <w:szCs w:val="15"/>
                <w:color w:val="0000EE"/>
                <w:w w:val="96"/>
              </w:rPr>
            </w:pPr>
            <w:hyperlink r:id="rId74">
              <w:r>
                <w:rPr>
                  <w:rFonts w:ascii="Times New Roman" w:cs="Times New Roman" w:eastAsia="Times New Roman" w:hAnsi="Times New Roman"/>
                  <w:sz w:val="15"/>
                  <w:szCs w:val="15"/>
                  <w:color w:val="0000EE"/>
                  <w:w w:val="96"/>
                </w:rPr>
                <w:t>Current Report on Form 8-K filed with the SEC on March 19, 2020)</w:t>
              </w:r>
            </w:hyperlink>
          </w:p>
        </w:tc>
        <w:tc>
          <w:tcPr>
            <w:tcW w:w="4060" w:type="dxa"/>
            <w:vAlign w:val="bottom"/>
            <w:gridSpan w:val="15"/>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4.12</w:t>
            </w:r>
          </w:p>
        </w:tc>
        <w:tc>
          <w:tcPr>
            <w:tcW w:w="770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7"/>
              </w:rPr>
            </w:pPr>
            <w:hyperlink r:id="rId75">
              <w:r>
                <w:rPr>
                  <w:rFonts w:ascii="Times New Roman" w:cs="Times New Roman" w:eastAsia="Times New Roman" w:hAnsi="Times New Roman"/>
                  <w:sz w:val="15"/>
                  <w:szCs w:val="15"/>
                  <w:color w:val="0000EE"/>
                  <w:w w:val="97"/>
                </w:rPr>
                <w:t>Form of Pre-Funded Warrant to Purchase Common Stock, dated March 25, 2020 (incorporated by reference from Exhibit 4.1 to our</w:t>
              </w:r>
            </w:hyperlink>
          </w:p>
        </w:tc>
        <w:tc>
          <w:tcPr>
            <w:tcW w:w="360" w:type="dxa"/>
            <w:vAlign w:val="bottom"/>
            <w:gridSpan w:val="10"/>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4000" w:type="dxa"/>
            <w:vAlign w:val="bottom"/>
            <w:tcBorders>
              <w:bottom w:val="single" w:sz="8" w:color="0000EE"/>
            </w:tcBorders>
            <w:gridSpan w:val="9"/>
          </w:tcPr>
          <w:p>
            <w:pPr>
              <w:spacing w:after="0" w:line="156" w:lineRule="exact"/>
              <w:rPr>
                <w:rFonts w:ascii="Times New Roman" w:cs="Times New Roman" w:eastAsia="Times New Roman" w:hAnsi="Times New Roman"/>
                <w:sz w:val="15"/>
                <w:szCs w:val="15"/>
                <w:color w:val="0000EE"/>
                <w:w w:val="96"/>
              </w:rPr>
            </w:pPr>
            <w:hyperlink r:id="rId75">
              <w:r>
                <w:rPr>
                  <w:rFonts w:ascii="Times New Roman" w:cs="Times New Roman" w:eastAsia="Times New Roman" w:hAnsi="Times New Roman"/>
                  <w:sz w:val="15"/>
                  <w:szCs w:val="15"/>
                  <w:color w:val="0000EE"/>
                  <w:w w:val="96"/>
                </w:rPr>
                <w:t>Current Report on Form 8-K filed with the SEC on March 25, 2020)</w:t>
              </w:r>
            </w:hyperlink>
          </w:p>
        </w:tc>
        <w:tc>
          <w:tcPr>
            <w:tcW w:w="4060" w:type="dxa"/>
            <w:vAlign w:val="bottom"/>
            <w:gridSpan w:val="15"/>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4.13</w:t>
            </w:r>
          </w:p>
        </w:tc>
        <w:tc>
          <w:tcPr>
            <w:tcW w:w="770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7"/>
              </w:rPr>
            </w:pPr>
            <w:hyperlink r:id="rId76">
              <w:r>
                <w:rPr>
                  <w:rFonts w:ascii="Times New Roman" w:cs="Times New Roman" w:eastAsia="Times New Roman" w:hAnsi="Times New Roman"/>
                  <w:sz w:val="15"/>
                  <w:szCs w:val="15"/>
                  <w:color w:val="0000EE"/>
                  <w:w w:val="97"/>
                </w:rPr>
                <w:t>Form of Pre-Funded Warrant to Purchase Common Stock, dated March 27, 2020 (incorporated by reference from Exhibit 4.1 to our</w:t>
              </w:r>
            </w:hyperlink>
          </w:p>
        </w:tc>
        <w:tc>
          <w:tcPr>
            <w:tcW w:w="360" w:type="dxa"/>
            <w:vAlign w:val="bottom"/>
            <w:gridSpan w:val="10"/>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4000" w:type="dxa"/>
            <w:vAlign w:val="bottom"/>
            <w:tcBorders>
              <w:bottom w:val="single" w:sz="8" w:color="0000EE"/>
            </w:tcBorders>
            <w:gridSpan w:val="9"/>
          </w:tcPr>
          <w:p>
            <w:pPr>
              <w:spacing w:after="0" w:line="156" w:lineRule="exact"/>
              <w:rPr>
                <w:rFonts w:ascii="Times New Roman" w:cs="Times New Roman" w:eastAsia="Times New Roman" w:hAnsi="Times New Roman"/>
                <w:sz w:val="15"/>
                <w:szCs w:val="15"/>
                <w:color w:val="0000EE"/>
                <w:w w:val="96"/>
              </w:rPr>
            </w:pPr>
            <w:hyperlink r:id="rId76">
              <w:r>
                <w:rPr>
                  <w:rFonts w:ascii="Times New Roman" w:cs="Times New Roman" w:eastAsia="Times New Roman" w:hAnsi="Times New Roman"/>
                  <w:sz w:val="15"/>
                  <w:szCs w:val="15"/>
                  <w:color w:val="0000EE"/>
                  <w:w w:val="96"/>
                </w:rPr>
                <w:t>Current Report on Form 8-K filed with the SEC on March 27, 2020)</w:t>
              </w:r>
            </w:hyperlink>
          </w:p>
        </w:tc>
        <w:tc>
          <w:tcPr>
            <w:tcW w:w="4060" w:type="dxa"/>
            <w:vAlign w:val="bottom"/>
            <w:gridSpan w:val="15"/>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4.14</w:t>
            </w:r>
          </w:p>
        </w:tc>
        <w:tc>
          <w:tcPr>
            <w:tcW w:w="8040" w:type="dxa"/>
            <w:vAlign w:val="bottom"/>
            <w:tcBorders>
              <w:bottom w:val="single" w:sz="8" w:color="0000EE"/>
            </w:tcBorders>
            <w:gridSpan w:val="23"/>
          </w:tcPr>
          <w:p>
            <w:pPr>
              <w:spacing w:after="0"/>
              <w:rPr>
                <w:rFonts w:ascii="Times New Roman" w:cs="Times New Roman" w:eastAsia="Times New Roman" w:hAnsi="Times New Roman"/>
                <w:sz w:val="15"/>
                <w:szCs w:val="15"/>
                <w:color w:val="0000EE"/>
                <w:w w:val="97"/>
              </w:rPr>
            </w:pPr>
            <w:hyperlink r:id="rId77">
              <w:r>
                <w:rPr>
                  <w:rFonts w:ascii="Times New Roman" w:cs="Times New Roman" w:eastAsia="Times New Roman" w:hAnsi="Times New Roman"/>
                  <w:sz w:val="15"/>
                  <w:szCs w:val="15"/>
                  <w:color w:val="0000EE"/>
                  <w:w w:val="97"/>
                </w:rPr>
                <w:t>Form of Pre-Funded Warrant to Purchase Common Stock, dated April 6, 2020 (incorporated by reference from Exhibit 4.1 to our Current</w:t>
              </w:r>
            </w:hyperlink>
          </w:p>
        </w:tc>
        <w:tc>
          <w:tcPr>
            <w:tcW w:w="20" w:type="dxa"/>
            <w:vAlign w:val="bottom"/>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77">
              <w:r>
                <w:rPr>
                  <w:rFonts w:ascii="Times New Roman" w:cs="Times New Roman" w:eastAsia="Times New Roman" w:hAnsi="Times New Roman"/>
                  <w:sz w:val="15"/>
                  <w:szCs w:val="15"/>
                  <w:color w:val="0000EE"/>
                </w:rPr>
                <w:t>Report on Form 8-K filed with the SEC on April 7, 2020)</w:t>
              </w:r>
            </w:hyperlink>
          </w:p>
        </w:tc>
      </w:tr>
      <w:tr>
        <w:trPr>
          <w:trHeight w:val="20"/>
        </w:trPr>
        <w:tc>
          <w:tcPr>
            <w:tcW w:w="88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4.15</w:t>
            </w:r>
          </w:p>
        </w:tc>
        <w:tc>
          <w:tcPr>
            <w:tcW w:w="784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w w:val="97"/>
              </w:rPr>
            </w:pPr>
            <w:hyperlink r:id="rId78">
              <w:r>
                <w:rPr>
                  <w:rFonts w:ascii="Times New Roman" w:cs="Times New Roman" w:eastAsia="Times New Roman" w:hAnsi="Times New Roman"/>
                  <w:sz w:val="15"/>
                  <w:szCs w:val="15"/>
                  <w:color w:val="0000EE"/>
                  <w:w w:val="97"/>
                </w:rPr>
                <w:t>Description of the Registrant’s Securities (incorporated by reference from Exhibit 4.22 to our Annual Report on Form 10-K filed with</w:t>
              </w:r>
            </w:hyperlink>
          </w:p>
        </w:tc>
        <w:tc>
          <w:tcPr>
            <w:tcW w:w="220" w:type="dxa"/>
            <w:vAlign w:val="bottom"/>
            <w:gridSpan w:val="8"/>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78">
              <w:r>
                <w:rPr>
                  <w:rFonts w:ascii="Times New Roman" w:cs="Times New Roman" w:eastAsia="Times New Roman" w:hAnsi="Times New Roman"/>
                  <w:sz w:val="15"/>
                  <w:szCs w:val="15"/>
                  <w:color w:val="0000EE"/>
                </w:rPr>
                <w:t>the SEC on April 20, 2020)</w:t>
              </w:r>
            </w:hyperlink>
          </w:p>
        </w:tc>
      </w:tr>
      <w:tr>
        <w:trPr>
          <w:trHeight w:val="20"/>
        </w:trPr>
        <w:tc>
          <w:tcPr>
            <w:tcW w:w="88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900" w:type="dxa"/>
            <w:vAlign w:val="bottom"/>
            <w:gridSpan w:val="1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4.16</w:t>
            </w:r>
          </w:p>
        </w:tc>
        <w:tc>
          <w:tcPr>
            <w:tcW w:w="7720" w:type="dxa"/>
            <w:vAlign w:val="bottom"/>
            <w:tcBorders>
              <w:bottom w:val="single" w:sz="8" w:color="0000EE"/>
            </w:tcBorders>
            <w:gridSpan w:val="15"/>
          </w:tcPr>
          <w:p>
            <w:pPr>
              <w:spacing w:after="0"/>
              <w:rPr>
                <w:rFonts w:ascii="Times New Roman" w:cs="Times New Roman" w:eastAsia="Times New Roman" w:hAnsi="Times New Roman"/>
                <w:sz w:val="15"/>
                <w:szCs w:val="15"/>
                <w:color w:val="0000EE"/>
                <w:w w:val="97"/>
              </w:rPr>
            </w:pPr>
            <w:hyperlink r:id="rId79">
              <w:r>
                <w:rPr>
                  <w:rFonts w:ascii="Times New Roman" w:cs="Times New Roman" w:eastAsia="Times New Roman" w:hAnsi="Times New Roman"/>
                  <w:sz w:val="15"/>
                  <w:szCs w:val="15"/>
                  <w:color w:val="0000EE"/>
                  <w:w w:val="97"/>
                </w:rPr>
                <w:t>Amended and Restated Calm Note, dated as of April 17, 2020 (incorporated by reference from Exhibit 4.1 to our Current Report on</w:t>
              </w:r>
            </w:hyperlink>
          </w:p>
        </w:tc>
        <w:tc>
          <w:tcPr>
            <w:tcW w:w="340" w:type="dxa"/>
            <w:vAlign w:val="bottom"/>
            <w:gridSpan w:val="9"/>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79">
              <w:r>
                <w:rPr>
                  <w:rFonts w:ascii="Times New Roman" w:cs="Times New Roman" w:eastAsia="Times New Roman" w:hAnsi="Times New Roman"/>
                  <w:sz w:val="15"/>
                  <w:szCs w:val="15"/>
                  <w:color w:val="0000EE"/>
                </w:rPr>
                <w:t>Form 8-K filed with the SEC on April 17, 2020).</w:t>
              </w:r>
            </w:hyperlink>
          </w:p>
        </w:tc>
      </w:tr>
      <w:tr>
        <w:trPr>
          <w:trHeight w:val="20"/>
        </w:trPr>
        <w:tc>
          <w:tcPr>
            <w:tcW w:w="880" w:type="dxa"/>
            <w:vAlign w:val="bottom"/>
          </w:tcPr>
          <w:p>
            <w:pPr>
              <w:spacing w:after="0" w:line="20" w:lineRule="exact"/>
              <w:rPr>
                <w:sz w:val="1"/>
                <w:szCs w:val="1"/>
                <w:color w:val="auto"/>
              </w:rPr>
            </w:pPr>
          </w:p>
        </w:tc>
        <w:tc>
          <w:tcPr>
            <w:tcW w:w="2820" w:type="dxa"/>
            <w:vAlign w:val="bottom"/>
            <w:tcBorders>
              <w:right w:val="single" w:sz="8" w:color="0000EE"/>
            </w:tcBorders>
            <w:gridSpan w:val="5"/>
            <w:shd w:val="clear" w:color="auto" w:fill="0000EE"/>
          </w:tcPr>
          <w:p>
            <w:pPr>
              <w:spacing w:after="0" w:line="20" w:lineRule="exact"/>
              <w:rPr>
                <w:sz w:val="1"/>
                <w:szCs w:val="1"/>
                <w:color w:val="auto"/>
              </w:rPr>
            </w:pPr>
          </w:p>
        </w:tc>
        <w:tc>
          <w:tcPr>
            <w:tcW w:w="5140" w:type="dxa"/>
            <w:vAlign w:val="bottom"/>
            <w:tcBorders>
              <w:left w:val="single" w:sz="8" w:color="0000EE"/>
            </w:tcBorders>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4.17</w:t>
            </w:r>
          </w:p>
        </w:tc>
        <w:tc>
          <w:tcPr>
            <w:tcW w:w="7720" w:type="dxa"/>
            <w:vAlign w:val="bottom"/>
            <w:tcBorders>
              <w:bottom w:val="single" w:sz="8" w:color="0000EE"/>
            </w:tcBorders>
            <w:gridSpan w:val="15"/>
          </w:tcPr>
          <w:p>
            <w:pPr>
              <w:spacing w:after="0"/>
              <w:rPr>
                <w:rFonts w:ascii="Times New Roman" w:cs="Times New Roman" w:eastAsia="Times New Roman" w:hAnsi="Times New Roman"/>
                <w:sz w:val="15"/>
                <w:szCs w:val="15"/>
                <w:color w:val="0000EE"/>
                <w:w w:val="97"/>
              </w:rPr>
            </w:pPr>
            <w:hyperlink r:id="rId80">
              <w:r>
                <w:rPr>
                  <w:rFonts w:ascii="Times New Roman" w:cs="Times New Roman" w:eastAsia="Times New Roman" w:hAnsi="Times New Roman"/>
                  <w:sz w:val="15"/>
                  <w:szCs w:val="15"/>
                  <w:color w:val="0000EE"/>
                  <w:w w:val="97"/>
                </w:rPr>
                <w:t>Amended and Restated Calm Note, dated as of April 22, 2020 (incorporated by reference from Exhibit 4.1 to our Current Report on</w:t>
              </w:r>
            </w:hyperlink>
          </w:p>
        </w:tc>
        <w:tc>
          <w:tcPr>
            <w:tcW w:w="340" w:type="dxa"/>
            <w:vAlign w:val="bottom"/>
            <w:gridSpan w:val="9"/>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80">
              <w:r>
                <w:rPr>
                  <w:rFonts w:ascii="Times New Roman" w:cs="Times New Roman" w:eastAsia="Times New Roman" w:hAnsi="Times New Roman"/>
                  <w:sz w:val="15"/>
                  <w:szCs w:val="15"/>
                  <w:color w:val="0000EE"/>
                </w:rPr>
                <w:t>Form 8-K filed with the SEC on April 24, 2020)</w:t>
              </w:r>
            </w:hyperlink>
          </w:p>
        </w:tc>
      </w:tr>
      <w:tr>
        <w:trPr>
          <w:trHeight w:val="20"/>
        </w:trPr>
        <w:tc>
          <w:tcPr>
            <w:tcW w:w="880" w:type="dxa"/>
            <w:vAlign w:val="bottom"/>
          </w:tcPr>
          <w:p>
            <w:pPr>
              <w:spacing w:after="0" w:line="20" w:lineRule="exact"/>
              <w:rPr>
                <w:sz w:val="1"/>
                <w:szCs w:val="1"/>
                <w:color w:val="auto"/>
              </w:rPr>
            </w:pPr>
          </w:p>
        </w:tc>
        <w:tc>
          <w:tcPr>
            <w:tcW w:w="2820" w:type="dxa"/>
            <w:vAlign w:val="bottom"/>
            <w:tcBorders>
              <w:right w:val="single" w:sz="8" w:color="0000EE"/>
            </w:tcBorders>
            <w:gridSpan w:val="5"/>
            <w:shd w:val="clear" w:color="auto" w:fill="0000EE"/>
          </w:tcPr>
          <w:p>
            <w:pPr>
              <w:spacing w:after="0" w:line="20" w:lineRule="exact"/>
              <w:rPr>
                <w:sz w:val="1"/>
                <w:szCs w:val="1"/>
                <w:color w:val="auto"/>
              </w:rPr>
            </w:pPr>
          </w:p>
        </w:tc>
        <w:tc>
          <w:tcPr>
            <w:tcW w:w="514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4.18</w:t>
            </w:r>
          </w:p>
        </w:tc>
        <w:tc>
          <w:tcPr>
            <w:tcW w:w="8060" w:type="dxa"/>
            <w:vAlign w:val="bottom"/>
            <w:gridSpan w:val="24"/>
          </w:tcPr>
          <w:p>
            <w:pPr>
              <w:spacing w:after="0"/>
              <w:rPr>
                <w:rFonts w:ascii="Times New Roman" w:cs="Times New Roman" w:eastAsia="Times New Roman" w:hAnsi="Times New Roman"/>
                <w:sz w:val="15"/>
                <w:szCs w:val="15"/>
                <w:color w:val="0000EE"/>
                <w:w w:val="98"/>
              </w:rPr>
            </w:pPr>
            <w:hyperlink r:id="rId81">
              <w:r>
                <w:rPr>
                  <w:rFonts w:ascii="Times New Roman" w:cs="Times New Roman" w:eastAsia="Times New Roman" w:hAnsi="Times New Roman"/>
                  <w:sz w:val="15"/>
                  <w:szCs w:val="15"/>
                  <w:color w:val="0000EE"/>
                  <w:w w:val="98"/>
                </w:rPr>
                <w:t>Form of Warrant to Purchase Common Stock, dated June 17, 2020 (incorporated by reference from Exhibit 4.1 to our Current Report on</w:t>
              </w:r>
            </w:hyperlink>
          </w:p>
        </w:tc>
      </w:tr>
      <w:tr>
        <w:trPr>
          <w:trHeight w:val="156"/>
        </w:trPr>
        <w:tc>
          <w:tcPr>
            <w:tcW w:w="880" w:type="dxa"/>
            <w:vAlign w:val="bottom"/>
          </w:tcPr>
          <w:p>
            <w:pPr>
              <w:spacing w:after="0"/>
              <w:rPr>
                <w:sz w:val="13"/>
                <w:szCs w:val="13"/>
                <w:color w:val="auto"/>
              </w:rPr>
            </w:pPr>
          </w:p>
        </w:tc>
        <w:tc>
          <w:tcPr>
            <w:tcW w:w="7960" w:type="dxa"/>
            <w:vAlign w:val="bottom"/>
            <w:tcBorders>
              <w:top w:val="single" w:sz="8" w:color="0000EE"/>
            </w:tcBorders>
            <w:gridSpan w:val="20"/>
          </w:tcPr>
          <w:p>
            <w:pPr>
              <w:spacing w:after="0" w:line="156" w:lineRule="exact"/>
              <w:rPr>
                <w:rFonts w:ascii="Times New Roman" w:cs="Times New Roman" w:eastAsia="Times New Roman" w:hAnsi="Times New Roman"/>
                <w:sz w:val="15"/>
                <w:szCs w:val="15"/>
                <w:color w:val="0000EE"/>
              </w:rPr>
            </w:pPr>
            <w:hyperlink r:id="rId81">
              <w:r>
                <w:rPr>
                  <w:rFonts w:ascii="Times New Roman" w:cs="Times New Roman" w:eastAsia="Times New Roman" w:hAnsi="Times New Roman"/>
                  <w:sz w:val="15"/>
                  <w:szCs w:val="15"/>
                  <w:color w:val="0000EE"/>
                </w:rPr>
                <w:t>Form 8-K filed with the SEC on June 17, 2020)</w:t>
              </w:r>
            </w:hyperlink>
          </w:p>
        </w:tc>
        <w:tc>
          <w:tcPr>
            <w:tcW w:w="100" w:type="dxa"/>
            <w:vAlign w:val="bottom"/>
            <w:gridSpan w:val="4"/>
          </w:tcPr>
          <w:p>
            <w:pPr>
              <w:spacing w:after="0"/>
              <w:rPr>
                <w:sz w:val="13"/>
                <w:szCs w:val="13"/>
                <w:color w:val="auto"/>
              </w:rPr>
            </w:pPr>
          </w:p>
        </w:tc>
      </w:tr>
      <w:tr>
        <w:trPr>
          <w:trHeight w:val="716"/>
        </w:trPr>
        <w:tc>
          <w:tcPr>
            <w:tcW w:w="880" w:type="dxa"/>
            <w:vAlign w:val="bottom"/>
          </w:tcPr>
          <w:p>
            <w:pPr>
              <w:spacing w:after="0"/>
              <w:rPr>
                <w:sz w:val="24"/>
                <w:szCs w:val="24"/>
                <w:color w:val="auto"/>
              </w:rPr>
            </w:pPr>
          </w:p>
        </w:tc>
        <w:tc>
          <w:tcPr>
            <w:tcW w:w="2820" w:type="dxa"/>
            <w:vAlign w:val="bottom"/>
            <w:tcBorders>
              <w:top w:val="single" w:sz="8" w:color="0000EE"/>
            </w:tcBorders>
            <w:gridSpan w:val="5"/>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920" w:type="dxa"/>
            <w:vAlign w:val="bottom"/>
            <w:gridSpan w:val="22"/>
            <w:vMerge w:val="restart"/>
          </w:tcPr>
          <w:p>
            <w:pPr>
              <w:ind w:left="6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gridSpan w:val="2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tcPr>
          <w:p>
            <w:pPr>
              <w:spacing w:after="0"/>
              <w:rPr>
                <w:sz w:val="24"/>
                <w:szCs w:val="24"/>
                <w:color w:val="auto"/>
              </w:rPr>
            </w:pPr>
          </w:p>
        </w:tc>
        <w:tc>
          <w:tcPr>
            <w:tcW w:w="7920" w:type="dxa"/>
            <w:vAlign w:val="bottom"/>
            <w:tcBorders>
              <w:bottom w:val="single" w:sz="8" w:color="0000EE"/>
            </w:tcBorders>
            <w:gridSpan w:val="21"/>
          </w:tcPr>
          <w:p>
            <w:pPr>
              <w:spacing w:after="0"/>
              <w:rPr>
                <w:rFonts w:ascii="Times New Roman" w:cs="Times New Roman" w:eastAsia="Times New Roman" w:hAnsi="Times New Roman"/>
                <w:sz w:val="15"/>
                <w:szCs w:val="15"/>
                <w:color w:val="0000EE"/>
                <w:w w:val="97"/>
              </w:rPr>
            </w:pPr>
            <w:hyperlink r:id="rId82">
              <w:r>
                <w:rPr>
                  <w:rFonts w:ascii="Times New Roman" w:cs="Times New Roman" w:eastAsia="Times New Roman" w:hAnsi="Times New Roman"/>
                  <w:sz w:val="15"/>
                  <w:szCs w:val="15"/>
                  <w:color w:val="0000EE"/>
                  <w:w w:val="97"/>
                </w:rPr>
                <w:t>Form of Placement Agent Warrant to Purchase Common Stock, dated June 17, 2020 (incorporated by reference from Exhibit 4.2 to our</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6"/>
          </w:tcPr>
          <w:p>
            <w:pPr>
              <w:spacing w:after="0" w:line="156" w:lineRule="exact"/>
              <w:rPr>
                <w:rFonts w:ascii="Times New Roman" w:cs="Times New Roman" w:eastAsia="Times New Roman" w:hAnsi="Times New Roman"/>
                <w:sz w:val="15"/>
                <w:szCs w:val="15"/>
                <w:color w:val="0000EE"/>
              </w:rPr>
            </w:pPr>
            <w:hyperlink r:id="rId82">
              <w:r>
                <w:rPr>
                  <w:rFonts w:ascii="Times New Roman" w:cs="Times New Roman" w:eastAsia="Times New Roman" w:hAnsi="Times New Roman"/>
                  <w:sz w:val="15"/>
                  <w:szCs w:val="15"/>
                  <w:color w:val="0000EE"/>
                </w:rPr>
                <w:t>Current Report on Form 8-K filed with the SEC on June 17,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4.20</w:t>
            </w:r>
          </w:p>
        </w:tc>
        <w:tc>
          <w:tcPr>
            <w:tcW w:w="100" w:type="dxa"/>
            <w:vAlign w:val="bottom"/>
          </w:tcPr>
          <w:p>
            <w:pPr>
              <w:spacing w:after="0"/>
              <w:rPr>
                <w:sz w:val="24"/>
                <w:szCs w:val="24"/>
                <w:color w:val="auto"/>
              </w:rPr>
            </w:pPr>
          </w:p>
        </w:tc>
        <w:tc>
          <w:tcPr>
            <w:tcW w:w="7960" w:type="dxa"/>
            <w:vAlign w:val="bottom"/>
            <w:tcBorders>
              <w:bottom w:val="single" w:sz="8" w:color="0000EE"/>
            </w:tcBorders>
            <w:gridSpan w:val="23"/>
          </w:tcPr>
          <w:p>
            <w:pPr>
              <w:spacing w:after="0"/>
              <w:rPr>
                <w:rFonts w:ascii="Times New Roman" w:cs="Times New Roman" w:eastAsia="Times New Roman" w:hAnsi="Times New Roman"/>
                <w:sz w:val="15"/>
                <w:szCs w:val="15"/>
                <w:color w:val="0000EE"/>
                <w:w w:val="97"/>
              </w:rPr>
            </w:pPr>
            <w:hyperlink r:id="rId83">
              <w:r>
                <w:rPr>
                  <w:rFonts w:ascii="Times New Roman" w:cs="Times New Roman" w:eastAsia="Times New Roman" w:hAnsi="Times New Roman"/>
                  <w:sz w:val="15"/>
                  <w:szCs w:val="15"/>
                  <w:color w:val="0000EE"/>
                  <w:w w:val="97"/>
                </w:rPr>
                <w:t>Form of Warrant to Purchase Common Stock, dated August 25, 2020 (incorporated by reference from Exhibit 4.1 to our Current Report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6"/>
          </w:tcPr>
          <w:p>
            <w:pPr>
              <w:spacing w:after="0" w:line="156" w:lineRule="exact"/>
              <w:rPr>
                <w:rFonts w:ascii="Times New Roman" w:cs="Times New Roman" w:eastAsia="Times New Roman" w:hAnsi="Times New Roman"/>
                <w:sz w:val="15"/>
                <w:szCs w:val="15"/>
                <w:color w:val="0000EE"/>
              </w:rPr>
            </w:pPr>
            <w:hyperlink r:id="rId83">
              <w:r>
                <w:rPr>
                  <w:rFonts w:ascii="Times New Roman" w:cs="Times New Roman" w:eastAsia="Times New Roman" w:hAnsi="Times New Roman"/>
                  <w:sz w:val="15"/>
                  <w:szCs w:val="15"/>
                  <w:color w:val="0000EE"/>
                </w:rPr>
                <w:t>on Form 8-K filed with the SEC on August 28,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tcPr>
          <w:p>
            <w:pPr>
              <w:spacing w:after="0"/>
              <w:rPr>
                <w:sz w:val="24"/>
                <w:szCs w:val="24"/>
                <w:color w:val="auto"/>
              </w:rPr>
            </w:pPr>
          </w:p>
        </w:tc>
        <w:tc>
          <w:tcPr>
            <w:tcW w:w="8060" w:type="dxa"/>
            <w:vAlign w:val="bottom"/>
            <w:gridSpan w:val="26"/>
          </w:tcPr>
          <w:p>
            <w:pPr>
              <w:spacing w:after="0"/>
              <w:rPr>
                <w:rFonts w:ascii="Times New Roman" w:cs="Times New Roman" w:eastAsia="Times New Roman" w:hAnsi="Times New Roman"/>
                <w:sz w:val="15"/>
                <w:szCs w:val="15"/>
                <w:color w:val="0000EE"/>
              </w:rPr>
            </w:pPr>
            <w:hyperlink r:id="rId84">
              <w:r>
                <w:rPr>
                  <w:rFonts w:ascii="Times New Roman" w:cs="Times New Roman" w:eastAsia="Times New Roman" w:hAnsi="Times New Roman"/>
                  <w:sz w:val="15"/>
                  <w:szCs w:val="15"/>
                  <w:color w:val="0000EE"/>
                </w:rPr>
                <w:t>Form of Pre-Funded Warrant to Purchase Common Stock, dated August 25, 2020 (incorporated by reference from Exhibit 4.2 to our</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740" w:type="dxa"/>
            <w:vAlign w:val="bottom"/>
            <w:tcBorders>
              <w:top w:val="single" w:sz="8" w:color="0000EE"/>
            </w:tcBorders>
            <w:gridSpan w:val="16"/>
          </w:tcPr>
          <w:p>
            <w:pPr>
              <w:spacing w:after="0" w:line="156" w:lineRule="exact"/>
              <w:rPr>
                <w:rFonts w:ascii="Times New Roman" w:cs="Times New Roman" w:eastAsia="Times New Roman" w:hAnsi="Times New Roman"/>
                <w:sz w:val="15"/>
                <w:szCs w:val="15"/>
                <w:color w:val="0000EE"/>
              </w:rPr>
            </w:pPr>
            <w:hyperlink r:id="rId84">
              <w:r>
                <w:rPr>
                  <w:rFonts w:ascii="Times New Roman" w:cs="Times New Roman" w:eastAsia="Times New Roman" w:hAnsi="Times New Roman"/>
                  <w:sz w:val="15"/>
                  <w:szCs w:val="15"/>
                  <w:color w:val="0000EE"/>
                </w:rPr>
                <w:t>Current Report on Form 8-K filed with the SEC on August 28, 2020)</w:t>
              </w:r>
            </w:hyperlink>
          </w:p>
        </w:tc>
        <w:tc>
          <w:tcPr>
            <w:tcW w:w="3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4.22</w:t>
            </w:r>
          </w:p>
        </w:tc>
        <w:tc>
          <w:tcPr>
            <w:tcW w:w="100" w:type="dxa"/>
            <w:vAlign w:val="bottom"/>
          </w:tcPr>
          <w:p>
            <w:pPr>
              <w:spacing w:after="0"/>
              <w:rPr>
                <w:sz w:val="13"/>
                <w:szCs w:val="13"/>
                <w:color w:val="auto"/>
              </w:rPr>
            </w:pPr>
          </w:p>
        </w:tc>
        <w:tc>
          <w:tcPr>
            <w:tcW w:w="8060" w:type="dxa"/>
            <w:vAlign w:val="bottom"/>
            <w:gridSpan w:val="26"/>
          </w:tcPr>
          <w:p>
            <w:pPr>
              <w:spacing w:after="0" w:line="156" w:lineRule="exact"/>
              <w:rPr>
                <w:rFonts w:ascii="Times New Roman" w:cs="Times New Roman" w:eastAsia="Times New Roman" w:hAnsi="Times New Roman"/>
                <w:sz w:val="15"/>
                <w:szCs w:val="15"/>
                <w:color w:val="0000EE"/>
                <w:w w:val="99"/>
              </w:rPr>
            </w:pPr>
            <w:hyperlink r:id="rId85">
              <w:r>
                <w:rPr>
                  <w:rFonts w:ascii="Times New Roman" w:cs="Times New Roman" w:eastAsia="Times New Roman" w:hAnsi="Times New Roman"/>
                  <w:sz w:val="15"/>
                  <w:szCs w:val="15"/>
                  <w:color w:val="0000EE"/>
                  <w:w w:val="99"/>
                </w:rPr>
                <w:t>Form of Placement Agent Warrant to Purchase Common Stock, dated August 25, 2020 (incorporated by reference from Exhibit 4.3 to</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80" w:type="dxa"/>
            <w:vAlign w:val="bottom"/>
            <w:tcBorders>
              <w:top w:val="single" w:sz="8" w:color="0000EE"/>
              <w:bottom w:val="single" w:sz="8" w:color="0000EE"/>
            </w:tcBorders>
            <w:gridSpan w:val="7"/>
          </w:tcPr>
          <w:p>
            <w:pPr>
              <w:spacing w:after="0" w:line="156" w:lineRule="exact"/>
              <w:rPr>
                <w:rFonts w:ascii="Times New Roman" w:cs="Times New Roman" w:eastAsia="Times New Roman" w:hAnsi="Times New Roman"/>
                <w:sz w:val="15"/>
                <w:szCs w:val="15"/>
                <w:color w:val="0000EE"/>
                <w:w w:val="97"/>
              </w:rPr>
            </w:pPr>
            <w:hyperlink r:id="rId85">
              <w:r>
                <w:rPr>
                  <w:rFonts w:ascii="Times New Roman" w:cs="Times New Roman" w:eastAsia="Times New Roman" w:hAnsi="Times New Roman"/>
                  <w:sz w:val="15"/>
                  <w:szCs w:val="15"/>
                  <w:color w:val="0000EE"/>
                  <w:w w:val="97"/>
                </w:rPr>
                <w:t>our Current Report on Form 8-K filed with the SEC on August 28, 2020)</w:t>
              </w:r>
            </w:hyperlink>
          </w:p>
        </w:tc>
        <w:tc>
          <w:tcPr>
            <w:tcW w:w="3540" w:type="dxa"/>
            <w:vAlign w:val="bottom"/>
            <w:tcBorders>
              <w:top w:val="single" w:sz="8" w:color="0000EE"/>
            </w:tcBorders>
            <w:gridSpan w:val="11"/>
          </w:tcPr>
          <w:p>
            <w:pPr>
              <w:spacing w:after="0"/>
              <w:rPr>
                <w:sz w:val="13"/>
                <w:szCs w:val="13"/>
                <w:color w:val="auto"/>
              </w:rPr>
            </w:pPr>
          </w:p>
        </w:tc>
        <w:tc>
          <w:tcPr>
            <w:tcW w:w="2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4.23</w:t>
            </w:r>
          </w:p>
        </w:tc>
        <w:tc>
          <w:tcPr>
            <w:tcW w:w="100" w:type="dxa"/>
            <w:vAlign w:val="bottom"/>
          </w:tcPr>
          <w:p>
            <w:pPr>
              <w:spacing w:after="0"/>
              <w:rPr>
                <w:sz w:val="24"/>
                <w:szCs w:val="24"/>
                <w:color w:val="auto"/>
              </w:rPr>
            </w:pPr>
          </w:p>
        </w:tc>
        <w:tc>
          <w:tcPr>
            <w:tcW w:w="8060" w:type="dxa"/>
            <w:vAlign w:val="bottom"/>
            <w:gridSpan w:val="26"/>
          </w:tcPr>
          <w:p>
            <w:pPr>
              <w:spacing w:after="0"/>
              <w:rPr>
                <w:rFonts w:ascii="Times New Roman" w:cs="Times New Roman" w:eastAsia="Times New Roman" w:hAnsi="Times New Roman"/>
                <w:sz w:val="15"/>
                <w:szCs w:val="15"/>
                <w:color w:val="0000EE"/>
              </w:rPr>
            </w:pPr>
            <w:hyperlink r:id="rId86">
              <w:r>
                <w:rPr>
                  <w:rFonts w:ascii="Times New Roman" w:cs="Times New Roman" w:eastAsia="Times New Roman" w:hAnsi="Times New Roman"/>
                  <w:sz w:val="15"/>
                  <w:szCs w:val="15"/>
                  <w:color w:val="0000EE"/>
                </w:rPr>
                <w:t>Form of Warrant to Purchase Common Stock, dated December 17, 2020 (incorporated by reference from Exhibit 4.1 to our Current</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tcBorders>
              <w:top w:val="single" w:sz="8" w:color="0000EE"/>
              <w:bottom w:val="single" w:sz="8" w:color="0000EE"/>
            </w:tcBorders>
            <w:gridSpan w:val="4"/>
          </w:tcPr>
          <w:p>
            <w:pPr>
              <w:spacing w:after="0" w:line="156" w:lineRule="exact"/>
              <w:rPr>
                <w:rFonts w:ascii="Times New Roman" w:cs="Times New Roman" w:eastAsia="Times New Roman" w:hAnsi="Times New Roman"/>
                <w:sz w:val="15"/>
                <w:szCs w:val="15"/>
                <w:color w:val="0000EE"/>
                <w:w w:val="97"/>
              </w:rPr>
            </w:pPr>
            <w:hyperlink r:id="rId86">
              <w:r>
                <w:rPr>
                  <w:rFonts w:ascii="Times New Roman" w:cs="Times New Roman" w:eastAsia="Times New Roman" w:hAnsi="Times New Roman"/>
                  <w:sz w:val="15"/>
                  <w:szCs w:val="15"/>
                  <w:color w:val="0000EE"/>
                  <w:w w:val="97"/>
                </w:rPr>
                <w:t>Report on Form 8-K filed with the SEC on December 21, 2020)</w:t>
              </w:r>
            </w:hyperlink>
          </w:p>
        </w:tc>
        <w:tc>
          <w:tcPr>
            <w:tcW w:w="3940" w:type="dxa"/>
            <w:vAlign w:val="bottom"/>
            <w:tcBorders>
              <w:top w:val="single" w:sz="8" w:color="0000EE"/>
            </w:tcBorders>
            <w:gridSpan w:val="11"/>
          </w:tcPr>
          <w:p>
            <w:pPr>
              <w:spacing w:after="0"/>
              <w:rPr>
                <w:sz w:val="13"/>
                <w:szCs w:val="13"/>
                <w:color w:val="auto"/>
              </w:rPr>
            </w:pPr>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tcPr>
          <w:p>
            <w:pPr>
              <w:spacing w:after="0"/>
              <w:rPr>
                <w:sz w:val="24"/>
                <w:szCs w:val="24"/>
                <w:color w:val="auto"/>
              </w:rPr>
            </w:pPr>
          </w:p>
        </w:tc>
        <w:tc>
          <w:tcPr>
            <w:tcW w:w="8060" w:type="dxa"/>
            <w:vAlign w:val="bottom"/>
            <w:gridSpan w:val="26"/>
          </w:tcPr>
          <w:p>
            <w:pPr>
              <w:spacing w:after="0"/>
              <w:rPr>
                <w:rFonts w:ascii="Times New Roman" w:cs="Times New Roman" w:eastAsia="Times New Roman" w:hAnsi="Times New Roman"/>
                <w:sz w:val="15"/>
                <w:szCs w:val="15"/>
                <w:color w:val="0000EE"/>
                <w:w w:val="97"/>
              </w:rPr>
            </w:pPr>
            <w:hyperlink r:id="rId87">
              <w:r>
                <w:rPr>
                  <w:rFonts w:ascii="Times New Roman" w:cs="Times New Roman" w:eastAsia="Times New Roman" w:hAnsi="Times New Roman"/>
                  <w:sz w:val="15"/>
                  <w:szCs w:val="15"/>
                  <w:color w:val="0000EE"/>
                  <w:w w:val="97"/>
                </w:rPr>
                <w:t>Form of Placement Agent Warrant to Purchase Common Stock, dated December 17, 2020 (incorporated by reference from Exhibit 4.2 to</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60" w:type="dxa"/>
            <w:vAlign w:val="bottom"/>
            <w:tcBorders>
              <w:top w:val="single" w:sz="8" w:color="0000EE"/>
              <w:bottom w:val="single" w:sz="8" w:color="0000EE"/>
            </w:tcBorders>
            <w:gridSpan w:val="8"/>
          </w:tcPr>
          <w:p>
            <w:pPr>
              <w:spacing w:after="0" w:line="156" w:lineRule="exact"/>
              <w:rPr>
                <w:rFonts w:ascii="Times New Roman" w:cs="Times New Roman" w:eastAsia="Times New Roman" w:hAnsi="Times New Roman"/>
                <w:sz w:val="15"/>
                <w:szCs w:val="15"/>
                <w:color w:val="0000EE"/>
                <w:w w:val="97"/>
              </w:rPr>
            </w:pPr>
            <w:hyperlink r:id="rId87">
              <w:r>
                <w:rPr>
                  <w:rFonts w:ascii="Times New Roman" w:cs="Times New Roman" w:eastAsia="Times New Roman" w:hAnsi="Times New Roman"/>
                  <w:sz w:val="15"/>
                  <w:szCs w:val="15"/>
                  <w:color w:val="0000EE"/>
                  <w:w w:val="97"/>
                </w:rPr>
                <w:t>our Current Report on Form 8-K filed with the SEC on December 21, 2020)</w:t>
              </w:r>
            </w:hyperlink>
          </w:p>
        </w:tc>
        <w:tc>
          <w:tcPr>
            <w:tcW w:w="3540" w:type="dxa"/>
            <w:vAlign w:val="bottom"/>
            <w:tcBorders>
              <w:top w:val="single" w:sz="8" w:color="0000EE"/>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w:t>
            </w:r>
          </w:p>
        </w:tc>
        <w:tc>
          <w:tcPr>
            <w:tcW w:w="7900" w:type="dxa"/>
            <w:vAlign w:val="bottom"/>
            <w:tcBorders>
              <w:bottom w:val="single" w:sz="8" w:color="0000EE"/>
            </w:tcBorders>
            <w:gridSpan w:val="20"/>
          </w:tcPr>
          <w:p>
            <w:pPr>
              <w:spacing w:after="0"/>
              <w:rPr>
                <w:rFonts w:ascii="Times New Roman" w:cs="Times New Roman" w:eastAsia="Times New Roman" w:hAnsi="Times New Roman"/>
                <w:sz w:val="15"/>
                <w:szCs w:val="15"/>
                <w:color w:val="0000EE"/>
                <w:w w:val="97"/>
              </w:rPr>
            </w:pPr>
            <w:hyperlink r:id="rId88">
              <w:r>
                <w:rPr>
                  <w:rFonts w:ascii="Times New Roman" w:cs="Times New Roman" w:eastAsia="Times New Roman" w:hAnsi="Times New Roman"/>
                  <w:sz w:val="15"/>
                  <w:szCs w:val="15"/>
                  <w:color w:val="0000EE"/>
                  <w:w w:val="97"/>
                </w:rPr>
                <w:t>Vringo, Inc. 2012 Employee, Director, and Consultant Equity Incentive Plan, as amended (incorporated by reference from Appendix C</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6"/>
          </w:tcPr>
          <w:p>
            <w:pPr>
              <w:spacing w:after="0" w:line="156" w:lineRule="exact"/>
              <w:rPr>
                <w:rFonts w:ascii="Times New Roman" w:cs="Times New Roman" w:eastAsia="Times New Roman" w:hAnsi="Times New Roman"/>
                <w:sz w:val="15"/>
                <w:szCs w:val="15"/>
                <w:color w:val="0000EE"/>
              </w:rPr>
            </w:pPr>
            <w:hyperlink r:id="rId88">
              <w:r>
                <w:rPr>
                  <w:rFonts w:ascii="Times New Roman" w:cs="Times New Roman" w:eastAsia="Times New Roman" w:hAnsi="Times New Roman"/>
                  <w:sz w:val="15"/>
                  <w:szCs w:val="15"/>
                  <w:color w:val="0000EE"/>
                </w:rPr>
                <w:t>of our Proxy Statement on Schedule 14A (DEF 14A) filed with the SEC on September 25, 2015)</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9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10.2†</w:t>
            </w:r>
          </w:p>
        </w:tc>
        <w:tc>
          <w:tcPr>
            <w:tcW w:w="8060" w:type="dxa"/>
            <w:vAlign w:val="bottom"/>
            <w:gridSpan w:val="26"/>
          </w:tcPr>
          <w:p>
            <w:pPr>
              <w:spacing w:after="0"/>
              <w:rPr>
                <w:rFonts w:ascii="Times New Roman" w:cs="Times New Roman" w:eastAsia="Times New Roman" w:hAnsi="Times New Roman"/>
                <w:sz w:val="15"/>
                <w:szCs w:val="15"/>
                <w:color w:val="0000EE"/>
              </w:rPr>
            </w:pPr>
            <w:hyperlink r:id="rId89">
              <w:r>
                <w:rPr>
                  <w:rFonts w:ascii="Times New Roman" w:cs="Times New Roman" w:eastAsia="Times New Roman" w:hAnsi="Times New Roman"/>
                  <w:sz w:val="15"/>
                  <w:szCs w:val="15"/>
                  <w:color w:val="0000EE"/>
                </w:rPr>
                <w:t>Form of Management Option Agreement (incorporated by reference from our Registration Statement on Form S-1 filed on March 29,</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5"/>
                <w:szCs w:val="15"/>
                <w:color w:val="0000EE"/>
                <w:w w:val="91"/>
              </w:rPr>
            </w:pPr>
            <w:hyperlink r:id="rId89">
              <w:r>
                <w:rPr>
                  <w:rFonts w:ascii="Times New Roman" w:cs="Times New Roman" w:eastAsia="Times New Roman" w:hAnsi="Times New Roman"/>
                  <w:sz w:val="15"/>
                  <w:szCs w:val="15"/>
                  <w:color w:val="0000EE"/>
                  <w:w w:val="91"/>
                </w:rPr>
                <w:t>2010)</w:t>
              </w:r>
            </w:hyperlink>
          </w:p>
        </w:tc>
        <w:tc>
          <w:tcPr>
            <w:tcW w:w="1120" w:type="dxa"/>
            <w:vAlign w:val="bottom"/>
            <w:tcBorders>
              <w:top w:val="single" w:sz="8" w:color="0000EE"/>
            </w:tcBorders>
          </w:tcPr>
          <w:p>
            <w:pPr>
              <w:spacing w:after="0"/>
              <w:rPr>
                <w:sz w:val="13"/>
                <w:szCs w:val="13"/>
                <w:color w:val="auto"/>
              </w:rPr>
            </w:pPr>
          </w:p>
        </w:tc>
        <w:tc>
          <w:tcPr>
            <w:tcW w:w="166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7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10.3†</w:t>
            </w:r>
          </w:p>
        </w:tc>
        <w:tc>
          <w:tcPr>
            <w:tcW w:w="7640" w:type="dxa"/>
            <w:vAlign w:val="bottom"/>
            <w:tcBorders>
              <w:bottom w:val="single" w:sz="8" w:color="0000EE"/>
            </w:tcBorders>
            <w:gridSpan w:val="14"/>
          </w:tcPr>
          <w:p>
            <w:pPr>
              <w:spacing w:after="0"/>
              <w:rPr>
                <w:rFonts w:ascii="Times New Roman" w:cs="Times New Roman" w:eastAsia="Times New Roman" w:hAnsi="Times New Roman"/>
                <w:sz w:val="15"/>
                <w:szCs w:val="15"/>
                <w:color w:val="0000EE"/>
                <w:w w:val="97"/>
              </w:rPr>
            </w:pPr>
            <w:hyperlink r:id="rId90">
              <w:r>
                <w:rPr>
                  <w:rFonts w:ascii="Times New Roman" w:cs="Times New Roman" w:eastAsia="Times New Roman" w:hAnsi="Times New Roman"/>
                  <w:sz w:val="15"/>
                  <w:szCs w:val="15"/>
                  <w:color w:val="0000EE"/>
                  <w:w w:val="97"/>
                </w:rPr>
                <w:t>Form of Stock Option Agreement (incorporated by reference from our Registration Statement on Form S-8 filed on July 26, 2012)</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10.4†</w:t>
            </w:r>
          </w:p>
        </w:tc>
        <w:tc>
          <w:tcPr>
            <w:tcW w:w="8060" w:type="dxa"/>
            <w:vAlign w:val="bottom"/>
            <w:gridSpan w:val="26"/>
          </w:tcPr>
          <w:p>
            <w:pPr>
              <w:spacing w:after="0"/>
              <w:rPr>
                <w:rFonts w:ascii="Times New Roman" w:cs="Times New Roman" w:eastAsia="Times New Roman" w:hAnsi="Times New Roman"/>
                <w:sz w:val="15"/>
                <w:szCs w:val="15"/>
                <w:color w:val="0000EE"/>
              </w:rPr>
            </w:pPr>
            <w:hyperlink r:id="rId91">
              <w:r>
                <w:rPr>
                  <w:rFonts w:ascii="Times New Roman" w:cs="Times New Roman" w:eastAsia="Times New Roman" w:hAnsi="Times New Roman"/>
                  <w:sz w:val="15"/>
                  <w:szCs w:val="15"/>
                  <w:color w:val="0000EE"/>
                </w:rPr>
                <w:t>Form of Restricted Stock Unit Agreement (incorporated by reference from our Registration Statement on Form S-8 filed on July 26,</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5"/>
                <w:szCs w:val="15"/>
                <w:color w:val="0000EE"/>
                <w:w w:val="91"/>
              </w:rPr>
            </w:pPr>
            <w:hyperlink r:id="rId91">
              <w:r>
                <w:rPr>
                  <w:rFonts w:ascii="Times New Roman" w:cs="Times New Roman" w:eastAsia="Times New Roman" w:hAnsi="Times New Roman"/>
                  <w:sz w:val="15"/>
                  <w:szCs w:val="15"/>
                  <w:color w:val="0000EE"/>
                  <w:w w:val="91"/>
                </w:rPr>
                <w:t>2012)</w:t>
              </w:r>
            </w:hyperlink>
          </w:p>
        </w:tc>
        <w:tc>
          <w:tcPr>
            <w:tcW w:w="1120" w:type="dxa"/>
            <w:vAlign w:val="bottom"/>
            <w:tcBorders>
              <w:top w:val="single" w:sz="8" w:color="0000EE"/>
            </w:tcBorders>
          </w:tcPr>
          <w:p>
            <w:pPr>
              <w:spacing w:after="0"/>
              <w:rPr>
                <w:sz w:val="13"/>
                <w:szCs w:val="13"/>
                <w:color w:val="auto"/>
              </w:rPr>
            </w:pPr>
          </w:p>
        </w:tc>
        <w:tc>
          <w:tcPr>
            <w:tcW w:w="166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7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24"/>
                <w:szCs w:val="24"/>
                <w:color w:val="auto"/>
              </w:rPr>
            </w:pPr>
          </w:p>
        </w:tc>
        <w:tc>
          <w:tcPr>
            <w:tcW w:w="8060" w:type="dxa"/>
            <w:vAlign w:val="bottom"/>
            <w:gridSpan w:val="26"/>
          </w:tcPr>
          <w:p>
            <w:pPr>
              <w:spacing w:after="0"/>
              <w:rPr>
                <w:rFonts w:ascii="Times New Roman" w:cs="Times New Roman" w:eastAsia="Times New Roman" w:hAnsi="Times New Roman"/>
                <w:sz w:val="15"/>
                <w:szCs w:val="15"/>
                <w:color w:val="0000EE"/>
              </w:rPr>
            </w:pPr>
            <w:hyperlink r:id="rId92">
              <w:r>
                <w:rPr>
                  <w:rFonts w:ascii="Times New Roman" w:cs="Times New Roman" w:eastAsia="Times New Roman" w:hAnsi="Times New Roman"/>
                  <w:sz w:val="15"/>
                  <w:szCs w:val="15"/>
                  <w:color w:val="0000EE"/>
                </w:rPr>
                <w:t>Form of Indemnification Agreement, dated January 31, 2013, by and between Vringo, Inc. and each of its Directors and Executive</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92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6"/>
          </w:tcPr>
          <w:p>
            <w:pPr>
              <w:spacing w:after="0" w:line="156" w:lineRule="exact"/>
              <w:rPr>
                <w:rFonts w:ascii="Times New Roman" w:cs="Times New Roman" w:eastAsia="Times New Roman" w:hAnsi="Times New Roman"/>
                <w:sz w:val="15"/>
                <w:szCs w:val="15"/>
                <w:color w:val="0000EE"/>
                <w:w w:val="99"/>
              </w:rPr>
            </w:pPr>
            <w:hyperlink r:id="rId92">
              <w:r>
                <w:rPr>
                  <w:rFonts w:ascii="Times New Roman" w:cs="Times New Roman" w:eastAsia="Times New Roman" w:hAnsi="Times New Roman"/>
                  <w:sz w:val="15"/>
                  <w:szCs w:val="15"/>
                  <w:color w:val="0000EE"/>
                  <w:w w:val="99"/>
                </w:rPr>
                <w:t>Officer (incorporated by reference from our Annual Report on Form 10-K for the period ended December 31, 2012, filed on March 21,</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5"/>
                <w:szCs w:val="15"/>
                <w:color w:val="0000EE"/>
                <w:w w:val="91"/>
              </w:rPr>
            </w:pPr>
            <w:hyperlink r:id="rId92">
              <w:r>
                <w:rPr>
                  <w:rFonts w:ascii="Times New Roman" w:cs="Times New Roman" w:eastAsia="Times New Roman" w:hAnsi="Times New Roman"/>
                  <w:sz w:val="15"/>
                  <w:szCs w:val="15"/>
                  <w:color w:val="0000EE"/>
                  <w:w w:val="91"/>
                </w:rPr>
                <w:t>2013)</w:t>
              </w:r>
            </w:hyperlink>
          </w:p>
        </w:tc>
        <w:tc>
          <w:tcPr>
            <w:tcW w:w="1120" w:type="dxa"/>
            <w:vAlign w:val="bottom"/>
            <w:tcBorders>
              <w:top w:val="single" w:sz="8" w:color="0000EE"/>
            </w:tcBorders>
          </w:tcPr>
          <w:p>
            <w:pPr>
              <w:spacing w:after="0"/>
              <w:rPr>
                <w:sz w:val="13"/>
                <w:szCs w:val="13"/>
                <w:color w:val="auto"/>
              </w:rPr>
            </w:pPr>
          </w:p>
        </w:tc>
        <w:tc>
          <w:tcPr>
            <w:tcW w:w="166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9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7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10.6†</w:t>
            </w:r>
          </w:p>
        </w:tc>
        <w:tc>
          <w:tcPr>
            <w:tcW w:w="7800" w:type="dxa"/>
            <w:vAlign w:val="bottom"/>
            <w:tcBorders>
              <w:bottom w:val="single" w:sz="8" w:color="0000EE"/>
            </w:tcBorders>
            <w:gridSpan w:val="17"/>
          </w:tcPr>
          <w:p>
            <w:pPr>
              <w:spacing w:after="0"/>
              <w:rPr>
                <w:rFonts w:ascii="Times New Roman" w:cs="Times New Roman" w:eastAsia="Times New Roman" w:hAnsi="Times New Roman"/>
                <w:sz w:val="15"/>
                <w:szCs w:val="15"/>
                <w:color w:val="0000EE"/>
                <w:w w:val="97"/>
              </w:rPr>
            </w:pPr>
            <w:hyperlink r:id="rId93">
              <w:r>
                <w:rPr>
                  <w:rFonts w:ascii="Times New Roman" w:cs="Times New Roman" w:eastAsia="Times New Roman" w:hAnsi="Times New Roman"/>
                  <w:sz w:val="15"/>
                  <w:szCs w:val="15"/>
                  <w:color w:val="0000EE"/>
                  <w:w w:val="97"/>
                </w:rPr>
                <w:t>FORM Holdings Corp. 2012 Employee, Director, and Consultant Equity Incentive Plan, as amended (incorporated by reference from</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80" w:type="dxa"/>
            <w:vAlign w:val="bottom"/>
            <w:tcBorders>
              <w:bottom w:val="single" w:sz="8" w:color="0000EE"/>
            </w:tcBorders>
            <w:gridSpan w:val="9"/>
          </w:tcPr>
          <w:p>
            <w:pPr>
              <w:spacing w:after="0" w:line="156" w:lineRule="exact"/>
              <w:rPr>
                <w:rFonts w:ascii="Times New Roman" w:cs="Times New Roman" w:eastAsia="Times New Roman" w:hAnsi="Times New Roman"/>
                <w:sz w:val="15"/>
                <w:szCs w:val="15"/>
                <w:color w:val="0000EE"/>
                <w:w w:val="97"/>
              </w:rPr>
            </w:pPr>
            <w:hyperlink r:id="rId93">
              <w:r>
                <w:rPr>
                  <w:rFonts w:ascii="Times New Roman" w:cs="Times New Roman" w:eastAsia="Times New Roman" w:hAnsi="Times New Roman"/>
                  <w:sz w:val="15"/>
                  <w:szCs w:val="15"/>
                  <w:color w:val="0000EE"/>
                  <w:w w:val="97"/>
                </w:rPr>
                <w:t>Exhibit 10.1 to our Current Report on Form 8-K filed with the SEC on November 28, 2016)</w:t>
              </w:r>
            </w:hyperlink>
          </w:p>
        </w:tc>
        <w:tc>
          <w:tcPr>
            <w:tcW w:w="26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10.19</w:t>
            </w:r>
          </w:p>
        </w:tc>
        <w:tc>
          <w:tcPr>
            <w:tcW w:w="100" w:type="dxa"/>
            <w:vAlign w:val="bottom"/>
          </w:tcPr>
          <w:p>
            <w:pPr>
              <w:spacing w:after="0"/>
              <w:rPr>
                <w:sz w:val="24"/>
                <w:szCs w:val="24"/>
                <w:color w:val="auto"/>
              </w:rPr>
            </w:pPr>
          </w:p>
        </w:tc>
        <w:tc>
          <w:tcPr>
            <w:tcW w:w="7940" w:type="dxa"/>
            <w:vAlign w:val="bottom"/>
            <w:tcBorders>
              <w:bottom w:val="single" w:sz="8" w:color="0000EE"/>
            </w:tcBorders>
            <w:gridSpan w:val="22"/>
          </w:tcPr>
          <w:p>
            <w:pPr>
              <w:spacing w:after="0"/>
              <w:rPr>
                <w:rFonts w:ascii="Times New Roman" w:cs="Times New Roman" w:eastAsia="Times New Roman" w:hAnsi="Times New Roman"/>
                <w:sz w:val="15"/>
                <w:szCs w:val="15"/>
                <w:color w:val="0000EE"/>
                <w:w w:val="97"/>
              </w:rPr>
            </w:pPr>
            <w:hyperlink r:id="rId94">
              <w:r>
                <w:rPr>
                  <w:rFonts w:ascii="Times New Roman" w:cs="Times New Roman" w:eastAsia="Times New Roman" w:hAnsi="Times New Roman"/>
                  <w:sz w:val="15"/>
                  <w:szCs w:val="15"/>
                  <w:color w:val="0000EE"/>
                  <w:w w:val="97"/>
                </w:rPr>
                <w:t>Form of Registration Rights Agreement, dated May 15, 2018, by and among the Company and the Investors (incorporated by reference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tcBorders>
              <w:bottom w:val="single" w:sz="8" w:color="0000EE"/>
            </w:tcBorders>
            <w:gridSpan w:val="10"/>
          </w:tcPr>
          <w:p>
            <w:pPr>
              <w:spacing w:after="0" w:line="156" w:lineRule="exact"/>
              <w:rPr>
                <w:rFonts w:ascii="Times New Roman" w:cs="Times New Roman" w:eastAsia="Times New Roman" w:hAnsi="Times New Roman"/>
                <w:sz w:val="15"/>
                <w:szCs w:val="15"/>
                <w:color w:val="0000EE"/>
                <w:w w:val="97"/>
              </w:rPr>
            </w:pPr>
            <w:hyperlink r:id="rId94">
              <w:r>
                <w:rPr>
                  <w:rFonts w:ascii="Times New Roman" w:cs="Times New Roman" w:eastAsia="Times New Roman" w:hAnsi="Times New Roman"/>
                  <w:sz w:val="15"/>
                  <w:szCs w:val="15"/>
                  <w:color w:val="0000EE"/>
                  <w:w w:val="97"/>
                </w:rPr>
                <w:t>from Exhibit 10.9 to our Quarterly Report on Form 10-Q filed with the SEC on May 15, 2018)</w:t>
              </w:r>
            </w:hyperlink>
          </w:p>
        </w:tc>
        <w:tc>
          <w:tcPr>
            <w:tcW w:w="25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10.20</w:t>
            </w:r>
          </w:p>
        </w:tc>
        <w:tc>
          <w:tcPr>
            <w:tcW w:w="100" w:type="dxa"/>
            <w:vAlign w:val="bottom"/>
          </w:tcPr>
          <w:p>
            <w:pPr>
              <w:spacing w:after="0"/>
              <w:rPr>
                <w:sz w:val="24"/>
                <w:szCs w:val="24"/>
                <w:color w:val="auto"/>
              </w:rPr>
            </w:pPr>
          </w:p>
        </w:tc>
        <w:tc>
          <w:tcPr>
            <w:tcW w:w="8060" w:type="dxa"/>
            <w:vAlign w:val="bottom"/>
            <w:gridSpan w:val="26"/>
          </w:tcPr>
          <w:p>
            <w:pPr>
              <w:spacing w:after="0"/>
              <w:rPr>
                <w:rFonts w:ascii="Times New Roman" w:cs="Times New Roman" w:eastAsia="Times New Roman" w:hAnsi="Times New Roman"/>
                <w:sz w:val="15"/>
                <w:szCs w:val="15"/>
                <w:color w:val="0000EE"/>
                <w:w w:val="97"/>
              </w:rPr>
            </w:pPr>
            <w:hyperlink r:id="rId95">
              <w:r>
                <w:rPr>
                  <w:rFonts w:ascii="Times New Roman" w:cs="Times New Roman" w:eastAsia="Times New Roman" w:hAnsi="Times New Roman"/>
                  <w:sz w:val="15"/>
                  <w:szCs w:val="15"/>
                  <w:color w:val="0000EE"/>
                  <w:w w:val="97"/>
                </w:rPr>
                <w:t>Amendment to Securities Purchase Agreement and Class A Warrants and Class B Warrants, dated as of July 8, 2019, by and between the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0" w:type="dxa"/>
            <w:vAlign w:val="bottom"/>
            <w:tcBorders>
              <w:top w:val="single" w:sz="8" w:color="0000EE"/>
            </w:tcBorders>
            <w:gridSpan w:val="24"/>
          </w:tcPr>
          <w:p>
            <w:pPr>
              <w:spacing w:after="0" w:line="156" w:lineRule="exact"/>
              <w:rPr>
                <w:rFonts w:ascii="Times New Roman" w:cs="Times New Roman" w:eastAsia="Times New Roman" w:hAnsi="Times New Roman"/>
                <w:sz w:val="15"/>
                <w:szCs w:val="15"/>
                <w:color w:val="0000EE"/>
                <w:w w:val="99"/>
              </w:rPr>
            </w:pPr>
            <w:hyperlink r:id="rId95">
              <w:r>
                <w:rPr>
                  <w:rFonts w:ascii="Times New Roman" w:cs="Times New Roman" w:eastAsia="Times New Roman" w:hAnsi="Times New Roman"/>
                  <w:sz w:val="15"/>
                  <w:szCs w:val="15"/>
                  <w:color w:val="0000EE"/>
                  <w:w w:val="99"/>
                </w:rPr>
                <w:t>Company and the purchasers party thereto (incorporated by reference from Exhibit 10.5 to our Current Report on Form 8-K filed with</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40" w:type="dxa"/>
            <w:vAlign w:val="bottom"/>
            <w:tcBorders>
              <w:top w:val="single" w:sz="8" w:color="0000EE"/>
            </w:tcBorders>
            <w:gridSpan w:val="19"/>
          </w:tcPr>
          <w:p>
            <w:pPr>
              <w:spacing w:after="0" w:line="156" w:lineRule="exact"/>
              <w:rPr>
                <w:rFonts w:ascii="Times New Roman" w:cs="Times New Roman" w:eastAsia="Times New Roman" w:hAnsi="Times New Roman"/>
                <w:sz w:val="15"/>
                <w:szCs w:val="15"/>
                <w:color w:val="0000EE"/>
              </w:rPr>
            </w:pPr>
            <w:hyperlink r:id="rId95">
              <w:r>
                <w:rPr>
                  <w:rFonts w:ascii="Times New Roman" w:cs="Times New Roman" w:eastAsia="Times New Roman" w:hAnsi="Times New Roman"/>
                  <w:sz w:val="15"/>
                  <w:szCs w:val="15"/>
                  <w:color w:val="0000EE"/>
                </w:rPr>
                <w:t>the SEC on July 8, 2019)</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0" w:type="dxa"/>
            <w:vAlign w:val="bottom"/>
            <w:gridSpan w:val="10"/>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10.21</w:t>
            </w:r>
          </w:p>
        </w:tc>
        <w:tc>
          <w:tcPr>
            <w:tcW w:w="100" w:type="dxa"/>
            <w:vAlign w:val="bottom"/>
          </w:tcPr>
          <w:p>
            <w:pPr>
              <w:spacing w:after="0"/>
              <w:rPr>
                <w:sz w:val="24"/>
                <w:szCs w:val="24"/>
                <w:color w:val="auto"/>
              </w:rPr>
            </w:pPr>
          </w:p>
        </w:tc>
        <w:tc>
          <w:tcPr>
            <w:tcW w:w="8060" w:type="dxa"/>
            <w:vAlign w:val="bottom"/>
            <w:gridSpan w:val="26"/>
          </w:tcPr>
          <w:p>
            <w:pPr>
              <w:spacing w:after="0"/>
              <w:rPr>
                <w:rFonts w:ascii="Times New Roman" w:cs="Times New Roman" w:eastAsia="Times New Roman" w:hAnsi="Times New Roman"/>
                <w:sz w:val="15"/>
                <w:szCs w:val="15"/>
                <w:color w:val="0000EE"/>
                <w:w w:val="98"/>
              </w:rPr>
            </w:pPr>
            <w:hyperlink r:id="rId96">
              <w:r>
                <w:rPr>
                  <w:rFonts w:ascii="Times New Roman" w:cs="Times New Roman" w:eastAsia="Times New Roman" w:hAnsi="Times New Roman"/>
                  <w:sz w:val="15"/>
                  <w:szCs w:val="15"/>
                  <w:color w:val="0000EE"/>
                  <w:w w:val="98"/>
                </w:rPr>
                <w:t>Product Sale and Marketing Agreement, dated November 12, 2018, by and between the Company and Calm.com, Inc. (incorporated by</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920" w:type="dxa"/>
            <w:vAlign w:val="bottom"/>
            <w:tcBorders>
              <w:top w:val="single" w:sz="8" w:color="0000EE"/>
            </w:tcBorders>
            <w:gridSpan w:val="21"/>
          </w:tcPr>
          <w:p>
            <w:pPr>
              <w:spacing w:after="0" w:line="156" w:lineRule="exact"/>
              <w:rPr>
                <w:rFonts w:ascii="Times New Roman" w:cs="Times New Roman" w:eastAsia="Times New Roman" w:hAnsi="Times New Roman"/>
                <w:sz w:val="15"/>
                <w:szCs w:val="15"/>
                <w:color w:val="0000EE"/>
              </w:rPr>
            </w:pPr>
            <w:hyperlink r:id="rId96">
              <w:r>
                <w:rPr>
                  <w:rFonts w:ascii="Times New Roman" w:cs="Times New Roman" w:eastAsia="Times New Roman" w:hAnsi="Times New Roman"/>
                  <w:sz w:val="15"/>
                  <w:szCs w:val="15"/>
                  <w:color w:val="0000EE"/>
                </w:rPr>
                <w:t>reference to Exhibit 10.28 to our Annual Report on Form 10-K filed with the SEC on April 1, 2019)</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716"/>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Borders>
              <w:top w:val="single" w:sz="8" w:color="0000EE"/>
            </w:tcBorders>
            <w:gridSpan w:val="4"/>
          </w:tcPr>
          <w:p>
            <w:pPr>
              <w:ind w:left="3520"/>
              <w:spacing w:after="0"/>
              <w:rPr>
                <w:sz w:val="20"/>
                <w:szCs w:val="20"/>
                <w:color w:val="auto"/>
              </w:rPr>
            </w:pPr>
            <w:r>
              <w:rPr>
                <w:rFonts w:ascii="Times New Roman" w:cs="Times New Roman" w:eastAsia="Times New Roman" w:hAnsi="Times New Roman"/>
                <w:sz w:val="15"/>
                <w:szCs w:val="15"/>
                <w:color w:val="auto"/>
              </w:rPr>
              <w:t>46</w:t>
            </w: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4"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60" w:type="dxa"/>
            <w:vAlign w:val="bottom"/>
            <w:gridSpan w:val="20"/>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51"/>
        </w:trPr>
        <w:tc>
          <w:tcPr>
            <w:tcW w:w="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6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10.22</w:t>
            </w:r>
          </w:p>
        </w:tc>
        <w:tc>
          <w:tcPr>
            <w:tcW w:w="100" w:type="dxa"/>
            <w:vAlign w:val="bottom"/>
          </w:tcPr>
          <w:p>
            <w:pPr>
              <w:spacing w:after="0"/>
              <w:rPr>
                <w:sz w:val="24"/>
                <w:szCs w:val="24"/>
                <w:color w:val="auto"/>
              </w:rPr>
            </w:pPr>
          </w:p>
        </w:tc>
        <w:tc>
          <w:tcPr>
            <w:tcW w:w="8060" w:type="dxa"/>
            <w:vAlign w:val="bottom"/>
            <w:tcBorders>
              <w:top w:val="single" w:sz="8" w:color="auto"/>
            </w:tcBorders>
            <w:gridSpan w:val="24"/>
          </w:tcPr>
          <w:p>
            <w:pPr>
              <w:spacing w:after="0"/>
              <w:rPr>
                <w:rFonts w:ascii="Times New Roman" w:cs="Times New Roman" w:eastAsia="Times New Roman" w:hAnsi="Times New Roman"/>
                <w:sz w:val="15"/>
                <w:szCs w:val="15"/>
                <w:color w:val="0000EE"/>
              </w:rPr>
            </w:pPr>
            <w:hyperlink r:id="rId97">
              <w:r>
                <w:rPr>
                  <w:rFonts w:ascii="Times New Roman" w:cs="Times New Roman" w:eastAsia="Times New Roman" w:hAnsi="Times New Roman"/>
                  <w:sz w:val="15"/>
                  <w:szCs w:val="15"/>
                  <w:color w:val="0000EE"/>
                </w:rPr>
                <w:t>Amendment to Amended and Restated Product Sale and Marketing, dated as of October 30, 2019, by and between the Company and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w w:val="97"/>
              </w:rPr>
            </w:pPr>
            <w:hyperlink r:id="rId97">
              <w:r>
                <w:rPr>
                  <w:rFonts w:ascii="Times New Roman" w:cs="Times New Roman" w:eastAsia="Times New Roman" w:hAnsi="Times New Roman"/>
                  <w:sz w:val="15"/>
                  <w:szCs w:val="15"/>
                  <w:color w:val="0000EE"/>
                  <w:w w:val="97"/>
                </w:rPr>
                <w:t>Calm.com, Inc. (incorporated by reference from Exhibit 10.8 to our Quarterly Report on Form 10-Q filed with the SEC on November 14,</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56" w:lineRule="exact"/>
              <w:rPr>
                <w:rFonts w:ascii="Times New Roman" w:cs="Times New Roman" w:eastAsia="Times New Roman" w:hAnsi="Times New Roman"/>
                <w:sz w:val="15"/>
                <w:szCs w:val="15"/>
                <w:color w:val="0000EE"/>
                <w:w w:val="91"/>
              </w:rPr>
            </w:pPr>
            <w:hyperlink r:id="rId97">
              <w:r>
                <w:rPr>
                  <w:rFonts w:ascii="Times New Roman" w:cs="Times New Roman" w:eastAsia="Times New Roman" w:hAnsi="Times New Roman"/>
                  <w:sz w:val="15"/>
                  <w:szCs w:val="15"/>
                  <w:color w:val="0000EE"/>
                  <w:w w:val="91"/>
                </w:rPr>
                <w:t>2019)</w:t>
              </w:r>
            </w:hyperlink>
          </w:p>
        </w:tc>
        <w:tc>
          <w:tcPr>
            <w:tcW w:w="202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10.25</w:t>
            </w:r>
          </w:p>
        </w:tc>
        <w:tc>
          <w:tcPr>
            <w:tcW w:w="100" w:type="dxa"/>
            <w:vAlign w:val="bottom"/>
          </w:tcPr>
          <w:p>
            <w:pPr>
              <w:spacing w:after="0"/>
              <w:rPr>
                <w:sz w:val="24"/>
                <w:szCs w:val="24"/>
                <w:color w:val="auto"/>
              </w:rPr>
            </w:pPr>
          </w:p>
        </w:tc>
        <w:tc>
          <w:tcPr>
            <w:tcW w:w="7880" w:type="dxa"/>
            <w:vAlign w:val="bottom"/>
            <w:tcBorders>
              <w:bottom w:val="single" w:sz="8" w:color="0000EE"/>
            </w:tcBorders>
            <w:gridSpan w:val="16"/>
          </w:tcPr>
          <w:p>
            <w:pPr>
              <w:spacing w:after="0"/>
              <w:rPr>
                <w:rFonts w:ascii="Times New Roman" w:cs="Times New Roman" w:eastAsia="Times New Roman" w:hAnsi="Times New Roman"/>
                <w:sz w:val="15"/>
                <w:szCs w:val="15"/>
                <w:color w:val="0000EE"/>
                <w:w w:val="97"/>
              </w:rPr>
            </w:pPr>
            <w:hyperlink r:id="rId98">
              <w:r>
                <w:rPr>
                  <w:rFonts w:ascii="Times New Roman" w:cs="Times New Roman" w:eastAsia="Times New Roman" w:hAnsi="Times New Roman"/>
                  <w:sz w:val="15"/>
                  <w:szCs w:val="15"/>
                  <w:color w:val="0000EE"/>
                  <w:w w:val="97"/>
                </w:rPr>
                <w:t>Securities Purchase Agreement, dated as of July 8, 2019, by and between the Company and Calm.com, Inc. (incorporated by reference</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60" w:type="dxa"/>
            <w:vAlign w:val="bottom"/>
            <w:tcBorders>
              <w:bottom w:val="single" w:sz="8" w:color="0000EE"/>
            </w:tcBorders>
            <w:gridSpan w:val="7"/>
          </w:tcPr>
          <w:p>
            <w:pPr>
              <w:spacing w:after="0" w:line="156" w:lineRule="exact"/>
              <w:rPr>
                <w:rFonts w:ascii="Times New Roman" w:cs="Times New Roman" w:eastAsia="Times New Roman" w:hAnsi="Times New Roman"/>
                <w:sz w:val="15"/>
                <w:szCs w:val="15"/>
                <w:color w:val="0000EE"/>
                <w:w w:val="97"/>
              </w:rPr>
            </w:pPr>
            <w:hyperlink r:id="rId98">
              <w:r>
                <w:rPr>
                  <w:rFonts w:ascii="Times New Roman" w:cs="Times New Roman" w:eastAsia="Times New Roman" w:hAnsi="Times New Roman"/>
                  <w:sz w:val="15"/>
                  <w:szCs w:val="15"/>
                  <w:color w:val="0000EE"/>
                  <w:w w:val="97"/>
                </w:rPr>
                <w:t>from Exhibit 10.1 to our Current Report on Form 8-K filed with the SEC on July 8, 2019)</w:t>
              </w:r>
            </w:hyperlink>
          </w:p>
        </w:tc>
        <w:tc>
          <w:tcPr>
            <w:tcW w:w="28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10.26</w:t>
            </w:r>
          </w:p>
        </w:tc>
        <w:tc>
          <w:tcPr>
            <w:tcW w:w="1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5"/>
                <w:szCs w:val="15"/>
                <w:color w:val="0000EE"/>
                <w:w w:val="99"/>
              </w:rPr>
            </w:pPr>
            <w:hyperlink r:id="rId99">
              <w:r>
                <w:rPr>
                  <w:rFonts w:ascii="Times New Roman" w:cs="Times New Roman" w:eastAsia="Times New Roman" w:hAnsi="Times New Roman"/>
                  <w:sz w:val="15"/>
                  <w:szCs w:val="15"/>
                  <w:color w:val="0000EE"/>
                  <w:w w:val="99"/>
                </w:rPr>
                <w:t>Registration Rights Agreement, dated as of July 8, 2019, by and between the Company and Calm.com, Inc. (incorporated by reference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60" w:type="dxa"/>
            <w:vAlign w:val="bottom"/>
            <w:tcBorders>
              <w:top w:val="single" w:sz="8" w:color="0000EE"/>
              <w:bottom w:val="single" w:sz="8" w:color="0000EE"/>
            </w:tcBorders>
            <w:gridSpan w:val="7"/>
          </w:tcPr>
          <w:p>
            <w:pPr>
              <w:spacing w:after="0" w:line="156" w:lineRule="exact"/>
              <w:rPr>
                <w:rFonts w:ascii="Times New Roman" w:cs="Times New Roman" w:eastAsia="Times New Roman" w:hAnsi="Times New Roman"/>
                <w:sz w:val="15"/>
                <w:szCs w:val="15"/>
                <w:color w:val="0000EE"/>
                <w:w w:val="97"/>
              </w:rPr>
            </w:pPr>
            <w:hyperlink r:id="rId99">
              <w:r>
                <w:rPr>
                  <w:rFonts w:ascii="Times New Roman" w:cs="Times New Roman" w:eastAsia="Times New Roman" w:hAnsi="Times New Roman"/>
                  <w:sz w:val="15"/>
                  <w:szCs w:val="15"/>
                  <w:color w:val="0000EE"/>
                  <w:w w:val="97"/>
                </w:rPr>
                <w:t>from Exhibit 10.2 to our Current Report on Form 8-K filed with the SEC on July 8, 2019)</w:t>
              </w:r>
            </w:hyperlink>
          </w:p>
        </w:tc>
        <w:tc>
          <w:tcPr>
            <w:tcW w:w="2600" w:type="dxa"/>
            <w:vAlign w:val="bottom"/>
            <w:tcBorders>
              <w:top w:val="single" w:sz="8" w:color="0000EE"/>
            </w:tcBorders>
            <w:gridSpan w:val="8"/>
          </w:tcPr>
          <w:p>
            <w:pPr>
              <w:spacing w:after="0"/>
              <w:rPr>
                <w:sz w:val="13"/>
                <w:szCs w:val="13"/>
                <w:color w:val="auto"/>
              </w:rPr>
            </w:pPr>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10.27</w:t>
            </w:r>
          </w:p>
        </w:tc>
        <w:tc>
          <w:tcPr>
            <w:tcW w:w="1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5"/>
                <w:szCs w:val="15"/>
                <w:color w:val="0000EE"/>
                <w:w w:val="99"/>
              </w:rPr>
            </w:pPr>
            <w:hyperlink r:id="rId100">
              <w:r>
                <w:rPr>
                  <w:rFonts w:ascii="Times New Roman" w:cs="Times New Roman" w:eastAsia="Times New Roman" w:hAnsi="Times New Roman"/>
                  <w:sz w:val="15"/>
                  <w:szCs w:val="15"/>
                  <w:color w:val="0000EE"/>
                  <w:w w:val="99"/>
                </w:rPr>
                <w:t>Amendment No. 3 to Agreement and Plan of Merger, dated as of October 1, 2019, by and between the Company, XpresSpa Holdings,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20" w:type="dxa"/>
            <w:vAlign w:val="bottom"/>
            <w:tcBorders>
              <w:bottom w:val="single" w:sz="8" w:color="0000EE"/>
            </w:tcBorders>
            <w:gridSpan w:val="22"/>
          </w:tcPr>
          <w:p>
            <w:pPr>
              <w:spacing w:after="0" w:line="156" w:lineRule="exact"/>
              <w:rPr>
                <w:rFonts w:ascii="Times New Roman" w:cs="Times New Roman" w:eastAsia="Times New Roman" w:hAnsi="Times New Roman"/>
                <w:sz w:val="15"/>
                <w:szCs w:val="15"/>
                <w:color w:val="0000EE"/>
                <w:w w:val="97"/>
              </w:rPr>
            </w:pPr>
            <w:hyperlink r:id="rId100">
              <w:r>
                <w:rPr>
                  <w:rFonts w:ascii="Times New Roman" w:cs="Times New Roman" w:eastAsia="Times New Roman" w:hAnsi="Times New Roman"/>
                  <w:sz w:val="15"/>
                  <w:szCs w:val="15"/>
                  <w:color w:val="0000EE"/>
                  <w:w w:val="97"/>
                </w:rPr>
                <w:t>LLC, and Mistral XH Representative, LLC, as representative of the unitholders of the Company (incorporated by reference from Exhibit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Borders>
              <w:bottom w:val="single" w:sz="8" w:color="0000EE"/>
            </w:tcBorders>
            <w:gridSpan w:val="5"/>
          </w:tcPr>
          <w:p>
            <w:pPr>
              <w:spacing w:after="0" w:line="156" w:lineRule="exact"/>
              <w:rPr>
                <w:rFonts w:ascii="Times New Roman" w:cs="Times New Roman" w:eastAsia="Times New Roman" w:hAnsi="Times New Roman"/>
                <w:sz w:val="15"/>
                <w:szCs w:val="15"/>
                <w:color w:val="0000EE"/>
                <w:w w:val="97"/>
              </w:rPr>
            </w:pPr>
            <w:hyperlink r:id="rId100">
              <w:r>
                <w:rPr>
                  <w:rFonts w:ascii="Times New Roman" w:cs="Times New Roman" w:eastAsia="Times New Roman" w:hAnsi="Times New Roman"/>
                  <w:sz w:val="15"/>
                  <w:szCs w:val="15"/>
                  <w:color w:val="0000EE"/>
                  <w:w w:val="97"/>
                </w:rPr>
                <w:t>10.</w:t>
              </w:r>
              <w:r>
                <w:rPr>
                  <w:rFonts w:ascii="Times New Roman" w:cs="Times New Roman" w:eastAsia="Times New Roman" w:hAnsi="Times New Roman"/>
                  <w:sz w:val="15"/>
                  <w:szCs w:val="15"/>
                  <w:u w:val="single" w:color="auto"/>
                  <w:color w:val="0000EE"/>
                  <w:w w:val="97"/>
                </w:rPr>
                <w:t>1</w:t>
              </w:r>
              <w:r>
                <w:rPr>
                  <w:rFonts w:ascii="Times New Roman" w:cs="Times New Roman" w:eastAsia="Times New Roman" w:hAnsi="Times New Roman"/>
                  <w:sz w:val="15"/>
                  <w:szCs w:val="15"/>
                  <w:color w:val="0000EE"/>
                  <w:w w:val="97"/>
                </w:rPr>
                <w:t xml:space="preserve"> to our Current Report on Form 8-K filed with the SEC on October 3, 2019)</w:t>
              </w:r>
            </w:hyperlink>
          </w:p>
        </w:tc>
        <w:tc>
          <w:tcPr>
            <w:tcW w:w="336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10.29</w:t>
            </w:r>
          </w:p>
        </w:tc>
        <w:tc>
          <w:tcPr>
            <w:tcW w:w="1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5"/>
                <w:szCs w:val="15"/>
                <w:color w:val="0000EE"/>
                <w:w w:val="97"/>
              </w:rPr>
            </w:pPr>
            <w:hyperlink r:id="rId101">
              <w:r>
                <w:rPr>
                  <w:rFonts w:ascii="Times New Roman" w:cs="Times New Roman" w:eastAsia="Times New Roman" w:hAnsi="Times New Roman"/>
                  <w:sz w:val="15"/>
                  <w:szCs w:val="15"/>
                  <w:color w:val="0000EE"/>
                  <w:w w:val="97"/>
                </w:rPr>
                <w:t>Securities Purchase Agreement, dated as of March 19, 2020, by and between the Company and the purchasers party thereto (incorporated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40" w:type="dxa"/>
            <w:vAlign w:val="bottom"/>
            <w:tcBorders>
              <w:top w:val="single" w:sz="8" w:color="0000EE"/>
            </w:tcBorders>
            <w:gridSpan w:val="23"/>
          </w:tcPr>
          <w:p>
            <w:pPr>
              <w:spacing w:after="0" w:line="156" w:lineRule="exact"/>
              <w:rPr>
                <w:rFonts w:ascii="Times New Roman" w:cs="Times New Roman" w:eastAsia="Times New Roman" w:hAnsi="Times New Roman"/>
                <w:sz w:val="15"/>
                <w:szCs w:val="15"/>
                <w:color w:val="0000EE"/>
              </w:rPr>
            </w:pPr>
            <w:hyperlink r:id="rId101">
              <w:r>
                <w:rPr>
                  <w:rFonts w:ascii="Times New Roman" w:cs="Times New Roman" w:eastAsia="Times New Roman" w:hAnsi="Times New Roman"/>
                  <w:sz w:val="15"/>
                  <w:szCs w:val="15"/>
                  <w:color w:val="0000EE"/>
                </w:rPr>
                <w:t>by reference to Exhibit 10.1 to the Company’s Current Report on Form 8-K filed with the SEC on March 19,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10.30</w:t>
            </w:r>
          </w:p>
        </w:tc>
        <w:tc>
          <w:tcPr>
            <w:tcW w:w="100" w:type="dxa"/>
            <w:vAlign w:val="bottom"/>
          </w:tcPr>
          <w:p>
            <w:pPr>
              <w:spacing w:after="0"/>
              <w:rPr>
                <w:sz w:val="24"/>
                <w:szCs w:val="24"/>
                <w:color w:val="auto"/>
              </w:rPr>
            </w:pPr>
          </w:p>
        </w:tc>
        <w:tc>
          <w:tcPr>
            <w:tcW w:w="7940" w:type="dxa"/>
            <w:vAlign w:val="bottom"/>
            <w:tcBorders>
              <w:bottom w:val="single" w:sz="8" w:color="0000EE"/>
            </w:tcBorders>
            <w:gridSpan w:val="18"/>
          </w:tcPr>
          <w:p>
            <w:pPr>
              <w:spacing w:after="0"/>
              <w:rPr>
                <w:rFonts w:ascii="Times New Roman" w:cs="Times New Roman" w:eastAsia="Times New Roman" w:hAnsi="Times New Roman"/>
                <w:sz w:val="15"/>
                <w:szCs w:val="15"/>
                <w:color w:val="0000EE"/>
                <w:w w:val="97"/>
              </w:rPr>
            </w:pPr>
            <w:hyperlink r:id="rId102">
              <w:r>
                <w:rPr>
                  <w:rFonts w:ascii="Times New Roman" w:cs="Times New Roman" w:eastAsia="Times New Roman" w:hAnsi="Times New Roman"/>
                  <w:sz w:val="15"/>
                  <w:szCs w:val="15"/>
                  <w:color w:val="0000EE"/>
                  <w:w w:val="97"/>
                </w:rPr>
                <w:t>Form of Exchange Agreement, dated as of March 19, 2020 (incorporated by reference to Exhibit 10.2 to the Company’s Current Report</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102">
              <w:r>
                <w:rPr>
                  <w:rFonts w:ascii="Times New Roman" w:cs="Times New Roman" w:eastAsia="Times New Roman" w:hAnsi="Times New Roman"/>
                  <w:sz w:val="15"/>
                  <w:szCs w:val="15"/>
                  <w:color w:val="0000EE"/>
                </w:rPr>
                <w:t>on Form 8-K filed with the SEC on March 19,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10.31</w:t>
            </w:r>
          </w:p>
        </w:tc>
        <w:tc>
          <w:tcPr>
            <w:tcW w:w="100" w:type="dxa"/>
            <w:vAlign w:val="bottom"/>
          </w:tcPr>
          <w:p>
            <w:pPr>
              <w:spacing w:after="0"/>
              <w:rPr>
                <w:sz w:val="24"/>
                <w:szCs w:val="24"/>
                <w:color w:val="auto"/>
              </w:rPr>
            </w:pPr>
          </w:p>
        </w:tc>
        <w:tc>
          <w:tcPr>
            <w:tcW w:w="8000" w:type="dxa"/>
            <w:vAlign w:val="bottom"/>
            <w:tcBorders>
              <w:bottom w:val="single" w:sz="8" w:color="0000EE"/>
            </w:tcBorders>
            <w:gridSpan w:val="21"/>
          </w:tcPr>
          <w:p>
            <w:pPr>
              <w:spacing w:after="0"/>
              <w:rPr>
                <w:rFonts w:ascii="Times New Roman" w:cs="Times New Roman" w:eastAsia="Times New Roman" w:hAnsi="Times New Roman"/>
                <w:sz w:val="15"/>
                <w:szCs w:val="15"/>
                <w:color w:val="0000EE"/>
                <w:w w:val="97"/>
              </w:rPr>
            </w:pPr>
            <w:hyperlink r:id="rId103">
              <w:r>
                <w:rPr>
                  <w:rFonts w:ascii="Times New Roman" w:cs="Times New Roman" w:eastAsia="Times New Roman" w:hAnsi="Times New Roman"/>
                  <w:sz w:val="15"/>
                  <w:szCs w:val="15"/>
                  <w:color w:val="0000EE"/>
                  <w:w w:val="97"/>
                </w:rPr>
                <w:t>Voting Agreement, dated as of March 19, 2020, by and between the Company and Mistral Spa Holdings LLC (incorporated by reference</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103">
              <w:r>
                <w:rPr>
                  <w:rFonts w:ascii="Times New Roman" w:cs="Times New Roman" w:eastAsia="Times New Roman" w:hAnsi="Times New Roman"/>
                  <w:sz w:val="15"/>
                  <w:szCs w:val="15"/>
                  <w:color w:val="0000EE"/>
                </w:rPr>
                <w:t>to Exhibit 10.3 to the Company’s Current Report on Form 8-K filed with the SEC on March 19,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10.32</w:t>
            </w:r>
          </w:p>
        </w:tc>
        <w:tc>
          <w:tcPr>
            <w:tcW w:w="1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5"/>
                <w:szCs w:val="15"/>
                <w:color w:val="0000EE"/>
                <w:w w:val="97"/>
              </w:rPr>
            </w:pPr>
            <w:hyperlink r:id="rId104">
              <w:r>
                <w:rPr>
                  <w:rFonts w:ascii="Times New Roman" w:cs="Times New Roman" w:eastAsia="Times New Roman" w:hAnsi="Times New Roman"/>
                  <w:sz w:val="15"/>
                  <w:szCs w:val="15"/>
                  <w:color w:val="0000EE"/>
                  <w:w w:val="97"/>
                </w:rPr>
                <w:t>Securities Purchase Agreement, dated as of March 25, 2020, by and between the Company and the purchasers party thereto (incorporated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40" w:type="dxa"/>
            <w:vAlign w:val="bottom"/>
            <w:tcBorders>
              <w:top w:val="single" w:sz="8" w:color="0000EE"/>
            </w:tcBorders>
            <w:gridSpan w:val="23"/>
          </w:tcPr>
          <w:p>
            <w:pPr>
              <w:spacing w:after="0" w:line="156" w:lineRule="exact"/>
              <w:rPr>
                <w:rFonts w:ascii="Times New Roman" w:cs="Times New Roman" w:eastAsia="Times New Roman" w:hAnsi="Times New Roman"/>
                <w:sz w:val="15"/>
                <w:szCs w:val="15"/>
                <w:color w:val="0000EE"/>
              </w:rPr>
            </w:pPr>
            <w:hyperlink r:id="rId104">
              <w:r>
                <w:rPr>
                  <w:rFonts w:ascii="Times New Roman" w:cs="Times New Roman" w:eastAsia="Times New Roman" w:hAnsi="Times New Roman"/>
                  <w:sz w:val="15"/>
                  <w:szCs w:val="15"/>
                  <w:color w:val="0000EE"/>
                </w:rPr>
                <w:t>by reference to Exhibit 10.1 to the Company’s Current Report on Form 8-K filed with the SEC on March 25,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10.33</w:t>
            </w:r>
          </w:p>
        </w:tc>
        <w:tc>
          <w:tcPr>
            <w:tcW w:w="100" w:type="dxa"/>
            <w:vAlign w:val="bottom"/>
          </w:tcPr>
          <w:p>
            <w:pPr>
              <w:spacing w:after="0"/>
              <w:rPr>
                <w:sz w:val="24"/>
                <w:szCs w:val="24"/>
                <w:color w:val="auto"/>
              </w:rPr>
            </w:pPr>
          </w:p>
        </w:tc>
        <w:tc>
          <w:tcPr>
            <w:tcW w:w="8060" w:type="dxa"/>
            <w:vAlign w:val="bottom"/>
            <w:gridSpan w:val="24"/>
          </w:tcPr>
          <w:p>
            <w:pPr>
              <w:spacing w:after="0"/>
              <w:rPr>
                <w:rFonts w:ascii="Times New Roman" w:cs="Times New Roman" w:eastAsia="Times New Roman" w:hAnsi="Times New Roman"/>
                <w:sz w:val="15"/>
                <w:szCs w:val="15"/>
                <w:color w:val="0000EE"/>
                <w:w w:val="97"/>
              </w:rPr>
            </w:pPr>
            <w:hyperlink r:id="rId105">
              <w:r>
                <w:rPr>
                  <w:rFonts w:ascii="Times New Roman" w:cs="Times New Roman" w:eastAsia="Times New Roman" w:hAnsi="Times New Roman"/>
                  <w:sz w:val="15"/>
                  <w:szCs w:val="15"/>
                  <w:color w:val="0000EE"/>
                  <w:w w:val="97"/>
                </w:rPr>
                <w:t>Securities Purchase Agreement, dated as of March 27, 2020, by and between the Company and the purchasers party thereto (incorporated</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40" w:type="dxa"/>
            <w:vAlign w:val="bottom"/>
            <w:tcBorders>
              <w:top w:val="single" w:sz="8" w:color="0000EE"/>
            </w:tcBorders>
            <w:gridSpan w:val="23"/>
          </w:tcPr>
          <w:p>
            <w:pPr>
              <w:spacing w:after="0" w:line="156" w:lineRule="exact"/>
              <w:rPr>
                <w:rFonts w:ascii="Times New Roman" w:cs="Times New Roman" w:eastAsia="Times New Roman" w:hAnsi="Times New Roman"/>
                <w:sz w:val="15"/>
                <w:szCs w:val="15"/>
                <w:color w:val="0000EE"/>
              </w:rPr>
            </w:pPr>
            <w:hyperlink r:id="rId105">
              <w:r>
                <w:rPr>
                  <w:rFonts w:ascii="Times New Roman" w:cs="Times New Roman" w:eastAsia="Times New Roman" w:hAnsi="Times New Roman"/>
                  <w:sz w:val="15"/>
                  <w:szCs w:val="15"/>
                  <w:color w:val="0000EE"/>
                </w:rPr>
                <w:t>by reference to Exhibit 10.1 to the Company’s Current Report on Form 8-K filed with the SEC on March 27,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10.34</w:t>
            </w:r>
          </w:p>
        </w:tc>
        <w:tc>
          <w:tcPr>
            <w:tcW w:w="100" w:type="dxa"/>
            <w:vAlign w:val="bottom"/>
          </w:tcPr>
          <w:p>
            <w:pPr>
              <w:spacing w:after="0"/>
              <w:rPr>
                <w:sz w:val="24"/>
                <w:szCs w:val="24"/>
                <w:color w:val="auto"/>
              </w:rPr>
            </w:pPr>
          </w:p>
        </w:tc>
        <w:tc>
          <w:tcPr>
            <w:tcW w:w="7900" w:type="dxa"/>
            <w:vAlign w:val="bottom"/>
            <w:tcBorders>
              <w:bottom w:val="single" w:sz="8" w:color="0000EE"/>
            </w:tcBorders>
            <w:gridSpan w:val="17"/>
          </w:tcPr>
          <w:p>
            <w:pPr>
              <w:spacing w:after="0"/>
              <w:rPr>
                <w:rFonts w:ascii="Times New Roman" w:cs="Times New Roman" w:eastAsia="Times New Roman" w:hAnsi="Times New Roman"/>
                <w:sz w:val="15"/>
                <w:szCs w:val="15"/>
                <w:color w:val="0000EE"/>
                <w:w w:val="97"/>
              </w:rPr>
            </w:pPr>
            <w:hyperlink r:id="rId106">
              <w:r>
                <w:rPr>
                  <w:rFonts w:ascii="Times New Roman" w:cs="Times New Roman" w:eastAsia="Times New Roman" w:hAnsi="Times New Roman"/>
                  <w:sz w:val="15"/>
                  <w:szCs w:val="15"/>
                  <w:color w:val="0000EE"/>
                  <w:w w:val="97"/>
                </w:rPr>
                <w:t>Securities Purchase Agreement, dated as of April 6, 2020, by and between the Company and the purchasers party thereto (incorporated</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0" w:type="dxa"/>
            <w:vAlign w:val="bottom"/>
            <w:tcBorders>
              <w:bottom w:val="single" w:sz="8" w:color="0000EE"/>
            </w:tcBorders>
            <w:gridSpan w:val="10"/>
          </w:tcPr>
          <w:p>
            <w:pPr>
              <w:spacing w:after="0" w:line="156" w:lineRule="exact"/>
              <w:rPr>
                <w:rFonts w:ascii="Times New Roman" w:cs="Times New Roman" w:eastAsia="Times New Roman" w:hAnsi="Times New Roman"/>
                <w:sz w:val="15"/>
                <w:szCs w:val="15"/>
                <w:color w:val="0000EE"/>
                <w:w w:val="97"/>
              </w:rPr>
            </w:pPr>
            <w:hyperlink r:id="rId106">
              <w:r>
                <w:rPr>
                  <w:rFonts w:ascii="Times New Roman" w:cs="Times New Roman" w:eastAsia="Times New Roman" w:hAnsi="Times New Roman"/>
                  <w:sz w:val="15"/>
                  <w:szCs w:val="15"/>
                  <w:color w:val="0000EE"/>
                  <w:w w:val="97"/>
                </w:rPr>
                <w:t>by reference to Exhibit 10.1 to the Company’s Current Report on Form 8-K filed with the SEC on April 7, 2020)</w:t>
              </w:r>
            </w:hyperlink>
          </w:p>
        </w:tc>
        <w:tc>
          <w:tcPr>
            <w:tcW w:w="146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10.35†</w:t>
            </w:r>
          </w:p>
        </w:tc>
        <w:tc>
          <w:tcPr>
            <w:tcW w:w="7580" w:type="dxa"/>
            <w:vAlign w:val="bottom"/>
            <w:tcBorders>
              <w:bottom w:val="single" w:sz="8" w:color="0000EE"/>
            </w:tcBorders>
            <w:gridSpan w:val="12"/>
          </w:tcPr>
          <w:p>
            <w:pPr>
              <w:spacing w:after="0"/>
              <w:rPr>
                <w:rFonts w:ascii="Times New Roman" w:cs="Times New Roman" w:eastAsia="Times New Roman" w:hAnsi="Times New Roman"/>
                <w:sz w:val="15"/>
                <w:szCs w:val="15"/>
                <w:color w:val="0000EE"/>
                <w:w w:val="97"/>
              </w:rPr>
            </w:pPr>
            <w:hyperlink r:id="rId107">
              <w:r>
                <w:rPr>
                  <w:rFonts w:ascii="Times New Roman" w:cs="Times New Roman" w:eastAsia="Times New Roman" w:hAnsi="Times New Roman"/>
                  <w:sz w:val="15"/>
                  <w:szCs w:val="15"/>
                  <w:color w:val="0000EE"/>
                  <w:w w:val="97"/>
                </w:rPr>
                <w:t>Stock Option Grant under the XpresSpa Group Inc. 2020 Equity Incentive Plan (incorporated by reference to Exhibit 10.35 to the</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tcBorders>
              <w:bottom w:val="single" w:sz="8" w:color="0000EE"/>
            </w:tcBorders>
            <w:gridSpan w:val="6"/>
          </w:tcPr>
          <w:p>
            <w:pPr>
              <w:spacing w:after="0" w:line="156" w:lineRule="exact"/>
              <w:rPr>
                <w:rFonts w:ascii="Times New Roman" w:cs="Times New Roman" w:eastAsia="Times New Roman" w:hAnsi="Times New Roman"/>
                <w:sz w:val="15"/>
                <w:szCs w:val="15"/>
                <w:color w:val="0000EE"/>
                <w:w w:val="96"/>
              </w:rPr>
            </w:pPr>
            <w:hyperlink r:id="rId107">
              <w:r>
                <w:rPr>
                  <w:rFonts w:ascii="Times New Roman" w:cs="Times New Roman" w:eastAsia="Times New Roman" w:hAnsi="Times New Roman"/>
                  <w:sz w:val="15"/>
                  <w:szCs w:val="15"/>
                  <w:color w:val="0000EE"/>
                  <w:w w:val="96"/>
                </w:rPr>
                <w:t>Company’s Annual Report on Form 10-K filed with the SEC on March 31, 2021)</w:t>
              </w:r>
            </w:hyperlink>
          </w:p>
        </w:tc>
        <w:tc>
          <w:tcPr>
            <w:tcW w:w="33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10.36†</w:t>
            </w:r>
          </w:p>
        </w:tc>
        <w:tc>
          <w:tcPr>
            <w:tcW w:w="7980" w:type="dxa"/>
            <w:vAlign w:val="bottom"/>
            <w:tcBorders>
              <w:bottom w:val="single" w:sz="8" w:color="0000EE"/>
            </w:tcBorders>
            <w:gridSpan w:val="20"/>
          </w:tcPr>
          <w:p>
            <w:pPr>
              <w:spacing w:after="0"/>
              <w:rPr>
                <w:rFonts w:ascii="Times New Roman" w:cs="Times New Roman" w:eastAsia="Times New Roman" w:hAnsi="Times New Roman"/>
                <w:sz w:val="15"/>
                <w:szCs w:val="15"/>
                <w:color w:val="0000EE"/>
                <w:w w:val="97"/>
              </w:rPr>
            </w:pPr>
            <w:hyperlink r:id="rId108">
              <w:r>
                <w:rPr>
                  <w:rFonts w:ascii="Times New Roman" w:cs="Times New Roman" w:eastAsia="Times New Roman" w:hAnsi="Times New Roman"/>
                  <w:sz w:val="15"/>
                  <w:szCs w:val="15"/>
                  <w:color w:val="0000EE"/>
                  <w:w w:val="97"/>
                </w:rPr>
                <w:t>Notice of Restricted Stock Unit Award under the XpresSpa Group Inc. 2020 Equity Incentive Plan (incorporated by reference to Exhibit</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00" w:type="dxa"/>
            <w:vAlign w:val="bottom"/>
            <w:tcBorders>
              <w:bottom w:val="single" w:sz="8" w:color="0000EE"/>
            </w:tcBorders>
            <w:gridSpan w:val="8"/>
          </w:tcPr>
          <w:p>
            <w:pPr>
              <w:spacing w:after="0" w:line="156" w:lineRule="exact"/>
              <w:rPr>
                <w:rFonts w:ascii="Times New Roman" w:cs="Times New Roman" w:eastAsia="Times New Roman" w:hAnsi="Times New Roman"/>
                <w:sz w:val="15"/>
                <w:szCs w:val="15"/>
                <w:color w:val="0000EE"/>
                <w:w w:val="97"/>
              </w:rPr>
            </w:pPr>
            <w:hyperlink r:id="rId108">
              <w:r>
                <w:rPr>
                  <w:rFonts w:ascii="Times New Roman" w:cs="Times New Roman" w:eastAsia="Times New Roman" w:hAnsi="Times New Roman"/>
                  <w:sz w:val="15"/>
                  <w:szCs w:val="15"/>
                  <w:color w:val="0000EE"/>
                  <w:w w:val="97"/>
                </w:rPr>
                <w:t>10.</w:t>
              </w:r>
              <w:r>
                <w:rPr>
                  <w:rFonts w:ascii="Times New Roman" w:cs="Times New Roman" w:eastAsia="Times New Roman" w:hAnsi="Times New Roman"/>
                  <w:sz w:val="15"/>
                  <w:szCs w:val="15"/>
                  <w:u w:val="single" w:color="auto"/>
                  <w:color w:val="0000EE"/>
                  <w:w w:val="97"/>
                </w:rPr>
                <w:t>36</w:t>
              </w:r>
              <w:r>
                <w:rPr>
                  <w:rFonts w:ascii="Times New Roman" w:cs="Times New Roman" w:eastAsia="Times New Roman" w:hAnsi="Times New Roman"/>
                  <w:sz w:val="15"/>
                  <w:szCs w:val="15"/>
                  <w:color w:val="0000EE"/>
                  <w:w w:val="97"/>
                </w:rPr>
                <w:t xml:space="preserve"> to the Company’s Annual Report on Form 10-K filed with the SEC on March 31, 2021)</w:t>
              </w:r>
            </w:hyperlink>
          </w:p>
        </w:tc>
        <w:tc>
          <w:tcPr>
            <w:tcW w:w="25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10.37</w:t>
            </w:r>
          </w:p>
        </w:tc>
        <w:tc>
          <w:tcPr>
            <w:tcW w:w="100" w:type="dxa"/>
            <w:vAlign w:val="bottom"/>
          </w:tcPr>
          <w:p>
            <w:pPr>
              <w:spacing w:after="0"/>
              <w:rPr>
                <w:sz w:val="24"/>
                <w:szCs w:val="24"/>
                <w:color w:val="auto"/>
              </w:rPr>
            </w:pPr>
          </w:p>
        </w:tc>
        <w:tc>
          <w:tcPr>
            <w:tcW w:w="7980" w:type="dxa"/>
            <w:vAlign w:val="bottom"/>
            <w:tcBorders>
              <w:bottom w:val="single" w:sz="8" w:color="0000EE"/>
            </w:tcBorders>
            <w:gridSpan w:val="20"/>
          </w:tcPr>
          <w:p>
            <w:pPr>
              <w:spacing w:after="0"/>
              <w:rPr>
                <w:rFonts w:ascii="Times New Roman" w:cs="Times New Roman" w:eastAsia="Times New Roman" w:hAnsi="Times New Roman"/>
                <w:sz w:val="15"/>
                <w:szCs w:val="15"/>
                <w:color w:val="0000EE"/>
                <w:w w:val="97"/>
              </w:rPr>
            </w:pPr>
            <w:hyperlink r:id="rId109">
              <w:r>
                <w:rPr>
                  <w:rFonts w:ascii="Times New Roman" w:cs="Times New Roman" w:eastAsia="Times New Roman" w:hAnsi="Times New Roman"/>
                  <w:sz w:val="15"/>
                  <w:szCs w:val="15"/>
                  <w:color w:val="0000EE"/>
                  <w:w w:val="97"/>
                </w:rPr>
                <w:t>Form of Exchange Agreement, dated June 4, 2020 (incorporated by reference to Exhibit 10.1 to the Company’s Current Report on Form</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Borders>
              <w:bottom w:val="single" w:sz="8" w:color="0000EE"/>
            </w:tcBorders>
            <w:gridSpan w:val="2"/>
          </w:tcPr>
          <w:p>
            <w:pPr>
              <w:spacing w:after="0" w:line="156" w:lineRule="exact"/>
              <w:rPr>
                <w:rFonts w:ascii="Times New Roman" w:cs="Times New Roman" w:eastAsia="Times New Roman" w:hAnsi="Times New Roman"/>
                <w:sz w:val="15"/>
                <w:szCs w:val="15"/>
                <w:color w:val="0000EE"/>
                <w:w w:val="96"/>
              </w:rPr>
            </w:pPr>
            <w:hyperlink r:id="rId109">
              <w:r>
                <w:rPr>
                  <w:rFonts w:ascii="Times New Roman" w:cs="Times New Roman" w:eastAsia="Times New Roman" w:hAnsi="Times New Roman"/>
                  <w:sz w:val="15"/>
                  <w:szCs w:val="15"/>
                  <w:color w:val="0000EE"/>
                  <w:w w:val="96"/>
                </w:rPr>
                <w:t>8-K filed with the SEC on June 4, 2020)</w:t>
              </w:r>
            </w:hyperlink>
          </w:p>
        </w:tc>
        <w:tc>
          <w:tcPr>
            <w:tcW w:w="570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auto"/>
              </w:rPr>
              <w:t>10.38</w:t>
            </w:r>
          </w:p>
        </w:tc>
        <w:tc>
          <w:tcPr>
            <w:tcW w:w="100" w:type="dxa"/>
            <w:vAlign w:val="bottom"/>
          </w:tcPr>
          <w:p>
            <w:pPr>
              <w:spacing w:after="0"/>
              <w:rPr>
                <w:sz w:val="24"/>
                <w:szCs w:val="24"/>
                <w:color w:val="auto"/>
              </w:rPr>
            </w:pPr>
          </w:p>
        </w:tc>
        <w:tc>
          <w:tcPr>
            <w:tcW w:w="7960" w:type="dxa"/>
            <w:vAlign w:val="bottom"/>
            <w:tcBorders>
              <w:bottom w:val="single" w:sz="8" w:color="0000EE"/>
            </w:tcBorders>
            <w:gridSpan w:val="19"/>
          </w:tcPr>
          <w:p>
            <w:pPr>
              <w:spacing w:after="0"/>
              <w:rPr>
                <w:rFonts w:ascii="Times New Roman" w:cs="Times New Roman" w:eastAsia="Times New Roman" w:hAnsi="Times New Roman"/>
                <w:sz w:val="15"/>
                <w:szCs w:val="15"/>
                <w:color w:val="0000EE"/>
                <w:w w:val="97"/>
              </w:rPr>
            </w:pPr>
            <w:hyperlink r:id="rId110">
              <w:r>
                <w:rPr>
                  <w:rFonts w:ascii="Times New Roman" w:cs="Times New Roman" w:eastAsia="Times New Roman" w:hAnsi="Times New Roman"/>
                  <w:sz w:val="15"/>
                  <w:szCs w:val="15"/>
                  <w:color w:val="0000EE"/>
                  <w:w w:val="97"/>
                </w:rPr>
                <w:t>Form of Securities Purchase Agreement, dated as of June 17, 2020 (incorporated by reference to Exhibit 10.1 to the Company’s Current</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60" w:type="dxa"/>
            <w:vAlign w:val="bottom"/>
            <w:gridSpan w:val="24"/>
          </w:tcPr>
          <w:p>
            <w:pPr>
              <w:spacing w:after="0" w:line="156" w:lineRule="exact"/>
              <w:rPr>
                <w:rFonts w:ascii="Times New Roman" w:cs="Times New Roman" w:eastAsia="Times New Roman" w:hAnsi="Times New Roman"/>
                <w:sz w:val="15"/>
                <w:szCs w:val="15"/>
                <w:color w:val="0000EE"/>
              </w:rPr>
            </w:pPr>
            <w:hyperlink r:id="rId110">
              <w:r>
                <w:rPr>
                  <w:rFonts w:ascii="Times New Roman" w:cs="Times New Roman" w:eastAsia="Times New Roman" w:hAnsi="Times New Roman"/>
                  <w:sz w:val="15"/>
                  <w:szCs w:val="15"/>
                  <w:color w:val="0000EE"/>
                </w:rPr>
                <w:t>Report on Form 8-K filed with the SEC on June 17, 2020)</w:t>
              </w:r>
            </w:hyperlink>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Borders>
              <w:top w:val="single" w:sz="8" w:color="0000EE"/>
            </w:tcBorders>
            <w:gridSpan w:val="4"/>
          </w:tcPr>
          <w:p>
            <w:pPr>
              <w:spacing w:after="0"/>
              <w:rPr>
                <w:sz w:val="24"/>
                <w:szCs w:val="24"/>
                <w:color w:val="auto"/>
              </w:rPr>
            </w:pPr>
          </w:p>
        </w:tc>
        <w:tc>
          <w:tcPr>
            <w:tcW w:w="1300" w:type="dxa"/>
            <w:vAlign w:val="bottom"/>
          </w:tcPr>
          <w:p>
            <w:pPr>
              <w:jc w:val="right"/>
              <w:ind w:right="974"/>
              <w:spacing w:after="0"/>
              <w:rPr>
                <w:sz w:val="20"/>
                <w:szCs w:val="20"/>
                <w:color w:val="auto"/>
              </w:rPr>
            </w:pPr>
            <w:r>
              <w:rPr>
                <w:rFonts w:ascii="Times New Roman" w:cs="Times New Roman" w:eastAsia="Times New Roman" w:hAnsi="Times New Roman"/>
                <w:sz w:val="15"/>
                <w:szCs w:val="15"/>
                <w:color w:val="auto"/>
              </w:rPr>
              <w:t>47</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4"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700" w:type="dxa"/>
            <w:vAlign w:val="bottom"/>
            <w:vMerge w:val="restart"/>
          </w:tcPr>
          <w:p>
            <w:pPr>
              <w:ind w:left="2140"/>
              <w:spacing w:after="0"/>
              <w:rPr>
                <w:sz w:val="20"/>
                <w:szCs w:val="20"/>
                <w:color w:val="auto"/>
              </w:rPr>
            </w:pPr>
            <w:r>
              <w:rPr>
                <w:rFonts w:ascii="Times New Roman" w:cs="Times New Roman" w:eastAsia="Times New Roman" w:hAnsi="Times New Roman"/>
                <w:sz w:val="12"/>
                <w:szCs w:val="12"/>
                <w:b w:val="1"/>
                <w:bCs w:val="1"/>
                <w:color w:val="auto"/>
                <w:w w:val="90"/>
              </w:rPr>
              <w:t>Description</w:t>
            </w:r>
          </w:p>
        </w:tc>
        <w:tc>
          <w:tcPr>
            <w:tcW w:w="0" w:type="dxa"/>
            <w:vAlign w:val="bottom"/>
          </w:tcPr>
          <w:p>
            <w:pPr>
              <w:spacing w:after="0"/>
              <w:rPr>
                <w:sz w:val="1"/>
                <w:szCs w:val="1"/>
                <w:color w:val="auto"/>
              </w:rPr>
            </w:pP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0</wp:posOffset>
            </wp:positionV>
            <wp:extent cx="567182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5671820" cy="6985"/>
                    </a:xfrm>
                    <a:prstGeom prst="rect">
                      <a:avLst/>
                    </a:prstGeom>
                    <a:noFill/>
                  </pic:spPr>
                </pic:pic>
              </a:graphicData>
            </a:graphic>
          </wp:anchor>
        </w:drawing>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10.39</w:t>
            </w:r>
          </w:p>
        </w:tc>
        <w:tc>
          <w:tcPr>
            <w:tcW w:w="8020" w:type="dxa"/>
            <w:vAlign w:val="bottom"/>
            <w:gridSpan w:val="26"/>
          </w:tcPr>
          <w:p>
            <w:pPr>
              <w:spacing w:after="0"/>
              <w:rPr>
                <w:rFonts w:ascii="Times New Roman" w:cs="Times New Roman" w:eastAsia="Times New Roman" w:hAnsi="Times New Roman"/>
                <w:sz w:val="15"/>
                <w:szCs w:val="15"/>
                <w:color w:val="0000EE"/>
              </w:rPr>
            </w:pPr>
            <w:hyperlink r:id="rId112">
              <w:r>
                <w:rPr>
                  <w:rFonts w:ascii="Times New Roman" w:cs="Times New Roman" w:eastAsia="Times New Roman" w:hAnsi="Times New Roman"/>
                  <w:sz w:val="15"/>
                  <w:szCs w:val="15"/>
                  <w:color w:val="0000EE"/>
                </w:rPr>
                <w:t>Form of Securities Purchase Agreement, dated as of August 25, 2020 (incorporated by reference to Exhibit 10.1 to the Company’s</w:t>
              </w:r>
            </w:hyperlink>
          </w:p>
        </w:tc>
      </w:tr>
      <w:tr>
        <w:trPr>
          <w:trHeight w:val="156"/>
        </w:trPr>
        <w:tc>
          <w:tcPr>
            <w:tcW w:w="880" w:type="dxa"/>
            <w:vAlign w:val="bottom"/>
          </w:tcPr>
          <w:p>
            <w:pPr>
              <w:spacing w:after="0"/>
              <w:rPr>
                <w:sz w:val="13"/>
                <w:szCs w:val="13"/>
                <w:color w:val="auto"/>
              </w:rPr>
            </w:pPr>
          </w:p>
        </w:tc>
        <w:tc>
          <w:tcPr>
            <w:tcW w:w="7620" w:type="dxa"/>
            <w:vAlign w:val="bottom"/>
            <w:tcBorders>
              <w:top w:val="single" w:sz="8" w:color="0000EE"/>
            </w:tcBorders>
            <w:gridSpan w:val="16"/>
          </w:tcPr>
          <w:p>
            <w:pPr>
              <w:spacing w:after="0" w:line="156" w:lineRule="exact"/>
              <w:rPr>
                <w:rFonts w:ascii="Times New Roman" w:cs="Times New Roman" w:eastAsia="Times New Roman" w:hAnsi="Times New Roman"/>
                <w:sz w:val="15"/>
                <w:szCs w:val="15"/>
                <w:color w:val="0000EE"/>
              </w:rPr>
            </w:pPr>
            <w:hyperlink r:id="rId112">
              <w:r>
                <w:rPr>
                  <w:rFonts w:ascii="Times New Roman" w:cs="Times New Roman" w:eastAsia="Times New Roman" w:hAnsi="Times New Roman"/>
                  <w:sz w:val="15"/>
                  <w:szCs w:val="15"/>
                  <w:color w:val="0000EE"/>
                </w:rPr>
                <w:t>Current Report on Form 8-K filed with the SEC on August 28, 2020)</w:t>
              </w:r>
            </w:hyperlink>
          </w:p>
        </w:tc>
        <w:tc>
          <w:tcPr>
            <w:tcW w:w="400" w:type="dxa"/>
            <w:vAlign w:val="bottom"/>
            <w:gridSpan w:val="10"/>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10.40†</w:t>
            </w:r>
          </w:p>
        </w:tc>
        <w:tc>
          <w:tcPr>
            <w:tcW w:w="7820" w:type="dxa"/>
            <w:vAlign w:val="bottom"/>
            <w:tcBorders>
              <w:bottom w:val="single" w:sz="8" w:color="0000EE"/>
            </w:tcBorders>
            <w:gridSpan w:val="21"/>
          </w:tcPr>
          <w:p>
            <w:pPr>
              <w:spacing w:after="0"/>
              <w:rPr>
                <w:rFonts w:ascii="Times New Roman" w:cs="Times New Roman" w:eastAsia="Times New Roman" w:hAnsi="Times New Roman"/>
                <w:sz w:val="15"/>
                <w:szCs w:val="15"/>
                <w:color w:val="0000EE"/>
                <w:w w:val="97"/>
              </w:rPr>
            </w:pPr>
            <w:hyperlink r:id="rId113">
              <w:r>
                <w:rPr>
                  <w:rFonts w:ascii="Times New Roman" w:cs="Times New Roman" w:eastAsia="Times New Roman" w:hAnsi="Times New Roman"/>
                  <w:sz w:val="15"/>
                  <w:szCs w:val="15"/>
                  <w:color w:val="0000EE"/>
                  <w:w w:val="97"/>
                </w:rPr>
                <w:t>XpresTest, Inc. 2020 Equity Incentive Plan (incorporated by reference to Exhibit 10.1 to the Company’s Current Report on Form 8-K</w:t>
              </w:r>
            </w:hyperlink>
          </w:p>
        </w:tc>
        <w:tc>
          <w:tcPr>
            <w:tcW w:w="200" w:type="dxa"/>
            <w:vAlign w:val="bottom"/>
            <w:gridSpan w:val="5"/>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20" w:type="dxa"/>
            <w:vAlign w:val="bottom"/>
            <w:gridSpan w:val="26"/>
          </w:tcPr>
          <w:p>
            <w:pPr>
              <w:spacing w:after="0" w:line="156" w:lineRule="exact"/>
              <w:rPr>
                <w:rFonts w:ascii="Times New Roman" w:cs="Times New Roman" w:eastAsia="Times New Roman" w:hAnsi="Times New Roman"/>
                <w:sz w:val="15"/>
                <w:szCs w:val="15"/>
                <w:color w:val="0000EE"/>
              </w:rPr>
            </w:pPr>
            <w:hyperlink r:id="rId113">
              <w:r>
                <w:rPr>
                  <w:rFonts w:ascii="Times New Roman" w:cs="Times New Roman" w:eastAsia="Times New Roman" w:hAnsi="Times New Roman"/>
                  <w:sz w:val="15"/>
                  <w:szCs w:val="15"/>
                  <w:color w:val="0000EE"/>
                </w:rPr>
                <w:t>filed with the SEC on September 28, 2020)</w:t>
              </w:r>
            </w:hyperlink>
          </w:p>
        </w:tc>
      </w:tr>
      <w:tr>
        <w:trPr>
          <w:trHeight w:val="20"/>
        </w:trPr>
        <w:tc>
          <w:tcPr>
            <w:tcW w:w="8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10.41†</w:t>
            </w:r>
          </w:p>
        </w:tc>
        <w:tc>
          <w:tcPr>
            <w:tcW w:w="7940" w:type="dxa"/>
            <w:vAlign w:val="bottom"/>
            <w:tcBorders>
              <w:bottom w:val="single" w:sz="8" w:color="0000EE"/>
            </w:tcBorders>
            <w:gridSpan w:val="23"/>
          </w:tcPr>
          <w:p>
            <w:pPr>
              <w:spacing w:after="0"/>
              <w:rPr>
                <w:rFonts w:ascii="Times New Roman" w:cs="Times New Roman" w:eastAsia="Times New Roman" w:hAnsi="Times New Roman"/>
                <w:sz w:val="15"/>
                <w:szCs w:val="15"/>
                <w:color w:val="0000EE"/>
                <w:w w:val="97"/>
              </w:rPr>
            </w:pPr>
            <w:hyperlink r:id="rId114">
              <w:r>
                <w:rPr>
                  <w:rFonts w:ascii="Times New Roman" w:cs="Times New Roman" w:eastAsia="Times New Roman" w:hAnsi="Times New Roman"/>
                  <w:sz w:val="15"/>
                  <w:szCs w:val="15"/>
                  <w:color w:val="0000EE"/>
                  <w:w w:val="97"/>
                </w:rPr>
                <w:t>XpresSpa Group, Inc. 2020 Equity Incentive Plan (incorporated by reference to Exhibit 10.1 to the Company’s Current Report on Form</w:t>
              </w:r>
            </w:hyperlink>
          </w:p>
        </w:tc>
        <w:tc>
          <w:tcPr>
            <w:tcW w:w="80" w:type="dxa"/>
            <w:vAlign w:val="bottom"/>
            <w:gridSpan w:val="3"/>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2640" w:type="dxa"/>
            <w:vAlign w:val="bottom"/>
            <w:tcBorders>
              <w:bottom w:val="single" w:sz="8" w:color="0000EE"/>
            </w:tcBorders>
            <w:gridSpan w:val="4"/>
          </w:tcPr>
          <w:p>
            <w:pPr>
              <w:spacing w:after="0" w:line="156" w:lineRule="exact"/>
              <w:rPr>
                <w:rFonts w:ascii="Times New Roman" w:cs="Times New Roman" w:eastAsia="Times New Roman" w:hAnsi="Times New Roman"/>
                <w:sz w:val="15"/>
                <w:szCs w:val="15"/>
                <w:color w:val="0000EE"/>
                <w:w w:val="96"/>
              </w:rPr>
            </w:pPr>
            <w:hyperlink r:id="rId114">
              <w:r>
                <w:rPr>
                  <w:rFonts w:ascii="Times New Roman" w:cs="Times New Roman" w:eastAsia="Times New Roman" w:hAnsi="Times New Roman"/>
                  <w:sz w:val="15"/>
                  <w:szCs w:val="15"/>
                  <w:color w:val="0000EE"/>
                  <w:w w:val="96"/>
                </w:rPr>
                <w:t>8-K filed with the SEC on October 30, 2020)</w:t>
              </w:r>
            </w:hyperlink>
          </w:p>
        </w:tc>
        <w:tc>
          <w:tcPr>
            <w:tcW w:w="5380" w:type="dxa"/>
            <w:vAlign w:val="bottom"/>
            <w:gridSpan w:val="22"/>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10.42</w:t>
            </w:r>
          </w:p>
        </w:tc>
        <w:tc>
          <w:tcPr>
            <w:tcW w:w="8020" w:type="dxa"/>
            <w:vAlign w:val="bottom"/>
            <w:gridSpan w:val="26"/>
          </w:tcPr>
          <w:p>
            <w:pPr>
              <w:spacing w:after="0"/>
              <w:rPr>
                <w:rFonts w:ascii="Times New Roman" w:cs="Times New Roman" w:eastAsia="Times New Roman" w:hAnsi="Times New Roman"/>
                <w:sz w:val="15"/>
                <w:szCs w:val="15"/>
                <w:color w:val="0000EE"/>
                <w:w w:val="99"/>
              </w:rPr>
            </w:pPr>
            <w:hyperlink r:id="rId115">
              <w:r>
                <w:rPr>
                  <w:rFonts w:ascii="Times New Roman" w:cs="Times New Roman" w:eastAsia="Times New Roman" w:hAnsi="Times New Roman"/>
                  <w:sz w:val="15"/>
                  <w:szCs w:val="15"/>
                  <w:color w:val="0000EE"/>
                  <w:w w:val="99"/>
                </w:rPr>
                <w:t>Form of Securities Purchase Agreement, dated as of December 17, 2020 (incorporated by reference to Exhibit 10.1 to the Company’s</w:t>
              </w:r>
            </w:hyperlink>
          </w:p>
        </w:tc>
      </w:tr>
      <w:tr>
        <w:trPr>
          <w:trHeight w:val="156"/>
        </w:trPr>
        <w:tc>
          <w:tcPr>
            <w:tcW w:w="880" w:type="dxa"/>
            <w:vAlign w:val="bottom"/>
          </w:tcPr>
          <w:p>
            <w:pPr>
              <w:spacing w:after="0"/>
              <w:rPr>
                <w:sz w:val="13"/>
                <w:szCs w:val="13"/>
                <w:color w:val="auto"/>
              </w:rPr>
            </w:pPr>
          </w:p>
        </w:tc>
        <w:tc>
          <w:tcPr>
            <w:tcW w:w="4240" w:type="dxa"/>
            <w:vAlign w:val="bottom"/>
            <w:tcBorders>
              <w:top w:val="single" w:sz="8" w:color="0000EE"/>
              <w:bottom w:val="single" w:sz="8" w:color="0000EE"/>
            </w:tcBorders>
            <w:gridSpan w:val="9"/>
          </w:tcPr>
          <w:p>
            <w:pPr>
              <w:spacing w:after="0" w:line="156" w:lineRule="exact"/>
              <w:rPr>
                <w:rFonts w:ascii="Times New Roman" w:cs="Times New Roman" w:eastAsia="Times New Roman" w:hAnsi="Times New Roman"/>
                <w:sz w:val="15"/>
                <w:szCs w:val="15"/>
                <w:color w:val="0000EE"/>
                <w:w w:val="97"/>
              </w:rPr>
            </w:pPr>
            <w:hyperlink r:id="rId115">
              <w:r>
                <w:rPr>
                  <w:rFonts w:ascii="Times New Roman" w:cs="Times New Roman" w:eastAsia="Times New Roman" w:hAnsi="Times New Roman"/>
                  <w:sz w:val="15"/>
                  <w:szCs w:val="15"/>
                  <w:color w:val="0000EE"/>
                  <w:w w:val="97"/>
                </w:rPr>
                <w:t>Current Report on Form 8-K filed with the SEC on December 21, 2020)</w:t>
              </w:r>
            </w:hyperlink>
          </w:p>
        </w:tc>
        <w:tc>
          <w:tcPr>
            <w:tcW w:w="3560" w:type="dxa"/>
            <w:vAlign w:val="bottom"/>
            <w:tcBorders>
              <w:top w:val="single" w:sz="8" w:color="0000EE"/>
            </w:tcBorders>
            <w:gridSpan w:val="11"/>
          </w:tcPr>
          <w:p>
            <w:pPr>
              <w:spacing w:after="0"/>
              <w:rPr>
                <w:sz w:val="13"/>
                <w:szCs w:val="13"/>
                <w:color w:val="auto"/>
              </w:rPr>
            </w:pPr>
          </w:p>
        </w:tc>
        <w:tc>
          <w:tcPr>
            <w:tcW w:w="220" w:type="dxa"/>
            <w:vAlign w:val="bottom"/>
            <w:gridSpan w:val="6"/>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10.43†</w:t>
            </w:r>
          </w:p>
        </w:tc>
        <w:tc>
          <w:tcPr>
            <w:tcW w:w="8020" w:type="dxa"/>
            <w:vAlign w:val="bottom"/>
            <w:gridSpan w:val="26"/>
          </w:tcPr>
          <w:p>
            <w:pPr>
              <w:spacing w:after="0"/>
              <w:rPr>
                <w:rFonts w:ascii="Times New Roman" w:cs="Times New Roman" w:eastAsia="Times New Roman" w:hAnsi="Times New Roman"/>
                <w:sz w:val="15"/>
                <w:szCs w:val="15"/>
                <w:color w:val="0000EE"/>
                <w:w w:val="98"/>
              </w:rPr>
            </w:pPr>
            <w:hyperlink r:id="rId116">
              <w:r>
                <w:rPr>
                  <w:rFonts w:ascii="Times New Roman" w:cs="Times New Roman" w:eastAsia="Times New Roman" w:hAnsi="Times New Roman"/>
                  <w:sz w:val="15"/>
                  <w:szCs w:val="15"/>
                  <w:color w:val="0000EE"/>
                  <w:w w:val="98"/>
                </w:rPr>
                <w:t>Form of XpresTest, Inc. Restricted Stock Award Agreement (incorporated by reference to Exhibit 10.45 to the Company’s Amendment</w:t>
              </w:r>
            </w:hyperlink>
          </w:p>
        </w:tc>
      </w:tr>
      <w:tr>
        <w:trPr>
          <w:trHeight w:val="156"/>
        </w:trPr>
        <w:tc>
          <w:tcPr>
            <w:tcW w:w="880" w:type="dxa"/>
            <w:vAlign w:val="bottom"/>
          </w:tcPr>
          <w:p>
            <w:pPr>
              <w:spacing w:after="0"/>
              <w:rPr>
                <w:sz w:val="13"/>
                <w:szCs w:val="13"/>
                <w:color w:val="auto"/>
              </w:rPr>
            </w:pPr>
          </w:p>
        </w:tc>
        <w:tc>
          <w:tcPr>
            <w:tcW w:w="7900" w:type="dxa"/>
            <w:vAlign w:val="bottom"/>
            <w:tcBorders>
              <w:top w:val="single" w:sz="8" w:color="0000EE"/>
            </w:tcBorders>
            <w:gridSpan w:val="22"/>
          </w:tcPr>
          <w:p>
            <w:pPr>
              <w:spacing w:after="0" w:line="156" w:lineRule="exact"/>
              <w:rPr>
                <w:rFonts w:ascii="Times New Roman" w:cs="Times New Roman" w:eastAsia="Times New Roman" w:hAnsi="Times New Roman"/>
                <w:sz w:val="15"/>
                <w:szCs w:val="15"/>
                <w:color w:val="0000EE"/>
              </w:rPr>
            </w:pPr>
            <w:hyperlink r:id="rId116">
              <w:r>
                <w:rPr>
                  <w:rFonts w:ascii="Times New Roman" w:cs="Times New Roman" w:eastAsia="Times New Roman" w:hAnsi="Times New Roman"/>
                  <w:sz w:val="15"/>
                  <w:szCs w:val="15"/>
                  <w:color w:val="0000EE"/>
                </w:rPr>
                <w:t>No. 1 to Annual Report on Form 10-K/A filed with the SEC on April 30, 2021)</w:t>
              </w:r>
            </w:hyperlink>
          </w:p>
        </w:tc>
        <w:tc>
          <w:tcPr>
            <w:tcW w:w="120" w:type="dxa"/>
            <w:vAlign w:val="bottom"/>
            <w:gridSpan w:val="4"/>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10.44†*</w:t>
            </w:r>
          </w:p>
        </w:tc>
        <w:tc>
          <w:tcPr>
            <w:tcW w:w="8020" w:type="dxa"/>
            <w:vAlign w:val="bottom"/>
            <w:gridSpan w:val="26"/>
          </w:tcPr>
          <w:p>
            <w:pPr>
              <w:spacing w:after="0"/>
              <w:rPr>
                <w:rFonts w:ascii="Times New Roman" w:cs="Times New Roman" w:eastAsia="Times New Roman" w:hAnsi="Times New Roman"/>
                <w:sz w:val="15"/>
                <w:szCs w:val="15"/>
                <w:color w:val="0000EE"/>
              </w:rPr>
            </w:pPr>
            <w:hyperlink r:id="rId117">
              <w:r>
                <w:rPr>
                  <w:rFonts w:ascii="Times New Roman" w:cs="Times New Roman" w:eastAsia="Times New Roman" w:hAnsi="Times New Roman"/>
                  <w:sz w:val="15"/>
                  <w:szCs w:val="15"/>
                  <w:color w:val="0000EE"/>
                </w:rPr>
                <w:t>Executive Employment Agreement dated January 9, 2022, between the Company and Ezra T. Ernst (incorporated by reference from</w:t>
              </w:r>
            </w:hyperlink>
          </w:p>
        </w:tc>
      </w:tr>
      <w:tr>
        <w:trPr>
          <w:trHeight w:val="156"/>
        </w:trPr>
        <w:tc>
          <w:tcPr>
            <w:tcW w:w="880" w:type="dxa"/>
            <w:vAlign w:val="bottom"/>
          </w:tcPr>
          <w:p>
            <w:pPr>
              <w:spacing w:after="0"/>
              <w:rPr>
                <w:sz w:val="13"/>
                <w:szCs w:val="13"/>
                <w:color w:val="auto"/>
              </w:rPr>
            </w:pPr>
          </w:p>
        </w:tc>
        <w:tc>
          <w:tcPr>
            <w:tcW w:w="7720" w:type="dxa"/>
            <w:vAlign w:val="bottom"/>
            <w:tcBorders>
              <w:top w:val="single" w:sz="8" w:color="0000EE"/>
            </w:tcBorders>
            <w:gridSpan w:val="17"/>
          </w:tcPr>
          <w:p>
            <w:pPr>
              <w:spacing w:after="0" w:line="156" w:lineRule="exact"/>
              <w:rPr>
                <w:rFonts w:ascii="Times New Roman" w:cs="Times New Roman" w:eastAsia="Times New Roman" w:hAnsi="Times New Roman"/>
                <w:sz w:val="15"/>
                <w:szCs w:val="15"/>
                <w:color w:val="0000EE"/>
              </w:rPr>
            </w:pPr>
            <w:hyperlink r:id="rId117">
              <w:r>
                <w:rPr>
                  <w:rFonts w:ascii="Times New Roman" w:cs="Times New Roman" w:eastAsia="Times New Roman" w:hAnsi="Times New Roman"/>
                  <w:sz w:val="15"/>
                  <w:szCs w:val="15"/>
                  <w:color w:val="0000EE"/>
                </w:rPr>
                <w:t>Exhibit 10.2 to our Quarterly Report on Form 10-Q filed with the SEC on November 14, 2022)</w:t>
              </w:r>
            </w:hyperlink>
          </w:p>
        </w:tc>
        <w:tc>
          <w:tcPr>
            <w:tcW w:w="300" w:type="dxa"/>
            <w:vAlign w:val="bottom"/>
            <w:gridSpan w:val="9"/>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10.45†</w:t>
            </w:r>
          </w:p>
        </w:tc>
        <w:tc>
          <w:tcPr>
            <w:tcW w:w="7980" w:type="dxa"/>
            <w:vAlign w:val="bottom"/>
            <w:tcBorders>
              <w:bottom w:val="single" w:sz="8" w:color="0000EE"/>
            </w:tcBorders>
            <w:gridSpan w:val="25"/>
          </w:tcPr>
          <w:p>
            <w:pPr>
              <w:spacing w:after="0"/>
              <w:rPr>
                <w:rFonts w:ascii="Times New Roman" w:cs="Times New Roman" w:eastAsia="Times New Roman" w:hAnsi="Times New Roman"/>
                <w:sz w:val="15"/>
                <w:szCs w:val="15"/>
                <w:color w:val="0000EE"/>
                <w:w w:val="97"/>
              </w:rPr>
            </w:pPr>
            <w:hyperlink r:id="rId118">
              <w:r>
                <w:rPr>
                  <w:rFonts w:ascii="Times New Roman" w:cs="Times New Roman" w:eastAsia="Times New Roman" w:hAnsi="Times New Roman"/>
                  <w:sz w:val="15"/>
                  <w:szCs w:val="15"/>
                  <w:color w:val="0000EE"/>
                  <w:w w:val="97"/>
                </w:rPr>
                <w:t>Stock Option Agreement between XpresSpa Group, Inc. and Ezra Ernst dated January 14, 2022 (incorporated by reference from Exhibit</w:t>
              </w:r>
            </w:hyperlink>
          </w:p>
        </w:tc>
        <w:tc>
          <w:tcPr>
            <w:tcW w:w="40" w:type="dxa"/>
            <w:vAlign w:val="bottom"/>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8020" w:type="dxa"/>
            <w:vAlign w:val="bottom"/>
            <w:gridSpan w:val="26"/>
          </w:tcPr>
          <w:p>
            <w:pPr>
              <w:spacing w:after="0" w:line="156" w:lineRule="exact"/>
              <w:rPr>
                <w:rFonts w:ascii="Times New Roman" w:cs="Times New Roman" w:eastAsia="Times New Roman" w:hAnsi="Times New Roman"/>
                <w:sz w:val="15"/>
                <w:szCs w:val="15"/>
                <w:color w:val="0000EE"/>
              </w:rPr>
            </w:pPr>
            <w:hyperlink r:id="rId118">
              <w:r>
                <w:rPr>
                  <w:rFonts w:ascii="Times New Roman" w:cs="Times New Roman" w:eastAsia="Times New Roman" w:hAnsi="Times New Roman"/>
                  <w:sz w:val="15"/>
                  <w:szCs w:val="15"/>
                  <w:color w:val="0000EE"/>
                </w:rPr>
                <w:t>10.</w:t>
              </w:r>
              <w:r>
                <w:rPr>
                  <w:rFonts w:ascii="Times New Roman" w:cs="Times New Roman" w:eastAsia="Times New Roman" w:hAnsi="Times New Roman"/>
                  <w:sz w:val="15"/>
                  <w:szCs w:val="15"/>
                  <w:u w:val="single" w:color="auto"/>
                  <w:color w:val="0000EE"/>
                </w:rPr>
                <w:t>1</w:t>
              </w:r>
              <w:r>
                <w:rPr>
                  <w:rFonts w:ascii="Times New Roman" w:cs="Times New Roman" w:eastAsia="Times New Roman" w:hAnsi="Times New Roman"/>
                  <w:sz w:val="15"/>
                  <w:szCs w:val="15"/>
                  <w:color w:val="0000EE"/>
                </w:rPr>
                <w:t xml:space="preserve"> to our Registration Statement on Form S-8 filed on March 31, 2022).</w:t>
              </w:r>
            </w:hyperlink>
          </w:p>
        </w:tc>
      </w:tr>
      <w:tr>
        <w:trPr>
          <w:trHeight w:val="20"/>
        </w:trPr>
        <w:tc>
          <w:tcPr>
            <w:tcW w:w="88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10.46†</w:t>
            </w:r>
          </w:p>
        </w:tc>
        <w:tc>
          <w:tcPr>
            <w:tcW w:w="8020" w:type="dxa"/>
            <w:vAlign w:val="bottom"/>
            <w:gridSpan w:val="26"/>
          </w:tcPr>
          <w:p>
            <w:pPr>
              <w:spacing w:after="0"/>
              <w:rPr>
                <w:rFonts w:ascii="Times New Roman" w:cs="Times New Roman" w:eastAsia="Times New Roman" w:hAnsi="Times New Roman"/>
                <w:sz w:val="15"/>
                <w:szCs w:val="15"/>
                <w:color w:val="0000EE"/>
              </w:rPr>
            </w:pPr>
            <w:hyperlink r:id="rId119">
              <w:r>
                <w:rPr>
                  <w:rFonts w:ascii="Times New Roman" w:cs="Times New Roman" w:eastAsia="Times New Roman" w:hAnsi="Times New Roman"/>
                  <w:sz w:val="15"/>
                  <w:szCs w:val="15"/>
                  <w:color w:val="0000EE"/>
                </w:rPr>
                <w:t>Executive Employment Agreement dated March 28, 2022, between the Company and Scott Milford. (incorporated by reference from</w:t>
              </w:r>
            </w:hyperlink>
          </w:p>
        </w:tc>
      </w:tr>
      <w:tr>
        <w:trPr>
          <w:trHeight w:val="156"/>
        </w:trPr>
        <w:tc>
          <w:tcPr>
            <w:tcW w:w="880" w:type="dxa"/>
            <w:vAlign w:val="bottom"/>
          </w:tcPr>
          <w:p>
            <w:pPr>
              <w:spacing w:after="0"/>
              <w:rPr>
                <w:sz w:val="13"/>
                <w:szCs w:val="13"/>
                <w:color w:val="auto"/>
              </w:rPr>
            </w:pPr>
          </w:p>
        </w:tc>
        <w:tc>
          <w:tcPr>
            <w:tcW w:w="5280" w:type="dxa"/>
            <w:vAlign w:val="bottom"/>
            <w:tcBorders>
              <w:top w:val="single" w:sz="8" w:color="0000EE"/>
              <w:bottom w:val="single" w:sz="8" w:color="0000EE"/>
            </w:tcBorders>
            <w:gridSpan w:val="12"/>
          </w:tcPr>
          <w:p>
            <w:pPr>
              <w:spacing w:after="0" w:line="156" w:lineRule="exact"/>
              <w:rPr>
                <w:rFonts w:ascii="Times New Roman" w:cs="Times New Roman" w:eastAsia="Times New Roman" w:hAnsi="Times New Roman"/>
                <w:sz w:val="15"/>
                <w:szCs w:val="15"/>
                <w:color w:val="0000EE"/>
                <w:w w:val="97"/>
              </w:rPr>
            </w:pPr>
            <w:hyperlink r:id="rId119">
              <w:r>
                <w:rPr>
                  <w:rFonts w:ascii="Times New Roman" w:cs="Times New Roman" w:eastAsia="Times New Roman" w:hAnsi="Times New Roman"/>
                  <w:sz w:val="15"/>
                  <w:szCs w:val="15"/>
                  <w:color w:val="0000EE"/>
                  <w:w w:val="97"/>
                </w:rPr>
                <w:t>Exhibit 10.48 to our Annual Report on Form 10-K filed with the SEC on March 31, 2022)</w:t>
              </w:r>
            </w:hyperlink>
          </w:p>
        </w:tc>
        <w:tc>
          <w:tcPr>
            <w:tcW w:w="2500" w:type="dxa"/>
            <w:vAlign w:val="bottom"/>
            <w:tcBorders>
              <w:top w:val="single" w:sz="8" w:color="0000EE"/>
            </w:tcBorders>
            <w:gridSpan w:val="7"/>
          </w:tcPr>
          <w:p>
            <w:pPr>
              <w:spacing w:after="0"/>
              <w:rPr>
                <w:sz w:val="13"/>
                <w:szCs w:val="13"/>
                <w:color w:val="auto"/>
              </w:rPr>
            </w:pPr>
          </w:p>
        </w:tc>
        <w:tc>
          <w:tcPr>
            <w:tcW w:w="240" w:type="dxa"/>
            <w:vAlign w:val="bottom"/>
            <w:gridSpan w:val="7"/>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10.47†</w:t>
            </w:r>
          </w:p>
        </w:tc>
        <w:tc>
          <w:tcPr>
            <w:tcW w:w="8020" w:type="dxa"/>
            <w:vAlign w:val="bottom"/>
            <w:gridSpan w:val="26"/>
          </w:tcPr>
          <w:p>
            <w:pPr>
              <w:spacing w:after="0"/>
              <w:rPr>
                <w:rFonts w:ascii="Times New Roman" w:cs="Times New Roman" w:eastAsia="Times New Roman" w:hAnsi="Times New Roman"/>
                <w:sz w:val="15"/>
                <w:szCs w:val="15"/>
                <w:color w:val="0000EE"/>
              </w:rPr>
            </w:pPr>
            <w:hyperlink r:id="rId120">
              <w:r>
                <w:rPr>
                  <w:rFonts w:ascii="Times New Roman" w:cs="Times New Roman" w:eastAsia="Times New Roman" w:hAnsi="Times New Roman"/>
                  <w:sz w:val="15"/>
                  <w:szCs w:val="15"/>
                  <w:color w:val="0000EE"/>
                </w:rPr>
                <w:t>XWELL, Inc. (formerly known as XpresSpa Group, Inc.) 2020 Equity Incentive Plan, as amended October 4, 2022 (incorporated by</w:t>
              </w:r>
            </w:hyperlink>
          </w:p>
        </w:tc>
      </w:tr>
      <w:tr>
        <w:trPr>
          <w:trHeight w:val="156"/>
        </w:trPr>
        <w:tc>
          <w:tcPr>
            <w:tcW w:w="880" w:type="dxa"/>
            <w:vAlign w:val="bottom"/>
          </w:tcPr>
          <w:p>
            <w:pPr>
              <w:spacing w:after="0"/>
              <w:rPr>
                <w:sz w:val="13"/>
                <w:szCs w:val="13"/>
                <w:color w:val="auto"/>
              </w:rPr>
            </w:pPr>
          </w:p>
        </w:tc>
        <w:tc>
          <w:tcPr>
            <w:tcW w:w="6440" w:type="dxa"/>
            <w:vAlign w:val="bottom"/>
            <w:tcBorders>
              <w:top w:val="single" w:sz="8" w:color="0000EE"/>
              <w:bottom w:val="single" w:sz="8" w:color="0000EE"/>
            </w:tcBorders>
            <w:gridSpan w:val="14"/>
          </w:tcPr>
          <w:p>
            <w:pPr>
              <w:spacing w:after="0" w:line="156" w:lineRule="exact"/>
              <w:rPr>
                <w:rFonts w:ascii="Times New Roman" w:cs="Times New Roman" w:eastAsia="Times New Roman" w:hAnsi="Times New Roman"/>
                <w:sz w:val="15"/>
                <w:szCs w:val="15"/>
                <w:color w:val="0000EE"/>
                <w:w w:val="97"/>
              </w:rPr>
            </w:pPr>
            <w:hyperlink r:id="rId120">
              <w:r>
                <w:rPr>
                  <w:rFonts w:ascii="Times New Roman" w:cs="Times New Roman" w:eastAsia="Times New Roman" w:hAnsi="Times New Roman"/>
                  <w:sz w:val="15"/>
                  <w:szCs w:val="15"/>
                  <w:color w:val="0000EE"/>
                  <w:w w:val="97"/>
                </w:rPr>
                <w:t>reference to Exhibit 10.1 to our Registration Statement on Form S-8 filed with the SEC on October 25, 2022).</w:t>
              </w:r>
            </w:hyperlink>
          </w:p>
        </w:tc>
        <w:tc>
          <w:tcPr>
            <w:tcW w:w="1300" w:type="dxa"/>
            <w:vAlign w:val="bottom"/>
            <w:tcBorders>
              <w:top w:val="single" w:sz="8" w:color="0000EE"/>
            </w:tcBorders>
            <w:gridSpan w:val="4"/>
          </w:tcPr>
          <w:p>
            <w:pPr>
              <w:spacing w:after="0"/>
              <w:rPr>
                <w:sz w:val="13"/>
                <w:szCs w:val="13"/>
                <w:color w:val="auto"/>
              </w:rPr>
            </w:pPr>
          </w:p>
        </w:tc>
        <w:tc>
          <w:tcPr>
            <w:tcW w:w="280" w:type="dxa"/>
            <w:vAlign w:val="bottom"/>
            <w:gridSpan w:val="8"/>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10.48†*</w:t>
            </w:r>
          </w:p>
        </w:tc>
        <w:tc>
          <w:tcPr>
            <w:tcW w:w="8020" w:type="dxa"/>
            <w:vAlign w:val="bottom"/>
            <w:tcBorders>
              <w:bottom w:val="single" w:sz="8" w:color="0000EE"/>
            </w:tcBorders>
            <w:gridSpan w:val="26"/>
          </w:tcPr>
          <w:p>
            <w:pPr>
              <w:spacing w:after="0"/>
              <w:rPr>
                <w:rFonts w:ascii="Times New Roman" w:cs="Times New Roman" w:eastAsia="Times New Roman" w:hAnsi="Times New Roman"/>
                <w:sz w:val="15"/>
                <w:szCs w:val="15"/>
                <w:color w:val="0000EE"/>
                <w:w w:val="97"/>
              </w:rPr>
            </w:pPr>
            <w:hyperlink r:id="rId121">
              <w:r>
                <w:rPr>
                  <w:rFonts w:ascii="Times New Roman" w:cs="Times New Roman" w:eastAsia="Times New Roman" w:hAnsi="Times New Roman"/>
                  <w:sz w:val="15"/>
                  <w:szCs w:val="15"/>
                  <w:color w:val="0000EE"/>
                  <w:w w:val="97"/>
                </w:rPr>
                <w:t>Offer letter dated June 26, 2023, between the Company and Suzanne A. Scrabis (incorporated by reference to Exhibit 10.1 to our Current</w:t>
              </w:r>
            </w:hyperlink>
          </w:p>
        </w:tc>
      </w:tr>
      <w:tr>
        <w:trPr>
          <w:trHeight w:val="156"/>
        </w:trPr>
        <w:tc>
          <w:tcPr>
            <w:tcW w:w="880" w:type="dxa"/>
            <w:vAlign w:val="bottom"/>
          </w:tcPr>
          <w:p>
            <w:pPr>
              <w:spacing w:after="0"/>
              <w:rPr>
                <w:sz w:val="13"/>
                <w:szCs w:val="13"/>
                <w:color w:val="auto"/>
              </w:rPr>
            </w:pPr>
          </w:p>
        </w:tc>
        <w:tc>
          <w:tcPr>
            <w:tcW w:w="3440" w:type="dxa"/>
            <w:vAlign w:val="bottom"/>
            <w:tcBorders>
              <w:bottom w:val="single" w:sz="8" w:color="0000EE"/>
            </w:tcBorders>
            <w:gridSpan w:val="6"/>
          </w:tcPr>
          <w:p>
            <w:pPr>
              <w:spacing w:after="0" w:line="156" w:lineRule="exact"/>
              <w:rPr>
                <w:rFonts w:ascii="Times New Roman" w:cs="Times New Roman" w:eastAsia="Times New Roman" w:hAnsi="Times New Roman"/>
                <w:sz w:val="15"/>
                <w:szCs w:val="15"/>
                <w:color w:val="0000EE"/>
                <w:w w:val="96"/>
              </w:rPr>
            </w:pPr>
            <w:hyperlink r:id="rId121">
              <w:r>
                <w:rPr>
                  <w:rFonts w:ascii="Times New Roman" w:cs="Times New Roman" w:eastAsia="Times New Roman" w:hAnsi="Times New Roman"/>
                  <w:sz w:val="15"/>
                  <w:szCs w:val="15"/>
                  <w:color w:val="0000EE"/>
                  <w:w w:val="96"/>
                </w:rPr>
                <w:t>Report on Form 8-K filed with the SEC on June 28, 2023).</w:t>
              </w:r>
            </w:hyperlink>
          </w:p>
        </w:tc>
        <w:tc>
          <w:tcPr>
            <w:tcW w:w="4580" w:type="dxa"/>
            <w:vAlign w:val="bottom"/>
            <w:gridSpan w:val="20"/>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21.1*</w:t>
            </w:r>
          </w:p>
        </w:tc>
        <w:tc>
          <w:tcPr>
            <w:tcW w:w="2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6"/>
              </w:rPr>
              <w:t>List of Subsidiaries of XWELL, Inc.</w:t>
            </w:r>
          </w:p>
        </w:tc>
        <w:tc>
          <w:tcPr>
            <w:tcW w:w="5880" w:type="dxa"/>
            <w:vAlign w:val="bottom"/>
            <w:gridSpan w:val="25"/>
          </w:tcPr>
          <w:p>
            <w:pPr>
              <w:spacing w:after="0"/>
              <w:rPr>
                <w:sz w:val="24"/>
                <w:szCs w:val="24"/>
                <w:color w:val="auto"/>
              </w:rPr>
            </w:pPr>
          </w:p>
        </w:tc>
      </w:tr>
      <w:tr>
        <w:trPr>
          <w:trHeight w:val="156"/>
        </w:trPr>
        <w:tc>
          <w:tcPr>
            <w:tcW w:w="8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23.1*</w:t>
            </w:r>
          </w:p>
        </w:tc>
        <w:tc>
          <w:tcPr>
            <w:tcW w:w="4220" w:type="dxa"/>
            <w:vAlign w:val="bottom"/>
            <w:tcBorders>
              <w:bottom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5"/>
                <w:szCs w:val="15"/>
                <w:color w:val="0000EE"/>
                <w:w w:val="96"/>
              </w:rPr>
              <w:t>Consent of Marcum LLP, independent registered public accounting firm</w:t>
            </w:r>
          </w:p>
        </w:tc>
        <w:tc>
          <w:tcPr>
            <w:tcW w:w="3800" w:type="dxa"/>
            <w:vAlign w:val="bottom"/>
            <w:gridSpan w:val="18"/>
          </w:tcPr>
          <w:p>
            <w:pPr>
              <w:spacing w:after="0"/>
              <w:rPr>
                <w:sz w:val="13"/>
                <w:szCs w:val="13"/>
                <w:color w:val="auto"/>
              </w:rPr>
            </w:pPr>
          </w:p>
        </w:tc>
      </w:tr>
      <w:tr>
        <w:trPr>
          <w:trHeight w:val="354"/>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31.1*</w:t>
            </w:r>
          </w:p>
        </w:tc>
        <w:tc>
          <w:tcPr>
            <w:tcW w:w="8020" w:type="dxa"/>
            <w:vAlign w:val="bottom"/>
            <w:gridSpan w:val="26"/>
          </w:tcPr>
          <w:p>
            <w:pPr>
              <w:spacing w:after="0"/>
              <w:rPr>
                <w:sz w:val="20"/>
                <w:szCs w:val="20"/>
                <w:color w:val="auto"/>
              </w:rPr>
            </w:pPr>
            <w:r>
              <w:rPr>
                <w:rFonts w:ascii="Times New Roman" w:cs="Times New Roman" w:eastAsia="Times New Roman" w:hAnsi="Times New Roman"/>
                <w:sz w:val="15"/>
                <w:szCs w:val="15"/>
                <w:color w:val="0000EE"/>
              </w:rPr>
              <w:t>Certification of Principal Executive Officer pursuant to Exchange Act, Rules 13a – 14(a) and 15d – 14(a), as adopted pursuant to</w:t>
            </w:r>
          </w:p>
        </w:tc>
      </w:tr>
      <w:tr>
        <w:trPr>
          <w:trHeight w:val="156"/>
        </w:trPr>
        <w:tc>
          <w:tcPr>
            <w:tcW w:w="880" w:type="dxa"/>
            <w:vAlign w:val="bottom"/>
          </w:tcPr>
          <w:p>
            <w:pPr>
              <w:spacing w:after="0"/>
              <w:rPr>
                <w:sz w:val="13"/>
                <w:szCs w:val="13"/>
                <w:color w:val="auto"/>
              </w:rPr>
            </w:pPr>
          </w:p>
        </w:tc>
        <w:tc>
          <w:tcPr>
            <w:tcW w:w="2780" w:type="dxa"/>
            <w:vAlign w:val="bottom"/>
            <w:tcBorders>
              <w:top w:val="single" w:sz="8" w:color="0000EE"/>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5"/>
                <w:szCs w:val="15"/>
                <w:color w:val="0000EE"/>
                <w:w w:val="96"/>
              </w:rPr>
              <w:t>Section 302 of the Sarbanes-Oxley Act of 2002</w:t>
            </w:r>
          </w:p>
        </w:tc>
        <w:tc>
          <w:tcPr>
            <w:tcW w:w="4760" w:type="dxa"/>
            <w:vAlign w:val="bottom"/>
            <w:tcBorders>
              <w:top w:val="single" w:sz="8" w:color="0000EE"/>
            </w:tcBorders>
            <w:gridSpan w:val="10"/>
          </w:tcPr>
          <w:p>
            <w:pPr>
              <w:spacing w:after="0"/>
              <w:rPr>
                <w:sz w:val="13"/>
                <w:szCs w:val="13"/>
                <w:color w:val="auto"/>
              </w:rPr>
            </w:pPr>
          </w:p>
        </w:tc>
        <w:tc>
          <w:tcPr>
            <w:tcW w:w="480" w:type="dxa"/>
            <w:vAlign w:val="bottom"/>
            <w:gridSpan w:val="11"/>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31.2*</w:t>
            </w:r>
          </w:p>
        </w:tc>
        <w:tc>
          <w:tcPr>
            <w:tcW w:w="8020" w:type="dxa"/>
            <w:vAlign w:val="bottom"/>
            <w:gridSpan w:val="26"/>
          </w:tcPr>
          <w:p>
            <w:pPr>
              <w:spacing w:after="0"/>
              <w:rPr>
                <w:sz w:val="20"/>
                <w:szCs w:val="20"/>
                <w:color w:val="auto"/>
              </w:rPr>
            </w:pPr>
            <w:r>
              <w:rPr>
                <w:rFonts w:ascii="Times New Roman" w:cs="Times New Roman" w:eastAsia="Times New Roman" w:hAnsi="Times New Roman"/>
                <w:sz w:val="15"/>
                <w:szCs w:val="15"/>
                <w:color w:val="0000EE"/>
                <w:w w:val="97"/>
              </w:rPr>
              <w:t>Certification of Principal Financial Officer pursuant to Exchange Act, Rules 13a – 14(a) and 15d – 14(a), as adopted pursuant to Section</w:t>
            </w:r>
          </w:p>
        </w:tc>
      </w:tr>
      <w:tr>
        <w:trPr>
          <w:trHeight w:val="156"/>
        </w:trPr>
        <w:tc>
          <w:tcPr>
            <w:tcW w:w="880" w:type="dxa"/>
            <w:vAlign w:val="bottom"/>
          </w:tcPr>
          <w:p>
            <w:pPr>
              <w:spacing w:after="0"/>
              <w:rPr>
                <w:sz w:val="13"/>
                <w:szCs w:val="13"/>
                <w:color w:val="auto"/>
              </w:rPr>
            </w:pPr>
          </w:p>
        </w:tc>
        <w:tc>
          <w:tcPr>
            <w:tcW w:w="2300" w:type="dxa"/>
            <w:vAlign w:val="bottom"/>
            <w:tcBorders>
              <w:top w:val="single" w:sz="8" w:color="0000EE"/>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5"/>
                <w:szCs w:val="15"/>
                <w:color w:val="0000EE"/>
                <w:w w:val="96"/>
              </w:rPr>
              <w:t>302 of the Sarbanes-Oxley Act of 2002</w:t>
            </w:r>
          </w:p>
        </w:tc>
        <w:tc>
          <w:tcPr>
            <w:tcW w:w="5680" w:type="dxa"/>
            <w:vAlign w:val="bottom"/>
            <w:tcBorders>
              <w:top w:val="single" w:sz="8" w:color="0000EE"/>
            </w:tcBorders>
            <w:gridSpan w:val="23"/>
          </w:tcPr>
          <w:p>
            <w:pPr>
              <w:spacing w:after="0"/>
              <w:rPr>
                <w:sz w:val="13"/>
                <w:szCs w:val="13"/>
                <w:color w:val="auto"/>
              </w:rPr>
            </w:pPr>
          </w:p>
        </w:tc>
        <w:tc>
          <w:tcPr>
            <w:tcW w:w="40" w:type="dxa"/>
            <w:vAlign w:val="bottom"/>
          </w:tcPr>
          <w:p>
            <w:pPr>
              <w:spacing w:after="0"/>
              <w:rPr>
                <w:sz w:val="13"/>
                <w:szCs w:val="13"/>
                <w:color w:val="auto"/>
              </w:rPr>
            </w:pPr>
          </w:p>
        </w:tc>
      </w:tr>
      <w:tr>
        <w:trPr>
          <w:trHeight w:val="332"/>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32*</w:t>
            </w:r>
          </w:p>
        </w:tc>
        <w:tc>
          <w:tcPr>
            <w:tcW w:w="79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5"/>
                <w:szCs w:val="15"/>
                <w:color w:val="0000EE"/>
                <w:w w:val="97"/>
              </w:rPr>
              <w:t>Certifications of Principal Executive Officer and Principal Financial Officer Pursuant to 18 U.S.C. Section 1350, as adopted pursuant to</w:t>
            </w:r>
          </w:p>
        </w:tc>
        <w:tc>
          <w:tcPr>
            <w:tcW w:w="60" w:type="dxa"/>
            <w:vAlign w:val="bottom"/>
            <w:gridSpan w:val="2"/>
          </w:tcPr>
          <w:p>
            <w:pPr>
              <w:spacing w:after="0"/>
              <w:rPr>
                <w:sz w:val="24"/>
                <w:szCs w:val="24"/>
                <w:color w:val="auto"/>
              </w:rPr>
            </w:pPr>
          </w:p>
        </w:tc>
      </w:tr>
      <w:tr>
        <w:trPr>
          <w:trHeight w:val="156"/>
        </w:trPr>
        <w:tc>
          <w:tcPr>
            <w:tcW w:w="880" w:type="dxa"/>
            <w:vAlign w:val="bottom"/>
          </w:tcPr>
          <w:p>
            <w:pPr>
              <w:spacing w:after="0"/>
              <w:rPr>
                <w:sz w:val="13"/>
                <w:szCs w:val="13"/>
                <w:color w:val="auto"/>
              </w:rPr>
            </w:pPr>
          </w:p>
        </w:tc>
        <w:tc>
          <w:tcPr>
            <w:tcW w:w="278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5"/>
                <w:szCs w:val="15"/>
                <w:color w:val="0000EE"/>
                <w:w w:val="96"/>
              </w:rPr>
              <w:t>Section 906 of the Sarbanes-Oxley Act of 2002</w:t>
            </w:r>
          </w:p>
        </w:tc>
        <w:tc>
          <w:tcPr>
            <w:tcW w:w="5240" w:type="dxa"/>
            <w:vAlign w:val="bottom"/>
            <w:gridSpan w:val="21"/>
          </w:tcPr>
          <w:p>
            <w:pPr>
              <w:spacing w:after="0"/>
              <w:rPr>
                <w:sz w:val="13"/>
                <w:szCs w:val="13"/>
                <w:color w:val="auto"/>
              </w:rPr>
            </w:pPr>
          </w:p>
        </w:tc>
      </w:tr>
    </w:tbl>
    <w:p>
      <w:pPr>
        <w:spacing w:after="0" w:line="183" w:lineRule="exact"/>
        <w:rPr>
          <w:sz w:val="20"/>
          <w:szCs w:val="20"/>
          <w:color w:val="auto"/>
        </w:rPr>
      </w:pPr>
    </w:p>
    <w:p>
      <w:pPr>
        <w:ind w:left="920" w:hanging="885"/>
        <w:spacing w:after="0"/>
        <w:tabs>
          <w:tab w:leader="none" w:pos="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XWELL, INC</w:t>
      </w:r>
    </w:p>
    <w:p>
      <w:pPr>
        <w:spacing w:after="0" w:line="17" w:lineRule="exact"/>
        <w:rPr>
          <w:rFonts w:ascii="Times New Roman" w:cs="Times New Roman" w:eastAsia="Times New Roman" w:hAnsi="Times New Roman"/>
          <w:sz w:val="15"/>
          <w:szCs w:val="15"/>
          <w:color w:val="auto"/>
        </w:rPr>
      </w:pPr>
    </w:p>
    <w:p>
      <w:pPr>
        <w:ind w:left="9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Incentive Compensation Recovery Policy</w:t>
      </w:r>
    </w:p>
    <w:p>
      <w:pPr>
        <w:spacing w:after="0" w:line="164"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5"/>
          <w:szCs w:val="15"/>
          <w:color w:val="auto"/>
        </w:rPr>
        <w:t>101.INS</w:t>
      </w:r>
      <w:r>
        <w:rPr>
          <w:sz w:val="20"/>
          <w:szCs w:val="20"/>
          <w:color w:val="auto"/>
        </w:rPr>
        <w:tab/>
      </w:r>
      <w:r>
        <w:rPr>
          <w:rFonts w:ascii="Times New Roman" w:cs="Times New Roman" w:eastAsia="Times New Roman" w:hAnsi="Times New Roman"/>
          <w:sz w:val="14"/>
          <w:szCs w:val="14"/>
          <w:color w:val="auto"/>
        </w:rPr>
        <w:t>Inline XBRL Instance Document.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2">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700" w:type="dxa"/>
            <w:vAlign w:val="bottom"/>
            <w:vMerge w:val="restart"/>
          </w:tcPr>
          <w:p>
            <w:pPr>
              <w:ind w:left="2140"/>
              <w:spacing w:after="0"/>
              <w:rPr>
                <w:sz w:val="20"/>
                <w:szCs w:val="20"/>
                <w:color w:val="auto"/>
              </w:rPr>
            </w:pPr>
            <w:r>
              <w:rPr>
                <w:rFonts w:ascii="Times New Roman" w:cs="Times New Roman" w:eastAsia="Times New Roman" w:hAnsi="Times New Roman"/>
                <w:sz w:val="12"/>
                <w:szCs w:val="12"/>
                <w:b w:val="1"/>
                <w:bCs w:val="1"/>
                <w:color w:val="auto"/>
                <w:w w:val="90"/>
              </w:rPr>
              <w:t>Description</w:t>
            </w:r>
          </w:p>
        </w:tc>
        <w:tc>
          <w:tcPr>
            <w:tcW w:w="0" w:type="dxa"/>
            <w:vAlign w:val="bottom"/>
          </w:tcPr>
          <w:p>
            <w:pPr>
              <w:spacing w:after="0"/>
              <w:rPr>
                <w:sz w:val="1"/>
                <w:szCs w:val="1"/>
                <w:color w:val="auto"/>
              </w:rPr>
            </w:pPr>
          </w:p>
        </w:tc>
      </w:tr>
      <w:tr>
        <w:trPr>
          <w:trHeight w:val="152"/>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0</wp:posOffset>
            </wp:positionV>
            <wp:extent cx="567182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3">
                      <a:extLst>
                        <a:ext uri="{28A0092B-C50C-407E-A947-70E740481C1C}"/>
                      </a:extLst>
                    </a:blip>
                    <a:srcRect/>
                    <a:stretch>
                      <a:fillRect/>
                    </a:stretch>
                  </pic:blipFill>
                  <pic:spPr bwMode="auto">
                    <a:xfrm>
                      <a:off x="0" y="0"/>
                      <a:ext cx="5671820" cy="6985"/>
                    </a:xfrm>
                    <a:prstGeom prst="rect">
                      <a:avLst/>
                    </a:prstGeom>
                    <a:noFill/>
                  </pic:spPr>
                </pic:pic>
              </a:graphicData>
            </a:graphic>
          </wp:anchor>
        </w:drawing>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49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101.CAL</w:t>
            </w:r>
          </w:p>
        </w:tc>
        <w:tc>
          <w:tcPr>
            <w:tcW w:w="49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101.DEF</w:t>
            </w:r>
          </w:p>
        </w:tc>
        <w:tc>
          <w:tcPr>
            <w:tcW w:w="49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101.LAB</w:t>
            </w:r>
          </w:p>
        </w:tc>
        <w:tc>
          <w:tcPr>
            <w:tcW w:w="49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101.PRE</w:t>
            </w:r>
          </w:p>
        </w:tc>
        <w:tc>
          <w:tcPr>
            <w:tcW w:w="49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35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4940" w:type="dxa"/>
            <w:vAlign w:val="bottom"/>
          </w:tcPr>
          <w:p>
            <w:pPr>
              <w:ind w:left="180"/>
              <w:spacing w:after="0"/>
              <w:rPr>
                <w:sz w:val="20"/>
                <w:szCs w:val="20"/>
                <w:color w:val="auto"/>
              </w:rPr>
            </w:pPr>
            <w:r>
              <w:rPr>
                <w:rFonts w:ascii="Times New Roman" w:cs="Times New Roman" w:eastAsia="Times New Roman" w:hAnsi="Times New Roman"/>
                <w:sz w:val="15"/>
                <w:szCs w:val="15"/>
                <w:color w:val="auto"/>
                <w:w w:val="97"/>
              </w:rPr>
              <w:t>Cover Page Interactive Data File (embedded within the Inline XBRL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167640</wp:posOffset>
            </wp:positionV>
            <wp:extent cx="142303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4">
                      <a:extLst>
                        <a:ext uri="{28A0092B-C50C-407E-A947-70E740481C1C}"/>
                      </a:extLst>
                    </a:blip>
                    <a:srcRect/>
                    <a:stretch>
                      <a:fillRect/>
                    </a:stretch>
                  </pic:blipFill>
                  <pic:spPr bwMode="auto">
                    <a:xfrm>
                      <a:off x="0" y="0"/>
                      <a:ext cx="1423035" cy="6985"/>
                    </a:xfrm>
                    <a:prstGeom prst="rect">
                      <a:avLst/>
                    </a:prstGeom>
                    <a:noFill/>
                  </pic:spPr>
                </pic:pic>
              </a:graphicData>
            </a:graphic>
          </wp:anchor>
        </w:drawing>
      </w:r>
    </w:p>
    <w:p>
      <w:pPr>
        <w:spacing w:after="0" w:line="317" w:lineRule="exact"/>
        <w:rPr>
          <w:sz w:val="20"/>
          <w:szCs w:val="20"/>
          <w:color w:val="auto"/>
        </w:rPr>
      </w:pPr>
    </w:p>
    <w:p>
      <w:pPr>
        <w:ind w:left="360" w:hanging="325"/>
        <w:spacing w:after="0"/>
        <w:tabs>
          <w:tab w:leader="none" w:pos="3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79" w:lineRule="exact"/>
        <w:rPr>
          <w:sz w:val="20"/>
          <w:szCs w:val="20"/>
          <w:color w:val="auto"/>
        </w:rPr>
      </w:pPr>
    </w:p>
    <w:p>
      <w:pPr>
        <w:ind w:left="360" w:hanging="325"/>
        <w:spacing w:after="0"/>
        <w:tabs>
          <w:tab w:leader="none" w:pos="3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179" w:lineRule="exact"/>
        <w:rPr>
          <w:sz w:val="20"/>
          <w:szCs w:val="20"/>
          <w:color w:val="auto"/>
        </w:rPr>
      </w:pPr>
    </w:p>
    <w:p>
      <w:pPr>
        <w:ind w:left="360" w:hanging="325"/>
        <w:spacing w:after="0"/>
        <w:tabs>
          <w:tab w:leader="none" w:pos="3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w:t>
      </w:r>
    </w:p>
    <w:p>
      <w:pPr>
        <w:spacing w:after="0" w:line="179" w:lineRule="exact"/>
        <w:rPr>
          <w:sz w:val="20"/>
          <w:szCs w:val="20"/>
          <w:color w:val="auto"/>
        </w:rPr>
      </w:pPr>
    </w:p>
    <w:p>
      <w:pPr>
        <w:ind w:left="360" w:hanging="325"/>
        <w:spacing w:after="0"/>
        <w:tabs>
          <w:tab w:leader="none" w:pos="3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have been omitted pursuant to a confidential treatment request. Omitted information has been filed separately with the SEC.</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16. FORM 10-K SUMMARY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5">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40" w:type="dxa"/>
            <w:vAlign w:val="bottom"/>
            <w:gridSpan w:val="2"/>
          </w:tcPr>
          <w:p>
            <w:pPr>
              <w:jc w:val="center"/>
              <w:ind w:right="2260"/>
              <w:spacing w:after="0"/>
              <w:rPr>
                <w:sz w:val="20"/>
                <w:szCs w:val="20"/>
                <w:color w:val="auto"/>
              </w:rPr>
            </w:pPr>
            <w:r>
              <w:rPr>
                <w:rFonts w:ascii="Times New Roman" w:cs="Times New Roman" w:eastAsia="Times New Roman" w:hAnsi="Times New Roman"/>
                <w:sz w:val="15"/>
                <w:szCs w:val="15"/>
                <w:b w:val="1"/>
                <w:bCs w:val="1"/>
                <w:color w:val="auto"/>
                <w:w w:val="97"/>
              </w:rPr>
              <w:t>XWELL, Inc. and Subsidiaries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0" w:type="dxa"/>
            <w:vAlign w:val="bottom"/>
            <w:gridSpan w:val="5"/>
          </w:tcPr>
          <w:p>
            <w:pPr>
              <w:jc w:val="center"/>
              <w:ind w:right="1100"/>
              <w:spacing w:after="0"/>
              <w:rPr>
                <w:sz w:val="20"/>
                <w:szCs w:val="20"/>
                <w:color w:val="auto"/>
              </w:rPr>
            </w:pPr>
            <w:r>
              <w:rPr>
                <w:rFonts w:ascii="Times New Roman" w:cs="Times New Roman" w:eastAsia="Times New Roman" w:hAnsi="Times New Roman"/>
                <w:sz w:val="15"/>
                <w:szCs w:val="15"/>
                <w:b w:val="1"/>
                <w:bCs w:val="1"/>
                <w:color w:val="auto"/>
                <w:w w:val="96"/>
              </w:rPr>
              <w:t>INDEX TO CONSOLIDATED FINANCIAL STATEMENTS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76"/>
        </w:trPr>
        <w:tc>
          <w:tcPr>
            <w:tcW w:w="772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color w:val="0000EE"/>
              </w:rPr>
              <w:t xml:space="preserve">Reports of Independent Registered Public Accounting Firm </w:t>
            </w:r>
            <w:r>
              <w:rPr>
                <w:rFonts w:ascii="Times New Roman" w:cs="Times New Roman" w:eastAsia="Times New Roman" w:hAnsi="Times New Roman"/>
                <w:sz w:val="15"/>
                <w:szCs w:val="15"/>
                <w:color w:val="000000"/>
              </w:rPr>
              <w:t>(Marcum LLP PCAOB ID #688)</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720" w:type="dxa"/>
            <w:vAlign w:val="bottom"/>
            <w:gridSpan w:val="7"/>
            <w:vMerge w:val="continue"/>
          </w:tcPr>
          <w:p>
            <w:pPr>
              <w:spacing w:after="0"/>
              <w:rPr>
                <w:sz w:val="10"/>
                <w:szCs w:val="10"/>
                <w:color w:val="auto"/>
              </w:rPr>
            </w:pPr>
          </w:p>
        </w:tc>
        <w:tc>
          <w:tcPr>
            <w:tcW w:w="120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F-2</w:t>
            </w:r>
          </w:p>
        </w:tc>
        <w:tc>
          <w:tcPr>
            <w:tcW w:w="0" w:type="dxa"/>
            <w:vAlign w:val="bottom"/>
          </w:tcPr>
          <w:p>
            <w:pPr>
              <w:spacing w:after="0"/>
              <w:rPr>
                <w:sz w:val="1"/>
                <w:szCs w:val="1"/>
                <w:color w:val="auto"/>
              </w:rPr>
            </w:pPr>
          </w:p>
        </w:tc>
      </w:tr>
      <w:tr>
        <w:trPr>
          <w:trHeight w:val="343"/>
        </w:trPr>
        <w:tc>
          <w:tcPr>
            <w:tcW w:w="17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6"/>
              </w:rPr>
              <w:t>Consolidated Balance Sheets</w:t>
            </w:r>
          </w:p>
        </w:tc>
        <w:tc>
          <w:tcPr>
            <w:tcW w:w="1780" w:type="dxa"/>
            <w:vAlign w:val="bottom"/>
            <w:tcBorders>
              <w:top w:val="single" w:sz="8" w:color="0000EE"/>
            </w:tcBorders>
            <w:gridSpan w:val="4"/>
          </w:tcPr>
          <w:p>
            <w:pPr>
              <w:spacing w:after="0"/>
              <w:rPr>
                <w:sz w:val="24"/>
                <w:szCs w:val="24"/>
                <w:color w:val="auto"/>
              </w:rPr>
            </w:pPr>
          </w:p>
        </w:tc>
        <w:tc>
          <w:tcPr>
            <w:tcW w:w="4240" w:type="dxa"/>
            <w:vAlign w:val="bottom"/>
            <w:gridSpan w:val="2"/>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F-3</w:t>
            </w:r>
          </w:p>
        </w:tc>
        <w:tc>
          <w:tcPr>
            <w:tcW w:w="0" w:type="dxa"/>
            <w:vAlign w:val="bottom"/>
          </w:tcPr>
          <w:p>
            <w:pPr>
              <w:spacing w:after="0"/>
              <w:rPr>
                <w:sz w:val="1"/>
                <w:szCs w:val="1"/>
                <w:color w:val="auto"/>
              </w:rPr>
            </w:pPr>
          </w:p>
        </w:tc>
      </w:tr>
      <w:tr>
        <w:trPr>
          <w:trHeight w:val="332"/>
        </w:trPr>
        <w:tc>
          <w:tcPr>
            <w:tcW w:w="7720" w:type="dxa"/>
            <w:vAlign w:val="bottom"/>
            <w:gridSpan w:val="7"/>
          </w:tcPr>
          <w:p>
            <w:pPr>
              <w:spacing w:after="0"/>
              <w:rPr>
                <w:sz w:val="20"/>
                <w:szCs w:val="20"/>
                <w:color w:val="auto"/>
              </w:rPr>
            </w:pPr>
            <w:r>
              <w:rPr>
                <w:rFonts w:ascii="Times New Roman" w:cs="Times New Roman" w:eastAsia="Times New Roman" w:hAnsi="Times New Roman"/>
                <w:sz w:val="15"/>
                <w:szCs w:val="15"/>
                <w:color w:val="0000EE"/>
              </w:rPr>
              <w:t>Consolidated Statements of Operations and Comprehensive Loss</w:t>
            </w: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F-4</w:t>
            </w:r>
          </w:p>
        </w:tc>
        <w:tc>
          <w:tcPr>
            <w:tcW w:w="0" w:type="dxa"/>
            <w:vAlign w:val="bottom"/>
          </w:tcPr>
          <w:p>
            <w:pPr>
              <w:spacing w:after="0"/>
              <w:rPr>
                <w:sz w:val="1"/>
                <w:szCs w:val="1"/>
                <w:color w:val="auto"/>
              </w:rPr>
            </w:pPr>
          </w:p>
        </w:tc>
      </w:tr>
      <w:tr>
        <w:trPr>
          <w:trHeight w:val="332"/>
        </w:trPr>
        <w:tc>
          <w:tcPr>
            <w:tcW w:w="38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rPr>
              <w:t>Consolidated Statements of Changes in Equity</w:t>
            </w:r>
          </w:p>
        </w:tc>
        <w:tc>
          <w:tcPr>
            <w:tcW w:w="39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F-5</w:t>
            </w:r>
          </w:p>
        </w:tc>
        <w:tc>
          <w:tcPr>
            <w:tcW w:w="0" w:type="dxa"/>
            <w:vAlign w:val="bottom"/>
          </w:tcPr>
          <w:p>
            <w:pPr>
              <w:spacing w:after="0"/>
              <w:rPr>
                <w:sz w:val="1"/>
                <w:szCs w:val="1"/>
                <w:color w:val="auto"/>
              </w:rPr>
            </w:pPr>
          </w:p>
        </w:tc>
      </w:tr>
      <w:tr>
        <w:trPr>
          <w:trHeight w:val="332"/>
        </w:trPr>
        <w:tc>
          <w:tcPr>
            <w:tcW w:w="2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5"/>
                <w:szCs w:val="15"/>
                <w:color w:val="0000EE"/>
              </w:rPr>
              <w:t>Consolidated Statements of Cash Flows</w:t>
            </w:r>
          </w:p>
        </w:tc>
        <w:tc>
          <w:tcPr>
            <w:tcW w:w="5000" w:type="dxa"/>
            <w:vAlign w:val="bottom"/>
            <w:gridSpan w:val="4"/>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F-7</w:t>
            </w:r>
          </w:p>
        </w:tc>
        <w:tc>
          <w:tcPr>
            <w:tcW w:w="0" w:type="dxa"/>
            <w:vAlign w:val="bottom"/>
          </w:tcPr>
          <w:p>
            <w:pPr>
              <w:spacing w:after="0"/>
              <w:rPr>
                <w:sz w:val="1"/>
                <w:szCs w:val="1"/>
                <w:color w:val="auto"/>
              </w:rPr>
            </w:pPr>
          </w:p>
        </w:tc>
      </w:tr>
      <w:tr>
        <w:trPr>
          <w:trHeight w:val="20"/>
        </w:trPr>
        <w:tc>
          <w:tcPr>
            <w:tcW w:w="23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5"/>
                <w:szCs w:val="15"/>
                <w:color w:val="0000EE"/>
                <w:w w:val="96"/>
              </w:rPr>
              <w:t>Notes to the Consolidated Financial Statements</w:t>
            </w:r>
          </w:p>
        </w:tc>
        <w:tc>
          <w:tcPr>
            <w:tcW w:w="4940" w:type="dxa"/>
            <w:vAlign w:val="bottom"/>
            <w:gridSpan w:val="3"/>
          </w:tcPr>
          <w:p>
            <w:pPr>
              <w:spacing w:after="0"/>
              <w:rPr>
                <w:sz w:val="24"/>
                <w:szCs w:val="24"/>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5"/>
                <w:szCs w:val="15"/>
                <w:color w:val="auto"/>
              </w:rPr>
              <w:t>F-8 - F-40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6">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To the Shareholders and Board of Directors of</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XWELL, Inc.</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81" w:lineRule="exact"/>
        <w:rPr>
          <w:sz w:val="20"/>
          <w:szCs w:val="20"/>
          <w:color w:val="auto"/>
        </w:rPr>
      </w:pPr>
    </w:p>
    <w:p>
      <w:pPr>
        <w:jc w:val="both"/>
        <w:ind w:left="40" w:right="39"/>
        <w:spacing w:after="0" w:line="27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XWELL, Inc. (the “Company”) and Subsidiaries as of December 31, 2023 and 2022, the related consolidated statements of operations and comprehensive loss,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8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jc w:val="both"/>
        <w:ind w:left="40" w:right="39"/>
        <w:spacing w:after="0" w:line="276"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Critical Audit Matters</w:t>
      </w:r>
    </w:p>
    <w:p>
      <w:pPr>
        <w:spacing w:after="0" w:line="18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 Marcum LLP</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Marcum LLP</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We have served as the Company’s auditor since 2020</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East Hanover, New Jersey</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April 16,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7">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500" w:type="dxa"/>
            <w:vAlign w:val="bottom"/>
            <w:gridSpan w:val="2"/>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right"/>
              <w:ind w:right="781"/>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Cash and cash equivalents</w:t>
            </w:r>
          </w:p>
        </w:tc>
        <w:tc>
          <w:tcPr>
            <w:tcW w:w="1500" w:type="dxa"/>
            <w:vAlign w:val="bottom"/>
            <w:gridSpan w:val="2"/>
          </w:tcPr>
          <w:p>
            <w:pPr>
              <w:jc w:val="right"/>
              <w:ind w:right="1225"/>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8,437</w:t>
            </w:r>
          </w:p>
        </w:tc>
        <w:tc>
          <w:tcPr>
            <w:tcW w:w="500" w:type="dxa"/>
            <w:vAlign w:val="bottom"/>
            <w:gridSpan w:val="2"/>
          </w:tcPr>
          <w:p>
            <w:pPr>
              <w:jc w:val="right"/>
              <w:ind w:right="207"/>
              <w:spacing w:after="0" w:line="121" w:lineRule="exact"/>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19,038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Marketable Securities</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14,613</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23,153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1,667</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2,858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Inventory</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900</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1,161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2"/>
                <w:szCs w:val="12"/>
                <w:color w:val="auto"/>
              </w:rPr>
              <w:t>Other current assets</w:t>
            </w:r>
          </w:p>
        </w:tc>
        <w:tc>
          <w:tcPr>
            <w:tcW w:w="16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949</w:t>
            </w:r>
          </w:p>
        </w:tc>
        <w:tc>
          <w:tcPr>
            <w:tcW w:w="1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1,122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1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26,566</w:t>
            </w: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80" w:type="dxa"/>
            <w:vAlign w:val="bottom"/>
            <w:shd w:val="clear" w:color="auto" w:fill="CCEEFF"/>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47,332</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Restricted cash</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751</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751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2,454</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3,666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Intangible assets, net</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1,353</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4,008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Operating lease right of use assets, net</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4,656</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8,276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Goodwill</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1,371</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4,024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1,842</w:t>
            </w:r>
          </w:p>
        </w:tc>
        <w:tc>
          <w:tcPr>
            <w:tcW w:w="1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2,369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Borders>
              <w:bottom w:val="single" w:sz="8" w:color="CCEEFF"/>
            </w:tcBorders>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jc w:val="right"/>
              <w:ind w:right="1225"/>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38,993</w:t>
            </w:r>
          </w:p>
        </w:tc>
        <w:tc>
          <w:tcPr>
            <w:tcW w:w="1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ind w:right="20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shd w:val="clear" w:color="auto" w:fill="CCEEFF"/>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70,426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Accounts payable</w:t>
            </w:r>
          </w:p>
        </w:tc>
        <w:tc>
          <w:tcPr>
            <w:tcW w:w="1500" w:type="dxa"/>
            <w:vAlign w:val="bottom"/>
            <w:gridSpan w:val="2"/>
          </w:tcPr>
          <w:p>
            <w:pPr>
              <w:jc w:val="right"/>
              <w:ind w:right="1225"/>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1,099</w:t>
            </w:r>
          </w:p>
        </w:tc>
        <w:tc>
          <w:tcPr>
            <w:tcW w:w="500" w:type="dxa"/>
            <w:vAlign w:val="bottom"/>
            <w:gridSpan w:val="2"/>
          </w:tcPr>
          <w:p>
            <w:pPr>
              <w:jc w:val="right"/>
              <w:ind w:right="207"/>
              <w:spacing w:after="0" w:line="121" w:lineRule="exact"/>
              <w:rPr>
                <w:sz w:val="20"/>
                <w:szCs w:val="20"/>
                <w:color w:val="auto"/>
              </w:rPr>
            </w:pPr>
            <w:r>
              <w:rPr>
                <w:rFonts w:ascii="Times New Roman" w:cs="Times New Roman" w:eastAsia="Times New Roman" w:hAnsi="Times New Roman"/>
                <w:sz w:val="12"/>
                <w:szCs w:val="12"/>
                <w:color w:val="auto"/>
              </w:rPr>
              <w:t>$</w:t>
            </w:r>
          </w:p>
        </w:tc>
        <w:tc>
          <w:tcPr>
            <w:tcW w:w="158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2,312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4,968</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5,719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2,402</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2,586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861</w:t>
            </w: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339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40" w:type="dxa"/>
            <w:vAlign w:val="bottom"/>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9,330</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10,956</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4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Operating lease liabilities</w:t>
            </w:r>
          </w:p>
        </w:tc>
        <w:tc>
          <w:tcPr>
            <w:tcW w:w="160" w:type="dxa"/>
            <w:vAlign w:val="bottom"/>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8,692</w:t>
            </w: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11,521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CCEEFF"/>
            </w:tcBorders>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16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18,022</w:t>
            </w:r>
          </w:p>
        </w:tc>
        <w:tc>
          <w:tcPr>
            <w:tcW w:w="1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22,477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Commitments and contingencies (see Note 18)</w:t>
            </w:r>
          </w:p>
        </w:tc>
        <w:tc>
          <w:tcPr>
            <w:tcW w:w="1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Equity</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0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Common Stock, $0.01 par value per share, 150,000,000 shares authorized; 4,179,631 and 4,161,613</w:t>
            </w: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shares issued and outstanding as of December 31, 2023 and December 31, 2022, respectively*</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470,737</w:t>
            </w: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468,530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(455,853)</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(428,112)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(1,924)</w:t>
            </w: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(534)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Total equity attributable to XWELL, Inc.</w:t>
            </w: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540" w:type="dxa"/>
            <w:vAlign w:val="bottom"/>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13,002</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39,926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Noncontrolling interests</w:t>
            </w:r>
          </w:p>
        </w:tc>
        <w:tc>
          <w:tcPr>
            <w:tcW w:w="160" w:type="dxa"/>
            <w:vAlign w:val="bottom"/>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7,969</w:t>
            </w:r>
          </w:p>
        </w:tc>
        <w:tc>
          <w:tcPr>
            <w:tcW w:w="1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580" w:type="dxa"/>
            <w:vAlign w:val="bottom"/>
            <w:tcBorders>
              <w:bottom w:val="single" w:sz="8" w:color="auto"/>
            </w:tcBorders>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8,023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CCEEFF"/>
            </w:tcBorders>
          </w:tcPr>
          <w:p>
            <w:pPr>
              <w:spacing w:after="0" w:line="112" w:lineRule="exact"/>
              <w:rPr>
                <w:sz w:val="20"/>
                <w:szCs w:val="20"/>
                <w:color w:val="auto"/>
              </w:rPr>
            </w:pPr>
            <w:r>
              <w:rPr>
                <w:rFonts w:ascii="Times New Roman" w:cs="Times New Roman" w:eastAsia="Times New Roman" w:hAnsi="Times New Roman"/>
                <w:sz w:val="12"/>
                <w:szCs w:val="12"/>
                <w:color w:val="auto"/>
              </w:rPr>
              <w:t>Total equity</w:t>
            </w:r>
          </w:p>
        </w:tc>
        <w:tc>
          <w:tcPr>
            <w:tcW w:w="16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20,971</w:t>
            </w:r>
          </w:p>
        </w:tc>
        <w:tc>
          <w:tcPr>
            <w:tcW w:w="1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47,949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00" w:type="dxa"/>
            <w:vAlign w:val="bottom"/>
            <w:tcBorders>
              <w:bottom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160" w:type="dxa"/>
            <w:vAlign w:val="bottom"/>
            <w:tcBorders>
              <w:bottom w:val="single" w:sz="8" w:color="CCEEFF"/>
            </w:tcBorders>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jc w:val="right"/>
              <w:ind w:right="1225"/>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38,993</w:t>
            </w:r>
          </w:p>
        </w:tc>
        <w:tc>
          <w:tcPr>
            <w:tcW w:w="18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ind w:right="20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shd w:val="clear" w:color="auto" w:fill="CCEEFF"/>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70,426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0" w:hanging="85"/>
        <w:spacing w:after="0"/>
        <w:tabs>
          <w:tab w:leader="none" w:pos="1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Adjusted to reflect the impact of the 1:20 reverse stock split that became effective on September 28, 2023.</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8">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Year ended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 net</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Patient services revenue</w:t>
            </w:r>
          </w:p>
        </w:tc>
        <w:tc>
          <w:tcPr>
            <w:tcW w:w="1820" w:type="dxa"/>
            <w:vAlign w:val="bottom"/>
            <w:gridSpan w:val="2"/>
          </w:tcPr>
          <w:p>
            <w:pPr>
              <w:jc w:val="right"/>
              <w:ind w:right="782"/>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80" w:type="dxa"/>
            <w:vAlign w:val="bottom"/>
            <w:gridSpan w:val="2"/>
          </w:tcPr>
          <w:p>
            <w:pPr>
              <w:jc w:val="right"/>
              <w:ind w:right="48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Services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27,053</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Products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2,766</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revenue, net</w:t>
            </w:r>
          </w:p>
        </w:tc>
        <w:tc>
          <w:tcPr>
            <w:tcW w:w="9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30,109</w:t>
            </w:r>
          </w:p>
        </w:tc>
        <w:tc>
          <w:tcPr>
            <w:tcW w:w="2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55,939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Labor</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17,932</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Occupancy</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4,473</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Products and other operating costs</w:t>
            </w:r>
          </w:p>
        </w:tc>
        <w:tc>
          <w:tcPr>
            <w:tcW w:w="92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2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cost of sales</w:t>
            </w:r>
          </w:p>
        </w:tc>
        <w:tc>
          <w:tcPr>
            <w:tcW w:w="9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26,428</w:t>
            </w:r>
          </w:p>
        </w:tc>
        <w:tc>
          <w:tcPr>
            <w:tcW w:w="2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43,891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3,681</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3,927</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Goodwill impairment</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4,024</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Loss on disposal of assets, net</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Impairment of operating lease right-of-use assets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12,957</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Salaries and benefits</w:t>
            </w:r>
          </w:p>
        </w:tc>
        <w:tc>
          <w:tcPr>
            <w:tcW w:w="9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7,954</w:t>
            </w:r>
          </w:p>
        </w:tc>
        <w:tc>
          <w:tcPr>
            <w:tcW w:w="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2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31,887</w:t>
            </w:r>
          </w:p>
        </w:tc>
        <w:tc>
          <w:tcPr>
            <w:tcW w:w="2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(28,206)</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Interest income, net</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Foreign exchange loss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Gain on securities, realized and unrealized</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Other non-operating expense, net</w:t>
            </w:r>
          </w:p>
        </w:tc>
        <w:tc>
          <w:tcPr>
            <w:tcW w:w="9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(27,994)</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Income tax expense</w:t>
            </w:r>
          </w:p>
        </w:tc>
        <w:tc>
          <w:tcPr>
            <w:tcW w:w="9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(28,029)</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(32,629)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XWELL, Inc.</w:t>
            </w:r>
          </w:p>
        </w:tc>
        <w:tc>
          <w:tcPr>
            <w:tcW w:w="9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(27,741)</w:t>
            </w:r>
          </w:p>
        </w:tc>
        <w:tc>
          <w:tcPr>
            <w:tcW w:w="2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1"/>
                <w:szCs w:val="11"/>
                <w:color w:val="auto"/>
              </w:rPr>
            </w:pPr>
          </w:p>
        </w:tc>
        <w:tc>
          <w:tcPr>
            <w:tcW w:w="4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(28,029)</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(32,629)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2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9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(29,419)</w:t>
            </w:r>
          </w:p>
        </w:tc>
        <w:tc>
          <w:tcPr>
            <w:tcW w:w="2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(32,851)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Loss per share</w:t>
            </w: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72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 and diluted loss per share</w:t>
            </w:r>
          </w:p>
        </w:tc>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shares outstanding during the period*</w:t>
            </w: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72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Basic</w:t>
            </w:r>
          </w:p>
        </w:tc>
        <w:tc>
          <w:tcPr>
            <w:tcW w:w="9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4,175,220</w:t>
            </w:r>
          </w:p>
        </w:tc>
        <w:tc>
          <w:tcPr>
            <w:tcW w:w="2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4,682,767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Diluted</w:t>
            </w: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470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9"/>
              </w:rPr>
              <w:t>4,175,220</w:t>
            </w:r>
          </w:p>
        </w:tc>
        <w:tc>
          <w:tcPr>
            <w:tcW w:w="2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4,682,767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40" w:hanging="105"/>
        <w:spacing w:after="0"/>
        <w:tabs>
          <w:tab w:leader="none" w:pos="1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2"/>
          <w:szCs w:val="12"/>
          <w:color w:val="auto"/>
        </w:rPr>
        <w:t>Adjusted to reflect the impact of the 1:20 reverse stock split that became effective on September 28, 2023.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form an integral part of these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1"/>
        </w:trPr>
        <w:tc>
          <w:tcPr>
            <w:tcW w:w="2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4"/>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Non-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19"/>
        </w:trPr>
        <w:tc>
          <w:tcPr>
            <w:tcW w:w="2340" w:type="dxa"/>
            <w:vAlign w:val="bottom"/>
          </w:tcPr>
          <w:p>
            <w:pPr>
              <w:spacing w:after="0"/>
              <w:rPr>
                <w:sz w:val="10"/>
                <w:szCs w:val="10"/>
                <w:color w:val="auto"/>
              </w:rPr>
            </w:pPr>
          </w:p>
        </w:tc>
        <w:tc>
          <w:tcPr>
            <w:tcW w:w="1840" w:type="dxa"/>
            <w:vAlign w:val="bottom"/>
            <w:gridSpan w:val="6"/>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89"/>
              </w:rPr>
              <w:t>paid-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10"/>
                <w:szCs w:val="10"/>
                <w:color w:val="auto"/>
              </w:rPr>
            </w:pPr>
          </w:p>
        </w:tc>
        <w:tc>
          <w:tcPr>
            <w:tcW w:w="680" w:type="dxa"/>
            <w:vAlign w:val="bottom"/>
          </w:tcPr>
          <w:p>
            <w:pPr>
              <w:jc w:val="center"/>
              <w:ind w:right="24"/>
              <w:spacing w:after="0"/>
              <w:rPr>
                <w:sz w:val="20"/>
                <w:szCs w:val="20"/>
                <w:color w:val="auto"/>
              </w:rPr>
            </w:pPr>
            <w:r>
              <w:rPr>
                <w:rFonts w:ascii="Times New Roman" w:cs="Times New Roman" w:eastAsia="Times New Roman" w:hAnsi="Times New Roman"/>
                <w:sz w:val="10"/>
                <w:szCs w:val="10"/>
                <w:b w:val="1"/>
                <w:bCs w:val="1"/>
                <w:color w:val="auto"/>
                <w:w w:val="93"/>
              </w:rPr>
              <w:t>comprehensive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Company</w:t>
            </w:r>
          </w:p>
        </w:tc>
        <w:tc>
          <w:tcPr>
            <w:tcW w:w="12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01"/>
        </w:trPr>
        <w:tc>
          <w:tcPr>
            <w:tcW w:w="2340" w:type="dxa"/>
            <w:vAlign w:val="bottom"/>
          </w:tcPr>
          <w:p>
            <w:pPr>
              <w:spacing w:after="0"/>
              <w:rPr>
                <w:sz w:val="8"/>
                <w:szCs w:val="8"/>
                <w:color w:val="auto"/>
              </w:rPr>
            </w:pPr>
          </w:p>
        </w:tc>
        <w:tc>
          <w:tcPr>
            <w:tcW w:w="860" w:type="dxa"/>
            <w:vAlign w:val="bottom"/>
            <w:tcBorders>
              <w:top w:val="single" w:sz="8" w:color="auto"/>
            </w:tcBorders>
            <w:gridSpan w:val="2"/>
          </w:tcPr>
          <w:p>
            <w:pPr>
              <w:jc w:val="right"/>
              <w:ind w:right="340"/>
              <w:spacing w:after="0" w:line="101"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182"/>
              <w:spacing w:after="0" w:line="101" w:lineRule="exact"/>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tcPr>
          <w:p>
            <w:pPr>
              <w:jc w:val="center"/>
              <w:ind w:right="260"/>
              <w:spacing w:after="0" w:line="101" w:lineRule="exact"/>
              <w:rPr>
                <w:sz w:val="20"/>
                <w:szCs w:val="20"/>
                <w:color w:val="auto"/>
              </w:rPr>
            </w:pPr>
            <w:r>
              <w:rPr>
                <w:rFonts w:ascii="Times New Roman" w:cs="Times New Roman" w:eastAsia="Times New Roman" w:hAnsi="Times New Roman"/>
                <w:sz w:val="10"/>
                <w:szCs w:val="10"/>
                <w:b w:val="1"/>
                <w:bCs w:val="1"/>
                <w:color w:val="auto"/>
                <w:w w:val="95"/>
              </w:rPr>
              <w:t>in capital</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right"/>
              <w:ind w:right="500"/>
              <w:spacing w:after="0" w:line="101" w:lineRule="exact"/>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8"/>
                <w:szCs w:val="8"/>
                <w:color w:val="auto"/>
              </w:rPr>
            </w:pPr>
          </w:p>
        </w:tc>
        <w:tc>
          <w:tcPr>
            <w:tcW w:w="680" w:type="dxa"/>
            <w:vAlign w:val="bottom"/>
          </w:tcPr>
          <w:p>
            <w:pPr>
              <w:jc w:val="center"/>
              <w:ind w:right="4"/>
              <w:spacing w:after="0" w:line="101" w:lineRule="exact"/>
              <w:rPr>
                <w:sz w:val="20"/>
                <w:szCs w:val="20"/>
                <w:color w:val="auto"/>
              </w:rPr>
            </w:pPr>
            <w:r>
              <w:rPr>
                <w:rFonts w:ascii="Times New Roman" w:cs="Times New Roman" w:eastAsia="Times New Roman" w:hAnsi="Times New Roman"/>
                <w:sz w:val="10"/>
                <w:szCs w:val="10"/>
                <w:b w:val="1"/>
                <w:bCs w:val="1"/>
                <w:color w:val="auto"/>
                <w:w w:val="89"/>
              </w:rPr>
              <w:t>loss</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300"/>
              <w:spacing w:after="0" w:line="101" w:lineRule="exact"/>
              <w:rPr>
                <w:sz w:val="20"/>
                <w:szCs w:val="20"/>
                <w:color w:val="auto"/>
              </w:rPr>
            </w:pPr>
            <w:r>
              <w:rPr>
                <w:rFonts w:ascii="Times New Roman" w:cs="Times New Roman" w:eastAsia="Times New Roman" w:hAnsi="Times New Roman"/>
                <w:sz w:val="10"/>
                <w:szCs w:val="10"/>
                <w:b w:val="1"/>
                <w:bCs w:val="1"/>
                <w:color w:val="auto"/>
                <w:w w:val="97"/>
              </w:rPr>
              <w:t>equity</w:t>
            </w:r>
          </w:p>
        </w:tc>
        <w:tc>
          <w:tcPr>
            <w:tcW w:w="120" w:type="dxa"/>
            <w:vAlign w:val="bottom"/>
          </w:tcPr>
          <w:p>
            <w:pPr>
              <w:spacing w:after="0"/>
              <w:rPr>
                <w:sz w:val="8"/>
                <w:szCs w:val="8"/>
                <w:color w:val="auto"/>
              </w:rPr>
            </w:pPr>
          </w:p>
        </w:tc>
        <w:tc>
          <w:tcPr>
            <w:tcW w:w="820" w:type="dxa"/>
            <w:vAlign w:val="bottom"/>
            <w:gridSpan w:val="2"/>
          </w:tcPr>
          <w:p>
            <w:pPr>
              <w:jc w:val="center"/>
              <w:ind w:right="280"/>
              <w:spacing w:after="0" w:line="101" w:lineRule="exact"/>
              <w:rPr>
                <w:sz w:val="20"/>
                <w:szCs w:val="20"/>
                <w:color w:val="auto"/>
              </w:rPr>
            </w:pPr>
            <w:r>
              <w:rPr>
                <w:rFonts w:ascii="Times New Roman" w:cs="Times New Roman" w:eastAsia="Times New Roman" w:hAnsi="Times New Roman"/>
                <w:sz w:val="10"/>
                <w:szCs w:val="10"/>
                <w:b w:val="1"/>
                <w:bCs w:val="1"/>
                <w:color w:val="auto"/>
                <w:w w:val="94"/>
              </w:rPr>
              <w:t>interests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jc w:val="right"/>
              <w:ind w:right="263"/>
              <w:spacing w:after="0" w:line="101" w:lineRule="exact"/>
              <w:rPr>
                <w:sz w:val="20"/>
                <w:szCs w:val="20"/>
                <w:color w:val="auto"/>
              </w:rPr>
            </w:pPr>
            <w:r>
              <w:rPr>
                <w:rFonts w:ascii="Times New Roman" w:cs="Times New Roman" w:eastAsia="Times New Roman" w:hAnsi="Times New Roman"/>
                <w:sz w:val="10"/>
                <w:szCs w:val="10"/>
                <w:b w:val="1"/>
                <w:bCs w:val="1"/>
                <w:color w:val="auto"/>
              </w:rPr>
              <w:t>equity</w:t>
            </w:r>
          </w:p>
        </w:tc>
      </w:tr>
      <w:tr>
        <w:trPr>
          <w:trHeight w:val="112"/>
        </w:trPr>
        <w:tc>
          <w:tcPr>
            <w:tcW w:w="234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January 1, 2022</w:t>
            </w:r>
          </w:p>
        </w:tc>
        <w:tc>
          <w:tcPr>
            <w:tcW w:w="7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5,063,467</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51</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488,268</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2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(395,275)</w:t>
            </w: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(312)</w:t>
            </w: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92,732</w:t>
            </w: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7,203</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99,935</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Issuance of Common Stock for acquisition</w:t>
            </w: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27,624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906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906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906</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Vesting of restricted stock units</w:t>
            </w:r>
          </w:p>
        </w:tc>
        <w:tc>
          <w:tcPr>
            <w:tcW w:w="7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46,857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r>
      <w:tr>
        <w:trPr>
          <w:trHeight w:val="103"/>
        </w:trPr>
        <w:tc>
          <w:tcPr>
            <w:tcW w:w="234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Value of Shares Withheld to fund payroll</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38"/>
        </w:trPr>
        <w:tc>
          <w:tcPr>
            <w:tcW w:w="2340" w:type="dxa"/>
            <w:vAlign w:val="bottom"/>
          </w:tcPr>
          <w:p>
            <w:pPr>
              <w:spacing w:after="0"/>
              <w:rPr>
                <w:sz w:val="20"/>
                <w:szCs w:val="20"/>
                <w:color w:val="auto"/>
              </w:rPr>
            </w:pPr>
            <w:r>
              <w:rPr>
                <w:rFonts w:ascii="Times New Roman" w:cs="Times New Roman" w:eastAsia="Times New Roman" w:hAnsi="Times New Roman"/>
                <w:sz w:val="12"/>
                <w:szCs w:val="12"/>
                <w:color w:val="auto"/>
              </w:rPr>
              <w:t>taxes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8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(73)</w:t>
            </w:r>
          </w:p>
        </w:tc>
        <w:tc>
          <w:tcPr>
            <w:tcW w:w="1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3,106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3,106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664</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3,770</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Net loss for the period</w:t>
            </w:r>
          </w:p>
        </w:tc>
        <w:tc>
          <w:tcPr>
            <w:tcW w:w="86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(32,837)</w:t>
            </w:r>
          </w:p>
        </w:tc>
        <w:tc>
          <w:tcPr>
            <w:tcW w:w="60" w:type="dxa"/>
            <w:vAlign w:val="bottom"/>
          </w:tcPr>
          <w:p>
            <w:pPr>
              <w:spacing w:after="0"/>
              <w:rPr>
                <w:sz w:val="10"/>
                <w:szCs w:val="10"/>
                <w:color w:val="auto"/>
              </w:rPr>
            </w:pPr>
          </w:p>
        </w:tc>
        <w:tc>
          <w:tcPr>
            <w:tcW w:w="680" w:type="dxa"/>
            <w:vAlign w:val="bottom"/>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(32,837)</w:t>
            </w:r>
          </w:p>
        </w:tc>
        <w:tc>
          <w:tcPr>
            <w:tcW w:w="12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208</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(32,629)</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Repurchase and retirement of common stock</w:t>
            </w:r>
          </w:p>
        </w:tc>
        <w:tc>
          <w:tcPr>
            <w:tcW w:w="86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(976,335)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(23,780)</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(23,789)</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(23,789)</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86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(222)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(222)</w:t>
            </w:r>
          </w:p>
        </w:tc>
        <w:tc>
          <w:tcPr>
            <w:tcW w:w="12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(121)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(343)</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Distributions to noncontrolling interests</w:t>
            </w:r>
          </w:p>
        </w:tc>
        <w:tc>
          <w:tcPr>
            <w:tcW w:w="86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(956)</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(956)</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Contributions from noncontrolling interests</w:t>
            </w:r>
          </w:p>
        </w:tc>
        <w:tc>
          <w:tcPr>
            <w:tcW w:w="86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80" w:type="dxa"/>
            <w:vAlign w:val="bottom"/>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1,025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1,025</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Grant of stock options for services</w:t>
            </w:r>
          </w:p>
        </w:tc>
        <w:tc>
          <w:tcPr>
            <w:tcW w:w="86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1"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4"/>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103</w:t>
            </w:r>
          </w:p>
        </w:tc>
      </w:tr>
      <w:tr>
        <w:trPr>
          <w:trHeight w:val="112"/>
        </w:trPr>
        <w:tc>
          <w:tcPr>
            <w:tcW w:w="2340" w:type="dxa"/>
            <w:vAlign w:val="bottom"/>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December 31, 2022</w:t>
            </w:r>
          </w:p>
        </w:tc>
        <w:tc>
          <w:tcPr>
            <w:tcW w:w="78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4,161,613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468,530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2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(428,112)</w:t>
            </w:r>
          </w:p>
        </w:tc>
        <w:tc>
          <w:tcPr>
            <w:tcW w:w="1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(534)</w:t>
            </w:r>
          </w:p>
        </w:tc>
        <w:tc>
          <w:tcPr>
            <w:tcW w:w="14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39,926</w:t>
            </w:r>
          </w:p>
        </w:tc>
        <w:tc>
          <w:tcPr>
            <w:tcW w:w="16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8,023</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47,949</w:t>
            </w:r>
          </w:p>
        </w:tc>
      </w:tr>
      <w:tr>
        <w:trPr>
          <w:trHeight w:val="20"/>
        </w:trPr>
        <w:tc>
          <w:tcPr>
            <w:tcW w:w="2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Adjusted to reflect the impact of the 1:20 reverse stock split that became effective on September 28, 2023.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65017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6501765" cy="20955"/>
                    </a:xfrm>
                    <a:prstGeom prst="rect">
                      <a:avLst/>
                    </a:prstGeom>
                    <a:noFill/>
                  </pic:spPr>
                </pic:pic>
              </a:graphicData>
            </a:graphic>
          </wp:anchor>
        </w:drawing>
      </w:r>
    </w:p>
    <w:p>
      <w:pPr>
        <w:sectPr>
          <w:pgSz w:w="11900" w:h="16838" w:orient="portrait"/>
          <w:cols w:equalWidth="0" w:num="1">
            <w:col w:w="10240"/>
          </w:cols>
          <w:pgMar w:left="820" w:top="444" w:right="8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10"/>
        </w:trPr>
        <w:tc>
          <w:tcPr>
            <w:tcW w:w="2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center"/>
              <w:ind w:right="104"/>
              <w:spacing w:after="0" w:line="110"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40"/>
              <w:spacing w:after="0" w:line="110" w:lineRule="exact"/>
              <w:rPr>
                <w:sz w:val="20"/>
                <w:szCs w:val="20"/>
                <w:color w:val="auto"/>
              </w:rPr>
            </w:pPr>
            <w:r>
              <w:rPr>
                <w:rFonts w:ascii="Times New Roman" w:cs="Times New Roman" w:eastAsia="Times New Roman" w:hAnsi="Times New Roman"/>
                <w:sz w:val="10"/>
                <w:szCs w:val="10"/>
                <w:b w:val="1"/>
                <w:bCs w:val="1"/>
                <w:color w:val="auto"/>
                <w:w w:val="96"/>
              </w:rPr>
              <w:t>other</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320"/>
              <w:spacing w:after="0" w:line="110" w:lineRule="exact"/>
              <w:rPr>
                <w:sz w:val="20"/>
                <w:szCs w:val="20"/>
                <w:color w:val="auto"/>
              </w:rPr>
            </w:pPr>
            <w:r>
              <w:rPr>
                <w:rFonts w:ascii="Times New Roman" w:cs="Times New Roman" w:eastAsia="Times New Roman" w:hAnsi="Times New Roman"/>
                <w:sz w:val="10"/>
                <w:szCs w:val="10"/>
                <w:b w:val="1"/>
                <w:bCs w:val="1"/>
                <w:color w:val="auto"/>
                <w:w w:val="95"/>
              </w:rPr>
              <w:t>Company</w:t>
            </w:r>
          </w:p>
        </w:tc>
        <w:tc>
          <w:tcPr>
            <w:tcW w:w="120" w:type="dxa"/>
            <w:vAlign w:val="bottom"/>
          </w:tcPr>
          <w:p>
            <w:pPr>
              <w:spacing w:after="0"/>
              <w:rPr>
                <w:sz w:val="9"/>
                <w:szCs w:val="9"/>
                <w:color w:val="auto"/>
              </w:rPr>
            </w:pPr>
          </w:p>
        </w:tc>
        <w:tc>
          <w:tcPr>
            <w:tcW w:w="82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rPr>
              <w:t>Non-</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19"/>
        </w:trPr>
        <w:tc>
          <w:tcPr>
            <w:tcW w:w="2340" w:type="dxa"/>
            <w:vAlign w:val="bottom"/>
          </w:tcPr>
          <w:p>
            <w:pPr>
              <w:spacing w:after="0"/>
              <w:rPr>
                <w:sz w:val="10"/>
                <w:szCs w:val="10"/>
                <w:color w:val="auto"/>
              </w:rPr>
            </w:pPr>
          </w:p>
        </w:tc>
        <w:tc>
          <w:tcPr>
            <w:tcW w:w="176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89"/>
              </w:rPr>
              <w:t>paid-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comprehensive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7"/>
              </w:rPr>
              <w:t>equity</w:t>
            </w:r>
          </w:p>
        </w:tc>
        <w:tc>
          <w:tcPr>
            <w:tcW w:w="12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01"/>
        </w:trPr>
        <w:tc>
          <w:tcPr>
            <w:tcW w:w="2340" w:type="dxa"/>
            <w:vAlign w:val="bottom"/>
          </w:tcPr>
          <w:p>
            <w:pPr>
              <w:spacing w:after="0"/>
              <w:rPr>
                <w:sz w:val="8"/>
                <w:szCs w:val="8"/>
                <w:color w:val="auto"/>
              </w:rPr>
            </w:pPr>
          </w:p>
        </w:tc>
        <w:tc>
          <w:tcPr>
            <w:tcW w:w="780" w:type="dxa"/>
            <w:vAlign w:val="bottom"/>
          </w:tcPr>
          <w:p>
            <w:pPr>
              <w:jc w:val="right"/>
              <w:ind w:right="203"/>
              <w:spacing w:after="0" w:line="101" w:lineRule="exact"/>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ind w:right="182"/>
              <w:spacing w:after="0" w:line="101" w:lineRule="exact"/>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24"/>
              <w:spacing w:after="0" w:line="101" w:lineRule="exact"/>
              <w:rPr>
                <w:sz w:val="20"/>
                <w:szCs w:val="20"/>
                <w:color w:val="auto"/>
              </w:rPr>
            </w:pPr>
            <w:r>
              <w:rPr>
                <w:rFonts w:ascii="Times New Roman" w:cs="Times New Roman" w:eastAsia="Times New Roman" w:hAnsi="Times New Roman"/>
                <w:sz w:val="10"/>
                <w:szCs w:val="10"/>
                <w:b w:val="1"/>
                <w:bCs w:val="1"/>
                <w:color w:val="auto"/>
                <w:w w:val="95"/>
              </w:rPr>
              <w:t>in capital</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right"/>
              <w:ind w:right="500"/>
              <w:spacing w:after="0" w:line="101" w:lineRule="exact"/>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8"/>
                <w:szCs w:val="8"/>
                <w:color w:val="auto"/>
              </w:rPr>
            </w:pPr>
          </w:p>
        </w:tc>
        <w:tc>
          <w:tcPr>
            <w:tcW w:w="760" w:type="dxa"/>
            <w:vAlign w:val="bottom"/>
            <w:gridSpan w:val="2"/>
          </w:tcPr>
          <w:p>
            <w:pPr>
              <w:jc w:val="center"/>
              <w:ind w:right="140"/>
              <w:spacing w:after="0" w:line="101" w:lineRule="exact"/>
              <w:rPr>
                <w:sz w:val="20"/>
                <w:szCs w:val="20"/>
                <w:color w:val="auto"/>
              </w:rPr>
            </w:pPr>
            <w:r>
              <w:rPr>
                <w:rFonts w:ascii="Times New Roman" w:cs="Times New Roman" w:eastAsia="Times New Roman" w:hAnsi="Times New Roman"/>
                <w:sz w:val="10"/>
                <w:szCs w:val="10"/>
                <w:b w:val="1"/>
                <w:bCs w:val="1"/>
                <w:color w:val="auto"/>
                <w:w w:val="89"/>
              </w:rPr>
              <w:t>loss</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280"/>
              <w:spacing w:after="0" w:line="101" w:lineRule="exact"/>
              <w:rPr>
                <w:sz w:val="20"/>
                <w:szCs w:val="20"/>
                <w:color w:val="auto"/>
              </w:rPr>
            </w:pPr>
            <w:r>
              <w:rPr>
                <w:rFonts w:ascii="Times New Roman" w:cs="Times New Roman" w:eastAsia="Times New Roman" w:hAnsi="Times New Roman"/>
                <w:sz w:val="10"/>
                <w:szCs w:val="10"/>
                <w:b w:val="1"/>
                <w:bCs w:val="1"/>
                <w:color w:val="auto"/>
                <w:w w:val="94"/>
              </w:rPr>
              <w:t>interests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jc w:val="right"/>
              <w:ind w:right="263"/>
              <w:spacing w:after="0" w:line="101" w:lineRule="exact"/>
              <w:rPr>
                <w:sz w:val="20"/>
                <w:szCs w:val="20"/>
                <w:color w:val="auto"/>
              </w:rPr>
            </w:pPr>
            <w:r>
              <w:rPr>
                <w:rFonts w:ascii="Times New Roman" w:cs="Times New Roman" w:eastAsia="Times New Roman" w:hAnsi="Times New Roman"/>
                <w:sz w:val="10"/>
                <w:szCs w:val="10"/>
                <w:b w:val="1"/>
                <w:bCs w:val="1"/>
                <w:color w:val="auto"/>
              </w:rPr>
              <w:t>equity</w:t>
            </w:r>
          </w:p>
        </w:tc>
      </w:tr>
      <w:tr>
        <w:trPr>
          <w:trHeight w:val="112"/>
        </w:trPr>
        <w:tc>
          <w:tcPr>
            <w:tcW w:w="234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January 1, 2023</w:t>
            </w:r>
          </w:p>
        </w:tc>
        <w:tc>
          <w:tcPr>
            <w:tcW w:w="7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4,161,613</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42</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468,530</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2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(428,112)</w:t>
            </w: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(534)</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39,926</w:t>
            </w: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8,023</w:t>
            </w: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47,949</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Issuance of restricted stock units</w:t>
            </w: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18,018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2,226</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2,226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93</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2,319</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Grant of stock for services</w:t>
            </w: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Value of shares withheld to fund payroll taxes</w:t>
            </w:r>
          </w:p>
        </w:tc>
        <w:tc>
          <w:tcPr>
            <w:tcW w:w="7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(22)</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(22)</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(22)</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Contributions from noncontrolling interests</w:t>
            </w: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150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150</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Distributions to noncontrolling interests</w:t>
            </w:r>
          </w:p>
        </w:tc>
        <w:tc>
          <w:tcPr>
            <w:tcW w:w="7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(120)</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(120)</w:t>
            </w:r>
          </w:p>
        </w:tc>
      </w:tr>
      <w:tr>
        <w:trPr>
          <w:trHeight w:val="121"/>
        </w:trPr>
        <w:tc>
          <w:tcPr>
            <w:tcW w:w="234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(1,390)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(1,390)</w:t>
            </w:r>
          </w:p>
        </w:tc>
        <w:tc>
          <w:tcPr>
            <w:tcW w:w="12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111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(1,279)</w:t>
            </w:r>
          </w:p>
        </w:tc>
      </w:tr>
      <w:tr>
        <w:trPr>
          <w:trHeight w:val="121"/>
        </w:trPr>
        <w:tc>
          <w:tcPr>
            <w:tcW w:w="23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Net loss for the period</w:t>
            </w:r>
          </w:p>
        </w:tc>
        <w:tc>
          <w:tcPr>
            <w:tcW w:w="7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(27,741)</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60"/>
              <w:spacing w:after="0" w:line="121" w:lineRule="exact"/>
              <w:rPr>
                <w:sz w:val="20"/>
                <w:szCs w:val="20"/>
                <w:color w:val="auto"/>
              </w:rPr>
            </w:pPr>
            <w:r>
              <w:rPr>
                <w:rFonts w:ascii="Times New Roman" w:cs="Times New Roman" w:eastAsia="Times New Roman" w:hAnsi="Times New Roman"/>
                <w:sz w:val="12"/>
                <w:szCs w:val="12"/>
                <w:color w:val="auto"/>
              </w:rPr>
              <w:t>(27,741)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(288)</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(28,029)</w:t>
            </w:r>
          </w:p>
        </w:tc>
      </w:tr>
      <w:tr>
        <w:trPr>
          <w:trHeight w:val="112"/>
        </w:trPr>
        <w:tc>
          <w:tcPr>
            <w:tcW w:w="2340" w:type="dxa"/>
            <w:vAlign w:val="bottom"/>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78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4,179,631</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42</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470,737</w:t>
            </w:r>
          </w:p>
        </w:tc>
        <w:tc>
          <w:tcPr>
            <w:tcW w:w="14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2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(455,853)</w:t>
            </w:r>
          </w:p>
        </w:tc>
        <w:tc>
          <w:tcPr>
            <w:tcW w:w="1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(1,924)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13,002</w:t>
            </w:r>
          </w:p>
        </w:tc>
        <w:tc>
          <w:tcPr>
            <w:tcW w:w="16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7,969</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20,971</w:t>
            </w:r>
          </w:p>
        </w:tc>
      </w:tr>
      <w:tr>
        <w:trPr>
          <w:trHeight w:val="20"/>
        </w:trPr>
        <w:tc>
          <w:tcPr>
            <w:tcW w:w="2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to reflect the impact of the 1:20 reverse stock split that became effective on September 28, 2023.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form an integral part of these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65017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6501765" cy="20955"/>
                    </a:xfrm>
                    <a:prstGeom prst="rect">
                      <a:avLst/>
                    </a:prstGeom>
                    <a:noFill/>
                  </pic:spPr>
                </pic:pic>
              </a:graphicData>
            </a:graphic>
          </wp:anchor>
        </w:drawing>
      </w:r>
    </w:p>
    <w:p>
      <w:pPr>
        <w:sectPr>
          <w:pgSz w:w="11900" w:h="16838" w:orient="portrait"/>
          <w:cols w:equalWidth="0" w:num="1">
            <w:col w:w="10240"/>
          </w:cols>
          <w:pgMar w:left="820" w:top="444" w:right="839"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5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Year ended December 31,</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28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bottom w:val="single" w:sz="8" w:color="auto"/>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541"/>
              <w:spacing w:after="0" w:line="112"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0" w:type="dxa"/>
            <w:vAlign w:val="bottom"/>
          </w:tcPr>
          <w:p>
            <w:pPr>
              <w:spacing w:after="0"/>
              <w:rPr>
                <w:sz w:val="1"/>
                <w:szCs w:val="1"/>
                <w:color w:val="auto"/>
              </w:rPr>
            </w:pPr>
          </w:p>
        </w:tc>
      </w:tr>
      <w:tr>
        <w:trPr>
          <w:trHeight w:val="112"/>
        </w:trPr>
        <w:tc>
          <w:tcPr>
            <w:tcW w:w="52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Net loss</w:t>
            </w:r>
          </w:p>
        </w:tc>
        <w:tc>
          <w:tcPr>
            <w:tcW w:w="1460" w:type="dxa"/>
            <w:vAlign w:val="bottom"/>
            <w:gridSpan w:val="2"/>
          </w:tcPr>
          <w:p>
            <w:pPr>
              <w:jc w:val="right"/>
              <w:ind w:right="704"/>
              <w:spacing w:after="0" w:line="121"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(28,029)</w:t>
            </w:r>
          </w:p>
        </w:tc>
        <w:tc>
          <w:tcPr>
            <w:tcW w:w="820" w:type="dxa"/>
            <w:vAlign w:val="bottom"/>
            <w:gridSpan w:val="2"/>
          </w:tcPr>
          <w:p>
            <w:pPr>
              <w:jc w:val="right"/>
              <w:ind w:right="447"/>
              <w:spacing w:after="0" w:line="121"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(32,629)</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2,065</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5,429</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Impairment of fixed assets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1,159</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4,559</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Impairment of goodwill</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4,024</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Impairment of intangible assets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2,768</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Impairment of operating lease right-of-use assets</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926</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1,110</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Unrealized gain on marketable securities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(877)</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Foreign currency remeasurement loss</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738</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Loss on disposal of assets, net</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34</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834</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Gain on lease termination</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(821)</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Amortization of operating lease right of use asset</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1,481</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1,844</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Issuance of shares of Common Stock for services</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Stock-based compensation</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2,319</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3,770</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Loss on equity investment</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54</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618</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Changes in assets and liabilities: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Decrease in inventory</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261</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592</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Decrease (increase) in accounts receivable</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1,191</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(1,835)</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Decrease (increase) in deferred revenue</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(289)</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(933)</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Decrease (increase) in other assets, current and non-current</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512</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(457)</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Decrease in other liabilities, current and non-current</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(3,105)</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(4,056)</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Decrease in accounts payable</w:t>
            </w:r>
          </w:p>
        </w:tc>
        <w:tc>
          <w:tcPr>
            <w:tcW w:w="64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(488)</w:t>
            </w:r>
          </w:p>
        </w:tc>
        <w:tc>
          <w:tcPr>
            <w:tcW w:w="26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(3,247)</w:t>
            </w:r>
          </w:p>
        </w:tc>
        <w:tc>
          <w:tcPr>
            <w:tcW w:w="0" w:type="dxa"/>
            <w:vAlign w:val="bottom"/>
          </w:tcPr>
          <w:p>
            <w:pPr>
              <w:spacing w:after="0"/>
              <w:rPr>
                <w:sz w:val="1"/>
                <w:szCs w:val="1"/>
                <w:color w:val="auto"/>
              </w:rPr>
            </w:pPr>
          </w:p>
        </w:tc>
      </w:tr>
      <w:tr>
        <w:trPr>
          <w:trHeight w:val="112"/>
        </w:trPr>
        <w:tc>
          <w:tcPr>
            <w:tcW w:w="5280" w:type="dxa"/>
            <w:vAlign w:val="bottom"/>
            <w:tcBorders>
              <w:bottom w:val="single" w:sz="8" w:color="CCEEFF"/>
            </w:tcBorders>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64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(16,074)</w:t>
            </w:r>
          </w:p>
        </w:tc>
        <w:tc>
          <w:tcPr>
            <w:tcW w:w="26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(24,188)</w:t>
            </w:r>
          </w:p>
        </w:tc>
        <w:tc>
          <w:tcPr>
            <w:tcW w:w="0" w:type="dxa"/>
            <w:vAlign w:val="bottom"/>
          </w:tcPr>
          <w:p>
            <w:pPr>
              <w:spacing w:after="0"/>
              <w:rPr>
                <w:sz w:val="1"/>
                <w:szCs w:val="1"/>
                <w:color w:val="auto"/>
              </w:rPr>
            </w:pPr>
          </w:p>
        </w:tc>
      </w:tr>
      <w:tr>
        <w:trPr>
          <w:trHeight w:val="112"/>
        </w:trPr>
        <w:tc>
          <w:tcPr>
            <w:tcW w:w="52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Acquisition of property and equipment</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(1,905)</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(6,464)</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Investment in marketable securities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(23,153)</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Sale of marketable securities</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9,417</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Acquisition of Naples Wax net of cash assumed</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(1,394)</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Acquisition of HyperPointe net of cash assumed</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(4,853)</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Acquisition of intangibles</w:t>
            </w:r>
          </w:p>
        </w:tc>
        <w:tc>
          <w:tcPr>
            <w:tcW w:w="640" w:type="dxa"/>
            <w:vAlign w:val="bottom"/>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(468)</w:t>
            </w:r>
          </w:p>
        </w:tc>
        <w:tc>
          <w:tcPr>
            <w:tcW w:w="26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(373)</w:t>
            </w:r>
          </w:p>
        </w:tc>
        <w:tc>
          <w:tcPr>
            <w:tcW w:w="0" w:type="dxa"/>
            <w:vAlign w:val="bottom"/>
          </w:tcPr>
          <w:p>
            <w:pPr>
              <w:spacing w:after="0"/>
              <w:rPr>
                <w:sz w:val="1"/>
                <w:szCs w:val="1"/>
                <w:color w:val="auto"/>
              </w:rPr>
            </w:pPr>
          </w:p>
        </w:tc>
      </w:tr>
      <w:tr>
        <w:trPr>
          <w:trHeight w:val="112"/>
        </w:trPr>
        <w:tc>
          <w:tcPr>
            <w:tcW w:w="5280" w:type="dxa"/>
            <w:vAlign w:val="bottom"/>
            <w:tcBorders>
              <w:bottom w:val="single" w:sz="8" w:color="CCEEFF"/>
            </w:tcBorders>
          </w:tcPr>
          <w:p>
            <w:pPr>
              <w:ind w:left="80"/>
              <w:spacing w:after="0" w:line="112" w:lineRule="exact"/>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64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5,650</w:t>
            </w:r>
          </w:p>
        </w:tc>
        <w:tc>
          <w:tcPr>
            <w:tcW w:w="26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(34,843)</w:t>
            </w:r>
          </w:p>
        </w:tc>
        <w:tc>
          <w:tcPr>
            <w:tcW w:w="0" w:type="dxa"/>
            <w:vAlign w:val="bottom"/>
          </w:tcPr>
          <w:p>
            <w:pPr>
              <w:spacing w:after="0"/>
              <w:rPr>
                <w:sz w:val="1"/>
                <w:szCs w:val="1"/>
                <w:color w:val="auto"/>
              </w:rPr>
            </w:pPr>
          </w:p>
        </w:tc>
      </w:tr>
      <w:tr>
        <w:trPr>
          <w:trHeight w:val="112"/>
        </w:trPr>
        <w:tc>
          <w:tcPr>
            <w:tcW w:w="52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Repurchase of Common Stock</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(23,789)</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Contributions from noncontrolling interests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150</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1,025</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Payments for shares withheld on vesting</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(22)</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Repayment of Paycheck Protection Program</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(3,584)</w:t>
            </w:r>
          </w:p>
        </w:tc>
        <w:tc>
          <w:tcPr>
            <w:tcW w:w="0" w:type="dxa"/>
            <w:vAlign w:val="bottom"/>
          </w:tcPr>
          <w:p>
            <w:pPr>
              <w:spacing w:after="0"/>
              <w:rPr>
                <w:sz w:val="1"/>
                <w:szCs w:val="1"/>
                <w:color w:val="auto"/>
              </w:rPr>
            </w:pPr>
          </w:p>
        </w:tc>
      </w:tr>
      <w:tr>
        <w:trPr>
          <w:trHeight w:val="121"/>
        </w:trPr>
        <w:tc>
          <w:tcPr>
            <w:tcW w:w="5280" w:type="dxa"/>
            <w:vAlign w:val="bottom"/>
            <w:tcBorders>
              <w:bottom w:val="single" w:sz="8" w:color="CCEEFF"/>
            </w:tcBorders>
          </w:tcPr>
          <w:p>
            <w:pPr>
              <w:ind w:left="80"/>
              <w:spacing w:after="0" w:line="121" w:lineRule="exact"/>
              <w:rPr>
                <w:sz w:val="20"/>
                <w:szCs w:val="20"/>
                <w:color w:val="auto"/>
              </w:rPr>
            </w:pPr>
            <w:r>
              <w:rPr>
                <w:rFonts w:ascii="Times New Roman" w:cs="Times New Roman" w:eastAsia="Times New Roman" w:hAnsi="Times New Roman"/>
                <w:sz w:val="12"/>
                <w:szCs w:val="12"/>
                <w:color w:val="auto"/>
              </w:rPr>
              <w:t>Distributions to noncontrolling interests</w:t>
            </w:r>
          </w:p>
        </w:tc>
        <w:tc>
          <w:tcPr>
            <w:tcW w:w="6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(120)</w:t>
            </w:r>
          </w:p>
        </w:tc>
        <w:tc>
          <w:tcPr>
            <w:tcW w:w="2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(956)</w:t>
            </w:r>
          </w:p>
        </w:tc>
        <w:tc>
          <w:tcPr>
            <w:tcW w:w="0" w:type="dxa"/>
            <w:vAlign w:val="bottom"/>
          </w:tcPr>
          <w:p>
            <w:pPr>
              <w:spacing w:after="0"/>
              <w:rPr>
                <w:sz w:val="1"/>
                <w:szCs w:val="1"/>
                <w:color w:val="auto"/>
              </w:rPr>
            </w:pPr>
          </w:p>
        </w:tc>
      </w:tr>
      <w:tr>
        <w:trPr>
          <w:trHeight w:val="112"/>
        </w:trPr>
        <w:tc>
          <w:tcPr>
            <w:tcW w:w="52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640" w:type="dxa"/>
            <w:vAlign w:val="bottom"/>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8</w:t>
            </w:r>
          </w:p>
        </w:tc>
        <w:tc>
          <w:tcPr>
            <w:tcW w:w="260" w:type="dxa"/>
            <w:vAlign w:val="bottom"/>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(27,377)</w:t>
            </w:r>
          </w:p>
        </w:tc>
        <w:tc>
          <w:tcPr>
            <w:tcW w:w="0" w:type="dxa"/>
            <w:vAlign w:val="bottom"/>
          </w:tcPr>
          <w:p>
            <w:pPr>
              <w:spacing w:after="0"/>
              <w:rPr>
                <w:sz w:val="1"/>
                <w:szCs w:val="1"/>
                <w:color w:val="auto"/>
              </w:rPr>
            </w:pPr>
          </w:p>
        </w:tc>
      </w:tr>
      <w:tr>
        <w:trPr>
          <w:trHeight w:val="112"/>
        </w:trPr>
        <w:tc>
          <w:tcPr>
            <w:tcW w:w="5280" w:type="dxa"/>
            <w:vAlign w:val="bottom"/>
            <w:tcBorders>
              <w:bottom w:val="single" w:sz="8" w:color="CCEEFF"/>
            </w:tcBorders>
          </w:tcPr>
          <w:p>
            <w:pPr>
              <w:spacing w:after="0" w:line="112" w:lineRule="exact"/>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64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(185)</w:t>
            </w:r>
          </w:p>
        </w:tc>
        <w:tc>
          <w:tcPr>
            <w:tcW w:w="26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12"/>
        </w:trPr>
        <w:tc>
          <w:tcPr>
            <w:tcW w:w="52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Decrease in cash, cash equivalents and restricted cash</w:t>
            </w: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(10,601)</w:t>
            </w:r>
          </w:p>
        </w:tc>
        <w:tc>
          <w:tcPr>
            <w:tcW w:w="2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(86,468)</w:t>
            </w:r>
          </w:p>
        </w:tc>
        <w:tc>
          <w:tcPr>
            <w:tcW w:w="0" w:type="dxa"/>
            <w:vAlign w:val="bottom"/>
          </w:tcPr>
          <w:p>
            <w:pPr>
              <w:spacing w:after="0"/>
              <w:rPr>
                <w:sz w:val="1"/>
                <w:szCs w:val="1"/>
                <w:color w:val="auto"/>
              </w:rPr>
            </w:pPr>
          </w:p>
        </w:tc>
      </w:tr>
      <w:tr>
        <w:trPr>
          <w:trHeight w:val="121"/>
        </w:trPr>
        <w:tc>
          <w:tcPr>
            <w:tcW w:w="528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2"/>
                <w:szCs w:val="12"/>
                <w:color w:val="auto"/>
              </w:rPr>
              <w:t>Cash, cash equivalents, and restricted cash at beginning of the year</w:t>
            </w:r>
          </w:p>
        </w:tc>
        <w:tc>
          <w:tcPr>
            <w:tcW w:w="6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19,789</w:t>
            </w:r>
          </w:p>
        </w:tc>
        <w:tc>
          <w:tcPr>
            <w:tcW w:w="2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106,257</w:t>
            </w:r>
          </w:p>
        </w:tc>
        <w:tc>
          <w:tcPr>
            <w:tcW w:w="0" w:type="dxa"/>
            <w:vAlign w:val="bottom"/>
          </w:tcPr>
          <w:p>
            <w:pPr>
              <w:spacing w:after="0"/>
              <w:rPr>
                <w:sz w:val="1"/>
                <w:szCs w:val="1"/>
                <w:color w:val="auto"/>
              </w:rPr>
            </w:pPr>
          </w:p>
        </w:tc>
      </w:tr>
      <w:tr>
        <w:trPr>
          <w:trHeight w:val="112"/>
        </w:trPr>
        <w:tc>
          <w:tcPr>
            <w:tcW w:w="5280" w:type="dxa"/>
            <w:vAlign w:val="bottom"/>
            <w:tcBorders>
              <w:bottom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Cash, cash equivalents, and restricted cash at end of the year</w:t>
            </w:r>
          </w:p>
        </w:tc>
        <w:tc>
          <w:tcPr>
            <w:tcW w:w="6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ind w:right="704"/>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9,188</w:t>
            </w:r>
          </w:p>
        </w:tc>
        <w:tc>
          <w:tcPr>
            <w:tcW w:w="26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ind w:right="447"/>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1"/>
              <w:spacing w:after="0" w:line="112" w:lineRule="exact"/>
              <w:rPr>
                <w:sz w:val="20"/>
                <w:szCs w:val="20"/>
                <w:color w:val="auto"/>
              </w:rPr>
            </w:pPr>
            <w:r>
              <w:rPr>
                <w:rFonts w:ascii="Times New Roman" w:cs="Times New Roman" w:eastAsia="Times New Roman" w:hAnsi="Times New Roman"/>
                <w:sz w:val="12"/>
                <w:szCs w:val="12"/>
                <w:color w:val="auto"/>
              </w:rPr>
              <w:t>19,789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paid for</w:t>
            </w: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2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Interest</w:t>
            </w:r>
          </w:p>
        </w:tc>
        <w:tc>
          <w:tcPr>
            <w:tcW w:w="1460" w:type="dxa"/>
            <w:vAlign w:val="bottom"/>
            <w:gridSpan w:val="2"/>
            <w:shd w:val="clear" w:color="auto" w:fill="CCEEFF"/>
          </w:tcPr>
          <w:p>
            <w:pPr>
              <w:jc w:val="right"/>
              <w:ind w:right="704"/>
              <w:spacing w:after="0" w:line="121"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447"/>
              <w:spacing w:after="0" w:line="121"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Income taxes</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35</w:t>
            </w:r>
          </w:p>
        </w:tc>
        <w:tc>
          <w:tcPr>
            <w:tcW w:w="820" w:type="dxa"/>
            <w:vAlign w:val="bottom"/>
            <w:gridSpan w:val="2"/>
          </w:tcPr>
          <w:p>
            <w:pPr>
              <w:jc w:val="right"/>
              <w:ind w:right="447"/>
              <w:spacing w:after="0" w:line="121"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Non-cash investing and financing transactions</w:t>
            </w:r>
          </w:p>
        </w:tc>
        <w:tc>
          <w:tcPr>
            <w:tcW w:w="6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280" w:type="dxa"/>
            <w:vAlign w:val="bottom"/>
          </w:tcPr>
          <w:p>
            <w:pPr>
              <w:ind w:left="80"/>
              <w:spacing w:after="0" w:line="121" w:lineRule="exact"/>
              <w:rPr>
                <w:sz w:val="20"/>
                <w:szCs w:val="20"/>
                <w:color w:val="auto"/>
              </w:rPr>
            </w:pPr>
            <w:r>
              <w:rPr>
                <w:rFonts w:ascii="Times New Roman" w:cs="Times New Roman" w:eastAsia="Times New Roman" w:hAnsi="Times New Roman"/>
                <w:sz w:val="12"/>
                <w:szCs w:val="12"/>
                <w:color w:val="auto"/>
              </w:rPr>
              <w:t>Capital expenditures included in Accounts payable, accrued expenses and other current liabilities</w:t>
            </w:r>
          </w:p>
        </w:tc>
        <w:tc>
          <w:tcPr>
            <w:tcW w:w="1460" w:type="dxa"/>
            <w:vAlign w:val="bottom"/>
            <w:gridSpan w:val="2"/>
          </w:tcPr>
          <w:p>
            <w:pPr>
              <w:jc w:val="right"/>
              <w:ind w:right="704"/>
              <w:spacing w:after="0" w:line="121"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17</w:t>
            </w:r>
          </w:p>
        </w:tc>
        <w:tc>
          <w:tcPr>
            <w:tcW w:w="820" w:type="dxa"/>
            <w:vAlign w:val="bottom"/>
            <w:gridSpan w:val="2"/>
          </w:tcPr>
          <w:p>
            <w:pPr>
              <w:jc w:val="right"/>
              <w:ind w:right="447"/>
              <w:spacing w:after="0" w:line="121"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544</w:t>
            </w:r>
          </w:p>
        </w:tc>
        <w:tc>
          <w:tcPr>
            <w:tcW w:w="0" w:type="dxa"/>
            <w:vAlign w:val="bottom"/>
          </w:tcPr>
          <w:p>
            <w:pPr>
              <w:spacing w:after="0"/>
              <w:rPr>
                <w:sz w:val="1"/>
                <w:szCs w:val="1"/>
                <w:color w:val="auto"/>
              </w:rPr>
            </w:pPr>
          </w:p>
        </w:tc>
      </w:tr>
      <w:tr>
        <w:trPr>
          <w:trHeight w:val="121"/>
        </w:trPr>
        <w:tc>
          <w:tcPr>
            <w:tcW w:w="528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2"/>
                <w:szCs w:val="12"/>
                <w:color w:val="auto"/>
              </w:rPr>
              <w:t>Issuance of Common Stock on acquisition of gcg Connect, LLC, d/b/a HyperPointe</w:t>
            </w:r>
          </w:p>
        </w:tc>
        <w:tc>
          <w:tcPr>
            <w:tcW w:w="1460" w:type="dxa"/>
            <w:vAlign w:val="bottom"/>
            <w:gridSpan w:val="2"/>
            <w:shd w:val="clear" w:color="auto" w:fill="CCEEFF"/>
          </w:tcPr>
          <w:p>
            <w:pPr>
              <w:jc w:val="right"/>
              <w:ind w:right="704"/>
              <w:spacing w:after="0" w:line="121"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447"/>
              <w:spacing w:after="0" w:line="121"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1"/>
              <w:spacing w:after="0" w:line="121" w:lineRule="exact"/>
              <w:rPr>
                <w:sz w:val="20"/>
                <w:szCs w:val="20"/>
                <w:color w:val="auto"/>
              </w:rPr>
            </w:pPr>
            <w:r>
              <w:rPr>
                <w:rFonts w:ascii="Times New Roman" w:cs="Times New Roman" w:eastAsia="Times New Roman" w:hAnsi="Times New Roman"/>
                <w:sz w:val="12"/>
                <w:szCs w:val="12"/>
                <w:color w:val="auto"/>
              </w:rPr>
              <w:t>906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notes form an integral part of these consolidated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 General</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Overview</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since the opening of the trading market on October 25, 2022. In pursuance, the Company amended and restated its certificate of incorporation filed with the Delaware Secretary of State on October 24, 2022 (the “Amended and Restated Certificate”). Rebranding to XWELL aligned the Company’s corporate strategy to build a pure-play health and wellness services company, both in the airport and off airport marketplaces.</w:t>
      </w:r>
    </w:p>
    <w:p>
      <w:pPr>
        <w:spacing w:after="0" w:line="157"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In addition, prior to filing the Amended and Restated Certificate, the Company filed a Certificate of Elimination (the “Certificate of Elimination”) with respect to its Series A Convertible Preferred Stock, par value $0.01 per share, Series D Convertible Preferred Stock, par value $0.01 per share, Series E Convertible Preferred Stock, par value $0.01 per share, and Series F Convertible Preferred Stock, par value $0.01 per share (collectively, the “Eliminated Preferred Stock”) with the Delaware Secretary of State, becoming effective as of at 11:59 p.m., Eastern Time on October 24, 2022.</w:t>
      </w:r>
    </w:p>
    <w:p>
      <w:pPr>
        <w:spacing w:after="0" w:line="154"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4"/>
          <w:szCs w:val="14"/>
          <w:color w:val="auto"/>
        </w:rPr>
        <w:t>The Certificate of Elimination (i) eliminated the previous designation of 6,968 shares of Series A Convertible Preferred Stock, none of which were outstanding at the time of filing, (ii) eliminated the previous designation of 500,000 shares of Series D Convertible Preferred Stock, none of which were outstanding at the time of filing, (iii) eliminated the previous designation of 2,397,060 shares of Series E Convertible Preferred Stock, none of which were outstanding at the time of filing, (iv) eliminated the previous designation of 9,000 shares of Series F Convertible Preferred Stock, none of which were outstanding at the time of filing, (v) caused such shares of Eliminated Preferred Stock to resume the status of authorized but unissued shares of preferred stock of the Company and (vi) eliminated all reference to the Eliminated Preferred Stock from the Company’s Certificate of Incorporation filed with the Secretary of State of the State of Delaware and effective prior to the effective time of the Amended and Restated Certificate.</w:t>
      </w:r>
    </w:p>
    <w:p>
      <w:pPr>
        <w:spacing w:after="0" w:line="143" w:lineRule="exact"/>
        <w:rPr>
          <w:sz w:val="20"/>
          <w:szCs w:val="20"/>
          <w:color w:val="auto"/>
        </w:rPr>
      </w:pPr>
    </w:p>
    <w:p>
      <w:pPr>
        <w:jc w:val="both"/>
        <w:ind w:left="40" w:right="59"/>
        <w:spacing w:after="0" w:line="282" w:lineRule="auto"/>
        <w:rPr>
          <w:sz w:val="20"/>
          <w:szCs w:val="20"/>
          <w:color w:val="auto"/>
        </w:rPr>
      </w:pPr>
      <w:r>
        <w:rPr>
          <w:rFonts w:ascii="Times New Roman" w:cs="Times New Roman" w:eastAsia="Times New Roman" w:hAnsi="Times New Roman"/>
          <w:sz w:val="15"/>
          <w:szCs w:val="15"/>
          <w:color w:val="auto"/>
        </w:rPr>
        <w:t>XWELL is a global wellness company operating multiple brands and focused on bringing restorative, regenerative and reinvigorating products and services to travelers. XWELL currently has four reportable operating segments: XpresSpa</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5"/>
          <w:szCs w:val="15"/>
          <w:color w:val="auto"/>
        </w:rPr>
        <w:t>, XpresTest</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5"/>
          <w:szCs w:val="15"/>
          <w:color w:val="auto"/>
        </w:rPr>
        <w:t>, Naples Wax Center and Treat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w:t>
      </w:r>
    </w:p>
    <w:p>
      <w:pPr>
        <w:spacing w:after="0" w:line="41" w:lineRule="exact"/>
        <w:rPr>
          <w:sz w:val="20"/>
          <w:szCs w:val="20"/>
          <w:color w:val="auto"/>
        </w:rPr>
      </w:pPr>
    </w:p>
    <w:p>
      <w:pPr>
        <w:jc w:val="both"/>
        <w:ind w:left="40" w:right="59"/>
        <w:spacing w:after="0" w:line="284" w:lineRule="auto"/>
        <w:rPr>
          <w:sz w:val="20"/>
          <w:szCs w:val="20"/>
          <w:color w:val="auto"/>
        </w:rPr>
      </w:pPr>
      <w:r>
        <w:rPr>
          <w:rFonts w:ascii="Times New Roman" w:cs="Times New Roman" w:eastAsia="Times New Roman" w:hAnsi="Times New Roman"/>
          <w:sz w:val="14"/>
          <w:szCs w:val="14"/>
          <w:color w:val="auto"/>
        </w:rPr>
        <w:t>XWELL’s subsidiary, XpresSpa Holdings, LLC (“XpresSpa”) has been a global airport retailer of spa services through its XpresSpa spa locations, offering travelers premium spa services, including massage, nail and skin care, as well as spa and travel products. Most of XpresSpa spa locations were closed between March 2020 and September 2021, largely due to the airport traffic remaining at insufficient levels to support operations at a unit level.</w:t>
      </w:r>
    </w:p>
    <w:p>
      <w:pPr>
        <w:spacing w:after="0" w:line="132"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As of December 31, 2023, there were 21 domestic XpresSpa locations in total, 19 Company owned and 2 franchises. The Company also had 11 international locations operating as of December 31, 2023, including two XpresSpa locations in Dubai International Airport in the United Arab Emirates, one XpresSpa location in Zayad International Airport in Abu Dhabi UAE, three XpresSpa locations in Schiphol Amsterdam Airport in the Netherlands and five XpresSpa locations in Istanbul Airport in Turkey.</w:t>
      </w:r>
    </w:p>
    <w:p>
      <w:pPr>
        <w:spacing w:after="0" w:line="15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XWELL’s subsidiary, XpresTest, in partnership with certain COVID-19 testing partners, successfully launched its XpresCheck Wellness Centers through its XpresTest, Inc. subsidiary (“XpresTest”), which offered COVID-19 and other medical diagnostic testing services to the traveling public, as well as airline, airport and concessionaire employees, and TSA and U.S. Customs and Border Protection agents during the pandemic. During 2022 and 2023, as countries continued to relax their testing requirements resulting in rapid decline of testing volumes at the Company’s XpresCheck locations, the Company closed XpresCheck Wellness Centers. As of December 31, 2023, all XpresCheck locations are closed.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 reporting purposes, the former HyperPointe segment has been consolidated into the XpresTest segment.</w:t>
      </w:r>
    </w:p>
    <w:p>
      <w:pPr>
        <w:spacing w:after="0" w:line="17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XWELL’s subsidiary Treat, Inc. (“Treat”) is a wellness brand that provides access to wellness services for travelers at on-site centers (currently located in JFK International Airport and in Salt Lake City International Airport).</w:t>
      </w:r>
    </w:p>
    <w:p>
      <w:pPr>
        <w:spacing w:after="0" w:line="141"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In 2022, Treat opened a new location in Phoenix Sky Harbor International Airport but by the fourth quarter of 2022, the decision was made to close this location. The remaining Treat locations offer a full retail product offering and a suite of wellness and spa services.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54"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XWELL’s subsidiary Naples Wax Center, LLC, which was acquired on September 12, 2023, for a purchase price of $1,624 operates a group of upscale hair removal boutiques in Florida. There are currently three Naples Wax Center locations with core products and service offerings from face and body waxing to a range of skincare and cosmetic products.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Liquidity and Financial Condition</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As of December 31, 2023, the Company had approximately $8,437 of cash and cash equivalents, $14,613 in marketable securities, and total current assets of approximately $26,566. The Company’s total current liabilities balance, which includes accounts payable, deferred revenue, accrued expenses, and operating lease liabilities was approximately $9,330 as of December 31, 2023. The working capital surplus was $17,236 as of December 31, 2023, compared to a working capital surplus of $36,376 as of December 31, 2022.</w:t>
      </w:r>
    </w:p>
    <w:p>
      <w:pPr>
        <w:spacing w:after="0" w:line="15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The Company has significantly reduced operating and overhead expenses in the second half of 2022 and 2023, while it continues to focus on returning to overall profitability.</w:t>
      </w:r>
    </w:p>
    <w:p>
      <w:pPr>
        <w:spacing w:after="0" w:line="14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Company has taken actions to improve its overall cash position, right sizing its corporate structure and streamlining its operations, while at the same time the Company is aggressively trying to get the company to profitability which the Company believes will strengthen the Company’s stock price and put the Company in a stronger position to be able to raise capital in 2024 and beyond. The Company is aggressively pursuing strategic partnerships that the Company expects will further strengthen the long-term profitability of the business, which puts the Company in a position of strength as the Company raise more capital.</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2. Accounting and Reporting Policies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principles of consolidation</w:t>
      </w:r>
    </w:p>
    <w:p>
      <w:pPr>
        <w:spacing w:after="0" w:line="183"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in accordance with accounting principles generally accepted in the United States of America.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deferred tax assets and liabilities, income tax uncertainties, and other contingencies.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Translation into United States dollars</w:t>
      </w:r>
    </w:p>
    <w:p>
      <w:pPr>
        <w:spacing w:after="0" w:line="183"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2023 and 2022, the Company recorded $738 and $664, respectively, in exchange losses occurring from the remeasurement of monetary balance sheet items denominated in non-dollar currencies.</w:t>
      </w:r>
    </w:p>
    <w:p>
      <w:pPr>
        <w:spacing w:after="0" w:line="154"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income (loss) and consolidated statements of changes in stockholders’ equity.</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The Company maintains cash in checking and money market accounts with financial institutions. The Company has established guidelines relating to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The Company had $4,025 of such investments as of December 31, 2023 and $1,885 as of December 31, 2022.</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Receivables</w:t>
      </w:r>
    </w:p>
    <w:p>
      <w:pPr>
        <w:spacing w:after="0" w:line="183"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Accounts receivables are reported at their outstanding unpaid principal balances, net of allowances for credit loss. The Company periodically assesses its accounts and other receivables for collectability on a specific identification basis. The Company provides for an allowance for credit loss based on management’s estimate of uncollectible amounts considering age, collection history, and any other factors considered appropriate. Payments are generally due within 30 days of invoice. The Company writes off accounts receivable against the allowance for credit loss when a balance is determined to be uncollectible. During the year ended December 31, 2023 and 2022, the Company did not write off any accounts receivable. The Company did not record an allowance for credit loss for the year ended December 31, 2023 and December 31, 2022, respectively.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Inventory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All inventory is valued at the lower of cost or net realizable value. Cost is determined using a weighted-average cost method.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5">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w:t>
      </w:r>
    </w:p>
    <w:p>
      <w:pPr>
        <w:spacing w:after="0" w:line="183"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Intangible assets include customer relationships, trade names, and technology, which were primarily acquired as part of the acquisition of XpresSpa in December 2016, HyperPointe in 2022 and Naples Wax Center in 2023 and were recorded based on the estimated fair value in purchase price allocation. In addition, intangible assets include software and website development costs that were capitalized as part of the Company’s development of a mobile application and website for the Treat brand. The Company accounts for these costs in accordance with ASC 350-40, Internal-Use Software. The intangible assets are amortized over their estimated useful lives, which are periodically evaluated for reasonableness.</w:t>
      </w:r>
    </w:p>
    <w:p>
      <w:pPr>
        <w:spacing w:after="0" w:line="156"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During the years ended December 31, 2023 and 2022, the Company recognized impairment of $2,768 and $110 respectively.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Company also impaired intangible assets pertaining to its Treat and XpresTest segments.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83"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Long-lived assets are tested for impairment at the lowest level at which there are identifiable operating cash flows, which is at the individual airport location for the XpresSpa and XpresTest businesses. The Company’s long-lived assets consist primarily of leasehold improvements and right to use lease assets for each of its airport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airport locations, is the remaining term of the operating lease.</w:t>
      </w:r>
    </w:p>
    <w:p>
      <w:pPr>
        <w:spacing w:after="0" w:line="160"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The Company completed an assessment of its property and equipment and operating lease right of use assets for impairment as of December 31, 2023 and 2022. Based upon the results of the impairment test, the Company recorded an impairment expense related to property and equipment of $1,159 and $4,559 as of December 31, 2023 and 2022, respectively. Additionally, the Company recorded an impairment expense related to operating lease right of use assets and $926, and $1,110 as of December 31, 2023 and 2022, respectively. Both impairment charges are recorded on the consolidated statements of operations and comprehensive loss. The expense was primarily related to the impairment of leasehold improvements made to the Company’s Treat and Spa locations and its operating lease right of use assets where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6">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management determined that the locations discounted future cash flows were not sufficient to recover the carrying value of these assets over the remaining lease term.</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83"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The right of use asset (“ROU”) on the Company’s consolidated balance sheet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 term. The Company has elected to exclude all short-term leases (i.e, leases with term of 12 months or less) from recognition on the balance sheet.</w:t>
      </w:r>
    </w:p>
    <w:p>
      <w:pPr>
        <w:spacing w:after="0" w:line="159"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could not be readily determined.</w:t>
      </w:r>
    </w:p>
    <w:p>
      <w:pPr>
        <w:spacing w:after="0" w:line="149"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8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Restricted cash, which is listed as a separate line item in the consolidated balance sheets, represents balances at financial institutions to secure bonds and letters of credit as required by the Company’s various lease agreements.</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Equity investments</w:t>
      </w:r>
    </w:p>
    <w:p>
      <w:pPr>
        <w:spacing w:after="0" w:line="183"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Equity investments are carried at fair value with the changes in fair value recorded in the consolidated statement of operations and other comprehensive income (loss) in accordance with ASU 2016-01. The Company will perform a qualitative assessment on an annual basis and recognize impairment if there are sufficient indicators that the fair value of the investment is less than the carrying value. As of the year ended December 31, 2023, there were no indicators of impairment.</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XpresSpa, Treat and Naples Wax Center</w:t>
      </w:r>
    </w:p>
    <w:p>
      <w:pPr>
        <w:spacing w:after="0" w:line="18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Company recognizes revenue from the sale of products and services when the services are rendered at XpresSpa, Treat,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e-commerce business are recorded at the time goods are shipped.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7">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XpresTest</w:t>
      </w:r>
    </w:p>
    <w:p>
      <w:pPr>
        <w:spacing w:after="0" w:line="181" w:lineRule="exact"/>
        <w:rPr>
          <w:sz w:val="20"/>
          <w:szCs w:val="20"/>
          <w:color w:val="auto"/>
        </w:rPr>
      </w:pPr>
    </w:p>
    <w:p>
      <w:pPr>
        <w:jc w:val="both"/>
        <w:ind w:left="40" w:right="39"/>
        <w:spacing w:after="0" w:line="266" w:lineRule="auto"/>
        <w:rPr>
          <w:sz w:val="20"/>
          <w:szCs w:val="20"/>
          <w:color w:val="auto"/>
        </w:rPr>
      </w:pPr>
      <w:r>
        <w:rPr>
          <w:rFonts w:ascii="Times New Roman" w:cs="Times New Roman" w:eastAsia="Times New Roman" w:hAnsi="Times New Roman"/>
          <w:sz w:val="14"/>
          <w:szCs w:val="14"/>
          <w:color w:val="auto"/>
        </w:rPr>
        <w:t>During the third quarter of 2022, XpresTest, in partnership with Ginkgo BioWorks in continuation of their support to the CDC’s traveler-based SARS-CoV-2 genomic surveillance program was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the Company is entitled to $6,674 for the sample collection (passenger and aircraft wastewater) and $370 for the traveler enrollment initiatives, which represents the amount of consideration that we are entitled. The Company recognizes revenue over time for both sample collection performance obligations, using the input method based on time elapsed to measure progress towards satisfying each of the performance obligations. We recognized the revenue for the traveler enrollment initiative performance obligation in the second quarter of 2023. The Company recognizes revenue ratably (straight line basis) over the term of the contract (one year). The Company recorded $7,521 and $2,617, in revenue for the years ended December 31, 2023 and 2022, respectively, related to sample collection performance obligations because the Company’s efforts towards satisfying each of the performance obligations are expended evenly throughout the period of performance.</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HyperPointe</w:t>
      </w:r>
    </w:p>
    <w:p>
      <w:pPr>
        <w:spacing w:after="0" w:line="18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Company’s HyperPointe business provides broad range of service and support options for HyperPointe’s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 billed in advance are treated as deferred revenue which was $72 and $322 as of December 31, 2023 and 2022, respectively.</w:t>
      </w:r>
    </w:p>
    <w:p>
      <w:pPr>
        <w:spacing w:after="0" w:line="154" w:lineRule="exact"/>
        <w:rPr>
          <w:sz w:val="20"/>
          <w:szCs w:val="20"/>
          <w:color w:val="auto"/>
        </w:rPr>
      </w:pPr>
    </w:p>
    <w:p>
      <w:pPr>
        <w:jc w:val="both"/>
        <w:ind w:left="40" w:right="39"/>
        <w:spacing w:after="0" w:line="272" w:lineRule="auto"/>
        <w:rPr>
          <w:sz w:val="20"/>
          <w:szCs w:val="20"/>
          <w:color w:val="auto"/>
        </w:rPr>
      </w:pPr>
      <w:r>
        <w:rPr>
          <w:rFonts w:ascii="Times New Roman" w:cs="Times New Roman" w:eastAsia="Times New Roman" w:hAnsi="Times New Roman"/>
          <w:sz w:val="15"/>
          <w:szCs w:val="15"/>
          <w:color w:val="auto"/>
        </w:rPr>
        <w:t xml:space="preserve">The Company excludes all sales taxes assessed to our customers from revenue. Sales taxes assessed on revenues are included in </w:t>
      </w:r>
      <w:r>
        <w:rPr>
          <w:rFonts w:ascii="Times New Roman" w:cs="Times New Roman" w:eastAsia="Times New Roman" w:hAnsi="Times New Roman"/>
          <w:sz w:val="15"/>
          <w:szCs w:val="15"/>
          <w:i w:val="1"/>
          <w:iCs w:val="1"/>
          <w:color w:val="auto"/>
        </w:rPr>
        <w:t>Accrued expenses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other current liabilities </w:t>
      </w:r>
      <w:r>
        <w:rPr>
          <w:rFonts w:ascii="Times New Roman" w:cs="Times New Roman" w:eastAsia="Times New Roman" w:hAnsi="Times New Roman"/>
          <w:sz w:val="15"/>
          <w:szCs w:val="15"/>
          <w:color w:val="auto"/>
        </w:rPr>
        <w:t>on the Company’s consolidated balance sheets until remitted to state agencies.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Gift cards, customer rewards and prepaid packages</w:t>
      </w:r>
    </w:p>
    <w:p>
      <w:pPr>
        <w:spacing w:after="0" w:line="18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XWELL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spacing w:after="0" w:line="149"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spacing w:after="0" w:line="152" w:lineRule="exact"/>
        <w:rPr>
          <w:sz w:val="20"/>
          <w:szCs w:val="20"/>
          <w:color w:val="auto"/>
        </w:rPr>
      </w:pPr>
    </w:p>
    <w:p>
      <w:pPr>
        <w:jc w:val="both"/>
        <w:ind w:left="40" w:right="39"/>
        <w:spacing w:after="0" w:line="272" w:lineRule="auto"/>
        <w:rPr>
          <w:sz w:val="20"/>
          <w:szCs w:val="20"/>
          <w:color w:val="auto"/>
        </w:rPr>
      </w:pPr>
      <w:r>
        <w:rPr>
          <w:rFonts w:ascii="Times New Roman" w:cs="Times New Roman" w:eastAsia="Times New Roman" w:hAnsi="Times New Roman"/>
          <w:sz w:val="15"/>
          <w:szCs w:val="15"/>
          <w:color w:val="auto"/>
        </w:rPr>
        <w:t xml:space="preserve">The costs associated with gift cards and reward points are accrued as the rewards are earned by the cardholder and are included in </w:t>
      </w:r>
      <w:r>
        <w:rPr>
          <w:rFonts w:ascii="Times New Roman" w:cs="Times New Roman" w:eastAsia="Times New Roman" w:hAnsi="Times New Roman"/>
          <w:sz w:val="15"/>
          <w:szCs w:val="15"/>
          <w:i w:val="1"/>
          <w:iCs w:val="1"/>
          <w:color w:val="auto"/>
        </w:rPr>
        <w:t>Accrued expenses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and other current liabilities </w:t>
      </w:r>
      <w:r>
        <w:rPr>
          <w:rFonts w:ascii="Times New Roman" w:cs="Times New Roman" w:eastAsia="Times New Roman" w:hAnsi="Times New Roman"/>
          <w:sz w:val="15"/>
          <w:szCs w:val="15"/>
          <w:color w:val="auto"/>
        </w:rPr>
        <w:t>in the consolidated balance sheets until used.</w:t>
      </w:r>
    </w:p>
    <w:p>
      <w:pPr>
        <w:spacing w:after="0" w:line="138"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Naples Wax Center offers prepaid wax packages that are either unlimited for one year or a set number of services. When the packages are purchased, the sales are recorded as deferred revenue. As services related to prepaid packages are used,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8">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revenue is recognized as income. The deferred revenue as of September 12, 2023, when Naples Wax Center was acquired was $811 and for the year ended December 31, 2023 deferred revenue was $778.</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Segment reporting</w:t>
      </w:r>
    </w:p>
    <w:p>
      <w:pPr>
        <w:spacing w:after="0" w:line="18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 xml:space="preserve">ASC 280, </w:t>
      </w:r>
      <w:r>
        <w:rPr>
          <w:rFonts w:ascii="Times New Roman" w:cs="Times New Roman" w:eastAsia="Times New Roman" w:hAnsi="Times New Roman"/>
          <w:sz w:val="15"/>
          <w:szCs w:val="15"/>
          <w:i w:val="1"/>
          <w:iCs w:val="1"/>
          <w:color w:val="auto"/>
        </w:rPr>
        <w:t>Segment Reporting</w:t>
      </w:r>
      <w:r>
        <w:rPr>
          <w:rFonts w:ascii="Times New Roman" w:cs="Times New Roman" w:eastAsia="Times New Roman" w:hAnsi="Times New Roman"/>
          <w:sz w:val="15"/>
          <w:szCs w:val="15"/>
          <w:color w:val="auto"/>
        </w:rPr>
        <w:t>,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is the Chief Executive Officer, who reviews the financial performance and the results of operations of the segments prepared in accordance with U.S. GAAP when making decisions about allocating resources and assessing performance of the Company. The Company currently has four reportable operating segments: XpresSpa. XpresTest, Naples Wax Center and Treat. See Note 15. Segment Information.</w:t>
      </w:r>
    </w:p>
    <w:p>
      <w:pPr>
        <w:spacing w:after="0" w:line="15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There are currently no intersegment revenues. Asset information by operating segment is presented below since the chief operating decision maker reviews this information by segment. The reporting segments follow the same accounting policies used in the preparation of the Company’s audited consolidated financial statements.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Pre-opening costs</w:t>
      </w:r>
    </w:p>
    <w:p>
      <w:pPr>
        <w:spacing w:after="0" w:line="183"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Pre-opening and start-up activity costs, which include rent and occupancy, supplies, advertising, and other direct expenses incurred prior to the opening of a new store, are expensed in the period in which they are incurred.</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Cost of sales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Cost of sales consists of location operating costs. These costs include all costs that are directly attributable to the location’s operations and include:</w:t>
      </w:r>
    </w:p>
    <w:p>
      <w:pPr>
        <w:spacing w:after="0" w:line="179" w:lineRule="exact"/>
        <w:rPr>
          <w:sz w:val="20"/>
          <w:szCs w:val="20"/>
          <w:color w:val="auto"/>
        </w:rPr>
      </w:pPr>
    </w:p>
    <w:p>
      <w:pPr>
        <w:ind w:left="580" w:hanging="260"/>
        <w:spacing w:after="0"/>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payroll and related benefits for the location’s operations and management;</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rent, percentage rent and occupancy costs;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merchandise and testing supplies;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freight, shipping and handling costs;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production costs;</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shortage and valuation adjustments; and</w:t>
      </w:r>
    </w:p>
    <w:p>
      <w:pPr>
        <w:spacing w:after="0" w:line="179" w:lineRule="exact"/>
        <w:rPr>
          <w:rFonts w:ascii="Times New Roman" w:cs="Times New Roman" w:eastAsia="Times New Roman" w:hAnsi="Times New Roman"/>
          <w:sz w:val="15"/>
          <w:szCs w:val="15"/>
          <w:color w:val="auto"/>
        </w:rPr>
      </w:pPr>
    </w:p>
    <w:p>
      <w:pPr>
        <w:ind w:left="580" w:hanging="260"/>
        <w:spacing w:after="0"/>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sourcing operations.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83" w:lineRule="exact"/>
        <w:rPr>
          <w:sz w:val="20"/>
          <w:szCs w:val="20"/>
          <w:color w:val="auto"/>
        </w:rPr>
      </w:pPr>
    </w:p>
    <w:p>
      <w:pPr>
        <w:jc w:val="both"/>
        <w:ind w:left="40" w:right="39"/>
        <w:spacing w:after="0" w:line="273" w:lineRule="auto"/>
        <w:rPr>
          <w:sz w:val="20"/>
          <w:szCs w:val="20"/>
          <w:color w:val="auto"/>
        </w:rPr>
      </w:pPr>
      <w:r>
        <w:rPr>
          <w:rFonts w:ascii="Times New Roman" w:cs="Times New Roman" w:eastAsia="Times New Roman" w:hAnsi="Times New Roman"/>
          <w:sz w:val="14"/>
          <w:szCs w:val="14"/>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9">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in the past. Expected volatility is estimated based on a weighted average historical volatility of the Company. The risk-free rate for the expected term of the option is based on the United States Treasury yield curve as of the date of grant. The Company recognizes forfeitures as they occur. The Company issues new stock to deliver shares under its Equity Plan.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83"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5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56"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2023 and 2022.</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Noncontrolling interests</w:t>
      </w:r>
    </w:p>
    <w:p>
      <w:pPr>
        <w:spacing w:after="0" w:line="183"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 xml:space="preserve">Noncontrolling interests represent the noncontrolling holders’ percentage share of earnings or losses from; i) the subsidiaries, in which the Company holds a majority, but less than 100%, ownership interest, ii) Variable Interest Entities, where the Company is a primary beneficiary (See sub note </w:t>
      </w:r>
      <w:r>
        <w:rPr>
          <w:rFonts w:ascii="Times New Roman" w:cs="Times New Roman" w:eastAsia="Times New Roman" w:hAnsi="Times New Roman"/>
          <w:sz w:val="15"/>
          <w:szCs w:val="15"/>
          <w:i w:val="1"/>
          <w:iCs w:val="1"/>
          <w:color w:val="auto"/>
        </w:rPr>
        <w:t xml:space="preserve">Variable Interest Entities </w:t>
      </w:r>
      <w:r>
        <w:rPr>
          <w:rFonts w:ascii="Times New Roman" w:cs="Times New Roman" w:eastAsia="Times New Roman" w:hAnsi="Times New Roman"/>
          <w:sz w:val="15"/>
          <w:szCs w:val="15"/>
          <w:color w:val="auto"/>
        </w:rPr>
        <w:t>below, and the results of which are included in the Company’s consolidated statements of operations and comprehensive loss.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Net loss attributable to noncontrolling interests represents the proportionate share of the noncontrolling holders’ ownership in certain subsidiaries of XpresSpa and of XpresTest.</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Net income/(loss) per common share</w:t>
      </w:r>
    </w:p>
    <w:p>
      <w:pPr>
        <w:spacing w:after="0" w:line="183"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Basic net income (loss) per share is computed by dividing the net income (loss) attributable to common shareholders for the period by the weighted-average number of shares of Common Stock outstanding during the period. Diluted net income (loss) per share is computed by dividing the net loss attributable to the Company for the period by the weighted-average number of shares of Common Stock plus dilutive potential Common Stock considered outstanding during the period.</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Commitments and contingencies</w:t>
      </w:r>
    </w:p>
    <w:p>
      <w:pPr>
        <w:spacing w:after="0" w:line="18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Certain conditions may exist as of the date the financial statements are issued, which may result in a loss to the Company, but which will only be resolved when one or more future events occur or fail to occur.</w:t>
      </w:r>
    </w:p>
    <w:p>
      <w:pPr>
        <w:spacing w:after="0" w:line="14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The Company assesses such contingent liabilities, and such assessment inherently involves an exercise of judgment. In assessing loss contingencies related to legal proceedings that are pending against the Company or un-asserted claims that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may result in such proceedings, the Company evaluates the perceived merits of any legal proceedings or un-asserted claims as well as the perceived merits of the amount of relief sought or expected to be sought therein.</w:t>
      </w:r>
    </w:p>
    <w:p>
      <w:pPr>
        <w:spacing w:after="0" w:line="141"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 Legal costs expected to be incurred in connection with a loss contingency are expensed as incurred.</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Variable Interest Entities</w:t>
      </w:r>
    </w:p>
    <w:p>
      <w:pPr>
        <w:spacing w:after="0" w:line="183"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4"/>
          <w:szCs w:val="14"/>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As of the year ended December 31, 2023, there were no VIE’s remaining.</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Business Combinations</w:t>
      </w:r>
    </w:p>
    <w:p>
      <w:pPr>
        <w:spacing w:after="0" w:line="183"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 Company uses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5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5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183"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Goodwill represents the cost of a business acquisition in excess of the fair value of the net assets acquired. Goodwill is not amortized and is reviewed for impairment annually, or more frequently if facts and circumstances indicate that it is more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1">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15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During the quarter ended September 30, 2023, the Company identified a triggering event, related to the Goodwill associated with XpresTest’s HyperPointe business, and as a result recognized an impairment charge of $4,024, which is in the Goodwill impairment on the consolidated statements of operations and comprehensive loss.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Advertising Costs</w:t>
      </w:r>
    </w:p>
    <w:p>
      <w:pPr>
        <w:spacing w:after="0" w:line="18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Advertising costs are expensed as incurred. Advertising expenses amounted to approximately $696 and $4,645 for the years ended December 31, 2023 and 2022, respectively.</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183"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 Unadjusted quoted prices in active markets for identical assets or liabilities accessible to the reporting entity at the measurement date.</w:t>
      </w:r>
    </w:p>
    <w:p>
      <w:pPr>
        <w:spacing w:after="0" w:line="179" w:lineRule="exact"/>
        <w:rPr>
          <w:sz w:val="20"/>
          <w:szCs w:val="20"/>
          <w:color w:val="auto"/>
        </w:rPr>
      </w:pPr>
    </w:p>
    <w:p>
      <w:pPr>
        <w:jc w:val="both"/>
        <w:ind w:left="40" w:right="39"/>
        <w:spacing w:after="0" w:line="272" w:lineRule="auto"/>
        <w:rPr>
          <w:sz w:val="20"/>
          <w:szCs w:val="20"/>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 Other than quoted prices included in Level 1 inputs that are observable for the asset or liability, either directly or indirectly, for substantially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full term of the asset or liability.</w:t>
      </w:r>
    </w:p>
    <w:p>
      <w:pPr>
        <w:spacing w:after="0" w:line="136"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 Unobservable inputs for the asset or liability used to measure fair value to the extent that observable inputs are not available, thereby allowing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situations in which there is little, if any, market activity for the asset or liability at measurement date.</w:t>
      </w:r>
    </w:p>
    <w:p>
      <w:pPr>
        <w:spacing w:after="0" w:line="138"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The fair value hierarchy also requires an entity to maximize the use of observable inputs and minimize the use of unobservable inputs when measuring fair value.</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Reclassification</w:t>
      </w:r>
    </w:p>
    <w:p>
      <w:pPr>
        <w:spacing w:after="0" w:line="183"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Certain balances in the 2022 consolidated financial statements have been reclassified to conform to the presentation in the 2023 consolidated financial statements, primarily the separate classification and presentation of general and administrative, salaries and benefits, impairments and loss on disposal of assets. Such reclassifications did not have a material impact on the consolidated financial statements.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pronouncements</w:t>
      </w:r>
    </w:p>
    <w:p>
      <w:pPr>
        <w:spacing w:after="0" w:line="181" w:lineRule="exact"/>
        <w:rPr>
          <w:sz w:val="20"/>
          <w:szCs w:val="20"/>
          <w:color w:val="auto"/>
        </w:rPr>
      </w:pPr>
    </w:p>
    <w:p>
      <w:pPr>
        <w:jc w:val="both"/>
        <w:ind w:left="40" w:right="39"/>
        <w:spacing w:after="0" w:line="272" w:lineRule="auto"/>
        <w:rPr>
          <w:sz w:val="20"/>
          <w:szCs w:val="20"/>
          <w:color w:val="auto"/>
        </w:rPr>
      </w:pPr>
      <w:r>
        <w:rPr>
          <w:rFonts w:ascii="Times New Roman" w:cs="Times New Roman" w:eastAsia="Times New Roman" w:hAnsi="Times New Roman"/>
          <w:sz w:val="15"/>
          <w:szCs w:val="15"/>
          <w:i w:val="1"/>
          <w:iCs w:val="1"/>
          <w:color w:val="auto"/>
        </w:rPr>
        <w:t>Accounting Standards Update No. 2020-06—Debt--Debt with Conversion and Other Options (Subtopic 470-20) and Derivatives and Hedging— Contracts in Entity’s Own Equity (Subtopic 815-40)</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2">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65" w:lineRule="auto"/>
        <w:rPr>
          <w:sz w:val="20"/>
          <w:szCs w:val="20"/>
          <w:color w:val="auto"/>
        </w:rPr>
      </w:pPr>
      <w:r>
        <w:rPr>
          <w:rFonts w:ascii="Times New Roman" w:cs="Times New Roman" w:eastAsia="Times New Roman" w:hAnsi="Times New Roman"/>
          <w:sz w:val="14"/>
          <w:szCs w:val="14"/>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 The new standard is effective for fiscal years beginning after December 15, 2021, and interim periods within those fiscal years. The Company adopted ASU 2020-06 as of the reporting period beginning January 1, 2022. The adoption of this update did not have a material impact on the Company’s consolidated financial statements.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ASU 2021-04: Issuer’s Accounting for Certain Modifications or Exchanges of Freestanding Equity Classified Written Call Options</w:t>
      </w:r>
    </w:p>
    <w:p>
      <w:pPr>
        <w:spacing w:after="0" w:line="181"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4"/>
          <w:szCs w:val="14"/>
          <w:color w:val="auto"/>
        </w:rPr>
        <w:t>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 “original” instrument, the excess is recognized based on the substance of the transaction, as if the issuer has paid cash. The effective date of the standard is for interim and annual reporting periods beginning after December 15, 2021 for all entities. The Company adopted ASU 2021-04 as of the reporting period beginning January 1, 2022. The adoption of this update did not have a material impact on the Company’s consolidated financial statements.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ASU 2021-08, Business Combinations (Topic 805): Accounting for Contract Assets and Contract Liabilities from Contracts with Customers</w:t>
      </w:r>
    </w:p>
    <w:p>
      <w:pPr>
        <w:spacing w:after="0" w:line="18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color w:val="auto"/>
        </w:rPr>
        <w:t>In October 2021, the FASB issued ASU 2021-08, Business Combinations (Topic 805): Accounting for Contract Assets and Contract Liabilities from Contracts with Customers (“ASU 2021-08”). ASU 2021-08 requires contract assets and contract liabilities acquired in a business acquisition to be recognized and measured in accordance with ASC Topic 606, Revenues from Contracts with Customers, which the Company generally expects will result in the recognition and measurement of contract assets and contract liabilities in a manner that is consistent with the acquiree. For the Company, the amendments are effective for fiscal years beginning after December 15, 2022, including interim periods within those fiscal years. The adoption of this guidance did not have a material impact on our consolidated financial statements and related disclosures.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Standards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ASU No. 2023-07, Segment Reporting (Topic 280): Improvements to Reportable Segment Disclosures</w:t>
      </w:r>
    </w:p>
    <w:p>
      <w:pPr>
        <w:spacing w:after="0" w:line="18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In November 2023, the Financial Accounting Standards Board (FASB) issued ASU No. 2023-07, Segment Reporting (Topic 280): Improvements to Reportable Segment Disclosures (ASU 2023-07), which requires an enhanced disclosure of</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3">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is currently evaluating segment expense disclosures related to its annual report for fiscal year 2024.</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ASU No. 2023-09, Income Taxes (Topic 740): Improvements to Income Tax Disclosures</w:t>
      </w:r>
    </w:p>
    <w:p>
      <w:pPr>
        <w:spacing w:after="0" w:line="181"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color w:val="auto"/>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is currently evaluating income tax disclosures related to its annual report for fiscal year 2025.</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Note 3. Net earnings/(loss) per Share of Common Stock</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6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The table below presents the computation of basic and diluted (losses)/net earnings per common share: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68"/>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Basic numerator:</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shareholders</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(27,741)</w:t>
            </w:r>
          </w:p>
        </w:tc>
        <w:tc>
          <w:tcPr>
            <w:tcW w:w="560" w:type="dxa"/>
            <w:vAlign w:val="bottom"/>
            <w:gridSpan w:val="2"/>
          </w:tcPr>
          <w:p>
            <w:pPr>
              <w:jc w:val="right"/>
              <w:ind w:right="248"/>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Basic denominator:</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Basic weighted average shares outstanding</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4,175,220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4,682,767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Basic loss per share</w:t>
            </w:r>
          </w:p>
        </w:tc>
        <w:tc>
          <w:tcPr>
            <w:tcW w:w="2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(6.64)</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62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Net loss per share data presented above excludes from the calculation of diluted net loss, the</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following potentially dilutive securities, having an anti-dilutive impact, in case of net loss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Both vested and unvested options to purchase an equal number of shares of Common Stock</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341,205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241,501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RSUs to issue an equal number of shares of Common Stock</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11,944</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Warrants to purchase an equal number of shares of Common Stock</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58,605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5"/>
                <w:szCs w:val="15"/>
                <w:b w:val="1"/>
                <w:bCs w:val="1"/>
                <w:color w:val="auto"/>
                <w:w w:val="99"/>
              </w:rPr>
              <w:t>Total number of potentially dilutive securities excluded from the calculation of earnings/(loss) per</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353,149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314,169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 attributable to common shareholders</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Reverse Stock Split</w:t>
      </w:r>
    </w:p>
    <w:p>
      <w:pPr>
        <w:spacing w:after="0" w:line="183"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On September 28, 2023, the Company effected a 1-for-20 reverse stock split, whereby every twenty shares of its Common Stock were reduced to one share of its Common Stock and the price per share of its Common Stock was multiplied by 20. All references to shares and per share amounts have been adjusted to reflect the reverse stock split.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4">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4. Cash, Cash Equivalents, and Restricted Cash</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63"/>
        </w:trPr>
        <w:tc>
          <w:tcPr>
            <w:tcW w:w="58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8"/>
              </w:rPr>
              <w:t>December 31, 2022</w:t>
            </w:r>
          </w:p>
        </w:tc>
      </w:tr>
      <w:tr>
        <w:trPr>
          <w:trHeight w:val="167"/>
        </w:trPr>
        <w:tc>
          <w:tcPr>
            <w:tcW w:w="58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Cash denominated in United States dollars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5,726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16,344</w:t>
            </w:r>
          </w:p>
        </w:tc>
      </w:tr>
      <w:tr>
        <w:trPr>
          <w:trHeight w:val="176"/>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Cash denominated in currency other than United States dollars</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2,562</w:t>
            </w:r>
          </w:p>
        </w:tc>
      </w:tr>
      <w:tr>
        <w:trPr>
          <w:trHeight w:val="17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r>
      <w:tr>
        <w:trPr>
          <w:trHeight w:val="17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Credit and debit card receivables</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w:t>
            </w:r>
          </w:p>
        </w:tc>
      </w:tr>
      <w:tr>
        <w:trPr>
          <w:trHeight w:val="167"/>
        </w:trPr>
        <w:tc>
          <w:tcPr>
            <w:tcW w:w="58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9,188</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19,789</w:t>
            </w: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The Company places its cash and temporary cash investments with credit quality institutions. At times, such cash denominated in United States dollars may be in excess of the Federal Deposit Insurance Corporation (“FDIC”) insurance limit. At December 31, 2023 and 2022, deposits in excess of FDIC limits were $4,195 and $16,069. As of December 31, 2023 and 2022, the Company held cash balances in overseas accounts, totaling $2,395 and $2,562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5. Other Current Assets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As of December 31, 2023, and 2022, the Company’s other current assets were comprised of the following:</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8"/>
              </w:rPr>
              <w:t>December 31, 2022</w:t>
            </w:r>
          </w:p>
        </w:tc>
      </w:tr>
      <w:tr>
        <w:trPr>
          <w:trHeight w:val="167"/>
        </w:trPr>
        <w:tc>
          <w:tcPr>
            <w:tcW w:w="58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Prepaid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894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1,074</w:t>
            </w:r>
          </w:p>
        </w:tc>
      </w:tr>
      <w:tr>
        <w:trPr>
          <w:trHeight w:val="17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67"/>
        </w:trPr>
        <w:tc>
          <w:tcPr>
            <w:tcW w:w="58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other current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949</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1,122</w:t>
            </w: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Prepaid expenses are predominantly comprised of financed and prepaid insurance policies which have terms of one year or less.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6. Property and Equipment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Property and equipment are comprised of three categories: leasehold improvements, furniture and fixtures, and other operating equipment as of</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December 31, 2023 and 2022 as follows: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8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Useful Life</w:t>
            </w:r>
          </w:p>
        </w:tc>
        <w:tc>
          <w:tcPr>
            <w:tcW w:w="0" w:type="dxa"/>
            <w:vAlign w:val="bottom"/>
          </w:tcPr>
          <w:p>
            <w:pPr>
              <w:spacing w:after="0"/>
              <w:rPr>
                <w:sz w:val="1"/>
                <w:szCs w:val="1"/>
                <w:color w:val="auto"/>
              </w:rPr>
            </w:pPr>
          </w:p>
        </w:tc>
      </w:tr>
      <w:tr>
        <w:trPr>
          <w:trHeight w:val="167"/>
        </w:trPr>
        <w:tc>
          <w:tcPr>
            <w:tcW w:w="5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Leasehold improvements</w:t>
            </w:r>
          </w:p>
        </w:tc>
        <w:tc>
          <w:tcPr>
            <w:tcW w:w="160" w:type="dxa"/>
            <w:vAlign w:val="bottom"/>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5,848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8,692</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6"/>
              </w:rPr>
              <w:t>Average 5-8 years</w:t>
            </w:r>
          </w:p>
        </w:tc>
        <w:tc>
          <w:tcPr>
            <w:tcW w:w="0" w:type="dxa"/>
            <w:vAlign w:val="bottom"/>
          </w:tcPr>
          <w:p>
            <w:pPr>
              <w:spacing w:after="0"/>
              <w:rPr>
                <w:sz w:val="1"/>
                <w:szCs w:val="1"/>
                <w:color w:val="auto"/>
              </w:rPr>
            </w:pPr>
          </w:p>
        </w:tc>
      </w:tr>
      <w:tr>
        <w:trPr>
          <w:trHeight w:val="176"/>
        </w:trPr>
        <w:tc>
          <w:tcPr>
            <w:tcW w:w="570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3-4 years</w:t>
            </w: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operating equipment</w:t>
            </w: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Maximum 5 years</w:t>
            </w:r>
          </w:p>
        </w:tc>
        <w:tc>
          <w:tcPr>
            <w:tcW w:w="0" w:type="dxa"/>
            <w:vAlign w:val="bottom"/>
          </w:tcPr>
          <w:p>
            <w:pPr>
              <w:spacing w:after="0"/>
              <w:rPr>
                <w:sz w:val="1"/>
                <w:szCs w:val="1"/>
                <w:color w:val="auto"/>
              </w:rPr>
            </w:pPr>
          </w:p>
        </w:tc>
      </w:tr>
      <w:tr>
        <w:trPr>
          <w:trHeight w:val="167"/>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7,349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10,666</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(4,895)</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 property and equipment, net</w:t>
            </w:r>
          </w:p>
        </w:tc>
        <w:tc>
          <w:tcPr>
            <w:tcW w:w="160" w:type="dxa"/>
            <w:vAlign w:val="bottom"/>
            <w:tcBorders>
              <w:bottom w:val="single" w:sz="8" w:color="auto"/>
            </w:tcBorders>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2,454</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3,666</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Depreciation is computed using the straight-line method over the estimated useful lives of the related assets. Leasehold improvements are depreciated over the shorter of remaining lease term or economic useful life (which is on average 5-8 years).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5">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a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5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 Company performed assessments of its property and equipment for impairment for the years ended December 31, 2023 and 2022 and based upon the results of the impairment tests, the Company recorded impairment expenses of approximately $1,159 and $4,559, respectively, which is included in Impairment of long-lived assets on the consolidated statements of operations and comprehensive loss. The impairment expense is primarily related to the underperformance of the Company’s Treat locations at the JFK and Salt Lake City airports.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During the years ended December 31, 2023 and 2022, the Company recorded $825 and $3,663 respectively of depreciation expense.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7. Other Assets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Other assets in the consolidated balance sheets are comprised of the following as of December 31, 2023 and 2022:</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w w:val="98"/>
              </w:rPr>
              <w:t>December 31, 2022</w:t>
            </w:r>
          </w:p>
        </w:tc>
      </w:tr>
      <w:tr>
        <w:trPr>
          <w:trHeight w:val="167"/>
        </w:trPr>
        <w:tc>
          <w:tcPr>
            <w:tcW w:w="58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Equity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104</w:t>
            </w:r>
          </w:p>
        </w:tc>
      </w:tr>
      <w:tr>
        <w:trPr>
          <w:trHeight w:val="176"/>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Lease deposits</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1,973</w:t>
            </w:r>
          </w:p>
        </w:tc>
      </w:tr>
      <w:tr>
        <w:trPr>
          <w:trHeight w:val="17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w:t>
            </w:r>
          </w:p>
        </w:tc>
      </w:tr>
      <w:tr>
        <w:trPr>
          <w:trHeight w:val="167"/>
        </w:trPr>
        <w:tc>
          <w:tcPr>
            <w:tcW w:w="58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1,842</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2,369</w:t>
            </w: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 xml:space="preserve">As of December 31, 2023 and 2022, the equity investment in Route1 had a readily determinable fair value of $50 and $104, respectively. The Company recorded an unrealized loss of $54 in 2023 and an unrealized loss of $618 in 2022, in connection with the remeasurement of the shares of our common stock of Route1 it obtained in the 2018 sale of Group Mobile to Route1. The loss/gain is included in </w:t>
      </w:r>
      <w:r>
        <w:rPr>
          <w:rFonts w:ascii="Times New Roman" w:cs="Times New Roman" w:eastAsia="Times New Roman" w:hAnsi="Times New Roman"/>
          <w:sz w:val="15"/>
          <w:szCs w:val="15"/>
          <w:i w:val="1"/>
          <w:iCs w:val="1"/>
          <w:color w:val="auto"/>
        </w:rPr>
        <w:t>Other non-operating income (expense), net</w:t>
      </w:r>
      <w:r>
        <w:rPr>
          <w:rFonts w:ascii="Times New Roman" w:cs="Times New Roman" w:eastAsia="Times New Roman" w:hAnsi="Times New Roman"/>
          <w:sz w:val="15"/>
          <w:szCs w:val="15"/>
          <w:color w:val="auto"/>
        </w:rPr>
        <w:t xml:space="preserve"> on the consolidated statement of operations and comprehensive income (loss) for the years ended December 31, 2023 and 2022.</w:t>
      </w:r>
    </w:p>
    <w:p>
      <w:pPr>
        <w:spacing w:after="0" w:line="15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Also included in Other assets as of December 31, 2023 and 2022 were $1,556 and $1,973, respectively, of security deposits made pursuant to various lease agreements, which will be returned to the Company at the end of the leases.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8. Intangible Assets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provides information regarding the Company’s intangible assets, which consist of the following:</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left="7"/>
              <w:spacing w:after="0"/>
              <w:rPr>
                <w:sz w:val="20"/>
                <w:szCs w:val="20"/>
                <w:color w:val="auto"/>
              </w:rPr>
            </w:pPr>
            <w:r>
              <w:rPr>
                <w:rFonts w:ascii="Times New Roman" w:cs="Times New Roman" w:eastAsia="Times New Roman" w:hAnsi="Times New Roman"/>
                <w:sz w:val="15"/>
                <w:szCs w:val="15"/>
                <w:b w:val="1"/>
                <w:bCs w:val="1"/>
                <w:color w:val="auto"/>
                <w:w w:val="97"/>
              </w:rPr>
              <w:t>December 31, 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50"/>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7"/>
              <w:spacing w:after="0" w:line="150" w:lineRule="exact"/>
              <w:rPr>
                <w:sz w:val="20"/>
                <w:szCs w:val="20"/>
                <w:color w:val="auto"/>
              </w:rPr>
            </w:pPr>
            <w:r>
              <w:rPr>
                <w:rFonts w:ascii="Times New Roman" w:cs="Times New Roman" w:eastAsia="Times New Roman" w:hAnsi="Times New Roman"/>
                <w:sz w:val="15"/>
                <w:szCs w:val="15"/>
                <w:b w:val="1"/>
                <w:bCs w:val="1"/>
                <w:color w:val="auto"/>
                <w:w w:val="95"/>
              </w:rPr>
              <w:t>Gross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line="150" w:lineRule="exact"/>
              <w:rPr>
                <w:sz w:val="20"/>
                <w:szCs w:val="20"/>
                <w:color w:val="auto"/>
              </w:rPr>
            </w:pPr>
            <w:r>
              <w:rPr>
                <w:rFonts w:ascii="Times New Roman" w:cs="Times New Roman" w:eastAsia="Times New Roman" w:hAnsi="Times New Roman"/>
                <w:sz w:val="15"/>
                <w:szCs w:val="15"/>
                <w:b w:val="1"/>
                <w:bCs w:val="1"/>
                <w:color w:val="auto"/>
                <w:w w:val="97"/>
              </w:rPr>
              <w:t>Net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7"/>
              <w:spacing w:after="0" w:line="150" w:lineRule="exact"/>
              <w:rPr>
                <w:sz w:val="20"/>
                <w:szCs w:val="20"/>
                <w:color w:val="auto"/>
              </w:rPr>
            </w:pPr>
            <w:r>
              <w:rPr>
                <w:rFonts w:ascii="Times New Roman" w:cs="Times New Roman" w:eastAsia="Times New Roman" w:hAnsi="Times New Roman"/>
                <w:sz w:val="15"/>
                <w:szCs w:val="15"/>
                <w:b w:val="1"/>
                <w:bCs w:val="1"/>
                <w:color w:val="auto"/>
                <w:w w:val="95"/>
              </w:rPr>
              <w:t>Gross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7"/>
              <w:spacing w:after="0" w:line="150" w:lineRule="exact"/>
              <w:rPr>
                <w:sz w:val="20"/>
                <w:szCs w:val="20"/>
                <w:color w:val="auto"/>
              </w:rPr>
            </w:pPr>
            <w:r>
              <w:rPr>
                <w:rFonts w:ascii="Times New Roman" w:cs="Times New Roman" w:eastAsia="Times New Roman" w:hAnsi="Times New Roman"/>
                <w:sz w:val="15"/>
                <w:szCs w:val="15"/>
                <w:b w:val="1"/>
                <w:bCs w:val="1"/>
                <w:color w:val="auto"/>
                <w:w w:val="97"/>
              </w:rPr>
              <w:t>Net</w:t>
            </w:r>
          </w:p>
        </w:tc>
      </w:tr>
      <w:tr>
        <w:trPr>
          <w:trHeight w:val="176"/>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4"/>
              </w:rPr>
              <w:t>Carrying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4"/>
              </w:rPr>
              <w:t>Carrying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Carrying</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7"/>
              </w:rPr>
              <w:t>Carrying</w:t>
            </w:r>
          </w:p>
        </w:tc>
      </w:tr>
      <w:tr>
        <w:trPr>
          <w:trHeight w:val="192"/>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Amortization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Amortization</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5"/>
              </w:rPr>
              <w:t>Amount</w:t>
            </w:r>
          </w:p>
        </w:tc>
      </w:tr>
      <w:tr>
        <w:trPr>
          <w:trHeight w:val="167"/>
        </w:trPr>
        <w:tc>
          <w:tcPr>
            <w:tcW w:w="30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Trade names</w:t>
            </w: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200</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194</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302</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(24)</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278</w:t>
            </w:r>
          </w:p>
        </w:tc>
      </w:tr>
      <w:tr>
        <w:trPr>
          <w:trHeight w:val="176"/>
        </w:trPr>
        <w:tc>
          <w:tcPr>
            <w:tcW w:w="300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w:t>
            </w:r>
          </w:p>
        </w:tc>
      </w:tr>
      <w:tr>
        <w:trPr>
          <w:trHeight w:val="17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(2,120)</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2,724</w:t>
            </w:r>
          </w:p>
        </w:tc>
      </w:tr>
      <w:tr>
        <w:trPr>
          <w:trHeight w:val="17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Licenses</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67"/>
        </w:trPr>
        <w:tc>
          <w:tcPr>
            <w:tcW w:w="300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intangible assets</w:t>
            </w:r>
          </w:p>
        </w:tc>
        <w:tc>
          <w:tcPr>
            <w:tcW w:w="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3,840</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(2,487)</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1,353</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6,352</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(2,344)</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4,008</w:t>
            </w:r>
          </w:p>
        </w:tc>
      </w:tr>
      <w:tr>
        <w:trPr>
          <w:trHeight w:val="20"/>
        </w:trPr>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76"/>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F-21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1"/>
        </w:trPr>
        <w:tc>
          <w:tcPr>
            <w:tcW w:w="3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4"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The Company’s trade names and customer relationships relates to the Naples Wax Center, software relates to certain capitalized third-party costs related to a new website and a point-of-sale system, and licenses relates to certain capitalized costs of foreign acquisition.</w:t>
      </w:r>
    </w:p>
    <w:p>
      <w:pPr>
        <w:spacing w:after="0" w:line="14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The fair values of the Company’s long-lived assets were determined using the income approach. The income approach incorporated the use of a discounted cash flow method in which the estimated future cash flows and terminal values for the Company were discounted to a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56"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In the year ended December 31, 2023, the Company recorded an impairment of $2,768 related to trade names, customer relationships and software which is included in Impairment of long-lived assets on the consolidated statement of operations and comprehensive loss for the year ended December 31, 2023. In the year ended December 31, 2022, the Company recorded impairment of $110 related to software. The increase in impairment expense of intangible assets is primarily related to XpresTest’s HyperPointe business and Treat.</w:t>
      </w:r>
    </w:p>
    <w:p>
      <w:pPr>
        <w:spacing w:after="0" w:line="15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The Company’s intangible assets are amortized over their expected useful lives, which is six years for trade names and five and three years for software, whereas the intangibles obtained because of the Naples Wax Center acquisition have an estimated life of 5 to 12 years. During the years ended December 31, 2023, and 2022, the Company recorded amortization expense of $1,240 and $1,766 respectively related to its intangible assets.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Estimated amortization expense for the Company’s intangible assets at December 31, 2023 is as follows:</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63"/>
        </w:trPr>
        <w:tc>
          <w:tcPr>
            <w:tcW w:w="90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Calendar Years ending December 31,</w:t>
            </w:r>
          </w:p>
        </w:tc>
        <w:tc>
          <w:tcPr>
            <w:tcW w:w="300" w:type="dxa"/>
            <w:vAlign w:val="bottom"/>
          </w:tcPr>
          <w:p>
            <w:pPr>
              <w:spacing w:after="0"/>
              <w:rPr>
                <w:sz w:val="24"/>
                <w:szCs w:val="24"/>
                <w:color w:val="auto"/>
              </w:rPr>
            </w:pPr>
          </w:p>
        </w:tc>
        <w:tc>
          <w:tcPr>
            <w:tcW w:w="130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67"/>
        </w:trPr>
        <w:tc>
          <w:tcPr>
            <w:tcW w:w="900" w:type="dxa"/>
            <w:vAlign w:val="bottom"/>
          </w:tcPr>
          <w:p>
            <w:pPr>
              <w:spacing w:after="0"/>
              <w:rPr>
                <w:sz w:val="14"/>
                <w:szCs w:val="14"/>
                <w:color w:val="auto"/>
              </w:rPr>
            </w:pPr>
          </w:p>
        </w:tc>
        <w:tc>
          <w:tcPr>
            <w:tcW w:w="524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2024</w:t>
            </w:r>
          </w:p>
        </w:tc>
        <w:tc>
          <w:tcPr>
            <w:tcW w:w="3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316</w:t>
            </w:r>
          </w:p>
        </w:tc>
      </w:tr>
      <w:tr>
        <w:trPr>
          <w:trHeight w:val="176"/>
        </w:trPr>
        <w:tc>
          <w:tcPr>
            <w:tcW w:w="90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w:t>
            </w:r>
          </w:p>
        </w:tc>
      </w:tr>
      <w:tr>
        <w:trPr>
          <w:trHeight w:val="176"/>
        </w:trPr>
        <w:tc>
          <w:tcPr>
            <w:tcW w:w="90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r>
      <w:tr>
        <w:trPr>
          <w:trHeight w:val="176"/>
        </w:trPr>
        <w:tc>
          <w:tcPr>
            <w:tcW w:w="90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6"/>
        </w:trPr>
        <w:tc>
          <w:tcPr>
            <w:tcW w:w="900" w:type="dxa"/>
            <w:vAlign w:val="bottom"/>
          </w:tcPr>
          <w:p>
            <w:pPr>
              <w:spacing w:after="0"/>
              <w:rPr>
                <w:sz w:val="15"/>
                <w:szCs w:val="15"/>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176"/>
        </w:trPr>
        <w:tc>
          <w:tcPr>
            <w:tcW w:w="900" w:type="dxa"/>
            <w:vAlign w:val="bottom"/>
          </w:tcPr>
          <w:p>
            <w:pPr>
              <w:spacing w:after="0"/>
              <w:rPr>
                <w:sz w:val="15"/>
                <w:szCs w:val="15"/>
                <w:color w:val="auto"/>
              </w:rPr>
            </w:pPr>
          </w:p>
        </w:tc>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w:t>
            </w:r>
          </w:p>
        </w:tc>
      </w:tr>
      <w:tr>
        <w:trPr>
          <w:trHeight w:val="167"/>
        </w:trPr>
        <w:tc>
          <w:tcPr>
            <w:tcW w:w="900" w:type="dxa"/>
            <w:vAlign w:val="bottom"/>
          </w:tcPr>
          <w:p>
            <w:pPr>
              <w:spacing w:after="0"/>
              <w:rPr>
                <w:sz w:val="14"/>
                <w:szCs w:val="14"/>
                <w:color w:val="auto"/>
              </w:rPr>
            </w:pPr>
          </w:p>
        </w:tc>
        <w:tc>
          <w:tcPr>
            <w:tcW w:w="554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bottom w:val="single" w:sz="8" w:color="auto"/>
            </w:tcBorders>
            <w:shd w:val="clear" w:color="auto" w:fill="CCEEFF"/>
          </w:tcPr>
          <w:p>
            <w:pPr>
              <w:jc w:val="right"/>
              <w:ind w:right="14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1,353</w:t>
            </w:r>
          </w:p>
        </w:tc>
      </w:tr>
      <w:tr>
        <w:trPr>
          <w:trHeight w:val="20"/>
        </w:trPr>
        <w:tc>
          <w:tcPr>
            <w:tcW w:w="9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9. Acquisition of Naples Wax, LLC</w:t>
      </w:r>
    </w:p>
    <w:p>
      <w:pPr>
        <w:spacing w:after="0" w:line="18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On September 12, 2023, the Company acquired all of the equity interests in Naples Wax, LLC, d/b/a Naples Wax Centers, a Florida limited liability company (“Naples Wax”), for an aggregate purchase price of $1,624, of which $1,574 was paid in cash at closing. The remaining $50 will be held for six months as a holdback to cover any potential indemnification claims and included in accrued expenses and other current liabilities on the consolidated balance sheet as of December 31, 2023.</w:t>
      </w:r>
    </w:p>
    <w:p>
      <w:pPr>
        <w:spacing w:after="0" w:line="15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Company applies the provisions of Financial Accounting Standards Board (“FASB”) Accounting Standards Codification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6">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56"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Accounting for business combinations requires management to make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Estimates in valuing certain of the intangible assets the Company has acquired include future expected cash flows, and discount rates.</w:t>
      </w:r>
    </w:p>
    <w:p>
      <w:pPr>
        <w:spacing w:after="0" w:line="15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For income tax purposes, this acquisition of 100% of the units is treated as an asset acquisition. As a result of the acquisition of Naples Wax, the company generated tax deductible goodwill of $1.371 million.</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Consideration paid</w:t>
            </w:r>
          </w:p>
        </w:tc>
        <w:tc>
          <w:tcPr>
            <w:tcW w:w="64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of assets acquired and liabilities assumed</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4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Trade name</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fair value of assets acquired and liabilities assumed</w:t>
            </w:r>
          </w:p>
        </w:tc>
        <w:tc>
          <w:tcPr>
            <w:tcW w:w="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4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Goodwill</w:t>
            </w: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Determination of the fair values of the acquired assets and assumed liabilities (and the related determination of estimated lives of depreciable tangible and identifiable intangible assets) requires significant judgment.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7">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The fair value of intangible assets other than Goodwill was determined primarily using income approaches. This included estimated multi-period excess earnings valuation method for Customer relationships and the relief-from-royalty valuation for the tradename.</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sets forth the significant assumptions utilized when valuing the Customer Relationships:</w:t>
            </w:r>
          </w:p>
        </w:tc>
        <w:tc>
          <w:tcPr>
            <w:tcW w:w="1180" w:type="dxa"/>
            <w:vAlign w:val="bottom"/>
          </w:tcPr>
          <w:p>
            <w:pPr>
              <w:spacing w:after="0"/>
              <w:rPr>
                <w:sz w:val="16"/>
                <w:szCs w:val="16"/>
                <w:color w:val="auto"/>
              </w:rPr>
            </w:pPr>
          </w:p>
        </w:tc>
      </w:tr>
      <w:tr>
        <w:trPr>
          <w:trHeight w:val="187"/>
        </w:trPr>
        <w:tc>
          <w:tcPr>
            <w:tcW w:w="9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relationships Attrition Rate</w:t>
            </w:r>
          </w:p>
        </w:tc>
        <w:tc>
          <w:tcPr>
            <w:tcW w:w="11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15.00 %</w:t>
            </w:r>
          </w:p>
        </w:tc>
      </w:tr>
      <w:tr>
        <w:trPr>
          <w:trHeight w:val="176"/>
        </w:trPr>
        <w:tc>
          <w:tcPr>
            <w:tcW w:w="9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Existing Customer Growth</w:t>
            </w:r>
          </w:p>
        </w:tc>
        <w:tc>
          <w:tcPr>
            <w:tcW w:w="11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75.00 %</w:t>
            </w:r>
          </w:p>
        </w:tc>
      </w:tr>
      <w:tr>
        <w:trPr>
          <w:trHeight w:val="176"/>
        </w:trPr>
        <w:tc>
          <w:tcPr>
            <w:tcW w:w="9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Business Development Expense for New Customers</w:t>
            </w:r>
          </w:p>
        </w:tc>
        <w:tc>
          <w:tcPr>
            <w:tcW w:w="11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5.70 %</w:t>
            </w:r>
          </w:p>
        </w:tc>
      </w:tr>
      <w:tr>
        <w:trPr>
          <w:trHeight w:val="176"/>
        </w:trPr>
        <w:tc>
          <w:tcPr>
            <w:tcW w:w="9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relationships Discount Rate</w:t>
            </w:r>
          </w:p>
        </w:tc>
        <w:tc>
          <w:tcPr>
            <w:tcW w:w="11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31.00 %</w:t>
            </w:r>
          </w:p>
        </w:tc>
      </w:tr>
      <w:tr>
        <w:trPr>
          <w:trHeight w:val="176"/>
        </w:trPr>
        <w:tc>
          <w:tcPr>
            <w:tcW w:w="9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Estimated Remaining Economic Life (Years) (approx.)</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 yrs</w:t>
            </w:r>
          </w:p>
        </w:tc>
      </w:tr>
      <w:tr>
        <w:trPr>
          <w:trHeight w:val="352"/>
        </w:trPr>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following table sets forth the significant assumptions utilized when valuing the Tradename:</w:t>
            </w:r>
          </w:p>
        </w:tc>
        <w:tc>
          <w:tcPr>
            <w:tcW w:w="1180" w:type="dxa"/>
            <w:vAlign w:val="bottom"/>
          </w:tcPr>
          <w:p>
            <w:pPr>
              <w:spacing w:after="0"/>
              <w:rPr>
                <w:sz w:val="24"/>
                <w:szCs w:val="24"/>
                <w:color w:val="auto"/>
              </w:rPr>
            </w:pPr>
          </w:p>
        </w:tc>
      </w:tr>
      <w:tr>
        <w:trPr>
          <w:trHeight w:val="187"/>
        </w:trPr>
        <w:tc>
          <w:tcPr>
            <w:tcW w:w="9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of Revenue Attributable to Trade Name</w:t>
            </w:r>
          </w:p>
        </w:tc>
        <w:tc>
          <w:tcPr>
            <w:tcW w:w="11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100.00 %</w:t>
            </w:r>
          </w:p>
        </w:tc>
      </w:tr>
      <w:tr>
        <w:trPr>
          <w:trHeight w:val="176"/>
        </w:trPr>
        <w:tc>
          <w:tcPr>
            <w:tcW w:w="9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Royalty Rate</w:t>
            </w:r>
          </w:p>
        </w:tc>
        <w:tc>
          <w:tcPr>
            <w:tcW w:w="11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2.00 %</w:t>
            </w:r>
          </w:p>
        </w:tc>
      </w:tr>
      <w:tr>
        <w:trPr>
          <w:trHeight w:val="176"/>
        </w:trPr>
        <w:tc>
          <w:tcPr>
            <w:tcW w:w="9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Name Discount Rate</w:t>
            </w:r>
          </w:p>
        </w:tc>
        <w:tc>
          <w:tcPr>
            <w:tcW w:w="11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31.00 %</w:t>
            </w:r>
          </w:p>
        </w:tc>
      </w:tr>
      <w:tr>
        <w:trPr>
          <w:trHeight w:val="176"/>
        </w:trPr>
        <w:tc>
          <w:tcPr>
            <w:tcW w:w="9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Remaining Economic Life (Years)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 yrs</w:t>
            </w:r>
          </w:p>
        </w:tc>
      </w:tr>
    </w:tbl>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10. Leases</w:t>
      </w:r>
    </w:p>
    <w:p>
      <w:pPr>
        <w:spacing w:after="0" w:line="181"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5"/>
          <w:szCs w:val="15"/>
          <w:color w:val="auto"/>
        </w:rPr>
        <w:t>The Company leases spa and clinic locations at various domestic and international airports. Additionally, the Company leases its corporate office in New York City and other off airport locations in various US cities. Certain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spacing w:after="0" w:line="159"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5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The Company reviews all of its existing lease agreements to determine whether there were any modifications to lease agreements and to assess if any agreements should be accounted for pursuant to the guidance in ASC 842.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8">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The following is a summary of the activity in the Company’s current and long-term operating lease liabilities for the year ended December 31, 2023 and 2022:</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67"/>
        </w:trPr>
        <w:tc>
          <w:tcPr>
            <w:tcW w:w="59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67"/>
        </w:trPr>
        <w:tc>
          <w:tcPr>
            <w:tcW w:w="59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6"/>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(4,092)</w:t>
            </w:r>
          </w:p>
        </w:tc>
      </w:tr>
      <w:tr>
        <w:trPr>
          <w:trHeight w:val="17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Leased assets obtained in exchange for new and modified operating lease liabilities</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6,891</w:t>
            </w:r>
          </w:p>
        </w:tc>
      </w:tr>
      <w:tr>
        <w:trPr>
          <w:trHeight w:val="19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Leased assets surrendered in exchange for termination of operating lease liabilities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37"/>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As of December 31, 2023, future minimum operating leases commitments are as follows: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Calendar Years ending December 31,</w:t>
            </w: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56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2024</w:t>
            </w: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588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future lease payments</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13,390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Less: interest expense at incremental borrowing rate</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588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present value of lease liabilities</w:t>
            </w: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11,094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Other assumptions and pertinent information related to the Company’s accounting for operating leases are:</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00" w:type="dxa"/>
            <w:vAlign w:val="bottom"/>
          </w:tcPr>
          <w:p>
            <w:pPr>
              <w:spacing w:after="0"/>
              <w:rPr>
                <w:sz w:val="16"/>
                <w:szCs w:val="16"/>
                <w:color w:val="auto"/>
              </w:rPr>
            </w:pPr>
          </w:p>
        </w:tc>
        <w:tc>
          <w:tcPr>
            <w:tcW w:w="58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5.94 years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Weighted average discount rate used to determine present value of operating lease liability:</w:t>
            </w:r>
          </w:p>
        </w:tc>
        <w:tc>
          <w:tcPr>
            <w:tcW w:w="220" w:type="dxa"/>
            <w:vAlign w:val="bottom"/>
          </w:tcPr>
          <w:p>
            <w:pPr>
              <w:spacing w:after="0"/>
              <w:rPr>
                <w:sz w:val="16"/>
                <w:szCs w:val="16"/>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7.25 %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Cash paid for minimum annual rental obligations for the years ended December 31, 2023 and 2022, were $2,018 and $928 respectively.</w:t>
      </w:r>
    </w:p>
    <w:p>
      <w:pPr>
        <w:spacing w:after="0" w:line="17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Variable lease payments calculated monthly as a percentage of a product and services revenue were $1,326 and $1,392 for the years ended December 31, 2023 and 2022 respectively.</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Rent expense for operating leases for the years ended December 31, 2023 and 2022 were $3,824 and $3,917, respectively.</w:t>
      </w:r>
    </w:p>
    <w:p>
      <w:pPr>
        <w:spacing w:after="0" w:line="179"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 Company performed assessments of its right of use lease assets for impairment for the years ended December 31, 2023 and 2022. Based upon the results of the impairment tests, the Company recorded impairment expenses of approximately $926 and $1,110 which is included in Impairment of operating lease right-of-use assets on the consolidated statement of operations and comprehensive income (loss) for the years ended December 31, 2023 and 2022 respectively.</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11. Long-term Notes and Convertible Notes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Paycheck Protection Program</w:t>
      </w:r>
    </w:p>
    <w:p>
      <w:pPr>
        <w:spacing w:after="0" w:line="18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On May 1, 2020, the Company entered into a U.S. Small Business Administration (“SBA”) Paycheck Protection Program (“the PPP”) promissory note in the principal amount of $5,653 payable to Bank of America, NA (“Bank of America”) evidencing a PPP loan (the “PPP Loan”). The PPP Loan bore interest at a rate of 1% per annum. No payments were due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on the PPP Loan during a six-month deferral period commencing on May 2, 2020. Commencing one month after the expiration of the deferral period and continuing on the same day of each month thereafter until the maturity date of the PPP Loan, the Company was obligated to make monthly payments of principal and interest, each in such equal amount required to fully amortize the principal amount outstanding on the PPP Loan by the maturity date, which was May 2, 2022. The PPP loan balance was $3,584 as of December 31, 2021. The PPP loan was paid off in full on the maturity date of May 2, 2022.</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12. Stockholders’ Equity and Warrants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2023 Reverse Stock Split</w:t>
      </w:r>
    </w:p>
    <w:p>
      <w:pPr>
        <w:spacing w:after="0" w:line="181"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5"/>
          <w:szCs w:val="15"/>
          <w:color w:val="auto"/>
        </w:rPr>
        <w:t>On September 28, 2023, we effected a 1-for-20 reverse stock split (the “Reverse Stock Split”), whereby every twenty shares of our common stock were reduced to one share of our common stock and the price per share of our common stock was multiplied by 20. All references to shares and per share amounts, including shares of common stock underlying stock options, warrants, and applicable exercise prices, have been retroactively adjusted for all periods presented herein to give effect to the Reverse Stock Split as required in accordance with United States of America generally accepted accounting principles.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Share Repurchase Program</w:t>
      </w:r>
    </w:p>
    <w:p>
      <w:pPr>
        <w:spacing w:after="0" w:line="181"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On August 31, 2021, the Company’s board of directors initially authorized a stock repurchase program that permitted the purchase and repurchase of up to 15 million shares of its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The Board share repurchase program expired September 15, 2023.</w:t>
      </w:r>
    </w:p>
    <w:p>
      <w:pPr>
        <w:spacing w:after="0" w:line="157" w:lineRule="exact"/>
        <w:rPr>
          <w:sz w:val="20"/>
          <w:szCs w:val="20"/>
          <w:color w:val="auto"/>
        </w:rPr>
      </w:pPr>
    </w:p>
    <w:p>
      <w:pPr>
        <w:jc w:val="both"/>
        <w:ind w:left="40" w:right="39"/>
        <w:spacing w:after="0" w:line="296" w:lineRule="auto"/>
        <w:rPr>
          <w:sz w:val="20"/>
          <w:szCs w:val="20"/>
          <w:color w:val="auto"/>
        </w:rPr>
      </w:pPr>
      <w:r>
        <w:rPr>
          <w:rFonts w:ascii="Times New Roman" w:cs="Times New Roman" w:eastAsia="Times New Roman" w:hAnsi="Times New Roman"/>
          <w:sz w:val="14"/>
          <w:szCs w:val="14"/>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Exceptions may apply, for example, if the repurchases are less than $1,000 or issued to employees. The U.S. Department of the Treasury (the “Treasury”) has been given authority to provide regulations and other guidance to carry out and prevent the abuse or avoidance of the excise tax.</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Warrants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 represents the activity related to the Company’s warrants during the year ended December 31, 2023:</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Weighted average</w:t>
            </w:r>
          </w:p>
        </w:tc>
        <w:tc>
          <w:tcPr>
            <w:tcW w:w="80" w:type="dxa"/>
            <w:vAlign w:val="bottom"/>
          </w:tcPr>
          <w:p>
            <w:pPr>
              <w:spacing w:after="0"/>
              <w:rPr>
                <w:sz w:val="15"/>
                <w:szCs w:val="15"/>
                <w:color w:val="auto"/>
              </w:rPr>
            </w:pPr>
          </w:p>
        </w:tc>
        <w:tc>
          <w:tcPr>
            <w:tcW w:w="1740" w:type="dxa"/>
            <w:vAlign w:val="bottom"/>
            <w:gridSpan w:val="2"/>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w w:val="95"/>
              </w:rPr>
              <w:t>Exercise</w:t>
            </w:r>
          </w:p>
        </w:tc>
      </w:tr>
      <w:tr>
        <w:trPr>
          <w:trHeight w:val="192"/>
        </w:trPr>
        <w:tc>
          <w:tcPr>
            <w:tcW w:w="9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No. of warrant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6"/>
              </w:rPr>
              <w:t>exercise price</w:t>
            </w:r>
          </w:p>
        </w:tc>
        <w:tc>
          <w:tcPr>
            <w:tcW w:w="80" w:type="dxa"/>
            <w:vAlign w:val="bottom"/>
          </w:tcPr>
          <w:p>
            <w:pPr>
              <w:spacing w:after="0"/>
              <w:rPr>
                <w:sz w:val="16"/>
                <w:szCs w:val="16"/>
                <w:color w:val="auto"/>
              </w:rPr>
            </w:pPr>
          </w:p>
        </w:tc>
        <w:tc>
          <w:tcPr>
            <w:tcW w:w="1740" w:type="dxa"/>
            <w:vAlign w:val="bottom"/>
            <w:gridSpan w:val="2"/>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w w:val="98"/>
              </w:rPr>
              <w:t>price range</w:t>
            </w:r>
          </w:p>
        </w:tc>
      </w:tr>
      <w:tr>
        <w:trPr>
          <w:trHeight w:val="178"/>
        </w:trPr>
        <w:tc>
          <w:tcPr>
            <w:tcW w:w="900" w:type="dxa"/>
            <w:vAlign w:val="bottom"/>
          </w:tcPr>
          <w:p>
            <w:pPr>
              <w:spacing w:after="0"/>
              <w:rPr>
                <w:sz w:val="15"/>
                <w:szCs w:val="15"/>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58,605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34 - 42.5</w:t>
            </w: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Expired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(58,605)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34 - 42.5</w:t>
            </w:r>
          </w:p>
        </w:tc>
        <w:tc>
          <w:tcPr>
            <w:tcW w:w="900" w:type="dxa"/>
            <w:vAlign w:val="bottom"/>
          </w:tcPr>
          <w:p>
            <w:pPr>
              <w:spacing w:after="0"/>
              <w:rPr>
                <w:sz w:val="15"/>
                <w:szCs w:val="15"/>
                <w:color w:val="auto"/>
              </w:rPr>
            </w:pPr>
          </w:p>
        </w:tc>
      </w:tr>
      <w:tr>
        <w:trPr>
          <w:trHeight w:val="167"/>
        </w:trPr>
        <w:tc>
          <w:tcPr>
            <w:tcW w:w="900" w:type="dxa"/>
            <w:vAlign w:val="bottom"/>
          </w:tcPr>
          <w:p>
            <w:pPr>
              <w:spacing w:after="0"/>
              <w:rPr>
                <w:sz w:val="14"/>
                <w:szCs w:val="14"/>
                <w:color w:val="auto"/>
              </w:rPr>
            </w:pPr>
          </w:p>
        </w:tc>
        <w:tc>
          <w:tcPr>
            <w:tcW w:w="328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December 31, 2023</w:t>
            </w:r>
          </w:p>
        </w:tc>
        <w:tc>
          <w:tcPr>
            <w:tcW w:w="11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top w:val="single" w:sz="8" w:color="CCEEFF"/>
              <w:bottom w:val="single" w:sz="8" w:color="CCEEFF"/>
            </w:tcBorders>
            <w:gridSpan w:val="2"/>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CCEEFF"/>
              <w:bottom w:val="single" w:sz="8" w:color="CCEEFF"/>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11"/>
        </w:trPr>
        <w:tc>
          <w:tcPr>
            <w:tcW w:w="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1"/>
        </w:trPr>
        <w:tc>
          <w:tcPr>
            <w:tcW w:w="9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4"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13. Fair Value Measurements</w:t>
      </w:r>
    </w:p>
    <w:p>
      <w:pPr>
        <w:spacing w:after="0" w:line="18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 xml:space="preserve">Level 1: </w:t>
      </w:r>
      <w:r>
        <w:rPr>
          <w:rFonts w:ascii="Times New Roman" w:cs="Times New Roman" w:eastAsia="Times New Roman" w:hAnsi="Times New Roman"/>
          <w:sz w:val="15"/>
          <w:szCs w:val="15"/>
          <w:color w:val="auto"/>
        </w:rPr>
        <w:t>Inputs are quoted prices (unadjusted) for identical assets or liabilities in active markets.</w:t>
      </w:r>
    </w:p>
    <w:p>
      <w:pPr>
        <w:spacing w:after="0" w:line="179" w:lineRule="exact"/>
        <w:rPr>
          <w:sz w:val="20"/>
          <w:szCs w:val="20"/>
          <w:color w:val="auto"/>
        </w:rPr>
      </w:pPr>
    </w:p>
    <w:p>
      <w:pPr>
        <w:jc w:val="both"/>
        <w:ind w:left="40" w:right="39"/>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Level 2: </w:t>
      </w:r>
      <w:r>
        <w:rPr>
          <w:rFonts w:ascii="Times New Roman" w:cs="Times New Roman" w:eastAsia="Times New Roman" w:hAnsi="Times New Roman"/>
          <w:sz w:val="15"/>
          <w:szCs w:val="15"/>
          <w:color w:val="auto"/>
        </w:rPr>
        <w:t>Pricing inputs are other than quoted prices in active markets included in Level 1, which are either directly or indirectly observable as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reported date.</w:t>
      </w:r>
    </w:p>
    <w:p>
      <w:pPr>
        <w:spacing w:after="0" w:line="136"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Level 3: </w:t>
      </w:r>
      <w:r>
        <w:rPr>
          <w:rFonts w:ascii="Times New Roman" w:cs="Times New Roman" w:eastAsia="Times New Roman" w:hAnsi="Times New Roman"/>
          <w:sz w:val="15"/>
          <w:szCs w:val="15"/>
          <w:color w:val="auto"/>
        </w:rPr>
        <w:t>Unobservable inputs, that are supported by little or no market activity and are developed based on the best information available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circumstances. For example, inputs derived through extrapolation or interpolation that cannot be corroborated by observable market data.</w:t>
      </w:r>
    </w:p>
    <w:p>
      <w:pPr>
        <w:spacing w:after="0" w:line="138"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The following table presents the placement in the fair value hierarchy of the Company’s assets and liabilities measured at fair value on a recurring and nonrecurring basis as of December 31, 2023 and 2022.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0">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is included in Impairment of long-lived assets and Impairment of operating lease right-of-use assets on the consolidated statements of operations and comprehensive loss.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5"/>
                <w:szCs w:val="15"/>
                <w:b w:val="1"/>
                <w:bCs w:val="1"/>
                <w:color w:val="auto"/>
              </w:rPr>
              <w:t>Fair value measurement at reporting date using</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47"/>
              <w:spacing w:after="0" w:line="150" w:lineRule="exact"/>
              <w:rPr>
                <w:sz w:val="20"/>
                <w:szCs w:val="20"/>
                <w:color w:val="auto"/>
              </w:rPr>
            </w:pPr>
            <w:r>
              <w:rPr>
                <w:rFonts w:ascii="Times New Roman" w:cs="Times New Roman" w:eastAsia="Times New Roman" w:hAnsi="Times New Roman"/>
                <w:sz w:val="15"/>
                <w:szCs w:val="15"/>
                <w:b w:val="1"/>
                <w:bCs w:val="1"/>
                <w:color w:val="auto"/>
                <w:w w:val="98"/>
              </w:rPr>
              <w:t>Quoted prices 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8"/>
              </w:rPr>
              <w:t>active markets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Significant 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8"/>
              </w:rPr>
              <w:t>Significant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for identical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observable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7"/>
              </w:rPr>
              <w:t>unobservable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9"/>
              </w:rPr>
              <w:t>assets (Level 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inputs (Level 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inputs (Level 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Recurring fair value measurements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securities:</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Route1, Inc.</w:t>
            </w:r>
          </w:p>
        </w:tc>
        <w:tc>
          <w:tcPr>
            <w:tcW w:w="84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8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equity securities</w:t>
            </w:r>
          </w:p>
        </w:tc>
        <w:tc>
          <w:tcPr>
            <w:tcW w:w="6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ind w:left="10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4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recurring fair value measurements</w:t>
            </w:r>
          </w:p>
        </w:tc>
        <w:tc>
          <w:tcPr>
            <w:tcW w:w="68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tcPr>
          <w:p>
            <w:pPr>
              <w:ind w:left="10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Nonrecurring fair value measurements</w:t>
            </w: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Property and equipment</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Intangible assets</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1,353</w:t>
            </w:r>
          </w:p>
        </w:tc>
        <w:tc>
          <w:tcPr>
            <w:tcW w:w="0" w:type="dxa"/>
            <w:vAlign w:val="bottom"/>
          </w:tcPr>
          <w:p>
            <w:pPr>
              <w:spacing w:after="0"/>
              <w:rPr>
                <w:sz w:val="1"/>
                <w:szCs w:val="1"/>
                <w:color w:val="auto"/>
              </w:rPr>
            </w:pPr>
          </w:p>
        </w:tc>
      </w:tr>
      <w:tr>
        <w:trPr>
          <w:trHeight w:val="207"/>
        </w:trPr>
        <w:tc>
          <w:tcPr>
            <w:tcW w:w="324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nonrecurring fair value measurements</w:t>
            </w:r>
          </w:p>
        </w:tc>
        <w:tc>
          <w:tcPr>
            <w:tcW w:w="6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3,807</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tcPr>
          <w:p>
            <w:pPr>
              <w:ind w:left="10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3,807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Recurring fair value measurements</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Equity securities: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Route1, Inc.</w:t>
            </w:r>
          </w:p>
        </w:tc>
        <w:tc>
          <w:tcPr>
            <w:tcW w:w="8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color w:val="auto"/>
              </w:rPr>
              <w:t>Total equity securities</w:t>
            </w:r>
          </w:p>
        </w:tc>
        <w:tc>
          <w:tcPr>
            <w:tcW w:w="6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104</w:t>
            </w:r>
          </w:p>
        </w:tc>
        <w:tc>
          <w:tcPr>
            <w:tcW w:w="1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ind w:left="10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recurring fair value measurements</w:t>
            </w:r>
          </w:p>
        </w:tc>
        <w:tc>
          <w:tcPr>
            <w:tcW w:w="6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104</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shd w:val="clear" w:color="auto" w:fill="CCEEFF"/>
          </w:tcPr>
          <w:p>
            <w:pPr>
              <w:ind w:left="10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104</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Nonrecurring fair value measurements</w:t>
            </w: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Intangible assets</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4,008</w:t>
            </w:r>
          </w:p>
        </w:tc>
        <w:tc>
          <w:tcPr>
            <w:tcW w:w="0" w:type="dxa"/>
            <w:vAlign w:val="bottom"/>
          </w:tcPr>
          <w:p>
            <w:pPr>
              <w:spacing w:after="0"/>
              <w:rPr>
                <w:sz w:val="1"/>
                <w:szCs w:val="1"/>
                <w:color w:val="auto"/>
              </w:rPr>
            </w:pPr>
          </w:p>
        </w:tc>
      </w:tr>
      <w:tr>
        <w:trPr>
          <w:trHeight w:val="167"/>
        </w:trPr>
        <w:tc>
          <w:tcPr>
            <w:tcW w:w="324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nonrecurring fair value measurements</w:t>
            </w:r>
          </w:p>
        </w:tc>
        <w:tc>
          <w:tcPr>
            <w:tcW w:w="6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4,008</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tcPr>
          <w:p>
            <w:pPr>
              <w:ind w:left="10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In addition to the above, the Company’s financial instruments as of December 31, 2023 and 2022 consisted of cash and cash equivalents, receivables and accounts payable. The carrying amounts of all the aforementioned financial instruments approximate fair value because of the short-term maturities of these instruments.</w:t>
      </w:r>
    </w:p>
    <w:p>
      <w:pPr>
        <w:spacing w:after="0" w:line="14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fair values of the Company’s asset groups were determined using the income approach. The income approach incorporated the use of a discounted cash flow method in which the estimated future cash flows and terminal values for the Company were discounted to a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14. Stock-based Compensation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The Company has a stock-based compensation plan available to grant stock options and RSUs to the Company’s directors, employees and consultants.</w:t>
      </w:r>
    </w:p>
    <w:p>
      <w:pPr>
        <w:spacing w:after="0" w:line="19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 xml:space="preserve">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w:t>
      </w:r>
      <w:r>
        <w:rPr>
          <w:rFonts w:ascii="Times New Roman" w:cs="Times New Roman" w:eastAsia="Times New Roman" w:hAnsi="Times New Roman"/>
          <w:sz w:val="15"/>
          <w:szCs w:val="15"/>
          <w:color w:val="212529"/>
        </w:rPr>
        <w:t>the amendment to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12529"/>
        </w:rPr>
        <w:t>Company’s 2020 Equity Incentive Plan to increase the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1">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306" w:lineRule="auto"/>
        <w:rPr>
          <w:sz w:val="20"/>
          <w:szCs w:val="20"/>
          <w:color w:val="auto"/>
        </w:rPr>
      </w:pPr>
      <w:r>
        <w:rPr>
          <w:rFonts w:ascii="Times New Roman" w:cs="Times New Roman" w:eastAsia="Times New Roman" w:hAnsi="Times New Roman"/>
          <w:sz w:val="14"/>
          <w:szCs w:val="14"/>
          <w:color w:val="212529"/>
        </w:rPr>
        <w:t xml:space="preserve">number of shares authorized for issuance under the Plan by 375,000 shares of Common Stock to an aggregate of 625,000 shares. </w:t>
      </w:r>
      <w:r>
        <w:rPr>
          <w:rFonts w:ascii="Times New Roman" w:cs="Times New Roman" w:eastAsia="Times New Roman" w:hAnsi="Times New Roman"/>
          <w:sz w:val="14"/>
          <w:szCs w:val="14"/>
          <w:color w:val="000000"/>
        </w:rPr>
        <w:t>Under the 2020 Equity</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Incentive Plan (the “2020 Plan”), a maximum of 249,899 shares of Common Stock remained available for issuance as of December 31, 2023.</w:t>
      </w:r>
    </w:p>
    <w:p>
      <w:pPr>
        <w:spacing w:after="0" w:line="117"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54"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December 31, 2023.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w:t>
      </w:r>
    </w:p>
    <w:p>
      <w:pPr>
        <w:spacing w:after="0" w:line="156"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4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In September 2020, XpresTest created a stock-based compensation plan available to grant stock options, Restricted Stock Awards (“RSAs”) and RSU’s to XpresTest’s directors, employees and consultants. Under the XpresTest 2020 Equity Incentive Plan (the “XpresTest Plan”), a maximum of 200 shares of XpresTest common stock may be awarded, which would represent 20% of the total number of shares of common stock of XpresTest as of September 30, 2023. Certain named executive officers, consultants, and directors of the Company are eligible to participate in the XpresTest Plan. As of December 31, 2023, there is $96 of unrecognized stock-based compensation related to the XpresTest Plan.</w:t>
      </w:r>
    </w:p>
    <w:p>
      <w:pPr>
        <w:spacing w:after="0" w:line="156"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variables were used as inputs in the model:</w:t>
            </w:r>
          </w:p>
        </w:tc>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7"/>
        </w:trPr>
        <w:tc>
          <w:tcPr>
            <w:tcW w:w="5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price of the Company’s Common Stock on the grant date:</w:t>
            </w:r>
          </w:p>
        </w:tc>
        <w:tc>
          <w:tcPr>
            <w:tcW w:w="186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960" w:type="dxa"/>
            <w:vAlign w:val="bottom"/>
            <w:shd w:val="clear" w:color="auto" w:fill="CCEEFF"/>
          </w:tcPr>
          <w:p>
            <w:pPr>
              <w:jc w:val="right"/>
              <w:ind w:right="527"/>
              <w:spacing w:after="0"/>
              <w:rPr>
                <w:sz w:val="20"/>
                <w:szCs w:val="20"/>
                <w:color w:val="auto"/>
              </w:rPr>
            </w:pPr>
            <w:r>
              <w:rPr>
                <w:rFonts w:ascii="Times New Roman" w:cs="Times New Roman" w:eastAsia="Times New Roman" w:hAnsi="Times New Roman"/>
                <w:sz w:val="15"/>
                <w:szCs w:val="15"/>
                <w:color w:val="auto"/>
                <w:w w:val="97"/>
              </w:rPr>
              <w:t>- 8.20</w:t>
            </w:r>
          </w:p>
        </w:tc>
      </w:tr>
      <w:tr>
        <w:trPr>
          <w:trHeight w:val="176"/>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186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960" w:type="dxa"/>
            <w:vAlign w:val="bottom"/>
          </w:tcPr>
          <w:p>
            <w:pPr>
              <w:jc w:val="right"/>
              <w:ind w:right="527"/>
              <w:spacing w:after="0"/>
              <w:rPr>
                <w:sz w:val="20"/>
                <w:szCs w:val="20"/>
                <w:color w:val="auto"/>
              </w:rPr>
            </w:pPr>
            <w:r>
              <w:rPr>
                <w:rFonts w:ascii="Times New Roman" w:cs="Times New Roman" w:eastAsia="Times New Roman" w:hAnsi="Times New Roman"/>
                <w:sz w:val="15"/>
                <w:szCs w:val="15"/>
                <w:color w:val="auto"/>
                <w:w w:val="97"/>
              </w:rPr>
              <w:t>- 8.20</w:t>
            </w:r>
          </w:p>
        </w:tc>
      </w:tr>
      <w:tr>
        <w:trPr>
          <w:trHeight w:val="17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8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rPr>
              <w:t>119.41 - 121.04 %</w:t>
            </w:r>
          </w:p>
        </w:tc>
      </w:tr>
      <w:tr>
        <w:trPr>
          <w:trHeight w:val="176"/>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1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jc w:val="right"/>
              <w:ind w:right="367"/>
              <w:spacing w:after="0"/>
              <w:rPr>
                <w:sz w:val="20"/>
                <w:szCs w:val="20"/>
                <w:color w:val="auto"/>
              </w:rPr>
            </w:pPr>
            <w:r>
              <w:rPr>
                <w:rFonts w:ascii="Times New Roman" w:cs="Times New Roman" w:eastAsia="Times New Roman" w:hAnsi="Times New Roman"/>
                <w:sz w:val="15"/>
                <w:szCs w:val="15"/>
                <w:color w:val="auto"/>
              </w:rPr>
              <w:t>0 %</w:t>
            </w:r>
          </w:p>
        </w:tc>
      </w:tr>
      <w:tr>
        <w:trPr>
          <w:trHeight w:val="17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Annual average risk-free rate:</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96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color w:val="auto"/>
                <w:w w:val="97"/>
              </w:rPr>
              <w:t>- 4.19 %</w:t>
            </w:r>
          </w:p>
        </w:tc>
      </w:tr>
      <w:tr>
        <w:trPr>
          <w:trHeight w:val="190"/>
        </w:trPr>
        <w:tc>
          <w:tcPr>
            <w:tcW w:w="528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8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96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w w:val="96"/>
              </w:rPr>
              <w:t>- 6.41 years</w:t>
            </w:r>
          </w:p>
        </w:tc>
      </w:tr>
    </w:tbl>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Total stock-based compensation expense for the years ended December 31, 2023 and 2022 was $2,319 and $3,770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2">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4"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tables summarize information about stock options and RSU activity during the year ended December 31, 2023:</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4"/>
              </w:rPr>
              <w:t>RSUs</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Stock options</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0"/>
        </w:trPr>
        <w:tc>
          <w:tcPr>
            <w:tcW w:w="3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7"/>
              <w:spacing w:after="0" w:line="150" w:lineRule="exact"/>
              <w:rPr>
                <w:sz w:val="20"/>
                <w:szCs w:val="20"/>
                <w:color w:val="auto"/>
              </w:rPr>
            </w:pPr>
            <w:r>
              <w:rPr>
                <w:rFonts w:ascii="Times New Roman" w:cs="Times New Roman" w:eastAsia="Times New Roman" w:hAnsi="Times New Roman"/>
                <w:sz w:val="15"/>
                <w:szCs w:val="15"/>
                <w:b w:val="1"/>
                <w:bCs w:val="1"/>
                <w:color w:val="auto"/>
                <w:w w:val="97"/>
              </w:rPr>
              <w:t>Weighted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0" w:lineRule="exact"/>
              <w:rPr>
                <w:sz w:val="20"/>
                <w:szCs w:val="20"/>
                <w:color w:val="auto"/>
              </w:rPr>
            </w:pPr>
            <w:r>
              <w:rPr>
                <w:rFonts w:ascii="Times New Roman" w:cs="Times New Roman" w:eastAsia="Times New Roman" w:hAnsi="Times New Roman"/>
                <w:sz w:val="15"/>
                <w:szCs w:val="15"/>
                <w:b w:val="1"/>
                <w:bCs w:val="1"/>
                <w:color w:val="auto"/>
                <w:w w:val="93"/>
              </w:rPr>
              <w:t>Weighted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6"/>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5"/>
              </w:rPr>
              <w:t>average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average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w w:val="99"/>
              </w:rPr>
              <w:t>Exercise</w:t>
            </w:r>
          </w:p>
        </w:tc>
      </w:tr>
      <w:tr>
        <w:trPr>
          <w:trHeight w:val="176"/>
        </w:trPr>
        <w:tc>
          <w:tcPr>
            <w:tcW w:w="3220" w:type="dxa"/>
            <w:vAlign w:val="bottom"/>
          </w:tcPr>
          <w:p>
            <w:pPr>
              <w:spacing w:after="0"/>
              <w:rPr>
                <w:sz w:val="15"/>
                <w:szCs w:val="15"/>
                <w:color w:val="auto"/>
              </w:rPr>
            </w:pPr>
          </w:p>
        </w:tc>
        <w:tc>
          <w:tcPr>
            <w:tcW w:w="780" w:type="dxa"/>
            <w:vAlign w:val="bottom"/>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No.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6"/>
              </w:rPr>
              <w:t>grant date</w:t>
            </w:r>
          </w:p>
        </w:tc>
        <w:tc>
          <w:tcPr>
            <w:tcW w:w="94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No.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exercise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w w:val="92"/>
              </w:rPr>
              <w:t>price</w:t>
            </w:r>
          </w:p>
        </w:tc>
      </w:tr>
      <w:tr>
        <w:trPr>
          <w:trHeight w:val="192"/>
        </w:trPr>
        <w:tc>
          <w:tcPr>
            <w:tcW w:w="3220" w:type="dxa"/>
            <w:vAlign w:val="bottom"/>
          </w:tcPr>
          <w:p>
            <w:pPr>
              <w:spacing w:after="0"/>
              <w:rPr>
                <w:sz w:val="16"/>
                <w:szCs w:val="16"/>
                <w:color w:val="auto"/>
              </w:rPr>
            </w:pPr>
          </w:p>
        </w:tc>
        <w:tc>
          <w:tcPr>
            <w:tcW w:w="78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RSUs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fair value</w:t>
            </w:r>
          </w:p>
        </w:tc>
        <w:tc>
          <w:tcPr>
            <w:tcW w:w="940" w:type="dxa"/>
            <w:vAlign w:val="bottom"/>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price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w w:val="92"/>
              </w:rPr>
              <w:t>range</w:t>
            </w:r>
          </w:p>
        </w:tc>
      </w:tr>
      <w:tr>
        <w:trPr>
          <w:trHeight w:val="167"/>
        </w:trPr>
        <w:tc>
          <w:tcPr>
            <w:tcW w:w="322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Outstanding as of December 31, 2022</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14,063</w:t>
            </w:r>
          </w:p>
        </w:tc>
        <w:tc>
          <w:tcPr>
            <w:tcW w:w="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13.00</w:t>
            </w:r>
          </w:p>
        </w:tc>
        <w:tc>
          <w:tcPr>
            <w:tcW w:w="2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241,501</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40.00</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13.00 - 49,200</w:t>
            </w:r>
          </w:p>
        </w:tc>
      </w:tr>
      <w:tr>
        <w:trPr>
          <w:trHeight w:val="176"/>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148,069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4.65 - 8.00</w:t>
            </w:r>
          </w:p>
        </w:tc>
      </w:tr>
      <w:tr>
        <w:trPr>
          <w:trHeight w:val="17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Exercised/Vested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(19,063)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(16,699)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8.00 - 32.20</w:t>
            </w:r>
          </w:p>
        </w:tc>
      </w:tr>
      <w:tr>
        <w:trPr>
          <w:trHeight w:val="17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(31,666)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38.69</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8.00 - 38,160</w:t>
            </w:r>
          </w:p>
        </w:tc>
      </w:tr>
      <w:tr>
        <w:trPr>
          <w:trHeight w:val="207"/>
        </w:trPr>
        <w:tc>
          <w:tcPr>
            <w:tcW w:w="322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color w:val="auto"/>
              </w:rPr>
              <w:t>Outstanding as of December 31, 2023</w:t>
            </w:r>
          </w:p>
        </w:tc>
        <w:tc>
          <w:tcPr>
            <w:tcW w:w="7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11,944</w:t>
            </w: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CCEEFF"/>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6.08</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341,205</w:t>
            </w:r>
          </w:p>
        </w:tc>
        <w:tc>
          <w:tcPr>
            <w:tcW w:w="340" w:type="dxa"/>
            <w:vAlign w:val="bottom"/>
            <w:tcBorders>
              <w:bottom w:val="single" w:sz="8" w:color="CCEEFF"/>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26.85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gridSpan w:val="2"/>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4.60 - 49,200</w:t>
            </w:r>
          </w:p>
        </w:tc>
      </w:tr>
      <w:tr>
        <w:trPr>
          <w:trHeight w:val="149"/>
        </w:trPr>
        <w:tc>
          <w:tcPr>
            <w:tcW w:w="3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Exercisable as of December 31, 2023</w:t>
            </w:r>
          </w:p>
        </w:tc>
        <w:tc>
          <w:tcPr>
            <w:tcW w:w="7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244,271</w:t>
            </w:r>
          </w:p>
        </w:tc>
        <w:tc>
          <w:tcPr>
            <w:tcW w:w="34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26.65</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w w:val="97"/>
              </w:rPr>
              <w:t>4.60 - 49,200</w:t>
            </w:r>
          </w:p>
        </w:tc>
      </w:tr>
      <w:tr>
        <w:trPr>
          <w:trHeight w:val="20"/>
        </w:trPr>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following tables summarize information about stock options and RSU activity during the year ended December 31, 2022:</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RSUs</w:t>
            </w: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w w:val="97"/>
              </w:rPr>
              <w:t>Stock options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0"/>
        </w:trPr>
        <w:tc>
          <w:tcPr>
            <w:tcW w:w="3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7"/>
              <w:spacing w:after="0" w:line="150" w:lineRule="exact"/>
              <w:rPr>
                <w:sz w:val="20"/>
                <w:szCs w:val="20"/>
                <w:color w:val="auto"/>
              </w:rPr>
            </w:pPr>
            <w:r>
              <w:rPr>
                <w:rFonts w:ascii="Times New Roman" w:cs="Times New Roman" w:eastAsia="Times New Roman" w:hAnsi="Times New Roman"/>
                <w:sz w:val="15"/>
                <w:szCs w:val="15"/>
                <w:b w:val="1"/>
                <w:bCs w:val="1"/>
                <w:color w:val="auto"/>
                <w:w w:val="97"/>
              </w:rPr>
              <w:t>Weighted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line="150" w:lineRule="exact"/>
              <w:rPr>
                <w:sz w:val="20"/>
                <w:szCs w:val="20"/>
                <w:color w:val="auto"/>
              </w:rPr>
            </w:pPr>
            <w:r>
              <w:rPr>
                <w:rFonts w:ascii="Times New Roman" w:cs="Times New Roman" w:eastAsia="Times New Roman" w:hAnsi="Times New Roman"/>
                <w:sz w:val="15"/>
                <w:szCs w:val="15"/>
                <w:b w:val="1"/>
                <w:bCs w:val="1"/>
                <w:color w:val="auto"/>
                <w:w w:val="97"/>
              </w:rPr>
              <w:t>Weighted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6"/>
        </w:trPr>
        <w:tc>
          <w:tcPr>
            <w:tcW w:w="3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5"/>
              </w:rPr>
              <w:t>average</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average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5"/>
              </w:rPr>
              <w:t>Exercise</w:t>
            </w:r>
          </w:p>
        </w:tc>
      </w:tr>
      <w:tr>
        <w:trPr>
          <w:trHeight w:val="176"/>
        </w:trPr>
        <w:tc>
          <w:tcPr>
            <w:tcW w:w="3240" w:type="dxa"/>
            <w:vAlign w:val="bottom"/>
          </w:tcPr>
          <w:p>
            <w:pPr>
              <w:spacing w:after="0"/>
              <w:rPr>
                <w:sz w:val="15"/>
                <w:szCs w:val="15"/>
                <w:color w:val="auto"/>
              </w:rPr>
            </w:pPr>
          </w:p>
        </w:tc>
        <w:tc>
          <w:tcPr>
            <w:tcW w:w="86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No.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grant date</w:t>
            </w:r>
          </w:p>
        </w:tc>
        <w:tc>
          <w:tcPr>
            <w:tcW w:w="960" w:type="dxa"/>
            <w:vAlign w:val="bottom"/>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No. of</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exercise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8"/>
              </w:rPr>
              <w:t>price</w:t>
            </w:r>
          </w:p>
        </w:tc>
      </w:tr>
      <w:tr>
        <w:trPr>
          <w:trHeight w:val="192"/>
        </w:trPr>
        <w:tc>
          <w:tcPr>
            <w:tcW w:w="3240" w:type="dxa"/>
            <w:vAlign w:val="bottom"/>
          </w:tcPr>
          <w:p>
            <w:pPr>
              <w:spacing w:after="0"/>
              <w:rPr>
                <w:sz w:val="16"/>
                <w:szCs w:val="16"/>
                <w:color w:val="auto"/>
              </w:rPr>
            </w:pPr>
          </w:p>
        </w:tc>
        <w:tc>
          <w:tcPr>
            <w:tcW w:w="86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RSUs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fair value</w:t>
            </w:r>
          </w:p>
        </w:tc>
        <w:tc>
          <w:tcPr>
            <w:tcW w:w="96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price</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8"/>
              </w:rPr>
              <w:t>range</w:t>
            </w:r>
          </w:p>
        </w:tc>
      </w:tr>
      <w:tr>
        <w:trPr>
          <w:trHeight w:val="167"/>
        </w:trPr>
        <w:tc>
          <w:tcPr>
            <w:tcW w:w="32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Outstanding as of December 31, 2021</w:t>
            </w:r>
          </w:p>
        </w:tc>
        <w:tc>
          <w:tcPr>
            <w:tcW w:w="8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30,000</w:t>
            </w: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32.60</w:t>
            </w:r>
          </w:p>
        </w:tc>
        <w:tc>
          <w:tcPr>
            <w:tcW w:w="2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141,344</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51.40</w:t>
            </w: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95"/>
              </w:rPr>
              <w:t>23.80 - 49,200</w:t>
            </w:r>
          </w:p>
        </w:tc>
      </w:tr>
      <w:tr>
        <w:trPr>
          <w:trHeight w:val="176"/>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26,563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117,517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13.00 - 32.80</w:t>
            </w:r>
          </w:p>
        </w:tc>
      </w:tr>
      <w:tr>
        <w:trPr>
          <w:trHeight w:val="17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Exercised/Vested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29.20</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28.60 - 76.40</w:t>
            </w:r>
          </w:p>
        </w:tc>
      </w:tr>
      <w:tr>
        <w:trPr>
          <w:trHeight w:val="17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28.80 - 44,640</w:t>
            </w:r>
          </w:p>
        </w:tc>
      </w:tr>
      <w:tr>
        <w:trPr>
          <w:trHeight w:val="207"/>
        </w:trPr>
        <w:tc>
          <w:tcPr>
            <w:tcW w:w="32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color w:val="auto"/>
              </w:rPr>
              <w:t>Outstanding as of December 31, 2022</w:t>
            </w:r>
          </w:p>
        </w:tc>
        <w:tc>
          <w:tcPr>
            <w:tcW w:w="8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14,063</w:t>
            </w:r>
          </w:p>
        </w:tc>
        <w:tc>
          <w:tcPr>
            <w:tcW w:w="300" w:type="dxa"/>
            <w:vAlign w:val="bottom"/>
            <w:tcBorders>
              <w:bottom w:val="single" w:sz="8" w:color="CCEEFF"/>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13.00</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241,501</w:t>
            </w:r>
          </w:p>
        </w:tc>
        <w:tc>
          <w:tcPr>
            <w:tcW w:w="300" w:type="dxa"/>
            <w:vAlign w:val="bottom"/>
            <w:tcBorders>
              <w:bottom w:val="single" w:sz="8" w:color="CCEEFF"/>
            </w:tcBorders>
            <w:gridSpan w:val="2"/>
          </w:tcPr>
          <w:p>
            <w:pPr>
              <w:jc w:val="right"/>
              <w:ind w:right="8"/>
              <w:spacing w:after="0" w:line="167"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40.00</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gridSpan w:val="2"/>
          </w:tcPr>
          <w:p>
            <w:pPr>
              <w:jc w:val="right"/>
              <w:ind w:right="6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5"/>
              </w:rPr>
              <w:t>13.00 - 49,200</w:t>
            </w:r>
          </w:p>
        </w:tc>
      </w:tr>
      <w:tr>
        <w:trPr>
          <w:trHeight w:val="149"/>
        </w:trPr>
        <w:tc>
          <w:tcPr>
            <w:tcW w:w="3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Exercisable as of December 31, 2022</w:t>
            </w:r>
          </w:p>
        </w:tc>
        <w:tc>
          <w:tcPr>
            <w:tcW w:w="8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103,063</w:t>
            </w:r>
          </w:p>
        </w:tc>
        <w:tc>
          <w:tcPr>
            <w:tcW w:w="300" w:type="dxa"/>
            <w:vAlign w:val="bottom"/>
            <w:tcBorders>
              <w:bottom w:val="single" w:sz="8" w:color="CCEEFF"/>
            </w:tcBorders>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51.20</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w w:val="95"/>
              </w:rPr>
              <w:t>23.80 - 49,200</w:t>
            </w:r>
          </w:p>
        </w:tc>
      </w:tr>
      <w:tr>
        <w:trPr>
          <w:trHeight w:val="20"/>
        </w:trPr>
        <w:tc>
          <w:tcPr>
            <w:tcW w:w="3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right="759"/>
        <w:spacing w:after="0" w:line="269" w:lineRule="auto"/>
        <w:rPr>
          <w:sz w:val="20"/>
          <w:szCs w:val="20"/>
          <w:color w:val="auto"/>
        </w:rPr>
      </w:pPr>
      <w:r>
        <w:rPr>
          <w:rFonts w:ascii="Times New Roman" w:cs="Times New Roman" w:eastAsia="Times New Roman" w:hAnsi="Times New Roman"/>
          <w:sz w:val="15"/>
          <w:szCs w:val="15"/>
          <w:color w:val="auto"/>
        </w:rPr>
        <w:t>The weighted average remaining contractual term for options outstanding as of December 31, 2023 and 2022 was 7.71 years and 7.83 years, respectively.</w:t>
      </w:r>
    </w:p>
    <w:p>
      <w:pPr>
        <w:spacing w:after="0" w:line="141" w:lineRule="exact"/>
        <w:rPr>
          <w:sz w:val="20"/>
          <w:szCs w:val="20"/>
          <w:color w:val="auto"/>
        </w:rPr>
      </w:pPr>
    </w:p>
    <w:p>
      <w:pPr>
        <w:ind w:left="40" w:right="159"/>
        <w:spacing w:after="0" w:line="269" w:lineRule="auto"/>
        <w:rPr>
          <w:sz w:val="20"/>
          <w:szCs w:val="20"/>
          <w:color w:val="auto"/>
        </w:rPr>
      </w:pPr>
      <w:r>
        <w:rPr>
          <w:rFonts w:ascii="Times New Roman" w:cs="Times New Roman" w:eastAsia="Times New Roman" w:hAnsi="Times New Roman"/>
          <w:sz w:val="15"/>
          <w:szCs w:val="15"/>
          <w:color w:val="auto"/>
        </w:rPr>
        <w:t>As of December 31, 2023, Aggregate Intrinsic Value of Options Outstanding and Vested was $0. As of December 31, 2022, Aggregate Intrinsic Value of Options Outstanding and Vested was $0.</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Unrecognized stock-based payment cost related to non-vested stock options as of December 31, 2023 and 2022 were $1,246 and $2,506, respectively.</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Unrecognized stock-based payment cost related to non-vested RSUs as of December 31, 2023 and 2022 were $73 and $183,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3">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15. Segment Information</w:t>
      </w:r>
    </w:p>
    <w:p>
      <w:pPr>
        <w:spacing w:after="0" w:line="181" w:lineRule="exact"/>
        <w:rPr>
          <w:sz w:val="20"/>
          <w:szCs w:val="20"/>
          <w:color w:val="auto"/>
        </w:rPr>
      </w:pPr>
    </w:p>
    <w:p>
      <w:pPr>
        <w:jc w:val="both"/>
        <w:ind w:left="40" w:right="39"/>
        <w:spacing w:after="0" w:line="247" w:lineRule="auto"/>
        <w:rPr>
          <w:sz w:val="20"/>
          <w:szCs w:val="20"/>
          <w:color w:val="auto"/>
        </w:rPr>
      </w:pPr>
      <w:r>
        <w:rPr>
          <w:rFonts w:ascii="Times New Roman" w:cs="Times New Roman" w:eastAsia="Times New Roman" w:hAnsi="Times New Roman"/>
          <w:sz w:val="15"/>
          <w:szCs w:val="15"/>
          <w:color w:val="auto"/>
        </w:rPr>
        <w:t>As a result of the Company’s transition to a pure-play wellness services company, the Company currently has four reportable operating segments: XpresSpa, XpresTest, Naples Wax Center, and Treat. The Company analyzes the results of the Company’s business through the four reportable segments. The XpresSpa segment provides travelers premium spa services, including massage, nail and skin care, as well as spa and travel products. The XpresTest segment provided diagnostic COVID-19 tests at XpresCheck Wellness Centers in airports, to airport employees and to the traveling public but has transitioned to the CDC’s bio-surveillance program. XpresTest’s HyperPointe business provides a broad range of service and support options for its customers, including technical support services and advanced services. The Treat segment is a wellness brand that provides access to wellness services for travelers at on-site centers. The Naples Wax Center segment operates three high-performing locations with core products and service offerings from face and body waxing to a range of skincare and cosmetic products. The Treat segment is a wellness brand that provides access to wellness services for travelers at on-site centers.</w:t>
      </w:r>
    </w:p>
    <w:p>
      <w:pPr>
        <w:spacing w:after="0" w:line="160"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pacing w:after="0" w:line="149"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The Company currently operates in two geographical regions: United States and all other countries, which include Netherlands, Turkey and United Arab Emirates. The following table represents the geographical revenue, and total long-lived asset information as of and for the years ended December 31, 2023 and 2022. There were no concentrations of geographical revenue and long-lived assets related to any single foreign country that were material to the Company’s consolidated financial statements. Long-lived assets include property and equipment, restricted cash, equity investments, security deposits, right of use lease assets and goodwill.</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8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For the years ended</w:t>
            </w:r>
          </w:p>
        </w:tc>
      </w:tr>
      <w:tr>
        <w:trPr>
          <w:trHeight w:val="192"/>
        </w:trPr>
        <w:tc>
          <w:tcPr>
            <w:tcW w:w="28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67"/>
        </w:trPr>
        <w:tc>
          <w:tcPr>
            <w:tcW w:w="2840" w:type="dxa"/>
            <w:vAlign w:val="bottom"/>
            <w:tcBorders>
              <w:bottom w:val="single" w:sz="8" w:color="CCEEFF"/>
            </w:tcBorders>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67"/>
        </w:trPr>
        <w:tc>
          <w:tcPr>
            <w:tcW w:w="28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Revenue</w:t>
            </w:r>
          </w:p>
        </w:tc>
        <w:tc>
          <w:tcPr>
            <w:tcW w:w="4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6"/>
        </w:trPr>
        <w:tc>
          <w:tcPr>
            <w:tcW w:w="2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United States</w:t>
            </w:r>
          </w:p>
        </w:tc>
        <w:tc>
          <w:tcPr>
            <w:tcW w:w="44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24,944</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52,250</w:t>
            </w:r>
          </w:p>
        </w:tc>
      </w:tr>
      <w:tr>
        <w:trPr>
          <w:trHeight w:val="176"/>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All other countries</w:t>
            </w:r>
          </w:p>
        </w:tc>
        <w:tc>
          <w:tcPr>
            <w:tcW w:w="4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5,165</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3,689</w:t>
            </w:r>
          </w:p>
        </w:tc>
      </w:tr>
      <w:tr>
        <w:trPr>
          <w:trHeight w:val="207"/>
        </w:trPr>
        <w:tc>
          <w:tcPr>
            <w:tcW w:w="28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revenue</w:t>
            </w:r>
          </w:p>
        </w:tc>
        <w:tc>
          <w:tcPr>
            <w:tcW w:w="4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30,109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55,939</w:t>
            </w:r>
          </w:p>
        </w:tc>
      </w:tr>
      <w:tr>
        <w:trPr>
          <w:trHeight w:val="149"/>
        </w:trPr>
        <w:tc>
          <w:tcPr>
            <w:tcW w:w="2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Long-lived assets</w:t>
            </w:r>
          </w:p>
        </w:tc>
        <w:tc>
          <w:tcPr>
            <w:tcW w:w="4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76"/>
        </w:trPr>
        <w:tc>
          <w:tcPr>
            <w:tcW w:w="28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United States</w:t>
            </w:r>
          </w:p>
        </w:tc>
        <w:tc>
          <w:tcPr>
            <w:tcW w:w="44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8,169</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15,084</w:t>
            </w:r>
          </w:p>
        </w:tc>
      </w:tr>
      <w:tr>
        <w:trPr>
          <w:trHeight w:val="176"/>
        </w:trPr>
        <w:tc>
          <w:tcPr>
            <w:tcW w:w="2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All other countries</w:t>
            </w:r>
          </w:p>
        </w:tc>
        <w:tc>
          <w:tcPr>
            <w:tcW w:w="4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2,669</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3,710</w:t>
            </w:r>
          </w:p>
        </w:tc>
      </w:tr>
      <w:tr>
        <w:trPr>
          <w:trHeight w:val="167"/>
        </w:trPr>
        <w:tc>
          <w:tcPr>
            <w:tcW w:w="284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long-lived assets</w:t>
            </w:r>
          </w:p>
        </w:tc>
        <w:tc>
          <w:tcPr>
            <w:tcW w:w="4220" w:type="dxa"/>
            <w:vAlign w:val="bottom"/>
          </w:tcPr>
          <w:p>
            <w:pPr>
              <w:spacing w:after="0"/>
              <w:rPr>
                <w:sz w:val="14"/>
                <w:szCs w:val="14"/>
                <w:color w:val="auto"/>
              </w:rPr>
            </w:pPr>
          </w:p>
        </w:tc>
        <w:tc>
          <w:tcPr>
            <w:tcW w:w="18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10,838</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18,794</w:t>
            </w:r>
          </w:p>
        </w:tc>
      </w:tr>
      <w:tr>
        <w:trPr>
          <w:trHeight w:val="20"/>
        </w:trPr>
        <w:tc>
          <w:tcPr>
            <w:tcW w:w="2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52"/>
        </w:trPr>
        <w:tc>
          <w:tcPr>
            <w:tcW w:w="2840" w:type="dxa"/>
            <w:vAlign w:val="bottom"/>
          </w:tcPr>
          <w:p>
            <w:pPr>
              <w:spacing w:after="0"/>
              <w:rPr>
                <w:sz w:val="24"/>
                <w:szCs w:val="24"/>
                <w:color w:val="auto"/>
              </w:rPr>
            </w:pPr>
          </w:p>
        </w:tc>
        <w:tc>
          <w:tcPr>
            <w:tcW w:w="4400" w:type="dxa"/>
            <w:vAlign w:val="bottom"/>
            <w:gridSpan w:val="2"/>
          </w:tcPr>
          <w:p>
            <w:pPr>
              <w:jc w:val="right"/>
              <w:ind w:right="2567"/>
              <w:spacing w:after="0"/>
              <w:rPr>
                <w:sz w:val="20"/>
                <w:szCs w:val="20"/>
                <w:color w:val="auto"/>
              </w:rPr>
            </w:pPr>
            <w:r>
              <w:rPr>
                <w:rFonts w:ascii="Times New Roman" w:cs="Times New Roman" w:eastAsia="Times New Roman" w:hAnsi="Times New Roman"/>
                <w:sz w:val="15"/>
                <w:szCs w:val="15"/>
                <w:color w:val="auto"/>
              </w:rPr>
              <w:t>F-31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1"/>
        </w:trPr>
        <w:tc>
          <w:tcPr>
            <w:tcW w:w="28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4"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ind w:left="40" w:right="59"/>
        <w:spacing w:after="0" w:line="269" w:lineRule="auto"/>
        <w:rPr>
          <w:sz w:val="20"/>
          <w:szCs w:val="20"/>
          <w:color w:val="auto"/>
        </w:rPr>
      </w:pPr>
      <w:r>
        <w:rPr>
          <w:rFonts w:ascii="Times New Roman" w:cs="Times New Roman" w:eastAsia="Times New Roman" w:hAnsi="Times New Roman"/>
          <w:sz w:val="15"/>
          <w:szCs w:val="15"/>
          <w:color w:val="auto"/>
        </w:rPr>
        <w:t>The Company’s continuing operating segments are defined as components of an enterprise about which separate financial information is available that is regularly evaluated by the enterprise’s CODM in deciding how to allocate resources and in assessing performance.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For the years ended</w:t>
            </w:r>
          </w:p>
        </w:tc>
        <w:tc>
          <w:tcPr>
            <w:tcW w:w="820" w:type="dxa"/>
            <w:vAlign w:val="bottom"/>
          </w:tcPr>
          <w:p>
            <w:pPr>
              <w:spacing w:after="0"/>
              <w:rPr>
                <w:sz w:val="10"/>
                <w:szCs w:val="10"/>
                <w:color w:val="auto"/>
              </w:rPr>
            </w:pPr>
          </w:p>
        </w:tc>
      </w:tr>
      <w:tr>
        <w:trPr>
          <w:trHeight w:val="125"/>
        </w:trPr>
        <w:tc>
          <w:tcPr>
            <w:tcW w:w="36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20" w:type="dxa"/>
            <w:vAlign w:val="bottom"/>
            <w:tcBorders>
              <w:bottom w:val="single" w:sz="8" w:color="auto"/>
            </w:tcBorders>
          </w:tcPr>
          <w:p>
            <w:pPr>
              <w:spacing w:after="0"/>
              <w:rPr>
                <w:sz w:val="10"/>
                <w:szCs w:val="10"/>
                <w:color w:val="auto"/>
              </w:rPr>
            </w:pPr>
          </w:p>
        </w:tc>
      </w:tr>
      <w:tr>
        <w:trPr>
          <w:trHeight w:val="101"/>
        </w:trPr>
        <w:tc>
          <w:tcPr>
            <w:tcW w:w="3620" w:type="dxa"/>
            <w:vAlign w:val="bottom"/>
            <w:tcBorders>
              <w:bottom w:val="single" w:sz="8" w:color="CCEEFF"/>
            </w:tcBorders>
          </w:tcPr>
          <w:p>
            <w:pPr>
              <w:spacing w:after="0"/>
              <w:rPr>
                <w:sz w:val="8"/>
                <w:szCs w:val="8"/>
                <w:color w:val="auto"/>
              </w:rPr>
            </w:pPr>
          </w:p>
        </w:tc>
        <w:tc>
          <w:tcPr>
            <w:tcW w:w="272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jc w:val="right"/>
              <w:ind w:right="42"/>
              <w:spacing w:after="0" w:line="101" w:lineRule="exact"/>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489"/>
              <w:spacing w:after="0" w:line="101"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01"/>
        </w:trPr>
        <w:tc>
          <w:tcPr>
            <w:tcW w:w="36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7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10"/>
        </w:trPr>
        <w:tc>
          <w:tcPr>
            <w:tcW w:w="36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XpresSpa</w:t>
            </w:r>
          </w:p>
        </w:tc>
        <w:tc>
          <w:tcPr>
            <w:tcW w:w="3460" w:type="dxa"/>
            <w:vAlign w:val="bottom"/>
            <w:gridSpan w:val="2"/>
          </w:tcPr>
          <w:p>
            <w:pPr>
              <w:jc w:val="right"/>
              <w:ind w:right="662"/>
              <w:spacing w:after="0" w:line="110"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19,067</w:t>
            </w:r>
          </w:p>
        </w:tc>
        <w:tc>
          <w:tcPr>
            <w:tcW w:w="660" w:type="dxa"/>
            <w:vAlign w:val="bottom"/>
            <w:gridSpan w:val="2"/>
          </w:tcPr>
          <w:p>
            <w:pPr>
              <w:jc w:val="right"/>
              <w:ind w:right="394"/>
              <w:spacing w:after="0" w:line="110"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13,680</w:t>
            </w:r>
          </w:p>
        </w:tc>
      </w:tr>
      <w:tr>
        <w:trPr>
          <w:trHeight w:val="110"/>
        </w:trPr>
        <w:tc>
          <w:tcPr>
            <w:tcW w:w="36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XpresTest</w:t>
            </w:r>
          </w:p>
        </w:tc>
        <w:tc>
          <w:tcPr>
            <w:tcW w:w="27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9,912</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40,867</w:t>
            </w:r>
          </w:p>
        </w:tc>
      </w:tr>
      <w:tr>
        <w:trPr>
          <w:trHeight w:val="110"/>
        </w:trPr>
        <w:tc>
          <w:tcPr>
            <w:tcW w:w="36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Naples Wax</w:t>
            </w:r>
          </w:p>
        </w:tc>
        <w:tc>
          <w:tcPr>
            <w:tcW w:w="2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686</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r>
      <w:tr>
        <w:trPr>
          <w:trHeight w:val="110"/>
        </w:trPr>
        <w:tc>
          <w:tcPr>
            <w:tcW w:w="36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Treat</w:t>
            </w:r>
          </w:p>
        </w:tc>
        <w:tc>
          <w:tcPr>
            <w:tcW w:w="27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444</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1,392</w:t>
            </w:r>
          </w:p>
        </w:tc>
      </w:tr>
      <w:tr>
        <w:trPr>
          <w:trHeight w:val="110"/>
        </w:trPr>
        <w:tc>
          <w:tcPr>
            <w:tcW w:w="3620" w:type="dxa"/>
            <w:vAlign w:val="bottom"/>
            <w:tcBorders>
              <w:bottom w:val="single" w:sz="8" w:color="CCEEFF"/>
            </w:tcBorders>
          </w:tcPr>
          <w:p>
            <w:pPr>
              <w:ind w:left="80"/>
              <w:spacing w:after="0" w:line="110" w:lineRule="exact"/>
              <w:rPr>
                <w:sz w:val="20"/>
                <w:szCs w:val="20"/>
                <w:color w:val="auto"/>
              </w:rPr>
            </w:pPr>
            <w:r>
              <w:rPr>
                <w:rFonts w:ascii="Times New Roman" w:cs="Times New Roman" w:eastAsia="Times New Roman" w:hAnsi="Times New Roman"/>
                <w:sz w:val="10"/>
                <w:szCs w:val="10"/>
                <w:color w:val="auto"/>
              </w:rPr>
              <w:t>Corporate and other</w:t>
            </w:r>
          </w:p>
        </w:tc>
        <w:tc>
          <w:tcPr>
            <w:tcW w:w="27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r>
      <w:tr>
        <w:trPr>
          <w:trHeight w:val="101"/>
        </w:trPr>
        <w:tc>
          <w:tcPr>
            <w:tcW w:w="362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revenue</w:t>
            </w:r>
          </w:p>
        </w:tc>
        <w:tc>
          <w:tcPr>
            <w:tcW w:w="272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30,109</w:t>
            </w:r>
          </w:p>
        </w:tc>
        <w:tc>
          <w:tcPr>
            <w:tcW w:w="2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55,939</w:t>
            </w:r>
          </w:p>
        </w:tc>
      </w:tr>
      <w:tr>
        <w:trPr>
          <w:trHeight w:val="20"/>
        </w:trPr>
        <w:tc>
          <w:tcPr>
            <w:tcW w:w="3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For the years ended</w:t>
            </w:r>
          </w:p>
        </w:tc>
        <w:tc>
          <w:tcPr>
            <w:tcW w:w="820" w:type="dxa"/>
            <w:vAlign w:val="bottom"/>
          </w:tcPr>
          <w:p>
            <w:pPr>
              <w:spacing w:after="0"/>
              <w:rPr>
                <w:sz w:val="10"/>
                <w:szCs w:val="10"/>
                <w:color w:val="auto"/>
              </w:rPr>
            </w:pPr>
          </w:p>
        </w:tc>
      </w:tr>
      <w:tr>
        <w:trPr>
          <w:trHeight w:val="125"/>
        </w:trPr>
        <w:tc>
          <w:tcPr>
            <w:tcW w:w="36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20" w:type="dxa"/>
            <w:vAlign w:val="bottom"/>
            <w:tcBorders>
              <w:bottom w:val="single" w:sz="8" w:color="auto"/>
            </w:tcBorders>
          </w:tcPr>
          <w:p>
            <w:pPr>
              <w:spacing w:after="0"/>
              <w:rPr>
                <w:sz w:val="10"/>
                <w:szCs w:val="10"/>
                <w:color w:val="auto"/>
              </w:rPr>
            </w:pPr>
          </w:p>
        </w:tc>
      </w:tr>
      <w:tr>
        <w:trPr>
          <w:trHeight w:val="101"/>
        </w:trPr>
        <w:tc>
          <w:tcPr>
            <w:tcW w:w="3620" w:type="dxa"/>
            <w:vAlign w:val="bottom"/>
            <w:tcBorders>
              <w:bottom w:val="single" w:sz="8" w:color="CCEEFF"/>
            </w:tcBorders>
          </w:tcPr>
          <w:p>
            <w:pPr>
              <w:spacing w:after="0"/>
              <w:rPr>
                <w:sz w:val="8"/>
                <w:szCs w:val="8"/>
                <w:color w:val="auto"/>
              </w:rPr>
            </w:pPr>
          </w:p>
        </w:tc>
        <w:tc>
          <w:tcPr>
            <w:tcW w:w="272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jc w:val="right"/>
              <w:ind w:right="22"/>
              <w:spacing w:after="0" w:line="101" w:lineRule="exact"/>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489"/>
              <w:spacing w:after="0" w:line="101"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01"/>
        </w:trPr>
        <w:tc>
          <w:tcPr>
            <w:tcW w:w="36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7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10"/>
        </w:trPr>
        <w:tc>
          <w:tcPr>
            <w:tcW w:w="36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XpresSpa</w:t>
            </w:r>
          </w:p>
        </w:tc>
        <w:tc>
          <w:tcPr>
            <w:tcW w:w="3440" w:type="dxa"/>
            <w:vAlign w:val="bottom"/>
            <w:gridSpan w:val="2"/>
          </w:tcPr>
          <w:p>
            <w:pPr>
              <w:jc w:val="right"/>
              <w:ind w:right="642"/>
              <w:spacing w:after="0" w:line="110"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(12,951)</w:t>
            </w:r>
          </w:p>
        </w:tc>
        <w:tc>
          <w:tcPr>
            <w:tcW w:w="660" w:type="dxa"/>
            <w:vAlign w:val="bottom"/>
            <w:gridSpan w:val="2"/>
          </w:tcPr>
          <w:p>
            <w:pPr>
              <w:jc w:val="right"/>
              <w:ind w:right="394"/>
              <w:spacing w:after="0" w:line="110"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(12,910)</w:t>
            </w:r>
          </w:p>
        </w:tc>
      </w:tr>
      <w:tr>
        <w:trPr>
          <w:trHeight w:val="110"/>
        </w:trPr>
        <w:tc>
          <w:tcPr>
            <w:tcW w:w="36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XpresTest</w:t>
            </w:r>
          </w:p>
        </w:tc>
        <w:tc>
          <w:tcPr>
            <w:tcW w:w="27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(4,701)</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1,238</w:t>
            </w:r>
          </w:p>
        </w:tc>
      </w:tr>
      <w:tr>
        <w:trPr>
          <w:trHeight w:val="110"/>
        </w:trPr>
        <w:tc>
          <w:tcPr>
            <w:tcW w:w="36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Naples Wax</w:t>
            </w:r>
          </w:p>
        </w:tc>
        <w:tc>
          <w:tcPr>
            <w:tcW w:w="2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162</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r>
      <w:tr>
        <w:trPr>
          <w:trHeight w:val="110"/>
        </w:trPr>
        <w:tc>
          <w:tcPr>
            <w:tcW w:w="36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Treat</w:t>
            </w:r>
          </w:p>
        </w:tc>
        <w:tc>
          <w:tcPr>
            <w:tcW w:w="27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(2,315)</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(10,577)</w:t>
            </w:r>
          </w:p>
        </w:tc>
      </w:tr>
      <w:tr>
        <w:trPr>
          <w:trHeight w:val="110"/>
        </w:trPr>
        <w:tc>
          <w:tcPr>
            <w:tcW w:w="3620" w:type="dxa"/>
            <w:vAlign w:val="bottom"/>
            <w:tcBorders>
              <w:bottom w:val="single" w:sz="8" w:color="CCEEFF"/>
            </w:tcBorders>
          </w:tcPr>
          <w:p>
            <w:pPr>
              <w:ind w:left="80"/>
              <w:spacing w:after="0" w:line="110" w:lineRule="exact"/>
              <w:rPr>
                <w:sz w:val="20"/>
                <w:szCs w:val="20"/>
                <w:color w:val="auto"/>
              </w:rPr>
            </w:pPr>
            <w:r>
              <w:rPr>
                <w:rFonts w:ascii="Times New Roman" w:cs="Times New Roman" w:eastAsia="Times New Roman" w:hAnsi="Times New Roman"/>
                <w:sz w:val="10"/>
                <w:szCs w:val="10"/>
                <w:color w:val="auto"/>
              </w:rPr>
              <w:t>Corporate and other</w:t>
            </w:r>
          </w:p>
        </w:tc>
        <w:tc>
          <w:tcPr>
            <w:tcW w:w="272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(8,401)</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(8,914)</w:t>
            </w:r>
          </w:p>
        </w:tc>
      </w:tr>
      <w:tr>
        <w:trPr>
          <w:trHeight w:val="101"/>
        </w:trPr>
        <w:tc>
          <w:tcPr>
            <w:tcW w:w="362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operating loss</w:t>
            </w:r>
          </w:p>
        </w:tc>
        <w:tc>
          <w:tcPr>
            <w:tcW w:w="272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(28,206)</w:t>
            </w:r>
          </w:p>
        </w:tc>
        <w:tc>
          <w:tcPr>
            <w:tcW w:w="2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(31,163)</w:t>
            </w:r>
          </w:p>
        </w:tc>
      </w:tr>
      <w:tr>
        <w:trPr>
          <w:trHeight w:val="20"/>
        </w:trPr>
        <w:tc>
          <w:tcPr>
            <w:tcW w:w="3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For the years ended</w:t>
            </w:r>
          </w:p>
        </w:tc>
        <w:tc>
          <w:tcPr>
            <w:tcW w:w="820" w:type="dxa"/>
            <w:vAlign w:val="bottom"/>
          </w:tcPr>
          <w:p>
            <w:pPr>
              <w:spacing w:after="0"/>
              <w:rPr>
                <w:sz w:val="10"/>
                <w:szCs w:val="10"/>
                <w:color w:val="auto"/>
              </w:rPr>
            </w:pPr>
          </w:p>
        </w:tc>
      </w:tr>
      <w:tr>
        <w:trPr>
          <w:trHeight w:val="125"/>
        </w:trPr>
        <w:tc>
          <w:tcPr>
            <w:tcW w:w="39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20" w:type="dxa"/>
            <w:vAlign w:val="bottom"/>
            <w:tcBorders>
              <w:bottom w:val="single" w:sz="8" w:color="auto"/>
            </w:tcBorders>
          </w:tcPr>
          <w:p>
            <w:pPr>
              <w:spacing w:after="0"/>
              <w:rPr>
                <w:sz w:val="10"/>
                <w:szCs w:val="10"/>
                <w:color w:val="auto"/>
              </w:rPr>
            </w:pPr>
          </w:p>
        </w:tc>
      </w:tr>
      <w:tr>
        <w:trPr>
          <w:trHeight w:val="101"/>
        </w:trPr>
        <w:tc>
          <w:tcPr>
            <w:tcW w:w="3920" w:type="dxa"/>
            <w:vAlign w:val="bottom"/>
            <w:tcBorders>
              <w:bottom w:val="single" w:sz="8" w:color="CCEEFF"/>
            </w:tcBorders>
          </w:tcPr>
          <w:p>
            <w:pPr>
              <w:spacing w:after="0"/>
              <w:rPr>
                <w:sz w:val="8"/>
                <w:szCs w:val="8"/>
                <w:color w:val="auto"/>
              </w:rPr>
            </w:pPr>
          </w:p>
        </w:tc>
        <w:tc>
          <w:tcPr>
            <w:tcW w:w="242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jc w:val="right"/>
              <w:ind w:right="62"/>
              <w:spacing w:after="0" w:line="101" w:lineRule="exact"/>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489"/>
              <w:spacing w:after="0" w:line="101"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01"/>
        </w:trPr>
        <w:tc>
          <w:tcPr>
            <w:tcW w:w="39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Depreciation &amp; Amortization</w:t>
            </w:r>
          </w:p>
        </w:tc>
        <w:tc>
          <w:tcPr>
            <w:tcW w:w="24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10"/>
        </w:trPr>
        <w:tc>
          <w:tcPr>
            <w:tcW w:w="39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XpresSpa</w:t>
            </w:r>
          </w:p>
        </w:tc>
        <w:tc>
          <w:tcPr>
            <w:tcW w:w="3180" w:type="dxa"/>
            <w:vAlign w:val="bottom"/>
            <w:gridSpan w:val="2"/>
          </w:tcPr>
          <w:p>
            <w:pPr>
              <w:jc w:val="right"/>
              <w:ind w:right="682"/>
              <w:spacing w:after="0" w:line="110"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1,443</w:t>
            </w:r>
          </w:p>
        </w:tc>
        <w:tc>
          <w:tcPr>
            <w:tcW w:w="660" w:type="dxa"/>
            <w:vAlign w:val="bottom"/>
            <w:gridSpan w:val="2"/>
          </w:tcPr>
          <w:p>
            <w:pPr>
              <w:jc w:val="right"/>
              <w:ind w:right="394"/>
              <w:spacing w:after="0" w:line="110"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1,479</w:t>
            </w:r>
          </w:p>
        </w:tc>
      </w:tr>
      <w:tr>
        <w:trPr>
          <w:trHeight w:val="110"/>
        </w:trPr>
        <w:tc>
          <w:tcPr>
            <w:tcW w:w="39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XpresTest</w:t>
            </w:r>
          </w:p>
        </w:tc>
        <w:tc>
          <w:tcPr>
            <w:tcW w:w="24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276</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2,043</w:t>
            </w:r>
          </w:p>
        </w:tc>
      </w:tr>
      <w:tr>
        <w:trPr>
          <w:trHeight w:val="110"/>
        </w:trPr>
        <w:tc>
          <w:tcPr>
            <w:tcW w:w="39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Naples Wax</w:t>
            </w:r>
          </w:p>
        </w:tc>
        <w:tc>
          <w:tcPr>
            <w:tcW w:w="2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36</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r>
      <w:tr>
        <w:trPr>
          <w:trHeight w:val="110"/>
        </w:trPr>
        <w:tc>
          <w:tcPr>
            <w:tcW w:w="39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Treat</w:t>
            </w:r>
          </w:p>
        </w:tc>
        <w:tc>
          <w:tcPr>
            <w:tcW w:w="24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264</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1,876</w:t>
            </w:r>
          </w:p>
        </w:tc>
      </w:tr>
      <w:tr>
        <w:trPr>
          <w:trHeight w:val="110"/>
        </w:trPr>
        <w:tc>
          <w:tcPr>
            <w:tcW w:w="3920" w:type="dxa"/>
            <w:vAlign w:val="bottom"/>
            <w:tcBorders>
              <w:bottom w:val="single" w:sz="8" w:color="CCEEFF"/>
            </w:tcBorders>
          </w:tcPr>
          <w:p>
            <w:pPr>
              <w:ind w:left="80"/>
              <w:spacing w:after="0" w:line="110" w:lineRule="exact"/>
              <w:rPr>
                <w:sz w:val="20"/>
                <w:szCs w:val="20"/>
                <w:color w:val="auto"/>
              </w:rPr>
            </w:pPr>
            <w:r>
              <w:rPr>
                <w:rFonts w:ascii="Times New Roman" w:cs="Times New Roman" w:eastAsia="Times New Roman" w:hAnsi="Times New Roman"/>
                <w:sz w:val="10"/>
                <w:szCs w:val="10"/>
                <w:color w:val="auto"/>
              </w:rPr>
              <w:t>Corporate and other</w:t>
            </w:r>
          </w:p>
        </w:tc>
        <w:tc>
          <w:tcPr>
            <w:tcW w:w="242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46</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31</w:t>
            </w:r>
          </w:p>
        </w:tc>
      </w:tr>
      <w:tr>
        <w:trPr>
          <w:trHeight w:val="101"/>
        </w:trPr>
        <w:tc>
          <w:tcPr>
            <w:tcW w:w="392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depreciation &amp; amortization</w:t>
            </w:r>
          </w:p>
        </w:tc>
        <w:tc>
          <w:tcPr>
            <w:tcW w:w="242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2,065</w:t>
            </w:r>
          </w:p>
        </w:tc>
        <w:tc>
          <w:tcPr>
            <w:tcW w:w="2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5,429</w:t>
            </w:r>
          </w:p>
        </w:tc>
      </w:tr>
      <w:tr>
        <w:trPr>
          <w:trHeight w:val="20"/>
        </w:trPr>
        <w:tc>
          <w:tcPr>
            <w:tcW w:w="3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37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For the years ended</w:t>
            </w:r>
          </w:p>
        </w:tc>
        <w:tc>
          <w:tcPr>
            <w:tcW w:w="820" w:type="dxa"/>
            <w:vAlign w:val="bottom"/>
          </w:tcPr>
          <w:p>
            <w:pPr>
              <w:spacing w:after="0"/>
              <w:rPr>
                <w:sz w:val="10"/>
                <w:szCs w:val="10"/>
                <w:color w:val="auto"/>
              </w:rPr>
            </w:pPr>
          </w:p>
        </w:tc>
      </w:tr>
      <w:tr>
        <w:trPr>
          <w:trHeight w:val="125"/>
        </w:trPr>
        <w:tc>
          <w:tcPr>
            <w:tcW w:w="37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20" w:type="dxa"/>
            <w:vAlign w:val="bottom"/>
            <w:tcBorders>
              <w:bottom w:val="single" w:sz="8" w:color="auto"/>
            </w:tcBorders>
          </w:tcPr>
          <w:p>
            <w:pPr>
              <w:spacing w:after="0"/>
              <w:rPr>
                <w:sz w:val="10"/>
                <w:szCs w:val="10"/>
                <w:color w:val="auto"/>
              </w:rPr>
            </w:pPr>
          </w:p>
        </w:tc>
      </w:tr>
      <w:tr>
        <w:trPr>
          <w:trHeight w:val="101"/>
        </w:trPr>
        <w:tc>
          <w:tcPr>
            <w:tcW w:w="3740" w:type="dxa"/>
            <w:vAlign w:val="bottom"/>
            <w:tcBorders>
              <w:bottom w:val="single" w:sz="8" w:color="CCEEFF"/>
            </w:tcBorders>
          </w:tcPr>
          <w:p>
            <w:pPr>
              <w:spacing w:after="0"/>
              <w:rPr>
                <w:sz w:val="8"/>
                <w:szCs w:val="8"/>
                <w:color w:val="auto"/>
              </w:rPr>
            </w:pPr>
          </w:p>
        </w:tc>
        <w:tc>
          <w:tcPr>
            <w:tcW w:w="260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tcPr>
          <w:p>
            <w:pPr>
              <w:jc w:val="right"/>
              <w:ind w:right="62"/>
              <w:spacing w:after="0" w:line="101" w:lineRule="exact"/>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489"/>
              <w:spacing w:after="0" w:line="101"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01"/>
        </w:trPr>
        <w:tc>
          <w:tcPr>
            <w:tcW w:w="37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Capital Expenditures</w:t>
            </w:r>
          </w:p>
        </w:tc>
        <w:tc>
          <w:tcPr>
            <w:tcW w:w="26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10"/>
        </w:trPr>
        <w:tc>
          <w:tcPr>
            <w:tcW w:w="374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XpresSpa</w:t>
            </w:r>
          </w:p>
        </w:tc>
        <w:tc>
          <w:tcPr>
            <w:tcW w:w="3360" w:type="dxa"/>
            <w:vAlign w:val="bottom"/>
            <w:gridSpan w:val="2"/>
          </w:tcPr>
          <w:p>
            <w:pPr>
              <w:jc w:val="right"/>
              <w:ind w:right="682"/>
              <w:spacing w:after="0" w:line="110"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1,678</w:t>
            </w:r>
          </w:p>
        </w:tc>
        <w:tc>
          <w:tcPr>
            <w:tcW w:w="660" w:type="dxa"/>
            <w:vAlign w:val="bottom"/>
            <w:gridSpan w:val="2"/>
          </w:tcPr>
          <w:p>
            <w:pPr>
              <w:jc w:val="right"/>
              <w:ind w:right="394"/>
              <w:spacing w:after="0" w:line="110"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2,134</w:t>
            </w:r>
          </w:p>
        </w:tc>
      </w:tr>
      <w:tr>
        <w:trPr>
          <w:trHeight w:val="110"/>
        </w:trPr>
        <w:tc>
          <w:tcPr>
            <w:tcW w:w="374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XpresTest</w:t>
            </w:r>
          </w:p>
        </w:tc>
        <w:tc>
          <w:tcPr>
            <w:tcW w:w="26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82</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775</w:t>
            </w:r>
          </w:p>
        </w:tc>
      </w:tr>
      <w:tr>
        <w:trPr>
          <w:trHeight w:val="110"/>
        </w:trPr>
        <w:tc>
          <w:tcPr>
            <w:tcW w:w="374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Naples Wax</w:t>
            </w:r>
          </w:p>
        </w:tc>
        <w:tc>
          <w:tcPr>
            <w:tcW w:w="2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r>
      <w:tr>
        <w:trPr>
          <w:trHeight w:val="110"/>
        </w:trPr>
        <w:tc>
          <w:tcPr>
            <w:tcW w:w="374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Treat</w:t>
            </w:r>
          </w:p>
        </w:tc>
        <w:tc>
          <w:tcPr>
            <w:tcW w:w="26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60</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3,274</w:t>
            </w:r>
          </w:p>
        </w:tc>
      </w:tr>
      <w:tr>
        <w:trPr>
          <w:trHeight w:val="110"/>
        </w:trPr>
        <w:tc>
          <w:tcPr>
            <w:tcW w:w="3740" w:type="dxa"/>
            <w:vAlign w:val="bottom"/>
            <w:tcBorders>
              <w:bottom w:val="single" w:sz="8" w:color="CCEEFF"/>
            </w:tcBorders>
          </w:tcPr>
          <w:p>
            <w:pPr>
              <w:ind w:left="80"/>
              <w:spacing w:after="0" w:line="110" w:lineRule="exact"/>
              <w:rPr>
                <w:sz w:val="20"/>
                <w:szCs w:val="20"/>
                <w:color w:val="auto"/>
              </w:rPr>
            </w:pPr>
            <w:r>
              <w:rPr>
                <w:rFonts w:ascii="Times New Roman" w:cs="Times New Roman" w:eastAsia="Times New Roman" w:hAnsi="Times New Roman"/>
                <w:sz w:val="10"/>
                <w:szCs w:val="10"/>
                <w:color w:val="auto"/>
              </w:rPr>
              <w:t>Corporate and other</w:t>
            </w:r>
          </w:p>
        </w:tc>
        <w:tc>
          <w:tcPr>
            <w:tcW w:w="26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27</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110</w:t>
            </w:r>
          </w:p>
        </w:tc>
      </w:tr>
      <w:tr>
        <w:trPr>
          <w:trHeight w:val="101"/>
        </w:trPr>
        <w:tc>
          <w:tcPr>
            <w:tcW w:w="374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capital expenditures</w:t>
            </w:r>
          </w:p>
        </w:tc>
        <w:tc>
          <w:tcPr>
            <w:tcW w:w="26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1,847</w:t>
            </w:r>
          </w:p>
        </w:tc>
        <w:tc>
          <w:tcPr>
            <w:tcW w:w="2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6,293</w:t>
            </w:r>
          </w:p>
        </w:tc>
      </w:tr>
      <w:tr>
        <w:trPr>
          <w:trHeight w:val="20"/>
        </w:trPr>
        <w:tc>
          <w:tcPr>
            <w:tcW w:w="3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25"/>
        </w:trPr>
        <w:tc>
          <w:tcPr>
            <w:tcW w:w="36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820" w:type="dxa"/>
            <w:vAlign w:val="bottom"/>
            <w:tcBorders>
              <w:bottom w:val="single" w:sz="8" w:color="auto"/>
            </w:tcBorders>
          </w:tcPr>
          <w:p>
            <w:pPr>
              <w:spacing w:after="0"/>
              <w:rPr>
                <w:sz w:val="10"/>
                <w:szCs w:val="10"/>
                <w:color w:val="auto"/>
              </w:rPr>
            </w:pPr>
          </w:p>
        </w:tc>
      </w:tr>
      <w:tr>
        <w:trPr>
          <w:trHeight w:val="101"/>
        </w:trPr>
        <w:tc>
          <w:tcPr>
            <w:tcW w:w="3660" w:type="dxa"/>
            <w:vAlign w:val="bottom"/>
            <w:tcBorders>
              <w:bottom w:val="single" w:sz="8" w:color="CCEEFF"/>
            </w:tcBorders>
          </w:tcPr>
          <w:p>
            <w:pPr>
              <w:spacing w:after="0"/>
              <w:rPr>
                <w:sz w:val="8"/>
                <w:szCs w:val="8"/>
                <w:color w:val="auto"/>
              </w:rPr>
            </w:pPr>
          </w:p>
        </w:tc>
        <w:tc>
          <w:tcPr>
            <w:tcW w:w="268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jc w:val="right"/>
              <w:ind w:right="42"/>
              <w:spacing w:after="0" w:line="101" w:lineRule="exact"/>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489"/>
              <w:spacing w:after="0" w:line="101"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01"/>
        </w:trPr>
        <w:tc>
          <w:tcPr>
            <w:tcW w:w="36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Long-lived Assets</w:t>
            </w:r>
          </w:p>
        </w:tc>
        <w:tc>
          <w:tcPr>
            <w:tcW w:w="26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10"/>
        </w:trPr>
        <w:tc>
          <w:tcPr>
            <w:tcW w:w="366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XpresSpa</w:t>
            </w:r>
          </w:p>
        </w:tc>
        <w:tc>
          <w:tcPr>
            <w:tcW w:w="3420" w:type="dxa"/>
            <w:vAlign w:val="bottom"/>
            <w:gridSpan w:val="2"/>
          </w:tcPr>
          <w:p>
            <w:pPr>
              <w:jc w:val="right"/>
              <w:ind w:right="662"/>
              <w:spacing w:after="0" w:line="110"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8,268</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11,851</w:t>
            </w:r>
          </w:p>
        </w:tc>
      </w:tr>
      <w:tr>
        <w:trPr>
          <w:trHeight w:val="110"/>
        </w:trPr>
        <w:tc>
          <w:tcPr>
            <w:tcW w:w="366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XpresTest</w:t>
            </w:r>
          </w:p>
        </w:tc>
        <w:tc>
          <w:tcPr>
            <w:tcW w:w="26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92</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4,220</w:t>
            </w:r>
          </w:p>
        </w:tc>
      </w:tr>
      <w:tr>
        <w:trPr>
          <w:trHeight w:val="110"/>
        </w:trPr>
        <w:tc>
          <w:tcPr>
            <w:tcW w:w="366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Naples Wax</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1,371</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r>
      <w:tr>
        <w:trPr>
          <w:trHeight w:val="110"/>
        </w:trPr>
        <w:tc>
          <w:tcPr>
            <w:tcW w:w="366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Treat</w:t>
            </w:r>
          </w:p>
        </w:tc>
        <w:tc>
          <w:tcPr>
            <w:tcW w:w="26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669</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2,314</w:t>
            </w:r>
          </w:p>
        </w:tc>
      </w:tr>
      <w:tr>
        <w:trPr>
          <w:trHeight w:val="110"/>
        </w:trPr>
        <w:tc>
          <w:tcPr>
            <w:tcW w:w="3660" w:type="dxa"/>
            <w:vAlign w:val="bottom"/>
            <w:tcBorders>
              <w:bottom w:val="single" w:sz="8" w:color="CCEEFF"/>
            </w:tcBorders>
          </w:tcPr>
          <w:p>
            <w:pPr>
              <w:ind w:left="80"/>
              <w:spacing w:after="0" w:line="110" w:lineRule="exact"/>
              <w:rPr>
                <w:sz w:val="20"/>
                <w:szCs w:val="20"/>
                <w:color w:val="auto"/>
              </w:rPr>
            </w:pPr>
            <w:r>
              <w:rPr>
                <w:rFonts w:ascii="Times New Roman" w:cs="Times New Roman" w:eastAsia="Times New Roman" w:hAnsi="Times New Roman"/>
                <w:sz w:val="10"/>
                <w:szCs w:val="10"/>
                <w:color w:val="auto"/>
              </w:rPr>
              <w:t>Corporate and other</w:t>
            </w:r>
          </w:p>
        </w:tc>
        <w:tc>
          <w:tcPr>
            <w:tcW w:w="268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438</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409</w:t>
            </w:r>
          </w:p>
        </w:tc>
      </w:tr>
      <w:tr>
        <w:trPr>
          <w:trHeight w:val="101"/>
        </w:trPr>
        <w:tc>
          <w:tcPr>
            <w:tcW w:w="366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long-lived Assets</w:t>
            </w:r>
          </w:p>
        </w:tc>
        <w:tc>
          <w:tcPr>
            <w:tcW w:w="268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10,838</w:t>
            </w:r>
          </w:p>
        </w:tc>
        <w:tc>
          <w:tcPr>
            <w:tcW w:w="2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18,794</w:t>
            </w:r>
          </w:p>
        </w:tc>
      </w:tr>
      <w:tr>
        <w:trPr>
          <w:trHeight w:val="20"/>
        </w:trPr>
        <w:tc>
          <w:tcPr>
            <w:tcW w:w="3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25"/>
        </w:trPr>
        <w:tc>
          <w:tcPr>
            <w:tcW w:w="36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820" w:type="dxa"/>
            <w:vAlign w:val="bottom"/>
            <w:tcBorders>
              <w:bottom w:val="single" w:sz="8" w:color="auto"/>
            </w:tcBorders>
          </w:tcPr>
          <w:p>
            <w:pPr>
              <w:spacing w:after="0"/>
              <w:rPr>
                <w:sz w:val="10"/>
                <w:szCs w:val="10"/>
                <w:color w:val="auto"/>
              </w:rPr>
            </w:pPr>
          </w:p>
        </w:tc>
      </w:tr>
      <w:tr>
        <w:trPr>
          <w:trHeight w:val="101"/>
        </w:trPr>
        <w:tc>
          <w:tcPr>
            <w:tcW w:w="3620" w:type="dxa"/>
            <w:vAlign w:val="bottom"/>
            <w:tcBorders>
              <w:bottom w:val="single" w:sz="8" w:color="CCEEFF"/>
            </w:tcBorders>
          </w:tcPr>
          <w:p>
            <w:pPr>
              <w:spacing w:after="0"/>
              <w:rPr>
                <w:sz w:val="8"/>
                <w:szCs w:val="8"/>
                <w:color w:val="auto"/>
              </w:rPr>
            </w:pPr>
          </w:p>
        </w:tc>
        <w:tc>
          <w:tcPr>
            <w:tcW w:w="272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jc w:val="right"/>
              <w:ind w:right="42"/>
              <w:spacing w:after="0" w:line="101" w:lineRule="exact"/>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489"/>
              <w:spacing w:after="0" w:line="101"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01"/>
        </w:trPr>
        <w:tc>
          <w:tcPr>
            <w:tcW w:w="36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Assets</w:t>
            </w:r>
          </w:p>
        </w:tc>
        <w:tc>
          <w:tcPr>
            <w:tcW w:w="27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r>
      <w:tr>
        <w:trPr>
          <w:trHeight w:val="110"/>
        </w:trPr>
        <w:tc>
          <w:tcPr>
            <w:tcW w:w="36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XpresSpa</w:t>
            </w:r>
          </w:p>
        </w:tc>
        <w:tc>
          <w:tcPr>
            <w:tcW w:w="3460" w:type="dxa"/>
            <w:vAlign w:val="bottom"/>
            <w:gridSpan w:val="2"/>
          </w:tcPr>
          <w:p>
            <w:pPr>
              <w:jc w:val="right"/>
              <w:ind w:right="662"/>
              <w:spacing w:after="0" w:line="110"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18,453</w:t>
            </w:r>
          </w:p>
        </w:tc>
        <w:tc>
          <w:tcPr>
            <w:tcW w:w="660" w:type="dxa"/>
            <w:vAlign w:val="bottom"/>
            <w:gridSpan w:val="2"/>
          </w:tcPr>
          <w:p>
            <w:pPr>
              <w:jc w:val="right"/>
              <w:ind w:right="394"/>
              <w:spacing w:after="0" w:line="110"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21,135</w:t>
            </w:r>
          </w:p>
        </w:tc>
      </w:tr>
      <w:tr>
        <w:trPr>
          <w:trHeight w:val="110"/>
        </w:trPr>
        <w:tc>
          <w:tcPr>
            <w:tcW w:w="36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XpresTest</w:t>
            </w:r>
          </w:p>
        </w:tc>
        <w:tc>
          <w:tcPr>
            <w:tcW w:w="27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2,408</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11,198</w:t>
            </w:r>
          </w:p>
        </w:tc>
      </w:tr>
      <w:tr>
        <w:trPr>
          <w:trHeight w:val="110"/>
        </w:trPr>
        <w:tc>
          <w:tcPr>
            <w:tcW w:w="362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auto"/>
              </w:rPr>
              <w:t>Naples Wax</w:t>
            </w:r>
          </w:p>
        </w:tc>
        <w:tc>
          <w:tcPr>
            <w:tcW w:w="2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2,951</w:t>
            </w: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r>
      <w:tr>
        <w:trPr>
          <w:trHeight w:val="110"/>
        </w:trPr>
        <w:tc>
          <w:tcPr>
            <w:tcW w:w="36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Treat</w:t>
            </w:r>
          </w:p>
        </w:tc>
        <w:tc>
          <w:tcPr>
            <w:tcW w:w="27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848</w:t>
            </w: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3,186</w:t>
            </w:r>
          </w:p>
        </w:tc>
      </w:tr>
      <w:tr>
        <w:trPr>
          <w:trHeight w:val="110"/>
        </w:trPr>
        <w:tc>
          <w:tcPr>
            <w:tcW w:w="3620" w:type="dxa"/>
            <w:vAlign w:val="bottom"/>
            <w:tcBorders>
              <w:bottom w:val="single" w:sz="8" w:color="CCEEFF"/>
            </w:tcBorders>
          </w:tcPr>
          <w:p>
            <w:pPr>
              <w:ind w:left="80"/>
              <w:spacing w:after="0" w:line="110" w:lineRule="exact"/>
              <w:rPr>
                <w:sz w:val="20"/>
                <w:szCs w:val="20"/>
                <w:color w:val="auto"/>
              </w:rPr>
            </w:pPr>
            <w:r>
              <w:rPr>
                <w:rFonts w:ascii="Times New Roman" w:cs="Times New Roman" w:eastAsia="Times New Roman" w:hAnsi="Times New Roman"/>
                <w:sz w:val="10"/>
                <w:szCs w:val="10"/>
                <w:color w:val="auto"/>
              </w:rPr>
              <w:t>Corporate and other</w:t>
            </w:r>
          </w:p>
        </w:tc>
        <w:tc>
          <w:tcPr>
            <w:tcW w:w="27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14,333</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34,907</w:t>
            </w:r>
          </w:p>
        </w:tc>
      </w:tr>
      <w:tr>
        <w:trPr>
          <w:trHeight w:val="101"/>
        </w:trPr>
        <w:tc>
          <w:tcPr>
            <w:tcW w:w="362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72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38,993</w:t>
            </w:r>
          </w:p>
        </w:tc>
        <w:tc>
          <w:tcPr>
            <w:tcW w:w="2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70,426</w:t>
            </w:r>
          </w:p>
        </w:tc>
      </w:tr>
      <w:tr>
        <w:trPr>
          <w:trHeight w:val="20"/>
        </w:trPr>
        <w:tc>
          <w:tcPr>
            <w:tcW w:w="3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4">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Long-lived assets includes property and equipment, right of use lease assets, security deposits, equity investments, goodwill and restricted cash.</w:t>
      </w:r>
    </w:p>
    <w:p>
      <w:pPr>
        <w:spacing w:after="0" w:line="179"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The Company performed impairment assessments of long-lived assets and operating lease right-of-use asset for the years ended December 31, 2023 and 2022. Based upon the results of the impairment tests, the Company recorded impairment expenses of long-lived assets for approximately $234, $925 and $4,024 for its XpresSpa, Treat and XpresTest’s HyperPointe business segments respectively for the year ended December 31, 2023. Additionally, the Company recorded impairment expenses of lease right-of-use asset for approximately $484, and $442 for its XpresSpa and Treat segments respectively for the year ended December 31, 2023. For the year ended December 31, 2022 the Company recorded impairment expenses of long-lived assets for approximately $619, $677 and $3,373 for its XpresSpa, XpresTest and Treat segments respectively and impairment expenses of operating lease right-of-use asset for approximately $936, $38 and $136 for its XpresSpa, XpresTest and Treat segments, respectively.</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16. Accrued Expenses and Other Current Liabilities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As of December 31, 2023, and 2022, the Company’s accrued expenses and other current liabilities were comprised of the following:</w:t>
      </w:r>
    </w:p>
    <w:p>
      <w:pPr>
        <w:spacing w:after="0" w:line="188"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4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8"/>
              </w:rPr>
              <w:t>December 31, 2022</w:t>
            </w:r>
          </w:p>
        </w:tc>
      </w:tr>
      <w:tr>
        <w:trPr>
          <w:trHeight w:val="167"/>
        </w:trPr>
        <w:tc>
          <w:tcPr>
            <w:tcW w:w="4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Litigation accrual</w:t>
            </w: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449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963</w:t>
            </w:r>
          </w:p>
        </w:tc>
      </w:tr>
      <w:tr>
        <w:trPr>
          <w:trHeight w:val="176"/>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Accrued compensation</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2,008</w:t>
            </w:r>
          </w:p>
        </w:tc>
      </w:tr>
      <w:tr>
        <w:trPr>
          <w:trHeight w:val="17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Tax-related liabilities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r>
      <w:tr>
        <w:trPr>
          <w:trHeight w:val="176"/>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Common area maintenance accruals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17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 Accruals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w:t>
            </w:r>
          </w:p>
        </w:tc>
      </w:tr>
      <w:tr>
        <w:trPr>
          <w:trHeight w:val="176"/>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Gift certificates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w:t>
            </w:r>
          </w:p>
        </w:tc>
      </w:tr>
      <w:tr>
        <w:trPr>
          <w:trHeight w:val="17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Credit card processing fees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7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miscellaneous accruals</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732</w:t>
            </w:r>
          </w:p>
        </w:tc>
      </w:tr>
      <w:tr>
        <w:trPr>
          <w:trHeight w:val="167"/>
        </w:trPr>
        <w:tc>
          <w:tcPr>
            <w:tcW w:w="406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accrued expenses and other current liabilities</w:t>
            </w:r>
          </w:p>
        </w:tc>
        <w:tc>
          <w:tcPr>
            <w:tcW w:w="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4,968</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5,719</w:t>
            </w: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17. Income Taxes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For the years ended December 31, 2023 and 2022, the loss before income taxes consisted of the following:</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33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900" w:type="dxa"/>
            <w:vAlign w:val="bottom"/>
          </w:tcPr>
          <w:p>
            <w:pPr>
              <w:spacing w:after="0"/>
              <w:rPr>
                <w:sz w:val="16"/>
                <w:szCs w:val="16"/>
                <w:color w:val="auto"/>
              </w:rPr>
            </w:pPr>
          </w:p>
        </w:tc>
      </w:tr>
      <w:tr>
        <w:trPr>
          <w:trHeight w:val="167"/>
        </w:trPr>
        <w:tc>
          <w:tcPr>
            <w:tcW w:w="900" w:type="dxa"/>
            <w:vAlign w:val="bottom"/>
          </w:tcPr>
          <w:p>
            <w:pPr>
              <w:spacing w:after="0"/>
              <w:rPr>
                <w:sz w:val="14"/>
                <w:szCs w:val="14"/>
                <w:color w:val="auto"/>
              </w:rPr>
            </w:pPr>
          </w:p>
        </w:tc>
        <w:tc>
          <w:tcPr>
            <w:tcW w:w="20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Domestic</w:t>
            </w:r>
          </w:p>
        </w:tc>
        <w:tc>
          <w:tcPr>
            <w:tcW w:w="3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(27,573)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(32,445)</w:t>
            </w:r>
          </w:p>
        </w:tc>
        <w:tc>
          <w:tcPr>
            <w:tcW w:w="900" w:type="dxa"/>
            <w:vAlign w:val="bottom"/>
          </w:tcPr>
          <w:p>
            <w:pPr>
              <w:spacing w:after="0"/>
              <w:rPr>
                <w:sz w:val="14"/>
                <w:szCs w:val="14"/>
                <w:color w:val="auto"/>
              </w:rPr>
            </w:pPr>
          </w:p>
        </w:tc>
      </w:tr>
      <w:tr>
        <w:trPr>
          <w:trHeight w:val="176"/>
        </w:trPr>
        <w:tc>
          <w:tcPr>
            <w:tcW w:w="90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(421)</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900" w:type="dxa"/>
            <w:vAlign w:val="bottom"/>
          </w:tcPr>
          <w:p>
            <w:pPr>
              <w:spacing w:after="0"/>
              <w:rPr>
                <w:sz w:val="15"/>
                <w:szCs w:val="15"/>
                <w:color w:val="auto"/>
              </w:rPr>
            </w:pPr>
          </w:p>
        </w:tc>
      </w:tr>
      <w:tr>
        <w:trPr>
          <w:trHeight w:val="167"/>
        </w:trPr>
        <w:tc>
          <w:tcPr>
            <w:tcW w:w="900" w:type="dxa"/>
            <w:vAlign w:val="bottom"/>
          </w:tcPr>
          <w:p>
            <w:pPr>
              <w:spacing w:after="0"/>
              <w:rPr>
                <w:sz w:val="14"/>
                <w:szCs w:val="14"/>
                <w:color w:val="auto"/>
              </w:rPr>
            </w:pPr>
          </w:p>
        </w:tc>
        <w:tc>
          <w:tcPr>
            <w:tcW w:w="2000" w:type="dxa"/>
            <w:vAlign w:val="bottom"/>
            <w:tcBorders>
              <w:top w:val="single" w:sz="8" w:color="CCEEFF"/>
              <w:bottom w:val="single" w:sz="8" w:color="CCEEFF"/>
            </w:tcBorders>
            <w:shd w:val="clear" w:color="auto" w:fill="CCEEFF"/>
          </w:tcPr>
          <w:p>
            <w:pPr>
              <w:spacing w:after="0"/>
              <w:rPr>
                <w:sz w:val="14"/>
                <w:szCs w:val="14"/>
                <w:color w:val="auto"/>
              </w:rPr>
            </w:pPr>
          </w:p>
        </w:tc>
        <w:tc>
          <w:tcPr>
            <w:tcW w:w="33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(27,994)</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(32,574)</w:t>
            </w:r>
          </w:p>
        </w:tc>
        <w:tc>
          <w:tcPr>
            <w:tcW w:w="9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87"/>
        </w:trPr>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40" w:type="dxa"/>
            <w:vAlign w:val="bottom"/>
            <w:gridSpan w:val="2"/>
          </w:tcPr>
          <w:p>
            <w:pPr>
              <w:jc w:val="right"/>
              <w:ind w:right="1767"/>
              <w:spacing w:after="0"/>
              <w:rPr>
                <w:sz w:val="20"/>
                <w:szCs w:val="20"/>
                <w:color w:val="auto"/>
              </w:rPr>
            </w:pPr>
            <w:r>
              <w:rPr>
                <w:rFonts w:ascii="Times New Roman" w:cs="Times New Roman" w:eastAsia="Times New Roman" w:hAnsi="Times New Roman"/>
                <w:sz w:val="15"/>
                <w:szCs w:val="15"/>
                <w:color w:val="auto"/>
              </w:rPr>
              <w:t>F-33</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1"/>
        </w:trPr>
        <w:tc>
          <w:tcPr>
            <w:tcW w:w="9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3"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Income tax expense for the years ended December 31, 2023 and 2022 consisted of the following:</w:t>
      </w:r>
    </w:p>
    <w:p>
      <w:pPr>
        <w:spacing w:after="0" w:line="188"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260" w:type="dxa"/>
            <w:vAlign w:val="bottom"/>
            <w:tcBorders>
              <w:bottom w:val="single" w:sz="8" w:color="auto"/>
            </w:tcBorders>
          </w:tcPr>
          <w:p>
            <w:pPr>
              <w:spacing w:after="0"/>
              <w:rPr>
                <w:sz w:val="16"/>
                <w:szCs w:val="16"/>
                <w:color w:val="auto"/>
              </w:rPr>
            </w:pPr>
          </w:p>
        </w:tc>
      </w:tr>
      <w:tr>
        <w:trPr>
          <w:trHeight w:val="167"/>
        </w:trPr>
        <w:tc>
          <w:tcPr>
            <w:tcW w:w="44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1"/>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260" w:type="dxa"/>
            <w:vAlign w:val="bottom"/>
            <w:tcBorders>
              <w:bottom w:val="single" w:sz="8" w:color="auto"/>
            </w:tcBorders>
          </w:tcPr>
          <w:p>
            <w:pPr>
              <w:spacing w:after="0"/>
              <w:rPr>
                <w:sz w:val="14"/>
                <w:szCs w:val="14"/>
                <w:color w:val="auto"/>
              </w:rPr>
            </w:pPr>
          </w:p>
        </w:tc>
      </w:tr>
      <w:tr>
        <w:trPr>
          <w:trHeight w:val="167"/>
        </w:trPr>
        <w:tc>
          <w:tcPr>
            <w:tcW w:w="4400" w:type="dxa"/>
            <w:vAlign w:val="bottom"/>
            <w:shd w:val="clear" w:color="auto" w:fill="CCEEFF"/>
          </w:tcPr>
          <w:p>
            <w:pPr>
              <w:ind w:left="80"/>
              <w:spacing w:after="0" w:line="167" w:lineRule="exact"/>
              <w:rPr>
                <w:sz w:val="20"/>
                <w:szCs w:val="20"/>
                <w:color w:val="auto"/>
              </w:rPr>
            </w:pPr>
            <w:r>
              <w:rPr>
                <w:rFonts w:ascii="Times New Roman" w:cs="Times New Roman" w:eastAsia="Times New Roman" w:hAnsi="Times New Roman"/>
                <w:sz w:val="15"/>
                <w:szCs w:val="15"/>
                <w:color w:val="auto"/>
              </w:rPr>
              <w:t>Current:</w:t>
            </w: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76"/>
        </w:trPr>
        <w:tc>
          <w:tcPr>
            <w:tcW w:w="44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Federal</w:t>
            </w:r>
          </w:p>
        </w:tc>
        <w:tc>
          <w:tcPr>
            <w:tcW w:w="900" w:type="dxa"/>
            <w:vAlign w:val="bottom"/>
          </w:tcPr>
          <w:p>
            <w:pPr>
              <w:jc w:val="right"/>
              <w:ind w:right="747"/>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861"/>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State</w:t>
            </w: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15</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41</w:t>
            </w:r>
          </w:p>
        </w:tc>
      </w:tr>
      <w:tr>
        <w:trPr>
          <w:trHeight w:val="176"/>
        </w:trPr>
        <w:tc>
          <w:tcPr>
            <w:tcW w:w="44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Foreign</w:t>
            </w:r>
          </w:p>
        </w:tc>
        <w:tc>
          <w:tcPr>
            <w:tcW w:w="900" w:type="dxa"/>
            <w:vAlign w:val="bottom"/>
          </w:tcPr>
          <w:p>
            <w:pPr>
              <w:spacing w:after="0"/>
              <w:rPr>
                <w:sz w:val="15"/>
                <w:szCs w:val="15"/>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14</w:t>
            </w:r>
          </w:p>
        </w:tc>
      </w:tr>
      <w:tr>
        <w:trPr>
          <w:trHeight w:val="176"/>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Deferred:</w:t>
            </w: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76"/>
        </w:trPr>
        <w:tc>
          <w:tcPr>
            <w:tcW w:w="44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Federal</w:t>
            </w:r>
          </w:p>
        </w:tc>
        <w:tc>
          <w:tcPr>
            <w:tcW w:w="900" w:type="dxa"/>
            <w:vAlign w:val="bottom"/>
          </w:tcPr>
          <w:p>
            <w:pPr>
              <w:spacing w:after="0"/>
              <w:rPr>
                <w:sz w:val="15"/>
                <w:szCs w:val="15"/>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67"/>
        </w:trPr>
        <w:tc>
          <w:tcPr>
            <w:tcW w:w="44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4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tcBorders>
            <w:shd w:val="clear" w:color="auto" w:fill="CCEEFF"/>
          </w:tcPr>
          <w:p>
            <w:pPr>
              <w:ind w:left="140"/>
              <w:spacing w:after="0" w:line="167" w:lineRule="exact"/>
              <w:rPr>
                <w:sz w:val="20"/>
                <w:szCs w:val="20"/>
                <w:color w:val="auto"/>
              </w:rPr>
            </w:pPr>
            <w:r>
              <w:rPr>
                <w:rFonts w:ascii="Times New Roman" w:cs="Times New Roman" w:eastAsia="Times New Roman" w:hAnsi="Times New Roman"/>
                <w:sz w:val="15"/>
                <w:szCs w:val="15"/>
                <w:color w:val="auto"/>
              </w:rPr>
              <w:t>35</w:t>
            </w:r>
          </w:p>
        </w:tc>
        <w:tc>
          <w:tcPr>
            <w:tcW w:w="2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top w:val="single" w:sz="8" w:color="auto"/>
            </w:tcBorders>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rPr>
              <w:t>55</w:t>
            </w:r>
          </w:p>
        </w:tc>
      </w:tr>
    </w:tbl>
    <w:p>
      <w:pPr>
        <w:spacing w:after="0" w:line="161" w:lineRule="exact"/>
        <w:rPr>
          <w:sz w:val="20"/>
          <w:szCs w:val="20"/>
          <w:color w:val="auto"/>
        </w:rPr>
      </w:pPr>
    </w:p>
    <w:p>
      <w:pPr>
        <w:ind w:left="40" w:right="39"/>
        <w:spacing w:after="0" w:line="269" w:lineRule="auto"/>
        <w:rPr>
          <w:sz w:val="20"/>
          <w:szCs w:val="20"/>
          <w:color w:val="auto"/>
        </w:rPr>
      </w:pPr>
      <w:r>
        <w:rPr>
          <w:rFonts w:ascii="Times New Roman" w:cs="Times New Roman" w:eastAsia="Times New Roman" w:hAnsi="Times New Roman"/>
          <w:sz w:val="15"/>
          <w:szCs w:val="15"/>
          <w:color w:val="auto"/>
        </w:rPr>
        <w:t>Income tax expense differed from the amounts computed by applying the applicable United States federal income tax rate to loss from continuing operations before taxes on income as a result of the following:</w:t>
      </w:r>
    </w:p>
    <w:p>
      <w:pPr>
        <w:spacing w:after="0" w:line="150"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For the years ended December 31,</w:t>
            </w:r>
          </w:p>
        </w:tc>
      </w:tr>
      <w:tr>
        <w:trPr>
          <w:trHeight w:val="167"/>
        </w:trPr>
        <w:tc>
          <w:tcPr>
            <w:tcW w:w="42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8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26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167"/>
        </w:trPr>
        <w:tc>
          <w:tcPr>
            <w:tcW w:w="4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Loss from operations before income taxes</w:t>
            </w:r>
          </w:p>
        </w:tc>
        <w:tc>
          <w:tcPr>
            <w:tcW w:w="1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(27,994)</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(32,574)</w:t>
            </w:r>
          </w:p>
        </w:tc>
        <w:tc>
          <w:tcPr>
            <w:tcW w:w="140" w:type="dxa"/>
            <w:vAlign w:val="bottom"/>
            <w:shd w:val="clear" w:color="auto" w:fill="CCEEFF"/>
          </w:tcPr>
          <w:p>
            <w:pPr>
              <w:spacing w:after="0"/>
              <w:rPr>
                <w:sz w:val="14"/>
                <w:szCs w:val="14"/>
                <w:color w:val="auto"/>
              </w:rPr>
            </w:pP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Tax rate</w:t>
            </w: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21 %</w:t>
            </w:r>
          </w:p>
        </w:tc>
        <w:tc>
          <w:tcPr>
            <w:tcW w:w="28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21 %</w:t>
            </w:r>
          </w:p>
        </w:tc>
      </w:tr>
      <w:tr>
        <w:trPr>
          <w:trHeight w:val="167"/>
        </w:trPr>
        <w:tc>
          <w:tcPr>
            <w:tcW w:w="42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Computed “expected” tax benefit</w:t>
            </w:r>
          </w:p>
        </w:tc>
        <w:tc>
          <w:tcPr>
            <w:tcW w:w="18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(5,879)</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(6,841)</w:t>
            </w:r>
          </w:p>
        </w:tc>
        <w:tc>
          <w:tcPr>
            <w:tcW w:w="140" w:type="dxa"/>
            <w:vAlign w:val="bottom"/>
          </w:tcPr>
          <w:p>
            <w:pPr>
              <w:spacing w:after="0"/>
              <w:rPr>
                <w:sz w:val="15"/>
                <w:szCs w:val="15"/>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 taxes, net of federal income tax (expense) benefit</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(1,027)</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w:t>
            </w:r>
          </w:p>
        </w:tc>
        <w:tc>
          <w:tcPr>
            <w:tcW w:w="140" w:type="dxa"/>
            <w:vAlign w:val="bottom"/>
            <w:shd w:val="clear" w:color="auto" w:fill="CCEEFF"/>
          </w:tcPr>
          <w:p>
            <w:pPr>
              <w:spacing w:after="0"/>
              <w:rPr>
                <w:sz w:val="15"/>
                <w:szCs w:val="15"/>
                <w:color w:val="auto"/>
              </w:rPr>
            </w:pP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7,015</w:t>
            </w:r>
          </w:p>
        </w:tc>
        <w:tc>
          <w:tcPr>
            <w:tcW w:w="140" w:type="dxa"/>
            <w:vAlign w:val="bottom"/>
          </w:tcPr>
          <w:p>
            <w:pPr>
              <w:spacing w:after="0"/>
              <w:rPr>
                <w:sz w:val="15"/>
                <w:szCs w:val="15"/>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 JV Basis</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140" w:type="dxa"/>
            <w:vAlign w:val="bottom"/>
            <w:shd w:val="clear" w:color="auto" w:fill="CCEEFF"/>
          </w:tcPr>
          <w:p>
            <w:pPr>
              <w:spacing w:after="0"/>
              <w:rPr>
                <w:sz w:val="15"/>
                <w:szCs w:val="15"/>
                <w:color w:val="auto"/>
              </w:rPr>
            </w:pP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Nondeductible expenses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40" w:type="dxa"/>
            <w:vAlign w:val="bottom"/>
          </w:tcPr>
          <w:p>
            <w:pPr>
              <w:spacing w:after="0"/>
              <w:rPr>
                <w:sz w:val="15"/>
                <w:szCs w:val="15"/>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Adjustments</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Return to Provision Adjustment</w:t>
            </w:r>
          </w:p>
        </w:tc>
        <w:tc>
          <w:tcPr>
            <w:tcW w:w="18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(1,860)</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40" w:type="dxa"/>
            <w:vAlign w:val="bottom"/>
          </w:tcPr>
          <w:p>
            <w:pPr>
              <w:spacing w:after="0"/>
              <w:rPr>
                <w:sz w:val="15"/>
                <w:szCs w:val="15"/>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International Rate Differential</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State Deferred Rate Change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(570)</w:t>
            </w: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 Impairment Adjustment</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(730)</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(810)</w:t>
            </w:r>
          </w:p>
        </w:tc>
      </w:tr>
      <w:tr>
        <w:trPr>
          <w:trHeight w:val="17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items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40" w:type="dxa"/>
            <w:vAlign w:val="bottom"/>
            <w:tcBorders>
              <w:bottom w:val="single" w:sz="8" w:color="CCEEFF"/>
            </w:tcBorders>
          </w:tcPr>
          <w:p>
            <w:pPr>
              <w:spacing w:after="0"/>
              <w:rPr>
                <w:sz w:val="15"/>
                <w:szCs w:val="15"/>
                <w:color w:val="auto"/>
              </w:rPr>
            </w:pPr>
          </w:p>
        </w:tc>
      </w:tr>
      <w:tr>
        <w:trPr>
          <w:trHeight w:val="167"/>
        </w:trPr>
        <w:tc>
          <w:tcPr>
            <w:tcW w:w="428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Income tax expense</w:t>
            </w:r>
          </w:p>
        </w:tc>
        <w:tc>
          <w:tcPr>
            <w:tcW w:w="18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35</w:t>
            </w:r>
          </w:p>
        </w:tc>
        <w:tc>
          <w:tcPr>
            <w:tcW w:w="2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55</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2023 and 2022 are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67"/>
        </w:trPr>
        <w:tc>
          <w:tcPr>
            <w:tcW w:w="90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900" w:type="dxa"/>
            <w:vAlign w:val="bottom"/>
          </w:tcPr>
          <w:p>
            <w:pPr>
              <w:spacing w:after="0"/>
              <w:rPr>
                <w:sz w:val="14"/>
                <w:szCs w:val="14"/>
                <w:color w:val="auto"/>
              </w:rPr>
            </w:pPr>
          </w:p>
        </w:tc>
      </w:tr>
      <w:tr>
        <w:trPr>
          <w:trHeight w:val="167"/>
        </w:trPr>
        <w:tc>
          <w:tcPr>
            <w:tcW w:w="900" w:type="dxa"/>
            <w:vAlign w:val="bottom"/>
          </w:tcPr>
          <w:p>
            <w:pPr>
              <w:spacing w:after="0"/>
              <w:rPr>
                <w:sz w:val="14"/>
                <w:szCs w:val="14"/>
                <w:color w:val="auto"/>
              </w:rPr>
            </w:pPr>
          </w:p>
        </w:tc>
        <w:tc>
          <w:tcPr>
            <w:tcW w:w="26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Deferred income tax assets</w:t>
            </w:r>
          </w:p>
        </w:tc>
        <w:tc>
          <w:tcPr>
            <w:tcW w:w="2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0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290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60,263</w:t>
            </w:r>
          </w:p>
        </w:tc>
        <w:tc>
          <w:tcPr>
            <w:tcW w:w="180" w:type="dxa"/>
            <w:vAlign w:val="bottom"/>
          </w:tcPr>
          <w:p>
            <w:pPr>
              <w:spacing w:after="0"/>
              <w:rPr>
                <w:sz w:val="15"/>
                <w:szCs w:val="15"/>
                <w:color w:val="auto"/>
              </w:rPr>
            </w:pP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51,932</w:t>
            </w: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2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w:t>
            </w: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Intangible assets and other</w:t>
            </w:r>
          </w:p>
        </w:tc>
        <w:tc>
          <w:tcPr>
            <w:tcW w:w="2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7,629</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7,298</w:t>
            </w:r>
          </w:p>
        </w:tc>
        <w:tc>
          <w:tcPr>
            <w:tcW w:w="900" w:type="dxa"/>
            <w:vAlign w:val="bottom"/>
          </w:tcPr>
          <w:p>
            <w:pPr>
              <w:spacing w:after="0"/>
              <w:rPr>
                <w:sz w:val="15"/>
                <w:szCs w:val="15"/>
                <w:color w:val="auto"/>
              </w:rPr>
            </w:pPr>
          </w:p>
        </w:tc>
      </w:tr>
      <w:tr>
        <w:trPr>
          <w:trHeight w:val="167"/>
        </w:trPr>
        <w:tc>
          <w:tcPr>
            <w:tcW w:w="900" w:type="dxa"/>
            <w:vAlign w:val="bottom"/>
          </w:tcPr>
          <w:p>
            <w:pPr>
              <w:spacing w:after="0"/>
              <w:rPr>
                <w:sz w:val="14"/>
                <w:szCs w:val="14"/>
                <w:color w:val="auto"/>
              </w:rPr>
            </w:pPr>
          </w:p>
        </w:tc>
        <w:tc>
          <w:tcPr>
            <w:tcW w:w="26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deferred income tax assets</w:t>
            </w:r>
          </w:p>
        </w:tc>
        <w:tc>
          <w:tcPr>
            <w:tcW w:w="2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69,424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60,259</w:t>
            </w:r>
          </w:p>
        </w:tc>
        <w:tc>
          <w:tcPr>
            <w:tcW w:w="900" w:type="dxa"/>
            <w:vAlign w:val="bottom"/>
          </w:tcPr>
          <w:p>
            <w:pPr>
              <w:spacing w:after="0"/>
              <w:rPr>
                <w:sz w:val="14"/>
                <w:szCs w:val="14"/>
                <w:color w:val="auto"/>
              </w:rPr>
            </w:pPr>
          </w:p>
        </w:tc>
      </w:tr>
      <w:tr>
        <w:trPr>
          <w:trHeight w:val="176"/>
        </w:trPr>
        <w:tc>
          <w:tcPr>
            <w:tcW w:w="90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Less:</w:t>
            </w: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0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2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(69,424)</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(60,259)</w:t>
            </w:r>
          </w:p>
        </w:tc>
        <w:tc>
          <w:tcPr>
            <w:tcW w:w="900" w:type="dxa"/>
            <w:vAlign w:val="bottom"/>
          </w:tcPr>
          <w:p>
            <w:pPr>
              <w:spacing w:after="0"/>
              <w:rPr>
                <w:sz w:val="15"/>
                <w:szCs w:val="15"/>
                <w:color w:val="auto"/>
              </w:rPr>
            </w:pPr>
          </w:p>
        </w:tc>
      </w:tr>
      <w:tr>
        <w:trPr>
          <w:trHeight w:val="167"/>
        </w:trPr>
        <w:tc>
          <w:tcPr>
            <w:tcW w:w="900" w:type="dxa"/>
            <w:vAlign w:val="bottom"/>
          </w:tcPr>
          <w:p>
            <w:pPr>
              <w:spacing w:after="0"/>
              <w:rPr>
                <w:sz w:val="14"/>
                <w:szCs w:val="14"/>
                <w:color w:val="auto"/>
              </w:rPr>
            </w:pPr>
          </w:p>
        </w:tc>
        <w:tc>
          <w:tcPr>
            <w:tcW w:w="268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Net deferred income tax assets</w:t>
            </w:r>
          </w:p>
        </w:tc>
        <w:tc>
          <w:tcPr>
            <w:tcW w:w="27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687"/>
        </w:trPr>
        <w:tc>
          <w:tcPr>
            <w:tcW w:w="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00" w:type="dxa"/>
            <w:vAlign w:val="bottom"/>
            <w:gridSpan w:val="2"/>
          </w:tcPr>
          <w:p>
            <w:pPr>
              <w:jc w:val="right"/>
              <w:ind w:right="1807"/>
              <w:spacing w:after="0"/>
              <w:rPr>
                <w:sz w:val="20"/>
                <w:szCs w:val="20"/>
                <w:color w:val="auto"/>
              </w:rPr>
            </w:pPr>
            <w:r>
              <w:rPr>
                <w:rFonts w:ascii="Times New Roman" w:cs="Times New Roman" w:eastAsia="Times New Roman" w:hAnsi="Times New Roman"/>
                <w:sz w:val="15"/>
                <w:szCs w:val="15"/>
                <w:color w:val="auto"/>
              </w:rPr>
              <w:t>F-34</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1"/>
        </w:trPr>
        <w:tc>
          <w:tcPr>
            <w:tcW w:w="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3"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5"/>
          <w:szCs w:val="15"/>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 will not be utilized in the foreseeable future.</w:t>
      </w:r>
    </w:p>
    <w:p>
      <w:pPr>
        <w:spacing w:after="0" w:line="15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5"/>
          <w:szCs w:val="15"/>
          <w:color w:val="auto"/>
        </w:rPr>
        <w:t>The cumulative valuation allowance as of December 31, 2023 is $69,424 which will be reduced if and when the Company determines that the deferred income tax assets are more likely than not to be realized.</w:t>
      </w:r>
    </w:p>
    <w:p>
      <w:pPr>
        <w:spacing w:after="0" w:line="166" w:lineRule="exact"/>
        <w:rPr>
          <w:sz w:val="20"/>
          <w:szCs w:val="20"/>
          <w:color w:val="auto"/>
        </w:rPr>
      </w:pPr>
    </w:p>
    <w:tbl>
      <w:tblPr>
        <w:tblLayout w:type="fixed"/>
        <w:tblInd w:w="940" w:type="dxa"/>
        <w:tblCellMar>
          <w:top w:w="0" w:type="dxa"/>
          <w:left w:w="0" w:type="dxa"/>
          <w:bottom w:w="0" w:type="dxa"/>
          <w:right w:w="0" w:type="dxa"/>
        </w:tblCellMar>
      </w:tblPr>
      <w:tr>
        <w:trPr>
          <w:trHeight w:val="17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 of January 1, 2022</w:t>
            </w:r>
          </w:p>
        </w:tc>
        <w:tc>
          <w:tcPr>
            <w:tcW w:w="2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53,298</w:t>
            </w:r>
          </w:p>
        </w:tc>
      </w:tr>
      <w:tr>
        <w:trPr>
          <w:trHeight w:val="176"/>
        </w:trPr>
        <w:tc>
          <w:tcPr>
            <w:tcW w:w="63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Charged to cost and expenses</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6,864</w:t>
            </w:r>
          </w:p>
        </w:tc>
      </w:tr>
      <w:tr>
        <w:trPr>
          <w:trHeight w:val="176"/>
        </w:trPr>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Return to provision true-up and other</w:t>
            </w: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r>
      <w:tr>
        <w:trPr>
          <w:trHeight w:val="167"/>
        </w:trPr>
        <w:tc>
          <w:tcPr>
            <w:tcW w:w="636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As of December 31, 2022</w:t>
            </w:r>
          </w:p>
        </w:tc>
        <w:tc>
          <w:tcPr>
            <w:tcW w:w="200" w:type="dxa"/>
            <w:vAlign w:val="bottom"/>
          </w:tcPr>
          <w:p>
            <w:pPr>
              <w:spacing w:after="0"/>
              <w:rPr>
                <w:sz w:val="14"/>
                <w:szCs w:val="14"/>
                <w:color w:val="auto"/>
              </w:rPr>
            </w:pPr>
          </w:p>
        </w:tc>
        <w:tc>
          <w:tcPr>
            <w:tcW w:w="5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60,259</w:t>
            </w:r>
          </w:p>
        </w:tc>
      </w:tr>
      <w:tr>
        <w:trPr>
          <w:trHeight w:val="176"/>
        </w:trPr>
        <w:tc>
          <w:tcPr>
            <w:tcW w:w="6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Charged to cost and expenses</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7,299</w:t>
            </w:r>
          </w:p>
        </w:tc>
      </w:tr>
      <w:tr>
        <w:trPr>
          <w:trHeight w:val="176"/>
        </w:trPr>
        <w:tc>
          <w:tcPr>
            <w:tcW w:w="6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Return to provision true-up and other</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1,866</w:t>
            </w:r>
          </w:p>
        </w:tc>
      </w:tr>
      <w:tr>
        <w:trPr>
          <w:trHeight w:val="167"/>
        </w:trPr>
        <w:tc>
          <w:tcPr>
            <w:tcW w:w="636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As of December 31, 2023</w:t>
            </w:r>
          </w:p>
        </w:tc>
        <w:tc>
          <w:tcPr>
            <w:tcW w:w="20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69,424</w:t>
            </w: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As of December 31, 2023, the Company’s estimated aggregate total NOLs were $150,926 for U.S. federal purposes, expiring 20 years from the respective tax years to which they relate, and $97,968 for U.S. federal purposes with an indefinite life due to new regulations in the Tax Cuts and Jobs Act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Coronavirus Aid, Relief, and Economic Security Act or “CARES Act” was enacted subsequent to the December 31, 2019 period, on March 27, 2020. The CARES act provided for favorable business provisions. However, the Company does not anticipate the income tax provision changes to materially benefit the Company.</w:t>
      </w:r>
    </w:p>
    <w:p>
      <w:pPr>
        <w:spacing w:after="0" w:line="159"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18. Commitments and Contingencies</w:t>
      </w:r>
    </w:p>
    <w:p>
      <w:pPr>
        <w:spacing w:after="0" w:line="181"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4" w:lineRule="exact"/>
        <w:rPr>
          <w:sz w:val="20"/>
          <w:szCs w:val="20"/>
          <w:color w:val="auto"/>
        </w:rPr>
      </w:pPr>
    </w:p>
    <w:p>
      <w:pPr>
        <w:jc w:val="both"/>
        <w:ind w:left="40" w:right="39"/>
        <w:spacing w:after="0" w:line="249" w:lineRule="auto"/>
        <w:rPr>
          <w:sz w:val="20"/>
          <w:szCs w:val="20"/>
          <w:color w:val="auto"/>
        </w:rPr>
      </w:pPr>
      <w:r>
        <w:rPr>
          <w:rFonts w:ascii="Times New Roman" w:cs="Times New Roman" w:eastAsia="Times New Roman" w:hAnsi="Times New Roman"/>
          <w:sz w:val="15"/>
          <w:szCs w:val="15"/>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$449 and $963 as of December 31, 2023 and December 31, 2022 respectively, which is included in </w:t>
      </w:r>
      <w:r>
        <w:rPr>
          <w:rFonts w:ascii="Times New Roman" w:cs="Times New Roman" w:eastAsia="Times New Roman" w:hAnsi="Times New Roman"/>
          <w:sz w:val="15"/>
          <w:szCs w:val="15"/>
          <w:i w:val="1"/>
          <w:iCs w:val="1"/>
          <w:color w:val="auto"/>
        </w:rPr>
        <w:t xml:space="preserve">Accrued expenses and other current liabilities </w:t>
      </w:r>
      <w:r>
        <w:rPr>
          <w:rFonts w:ascii="Times New Roman" w:cs="Times New Roman" w:eastAsia="Times New Roman" w:hAnsi="Times New Roman"/>
          <w:sz w:val="15"/>
          <w:szCs w:val="15"/>
          <w:color w:val="auto"/>
        </w:rPr>
        <w:t>in the consolidated balance sheets.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The Company expenses legal fees in the period in which they are incurred.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5">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OTG Management PHL B v. XpresSpa Philadelphia Terminal B et al.</w:t>
      </w:r>
    </w:p>
    <w:p>
      <w:pPr>
        <w:spacing w:after="0" w:line="181" w:lineRule="exact"/>
        <w:rPr>
          <w:sz w:val="20"/>
          <w:szCs w:val="20"/>
          <w:color w:val="auto"/>
        </w:rPr>
      </w:pPr>
    </w:p>
    <w:p>
      <w:pPr>
        <w:jc w:val="both"/>
        <w:ind w:left="40" w:right="39"/>
        <w:spacing w:after="0" w:line="250" w:lineRule="auto"/>
        <w:rPr>
          <w:sz w:val="20"/>
          <w:szCs w:val="20"/>
          <w:color w:val="auto"/>
        </w:rPr>
      </w:pPr>
      <w:r>
        <w:rPr>
          <w:rFonts w:ascii="Times New Roman" w:cs="Times New Roman" w:eastAsia="Times New Roman" w:hAnsi="Times New Roman"/>
          <w:sz w:val="15"/>
          <w:szCs w:val="15"/>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January 9, 2024, the court placed the matter on Civil Suspense.</w:t>
      </w:r>
    </w:p>
    <w:p>
      <w:pPr>
        <w:spacing w:after="0" w:line="156" w:lineRule="exact"/>
        <w:rPr>
          <w:sz w:val="20"/>
          <w:szCs w:val="20"/>
          <w:color w:val="auto"/>
        </w:rPr>
      </w:pPr>
    </w:p>
    <w:p>
      <w:pPr>
        <w:jc w:val="both"/>
        <w:ind w:left="40" w:right="39"/>
        <w:spacing w:after="0" w:line="248" w:lineRule="auto"/>
        <w:rPr>
          <w:sz w:val="20"/>
          <w:szCs w:val="20"/>
          <w:color w:val="auto"/>
        </w:rPr>
      </w:pPr>
      <w:r>
        <w:rPr>
          <w:rFonts w:ascii="Times New Roman" w:cs="Times New Roman" w:eastAsia="Times New Roman" w:hAnsi="Times New Roman"/>
          <w:sz w:val="15"/>
          <w:szCs w:val="15"/>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5"/>
          <w:szCs w:val="15"/>
          <w:color w:val="auto"/>
        </w:rPr>
        <w:t>In the event that an action is brought against the Company or one of its subsidiaries, the Company will investigate the allegation and vigorously defend itself.</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Leases</w:t>
      </w:r>
    </w:p>
    <w:p>
      <w:pPr>
        <w:spacing w:after="0" w:line="181"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5"/>
          <w:szCs w:val="15"/>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Note 19. Restatement of Previously Issued Financial Statements (Unaudited)</w:t>
      </w:r>
    </w:p>
    <w:p>
      <w:pPr>
        <w:spacing w:after="0" w:line="181"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In connection with the preparation of the Company’s annual 10-K for the year ended December 31, 2023, the Company concluded that in the prior quarter it had not appropriately accounted for the impairment of long-lived assets. These errors led to an understatement of impairment expenses and an overstatement of long-lived assets during the impacted periods.</w:t>
      </w:r>
    </w:p>
    <w:p>
      <w:pPr>
        <w:spacing w:after="0" w:line="149" w:lineRule="exact"/>
        <w:rPr>
          <w:sz w:val="20"/>
          <w:szCs w:val="20"/>
          <w:color w:val="auto"/>
        </w:rPr>
      </w:pPr>
    </w:p>
    <w:p>
      <w:pPr>
        <w:jc w:val="both"/>
        <w:ind w:left="40" w:right="39"/>
        <w:spacing w:after="0" w:line="252" w:lineRule="auto"/>
        <w:rPr>
          <w:sz w:val="20"/>
          <w:szCs w:val="20"/>
          <w:color w:val="auto"/>
        </w:rPr>
      </w:pPr>
      <w:r>
        <w:rPr>
          <w:rFonts w:ascii="Times New Roman" w:cs="Times New Roman" w:eastAsia="Times New Roman" w:hAnsi="Times New Roman"/>
          <w:sz w:val="15"/>
          <w:szCs w:val="15"/>
          <w:color w:val="auto"/>
        </w:rPr>
        <w:t>The Company’s management and in agreement with the audit committee have determined that the previously issued unaudited financial statements for the three and nine-month period ended September 30, 2023 “the Affected period” should no longer be relied upon due to this error and require restatement. The financial effect of this error from previously reported information for the quarter ended September 30, 2023, resulted in an increase in net loss of $1,613, primarily as a result of additional impairment expense on the Company’s Treat segment right-of-use and fixed assets.</w:t>
      </w:r>
    </w:p>
    <w:p>
      <w:pPr>
        <w:spacing w:after="0" w:line="154" w:lineRule="exact"/>
        <w:rPr>
          <w:sz w:val="20"/>
          <w:szCs w:val="20"/>
          <w:color w:val="auto"/>
        </w:rPr>
      </w:pPr>
    </w:p>
    <w:p>
      <w:pPr>
        <w:jc w:val="both"/>
        <w:ind w:left="40" w:right="39"/>
        <w:spacing w:after="0" w:line="257" w:lineRule="auto"/>
        <w:rPr>
          <w:sz w:val="20"/>
          <w:szCs w:val="20"/>
          <w:color w:val="auto"/>
        </w:rPr>
      </w:pPr>
      <w:r>
        <w:rPr>
          <w:rFonts w:ascii="Times New Roman" w:cs="Times New Roman" w:eastAsia="Times New Roman" w:hAnsi="Times New Roman"/>
          <w:sz w:val="15"/>
          <w:szCs w:val="15"/>
          <w:color w:val="auto"/>
        </w:rPr>
        <w:t>The following presents a reconciliation of the impacted financial statements as filed to the restated amounts as of September 30, 2023. The previously reported amounts reflect those included in the filing of the Company’s Quarterly Report on Form 10-Q as of and for the period ended September 30, 2023, filed with the SEC on November 14, 2023.</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6">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64" w:lineRule="exact"/>
        <w:rPr>
          <w:sz w:val="20"/>
          <w:szCs w:val="20"/>
          <w:color w:val="auto"/>
        </w:rPr>
      </w:pPr>
    </w:p>
    <w:p>
      <w:pPr>
        <w:ind w:left="40" w:right="39"/>
        <w:spacing w:after="0" w:line="269" w:lineRule="auto"/>
        <w:rPr>
          <w:sz w:val="20"/>
          <w:szCs w:val="20"/>
          <w:color w:val="auto"/>
        </w:rPr>
      </w:pPr>
      <w:r>
        <w:rPr>
          <w:rFonts w:ascii="Times New Roman" w:cs="Times New Roman" w:eastAsia="Times New Roman" w:hAnsi="Times New Roman"/>
          <w:sz w:val="15"/>
          <w:szCs w:val="15"/>
          <w:color w:val="auto"/>
        </w:rPr>
        <w:t>The amounts labelled as “Restated” represent the effects of this restatement due to additional impairment expense on the Company’s Treat segment right-of-use and fixed assets.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4"/>
              </w:rPr>
              <w:t>As Filed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6"/>
              </w:rPr>
              <w:t>Restatement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7"/>
              </w:rPr>
              <w:t>As restated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2"/>
                <w:szCs w:val="12"/>
                <w:b w:val="1"/>
                <w:bCs w:val="1"/>
                <w:color w:val="auto"/>
                <w:w w:val="94"/>
              </w:rPr>
              <w:t>Adjustments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2"/>
                <w:szCs w:val="12"/>
                <w:b w:val="1"/>
                <w:bCs w:val="1"/>
                <w:color w:val="auto"/>
                <w:w w:val="98"/>
              </w:rPr>
              <w:t>September 30,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2"/>
                <w:szCs w:val="12"/>
                <w:b w:val="1"/>
                <w:bCs w:val="1"/>
                <w:color w:val="auto"/>
                <w:w w:val="95"/>
              </w:rPr>
              <w:t>September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2"/>
                <w:szCs w:val="12"/>
                <w:b w:val="1"/>
                <w:bCs w:val="1"/>
                <w:color w:val="auto"/>
                <w:w w:val="98"/>
              </w:rPr>
              <w:t>September 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2"/>
                <w:szCs w:val="12"/>
                <w:b w:val="1"/>
                <w:bCs w:val="1"/>
                <w:color w:val="auto"/>
                <w:w w:val="91"/>
              </w:rPr>
              <w:t>2023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6"/>
              </w:rPr>
              <w:t>(unaudited)</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2"/>
                <w:szCs w:val="12"/>
                <w:b w:val="1"/>
                <w:bCs w:val="1"/>
                <w:color w:val="auto"/>
                <w:w w:val="96"/>
              </w:rPr>
              <w:t>(unaudited)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Current assets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Inventory</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29,962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29,962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 of use assets, net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w:t>
            </w:r>
          </w:p>
        </w:tc>
        <w:tc>
          <w:tcPr>
            <w:tcW w:w="1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1,787</w:t>
            </w:r>
          </w:p>
        </w:tc>
        <w:tc>
          <w:tcPr>
            <w:tcW w:w="0" w:type="dxa"/>
            <w:vAlign w:val="bottom"/>
          </w:tcPr>
          <w:p>
            <w:pPr>
              <w:spacing w:after="0"/>
              <w:rPr>
                <w:sz w:val="1"/>
                <w:szCs w:val="1"/>
                <w:color w:val="auto"/>
              </w:rPr>
            </w:pPr>
          </w:p>
        </w:tc>
      </w:tr>
      <w:tr>
        <w:trPr>
          <w:trHeight w:val="207"/>
        </w:trPr>
        <w:tc>
          <w:tcPr>
            <w:tcW w:w="56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3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44,550</w:t>
            </w:r>
          </w:p>
        </w:tc>
        <w:tc>
          <w:tcPr>
            <w:tcW w:w="160" w:type="dxa"/>
            <w:vAlign w:val="bottom"/>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(1,613)</w:t>
            </w:r>
          </w:p>
        </w:tc>
        <w:tc>
          <w:tcPr>
            <w:tcW w:w="140" w:type="dxa"/>
            <w:vAlign w:val="bottom"/>
          </w:tcPr>
          <w:p>
            <w:pPr>
              <w:spacing w:after="0"/>
              <w:rPr>
                <w:sz w:val="17"/>
                <w:szCs w:val="17"/>
                <w:color w:val="auto"/>
              </w:rPr>
            </w:pPr>
          </w:p>
        </w:tc>
        <w:tc>
          <w:tcPr>
            <w:tcW w:w="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42,937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2,375</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8,157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8,157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Long-term liabilities</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9,123</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17,280</w:t>
            </w: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17,280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Commitments and contingencies (see Note 13)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Common Stock, $0.01 par value per share, 150,000,000 shares authorized; 4,174,381 and</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4,161,613 shares issued and outstanding as of September 30, 2023 and December 31, 2022,</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respectively*</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470,270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470,270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(449,269)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(450,882)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(1,642)</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equity attributable to XWELL, Inc.</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19,401</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(1,613)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17,788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7,869</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equity</w:t>
            </w: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27,270</w:t>
            </w: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(1,613)</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25,657</w:t>
            </w:r>
          </w:p>
        </w:tc>
        <w:tc>
          <w:tcPr>
            <w:tcW w:w="0" w:type="dxa"/>
            <w:vAlign w:val="bottom"/>
          </w:tcPr>
          <w:p>
            <w:pPr>
              <w:spacing w:after="0"/>
              <w:rPr>
                <w:sz w:val="1"/>
                <w:szCs w:val="1"/>
                <w:color w:val="auto"/>
              </w:rPr>
            </w:pPr>
          </w:p>
        </w:tc>
      </w:tr>
      <w:tr>
        <w:trPr>
          <w:trHeight w:val="167"/>
        </w:trPr>
        <w:tc>
          <w:tcPr>
            <w:tcW w:w="56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liabilities and equity</w:t>
            </w:r>
          </w:p>
        </w:tc>
        <w:tc>
          <w:tcPr>
            <w:tcW w:w="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44,550</w:t>
            </w:r>
          </w:p>
        </w:tc>
        <w:tc>
          <w:tcPr>
            <w:tcW w:w="1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(1,613)</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42,937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ind w:left="4300"/>
              <w:spacing w:after="0"/>
              <w:rPr>
                <w:sz w:val="20"/>
                <w:szCs w:val="20"/>
                <w:color w:val="auto"/>
              </w:rPr>
            </w:pPr>
            <w:r>
              <w:rPr>
                <w:rFonts w:ascii="Times New Roman" w:cs="Times New Roman" w:eastAsia="Times New Roman" w:hAnsi="Times New Roman"/>
                <w:sz w:val="15"/>
                <w:szCs w:val="15"/>
                <w:color w:val="auto"/>
              </w:rPr>
              <w:t>F-37</w:t>
            </w: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3"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rPr>
              <w:t>Restatement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Restatement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As Filed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w w:val="99"/>
              </w:rPr>
              <w:t>Adjustments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As Restated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As Filed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w w:val="99"/>
              </w:rPr>
              <w:t>Adjustments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As Restated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Three months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Three months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Three months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w w:val="99"/>
              </w:rPr>
              <w:t>Nine months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w w:val="99"/>
              </w:rPr>
              <w:t>Nine months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Nine months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ended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center"/>
              <w:ind w:right="9"/>
              <w:spacing w:after="0" w:line="110"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29"/>
              <w:spacing w:after="0" w:line="110"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8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Revenue, net</w:t>
            </w: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color w:val="auto"/>
              </w:rPr>
              <w:t>Patient services revenue</w:t>
            </w:r>
          </w:p>
        </w:tc>
        <w:tc>
          <w:tcPr>
            <w:tcW w:w="44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148</w:t>
            </w:r>
          </w:p>
        </w:tc>
        <w:tc>
          <w:tcPr>
            <w:tcW w:w="1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148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Services</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6,709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6,709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20,485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20,485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color w:val="auto"/>
              </w:rPr>
              <w:t>Products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747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747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2,044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2,044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Other</w:t>
            </w:r>
          </w:p>
        </w:tc>
        <w:tc>
          <w:tcPr>
            <w:tcW w:w="3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12</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12</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29</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revenue, net</w:t>
            </w:r>
          </w:p>
        </w:tc>
        <w:tc>
          <w:tcPr>
            <w:tcW w:w="38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7,468</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7,468</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22,706</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22,706</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28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Cost of sales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Labor</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4,462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4,462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13,609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13,609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color w:val="auto"/>
              </w:rPr>
              <w:t>Occupancy</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1,063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1,063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3,237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3,237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Products and other operating costs</w:t>
            </w:r>
          </w:p>
        </w:tc>
        <w:tc>
          <w:tcPr>
            <w:tcW w:w="38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852</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852</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3,057</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3,057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cost of sales</w:t>
            </w:r>
          </w:p>
        </w:tc>
        <w:tc>
          <w:tcPr>
            <w:tcW w:w="38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6,377</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6,377</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19,903</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19,903</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28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Gross Profit</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1,091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1,091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2,803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2,803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590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590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1,770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1,770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Impairment of long-lived assets</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6,782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1,096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7,878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6,782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1,096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7,878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color w:val="auto"/>
              </w:rPr>
              <w:t>Impairment of operating lease right-of-use assets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517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517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517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517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Loss on disposal of assets</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color w:val="auto"/>
              </w:rPr>
              <w:t>Advertising and promotion expense</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313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313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628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628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IT/Hosting services</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273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273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1,186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1,186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Borders>
              <w:bottom w:val="single" w:sz="8" w:color="CCEEFF"/>
            </w:tcBorders>
          </w:tcPr>
          <w:p>
            <w:pPr>
              <w:ind w:left="60"/>
              <w:spacing w:after="0" w:line="110" w:lineRule="exact"/>
              <w:rPr>
                <w:sz w:val="20"/>
                <w:szCs w:val="20"/>
                <w:color w:val="auto"/>
              </w:rPr>
            </w:pPr>
            <w:r>
              <w:rPr>
                <w:rFonts w:ascii="Times New Roman" w:cs="Times New Roman" w:eastAsia="Times New Roman" w:hAnsi="Times New Roman"/>
                <w:sz w:val="10"/>
                <w:szCs w:val="10"/>
                <w:color w:val="auto"/>
              </w:rPr>
              <w:t>Other general and administrative expenses</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3,593</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3,593</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13,891</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13,891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3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11,567</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13,180</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24,291</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25,904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(10,476)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(12,089)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(21,488)</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101" w:lineRule="exact"/>
              <w:rPr>
                <w:sz w:val="20"/>
                <w:szCs w:val="20"/>
                <w:color w:val="auto"/>
              </w:rPr>
            </w:pPr>
            <w:r>
              <w:rPr>
                <w:rFonts w:ascii="Times New Roman" w:cs="Times New Roman" w:eastAsia="Times New Roman" w:hAnsi="Times New Roman"/>
                <w:sz w:val="10"/>
                <w:szCs w:val="10"/>
                <w:color w:val="auto"/>
              </w:rPr>
              <w:t>(23,101)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Interest income, net</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105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105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334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334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ind w:left="60"/>
              <w:spacing w:after="0" w:line="110" w:lineRule="exact"/>
              <w:rPr>
                <w:sz w:val="20"/>
                <w:szCs w:val="20"/>
                <w:color w:val="auto"/>
              </w:rPr>
            </w:pPr>
            <w:r>
              <w:rPr>
                <w:rFonts w:ascii="Times New Roman" w:cs="Times New Roman" w:eastAsia="Times New Roman" w:hAnsi="Times New Roman"/>
                <w:sz w:val="10"/>
                <w:szCs w:val="10"/>
                <w:color w:val="auto"/>
              </w:rPr>
              <w:t>Foreign exchange remeasurement gain/(loss)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366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366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(690)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auto"/>
              </w:rPr>
              <w:t>(690)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Gain on Securities, realized and unrealized</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225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703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703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Borders>
              <w:bottom w:val="single" w:sz="8" w:color="CCEEFF"/>
            </w:tcBorders>
          </w:tcPr>
          <w:p>
            <w:pPr>
              <w:ind w:left="60"/>
              <w:spacing w:after="0" w:line="110" w:lineRule="exact"/>
              <w:rPr>
                <w:sz w:val="20"/>
                <w:szCs w:val="20"/>
                <w:color w:val="auto"/>
              </w:rPr>
            </w:pPr>
            <w:r>
              <w:rPr>
                <w:rFonts w:ascii="Times New Roman" w:cs="Times New Roman" w:eastAsia="Times New Roman" w:hAnsi="Times New Roman"/>
                <w:sz w:val="10"/>
                <w:szCs w:val="10"/>
                <w:color w:val="auto"/>
              </w:rPr>
              <w:t>Other non-operating expense, net</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(198)</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(198)</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(345)</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(345)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Loss before income taxes</w:t>
            </w: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(9,978)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(11,591)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(21,486)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(23,099)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Borders>
              <w:bottom w:val="single" w:sz="8" w:color="CCEEFF"/>
            </w:tcBorders>
          </w:tcPr>
          <w:p>
            <w:pPr>
              <w:ind w:left="60"/>
              <w:spacing w:after="0" w:line="110" w:lineRule="exact"/>
              <w:rPr>
                <w:sz w:val="20"/>
                <w:szCs w:val="20"/>
                <w:color w:val="auto"/>
              </w:rPr>
            </w:pPr>
            <w:r>
              <w:rPr>
                <w:rFonts w:ascii="Times New Roman" w:cs="Times New Roman" w:eastAsia="Times New Roman" w:hAnsi="Times New Roman"/>
                <w:sz w:val="10"/>
                <w:szCs w:val="10"/>
                <w:color w:val="auto"/>
              </w:rPr>
              <w:t>Income tax expense</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(9,978)</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(11,591)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(21,486)</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(23,099)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Borders>
              <w:bottom w:val="single" w:sz="8" w:color="CCEEFF"/>
            </w:tcBorders>
          </w:tcPr>
          <w:p>
            <w:pPr>
              <w:ind w:left="60"/>
              <w:spacing w:after="0" w:line="110" w:lineRule="exact"/>
              <w:rPr>
                <w:sz w:val="20"/>
                <w:szCs w:val="20"/>
                <w:color w:val="auto"/>
              </w:rPr>
            </w:pPr>
            <w:r>
              <w:rPr>
                <w:rFonts w:ascii="Times New Roman" w:cs="Times New Roman" w:eastAsia="Times New Roman" w:hAnsi="Times New Roman"/>
                <w:sz w:val="10"/>
                <w:szCs w:val="10"/>
                <w:color w:val="auto"/>
              </w:rPr>
              <w:t>Net (income) loss attributable to noncontrolling interests</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60</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60</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329</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329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Net loss attributable to XWELL, Inc.</w:t>
            </w:r>
          </w:p>
        </w:tc>
        <w:tc>
          <w:tcPr>
            <w:tcW w:w="38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(9,918)</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(11,531)</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(21,157)</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(22,770)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vMerge w:val="restart"/>
          </w:tcPr>
          <w:p>
            <w:pPr>
              <w:spacing w:after="0"/>
              <w:rPr>
                <w:sz w:val="7"/>
                <w:szCs w:val="7"/>
                <w:color w:val="auto"/>
              </w:rPr>
            </w:pPr>
          </w:p>
        </w:tc>
        <w:tc>
          <w:tcPr>
            <w:tcW w:w="3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2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44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(9,978)</w:t>
            </w:r>
          </w:p>
        </w:tc>
        <w:tc>
          <w:tcPr>
            <w:tcW w:w="18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(1,613)</w:t>
            </w:r>
          </w:p>
        </w:tc>
        <w:tc>
          <w:tcPr>
            <w:tcW w:w="18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(11,591)</w:t>
            </w:r>
          </w:p>
        </w:tc>
        <w:tc>
          <w:tcPr>
            <w:tcW w:w="18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(21,486)</w:t>
            </w:r>
          </w:p>
        </w:tc>
        <w:tc>
          <w:tcPr>
            <w:tcW w:w="18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(1,613)</w:t>
            </w:r>
          </w:p>
        </w:tc>
        <w:tc>
          <w:tcPr>
            <w:tcW w:w="180" w:type="dxa"/>
            <w:vAlign w:val="bottom"/>
            <w:gridSpan w:val="2"/>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(23,099)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Borders>
              <w:bottom w:val="single" w:sz="8" w:color="CCEEFF"/>
            </w:tcBorders>
          </w:tcPr>
          <w:p>
            <w:pPr>
              <w:ind w:left="60"/>
              <w:spacing w:after="0" w:line="110" w:lineRule="exact"/>
              <w:rPr>
                <w:sz w:val="20"/>
                <w:szCs w:val="20"/>
                <w:color w:val="auto"/>
              </w:rPr>
            </w:pPr>
            <w:r>
              <w:rPr>
                <w:rFonts w:ascii="Times New Roman" w:cs="Times New Roman" w:eastAsia="Times New Roman" w:hAnsi="Times New Roman"/>
                <w:sz w:val="10"/>
                <w:szCs w:val="10"/>
                <w:color w:val="auto"/>
              </w:rPr>
              <w:t>Other comprehensive loss</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(514)</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(514)</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(1,108)</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color w:val="auto"/>
              </w:rPr>
              <w:t>(1,108)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Comprehensive loss from continuing operations</w:t>
            </w:r>
          </w:p>
        </w:tc>
        <w:tc>
          <w:tcPr>
            <w:tcW w:w="3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(10,492)</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(12,105)</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(22,594)</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(24,207)</w:t>
            </w:r>
          </w:p>
        </w:tc>
        <w:tc>
          <w:tcPr>
            <w:tcW w:w="0" w:type="dxa"/>
            <w:vAlign w:val="bottom"/>
          </w:tcPr>
          <w:p>
            <w:pPr>
              <w:spacing w:after="0"/>
              <w:rPr>
                <w:sz w:val="1"/>
                <w:szCs w:val="1"/>
                <w:color w:val="auto"/>
              </w:rPr>
            </w:pPr>
          </w:p>
        </w:tc>
      </w:tr>
      <w:tr>
        <w:trPr>
          <w:trHeight w:val="141"/>
        </w:trPr>
        <w:tc>
          <w:tcPr>
            <w:tcW w:w="3300" w:type="dxa"/>
            <w:vAlign w:val="bottom"/>
            <w:gridSpan w:val="2"/>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Comprehensive loss</w:t>
            </w:r>
          </w:p>
        </w:tc>
        <w:tc>
          <w:tcPr>
            <w:tcW w:w="3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(10,492)</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(12,105)</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(22,594)</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(1,613)</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0"/>
                <w:szCs w:val="10"/>
                <w:color w:val="auto"/>
              </w:rPr>
              <w:t>(24,207)</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28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280" w:type="dxa"/>
            <w:vAlign w:val="bottom"/>
            <w:tcBorders>
              <w:bottom w:val="single" w:sz="8" w:color="CCEEFF"/>
            </w:tcBorders>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Loss per share</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28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Basic and diluted loss per share*</w:t>
            </w:r>
          </w:p>
        </w:tc>
        <w:tc>
          <w:tcPr>
            <w:tcW w:w="38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(2.38)</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(0.39)</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(2.76)</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(5.07)</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(0.39)</w:t>
            </w: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(5.46)</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Weighted-average number of shares outstanding during the period</w:t>
            </w: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3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Borders>
              <w:bottom w:val="single" w:sz="8" w:color="CCEEFF"/>
            </w:tcBorders>
            <w:shd w:val="clear" w:color="auto" w:fill="CCEEFF"/>
          </w:tcPr>
          <w:p>
            <w:pPr>
              <w:ind w:left="60"/>
              <w:spacing w:after="0" w:line="110" w:lineRule="exact"/>
              <w:rPr>
                <w:sz w:val="20"/>
                <w:szCs w:val="20"/>
                <w:color w:val="auto"/>
              </w:rPr>
            </w:pPr>
            <w:r>
              <w:rPr>
                <w:rFonts w:ascii="Times New Roman" w:cs="Times New Roman" w:eastAsia="Times New Roman" w:hAnsi="Times New Roman"/>
                <w:sz w:val="10"/>
                <w:szCs w:val="10"/>
                <w:color w:val="auto"/>
              </w:rPr>
              <w:t>Basic and diluted*</w:t>
            </w:r>
          </w:p>
        </w:tc>
        <w:tc>
          <w:tcPr>
            <w:tcW w:w="3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4,173,894</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4,173,894</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4,173,894</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4,170,629</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4,170,629</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0"/>
                <w:szCs w:val="10"/>
                <w:color w:val="auto"/>
              </w:rPr>
              <w:t>4,170,629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Diluted</w:t>
            </w: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4,173,894</w:t>
            </w: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4,173,894</w:t>
            </w: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4,173,894</w:t>
            </w: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4,170,629</w:t>
            </w: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4,170,629</w:t>
            </w: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3" w:lineRule="exact"/>
              <w:rPr>
                <w:sz w:val="20"/>
                <w:szCs w:val="20"/>
                <w:color w:val="auto"/>
              </w:rPr>
            </w:pPr>
            <w:r>
              <w:rPr>
                <w:rFonts w:ascii="Times New Roman" w:cs="Times New Roman" w:eastAsia="Times New Roman" w:hAnsi="Times New Roman"/>
                <w:sz w:val="9"/>
                <w:szCs w:val="9"/>
                <w:color w:val="auto"/>
              </w:rPr>
              <w:t>4,170,629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360" w:right="2659" w:hanging="4325"/>
        <w:spacing w:after="0" w:line="758" w:lineRule="auto"/>
        <w:tabs>
          <w:tab w:leader="none" w:pos="139"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to reflect the impact of the 1:20 reverse stock split that became effective on September 28, 2023. 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43180</wp:posOffset>
            </wp:positionV>
            <wp:extent cx="567880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7">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03"/>
        </w:trPr>
        <w:tc>
          <w:tcPr>
            <w:tcW w:w="3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ind w:left="20"/>
              <w:spacing w:after="0" w:line="99"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16"/>
              <w:spacing w:after="0" w:line="99" w:lineRule="exact"/>
              <w:rPr>
                <w:sz w:val="20"/>
                <w:szCs w:val="20"/>
                <w:color w:val="auto"/>
              </w:rPr>
            </w:pPr>
            <w:r>
              <w:rPr>
                <w:rFonts w:ascii="Times New Roman" w:cs="Times New Roman" w:eastAsia="Times New Roman" w:hAnsi="Times New Roman"/>
                <w:sz w:val="9"/>
                <w:szCs w:val="9"/>
                <w:b w:val="1"/>
                <w:bCs w:val="1"/>
                <w:color w:val="auto"/>
                <w:w w:val="97"/>
              </w:rPr>
              <w:t>other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center"/>
              <w:ind w:right="16"/>
              <w:spacing w:after="0" w:line="99" w:lineRule="exact"/>
              <w:rPr>
                <w:sz w:val="20"/>
                <w:szCs w:val="20"/>
                <w:color w:val="auto"/>
              </w:rPr>
            </w:pPr>
            <w:r>
              <w:rPr>
                <w:rFonts w:ascii="Times New Roman" w:cs="Times New Roman" w:eastAsia="Times New Roman" w:hAnsi="Times New Roman"/>
                <w:sz w:val="9"/>
                <w:szCs w:val="9"/>
                <w:b w:val="1"/>
                <w:bCs w:val="1"/>
                <w:color w:val="auto"/>
                <w:w w:val="87"/>
              </w:rPr>
              <w:t>Total</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9"/>
                <w:szCs w:val="9"/>
                <w:b w:val="1"/>
                <w:bCs w:val="1"/>
                <w:color w:val="auto"/>
                <w:w w:val="94"/>
              </w:rPr>
              <w:t>Non-</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8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9"/>
                <w:szCs w:val="9"/>
                <w:b w:val="1"/>
                <w:bCs w:val="1"/>
                <w:color w:val="auto"/>
                <w:w w:val="94"/>
              </w:rPr>
              <w:t>Treasury Stock</w:t>
            </w:r>
          </w:p>
        </w:tc>
        <w:tc>
          <w:tcPr>
            <w:tcW w:w="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jc w:val="right"/>
              <w:ind w:right="116"/>
              <w:spacing w:after="0"/>
              <w:rPr>
                <w:sz w:val="20"/>
                <w:szCs w:val="20"/>
                <w:color w:val="auto"/>
              </w:rPr>
            </w:pPr>
            <w:r>
              <w:rPr>
                <w:rFonts w:ascii="Times New Roman" w:cs="Times New Roman" w:eastAsia="Times New Roman" w:hAnsi="Times New Roman"/>
                <w:sz w:val="9"/>
                <w:szCs w:val="9"/>
                <w:b w:val="1"/>
                <w:bCs w:val="1"/>
                <w:color w:val="auto"/>
              </w:rPr>
              <w:t>paid-</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9"/>
                <w:szCs w:val="9"/>
                <w:b w:val="1"/>
                <w:bCs w:val="1"/>
                <w:color w:val="auto"/>
                <w:w w:val="94"/>
              </w:rPr>
              <w:t>Accumulated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w w:val="97"/>
              </w:rPr>
              <w:t>comprehensive</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rPr>
              <w:t>Company</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9"/>
              </w:rPr>
              <w:t>controlling</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0"/>
        </w:trPr>
        <w:tc>
          <w:tcPr>
            <w:tcW w:w="3100" w:type="dxa"/>
            <w:vAlign w:val="bottom"/>
          </w:tcPr>
          <w:p>
            <w:pPr>
              <w:spacing w:after="0"/>
              <w:rPr>
                <w:sz w:val="7"/>
                <w:szCs w:val="7"/>
                <w:color w:val="auto"/>
              </w:rPr>
            </w:pPr>
          </w:p>
        </w:tc>
        <w:tc>
          <w:tcPr>
            <w:tcW w:w="520" w:type="dxa"/>
            <w:vAlign w:val="bottom"/>
          </w:tcPr>
          <w:p>
            <w:pPr>
              <w:jc w:val="right"/>
              <w:ind w:right="77"/>
              <w:spacing w:after="0" w:line="90"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7"/>
                <w:szCs w:val="7"/>
                <w:color w:val="auto"/>
              </w:rPr>
            </w:pPr>
          </w:p>
        </w:tc>
        <w:tc>
          <w:tcPr>
            <w:tcW w:w="380" w:type="dxa"/>
            <w:vAlign w:val="bottom"/>
            <w:gridSpan w:val="2"/>
          </w:tcPr>
          <w:p>
            <w:pPr>
              <w:spacing w:after="0" w:line="90"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7"/>
                <w:szCs w:val="7"/>
                <w:color w:val="auto"/>
              </w:rPr>
            </w:pPr>
          </w:p>
        </w:tc>
        <w:tc>
          <w:tcPr>
            <w:tcW w:w="380" w:type="dxa"/>
            <w:vAlign w:val="bottom"/>
          </w:tcPr>
          <w:p>
            <w:pPr>
              <w:ind w:left="40"/>
              <w:spacing w:after="0" w:line="90"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Pr>
          <w:p>
            <w:pPr>
              <w:spacing w:after="0"/>
              <w:rPr>
                <w:sz w:val="7"/>
                <w:szCs w:val="7"/>
                <w:color w:val="auto"/>
              </w:rPr>
            </w:pPr>
          </w:p>
        </w:tc>
        <w:tc>
          <w:tcPr>
            <w:tcW w:w="380" w:type="dxa"/>
            <w:vAlign w:val="bottom"/>
            <w:gridSpan w:val="2"/>
          </w:tcPr>
          <w:p>
            <w:pPr>
              <w:ind w:left="20"/>
              <w:spacing w:after="0" w:line="90"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ind w:left="20"/>
              <w:spacing w:after="0" w:line="90" w:lineRule="exact"/>
              <w:rPr>
                <w:sz w:val="20"/>
                <w:szCs w:val="20"/>
                <w:color w:val="auto"/>
              </w:rPr>
            </w:pPr>
            <w:r>
              <w:rPr>
                <w:rFonts w:ascii="Times New Roman" w:cs="Times New Roman" w:eastAsia="Times New Roman" w:hAnsi="Times New Roman"/>
                <w:sz w:val="9"/>
                <w:szCs w:val="9"/>
                <w:b w:val="1"/>
                <w:bCs w:val="1"/>
                <w:color w:val="auto"/>
              </w:rPr>
              <w:t>in capital</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jc w:val="right"/>
              <w:ind w:right="137"/>
              <w:spacing w:after="0" w:line="90" w:lineRule="exact"/>
              <w:rPr>
                <w:sz w:val="20"/>
                <w:szCs w:val="20"/>
                <w:color w:val="auto"/>
              </w:rPr>
            </w:pPr>
            <w:r>
              <w:rPr>
                <w:rFonts w:ascii="Times New Roman" w:cs="Times New Roman" w:eastAsia="Times New Roman" w:hAnsi="Times New Roman"/>
                <w:sz w:val="9"/>
                <w:szCs w:val="9"/>
                <w:b w:val="1"/>
                <w:bCs w:val="1"/>
                <w:color w:val="auto"/>
              </w:rPr>
              <w:t>deficit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center"/>
              <w:ind w:right="36"/>
              <w:spacing w:after="0" w:line="90" w:lineRule="exact"/>
              <w:rPr>
                <w:sz w:val="20"/>
                <w:szCs w:val="20"/>
                <w:color w:val="auto"/>
              </w:rPr>
            </w:pPr>
            <w:r>
              <w:rPr>
                <w:rFonts w:ascii="Times New Roman" w:cs="Times New Roman" w:eastAsia="Times New Roman" w:hAnsi="Times New Roman"/>
                <w:sz w:val="9"/>
                <w:szCs w:val="9"/>
                <w:b w:val="1"/>
                <w:bCs w:val="1"/>
                <w:color w:val="auto"/>
                <w:w w:val="99"/>
              </w:rPr>
              <w:t>loss</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jc w:val="center"/>
              <w:ind w:right="16"/>
              <w:spacing w:after="0" w:line="90" w:lineRule="exact"/>
              <w:rPr>
                <w:sz w:val="20"/>
                <w:szCs w:val="20"/>
                <w:color w:val="auto"/>
              </w:rPr>
            </w:pPr>
            <w:r>
              <w:rPr>
                <w:rFonts w:ascii="Times New Roman" w:cs="Times New Roman" w:eastAsia="Times New Roman" w:hAnsi="Times New Roman"/>
                <w:sz w:val="9"/>
                <w:szCs w:val="9"/>
                <w:b w:val="1"/>
                <w:bCs w:val="1"/>
                <w:color w:val="auto"/>
                <w:w w:val="91"/>
              </w:rPr>
              <w:t>equity</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tcPr>
          <w:p>
            <w:pPr>
              <w:jc w:val="center"/>
              <w:ind w:right="160"/>
              <w:spacing w:after="0" w:line="90" w:lineRule="exact"/>
              <w:rPr>
                <w:sz w:val="20"/>
                <w:szCs w:val="20"/>
                <w:color w:val="auto"/>
              </w:rPr>
            </w:pPr>
            <w:r>
              <w:rPr>
                <w:rFonts w:ascii="Times New Roman" w:cs="Times New Roman" w:eastAsia="Times New Roman" w:hAnsi="Times New Roman"/>
                <w:sz w:val="9"/>
                <w:szCs w:val="9"/>
                <w:b w:val="1"/>
                <w:bCs w:val="1"/>
                <w:color w:val="auto"/>
                <w:w w:val="92"/>
              </w:rPr>
              <w:t>interests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jc w:val="right"/>
              <w:ind w:right="77"/>
              <w:spacing w:after="0" w:line="90" w:lineRule="exact"/>
              <w:rPr>
                <w:sz w:val="20"/>
                <w:szCs w:val="20"/>
                <w:color w:val="auto"/>
              </w:rPr>
            </w:pPr>
            <w:r>
              <w:rPr>
                <w:rFonts w:ascii="Times New Roman" w:cs="Times New Roman" w:eastAsia="Times New Roman" w:hAnsi="Times New Roman"/>
                <w:sz w:val="9"/>
                <w:szCs w:val="9"/>
                <w:b w:val="1"/>
                <w:bCs w:val="1"/>
                <w:color w:val="auto"/>
                <w:w w:val="99"/>
              </w:rPr>
              <w:t>equity</w:t>
            </w:r>
          </w:p>
        </w:tc>
        <w:tc>
          <w:tcPr>
            <w:tcW w:w="0" w:type="dxa"/>
            <w:vAlign w:val="bottom"/>
          </w:tcPr>
          <w:p>
            <w:pPr>
              <w:spacing w:after="0"/>
              <w:rPr>
                <w:sz w:val="1"/>
                <w:szCs w:val="1"/>
                <w:color w:val="auto"/>
              </w:rPr>
            </w:pPr>
          </w:p>
        </w:tc>
      </w:tr>
      <w:tr>
        <w:trPr>
          <w:trHeight w:val="90"/>
        </w:trPr>
        <w:tc>
          <w:tcPr>
            <w:tcW w:w="3100" w:type="dxa"/>
            <w:vAlign w:val="bottom"/>
            <w:tcBorders>
              <w:top w:val="single" w:sz="8" w:color="CCEEFF"/>
            </w:tcBorders>
            <w:shd w:val="clear" w:color="auto" w:fill="CCEEFF"/>
          </w:tcPr>
          <w:p>
            <w:pPr>
              <w:spacing w:after="0" w:line="90" w:lineRule="exact"/>
              <w:rPr>
                <w:sz w:val="20"/>
                <w:szCs w:val="20"/>
                <w:color w:val="auto"/>
              </w:rPr>
            </w:pPr>
            <w:r>
              <w:rPr>
                <w:rFonts w:ascii="Times New Roman" w:cs="Times New Roman" w:eastAsia="Times New Roman" w:hAnsi="Times New Roman"/>
                <w:sz w:val="9"/>
                <w:szCs w:val="9"/>
                <w:b w:val="1"/>
                <w:bCs w:val="1"/>
                <w:color w:val="auto"/>
              </w:rPr>
              <w:t>December 31, 2022</w:t>
            </w:r>
          </w:p>
        </w:tc>
        <w:tc>
          <w:tcPr>
            <w:tcW w:w="52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4,161,613</w:t>
            </w: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line="90"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42</w:t>
            </w: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ind w:left="24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468,530</w:t>
            </w: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(428,112)</w:t>
            </w: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(534)</w:t>
            </w: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39,926</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8,023</w:t>
            </w: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top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47,949</w:t>
            </w:r>
          </w:p>
        </w:tc>
        <w:tc>
          <w:tcPr>
            <w:tcW w:w="0" w:type="dxa"/>
            <w:vAlign w:val="bottom"/>
          </w:tcPr>
          <w:p>
            <w:pPr>
              <w:spacing w:after="0"/>
              <w:rPr>
                <w:sz w:val="1"/>
                <w:szCs w:val="1"/>
                <w:color w:val="auto"/>
              </w:rPr>
            </w:pPr>
          </w:p>
        </w:tc>
      </w:tr>
      <w:tr>
        <w:trPr>
          <w:trHeight w:val="99"/>
        </w:trPr>
        <w:tc>
          <w:tcPr>
            <w:tcW w:w="31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Issuance of restricted stock units</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6,015</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3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Value of shares withheld to fund payroll taxes</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w:t>
            </w:r>
          </w:p>
        </w:tc>
        <w:tc>
          <w:tcPr>
            <w:tcW w:w="0" w:type="dxa"/>
            <w:vAlign w:val="bottom"/>
          </w:tcPr>
          <w:p>
            <w:pPr>
              <w:spacing w:after="0"/>
              <w:rPr>
                <w:sz w:val="1"/>
                <w:szCs w:val="1"/>
                <w:color w:val="auto"/>
              </w:rPr>
            </w:pPr>
          </w:p>
        </w:tc>
      </w:tr>
      <w:tr>
        <w:trPr>
          <w:trHeight w:val="99"/>
        </w:trPr>
        <w:tc>
          <w:tcPr>
            <w:tcW w:w="31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Stock-based compensation</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589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589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23</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612</w:t>
            </w:r>
          </w:p>
        </w:tc>
        <w:tc>
          <w:tcPr>
            <w:tcW w:w="0" w:type="dxa"/>
            <w:vAlign w:val="bottom"/>
          </w:tcPr>
          <w:p>
            <w:pPr>
              <w:spacing w:after="0"/>
              <w:rPr>
                <w:sz w:val="1"/>
                <w:szCs w:val="1"/>
                <w:color w:val="auto"/>
              </w:rPr>
            </w:pPr>
          </w:p>
        </w:tc>
      </w:tr>
      <w:tr>
        <w:trPr>
          <w:trHeight w:val="99"/>
        </w:trPr>
        <w:tc>
          <w:tcPr>
            <w:tcW w:w="3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Net loss for the period</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(5,509)</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(5,509)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(320)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(5,829)</w:t>
            </w:r>
          </w:p>
        </w:tc>
        <w:tc>
          <w:tcPr>
            <w:tcW w:w="0" w:type="dxa"/>
            <w:vAlign w:val="bottom"/>
          </w:tcPr>
          <w:p>
            <w:pPr>
              <w:spacing w:after="0"/>
              <w:rPr>
                <w:sz w:val="1"/>
                <w:szCs w:val="1"/>
                <w:color w:val="auto"/>
              </w:rPr>
            </w:pPr>
          </w:p>
        </w:tc>
      </w:tr>
      <w:tr>
        <w:trPr>
          <w:trHeight w:val="99"/>
        </w:trPr>
        <w:tc>
          <w:tcPr>
            <w:tcW w:w="31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(130)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(130)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11</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(119)</w:t>
            </w:r>
          </w:p>
        </w:tc>
        <w:tc>
          <w:tcPr>
            <w:tcW w:w="0" w:type="dxa"/>
            <w:vAlign w:val="bottom"/>
          </w:tcPr>
          <w:p>
            <w:pPr>
              <w:spacing w:after="0"/>
              <w:rPr>
                <w:sz w:val="1"/>
                <w:szCs w:val="1"/>
                <w:color w:val="auto"/>
              </w:rPr>
            </w:pPr>
          </w:p>
        </w:tc>
      </w:tr>
      <w:tr>
        <w:trPr>
          <w:trHeight w:val="90"/>
        </w:trPr>
        <w:tc>
          <w:tcPr>
            <w:tcW w:w="3100" w:type="dxa"/>
            <w:vAlign w:val="bottom"/>
            <w:tcBorders>
              <w:top w:val="single" w:sz="8" w:color="CCEEFF"/>
              <w:bottom w:val="single" w:sz="8" w:color="CCEEFF"/>
            </w:tcBorders>
            <w:shd w:val="clear" w:color="auto" w:fill="CCEEFF"/>
          </w:tcPr>
          <w:p>
            <w:pPr>
              <w:spacing w:after="0" w:line="90" w:lineRule="exact"/>
              <w:rPr>
                <w:sz w:val="20"/>
                <w:szCs w:val="20"/>
                <w:color w:val="auto"/>
              </w:rPr>
            </w:pPr>
            <w:r>
              <w:rPr>
                <w:rFonts w:ascii="Times New Roman" w:cs="Times New Roman" w:eastAsia="Times New Roman" w:hAnsi="Times New Roman"/>
                <w:sz w:val="9"/>
                <w:szCs w:val="9"/>
                <w:b w:val="1"/>
                <w:bCs w:val="1"/>
                <w:color w:val="auto"/>
              </w:rPr>
              <w:t>March 31, 2023</w:t>
            </w:r>
          </w:p>
        </w:tc>
        <w:tc>
          <w:tcPr>
            <w:tcW w:w="52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4,167,628</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spacing w:after="0" w:line="90"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42</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380" w:type="dxa"/>
            <w:vAlign w:val="bottom"/>
            <w:tcBorders>
              <w:top w:val="single" w:sz="8" w:color="auto"/>
              <w:bottom w:val="single" w:sz="8" w:color="auto"/>
            </w:tcBorders>
            <w:shd w:val="clear" w:color="auto" w:fill="CCEEFF"/>
          </w:tcPr>
          <w:p>
            <w:pPr>
              <w:ind w:left="24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shd w:val="clear" w:color="auto" w:fill="CCEEFF"/>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469,097</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(433,621)</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(664)</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34,854</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7,737</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42,591</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Issuance of restricted stock units</w:t>
            </w: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100" w:type="dxa"/>
            <w:vAlign w:val="bottom"/>
            <w:vMerge w:val="continue"/>
          </w:tcPr>
          <w:p>
            <w:pPr>
              <w:spacing w:after="0"/>
              <w:rPr>
                <w:sz w:val="6"/>
                <w:szCs w:val="6"/>
                <w:color w:val="auto"/>
              </w:rPr>
            </w:pPr>
          </w:p>
        </w:tc>
        <w:tc>
          <w:tcPr>
            <w:tcW w:w="5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3,297</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vMerge w:val="continue"/>
          </w:tcPr>
          <w:p>
            <w:pPr>
              <w:spacing w:after="0"/>
              <w:rPr>
                <w:sz w:val="6"/>
                <w:szCs w:val="6"/>
                <w:color w:val="auto"/>
              </w:rPr>
            </w:pPr>
          </w:p>
        </w:tc>
        <w:tc>
          <w:tcPr>
            <w:tcW w:w="380" w:type="dxa"/>
            <w:vAlign w:val="bottom"/>
          </w:tcPr>
          <w:p>
            <w:pPr>
              <w:ind w:left="240"/>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ind w:left="20"/>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9"/>
        </w:trPr>
        <w:tc>
          <w:tcPr>
            <w:tcW w:w="3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Stock-based compensation</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603</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603</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23</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626</w:t>
            </w:r>
          </w:p>
        </w:tc>
        <w:tc>
          <w:tcPr>
            <w:tcW w:w="0" w:type="dxa"/>
            <w:vAlign w:val="bottom"/>
          </w:tcPr>
          <w:p>
            <w:pPr>
              <w:spacing w:after="0"/>
              <w:rPr>
                <w:sz w:val="1"/>
                <w:szCs w:val="1"/>
                <w:color w:val="auto"/>
              </w:rPr>
            </w:pPr>
          </w:p>
        </w:tc>
      </w:tr>
      <w:tr>
        <w:trPr>
          <w:trHeight w:val="99"/>
        </w:trPr>
        <w:tc>
          <w:tcPr>
            <w:tcW w:w="31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Distributions to noncontrolling interests</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(120)</w:t>
            </w:r>
          </w:p>
        </w:tc>
        <w:tc>
          <w:tcPr>
            <w:tcW w:w="0" w:type="dxa"/>
            <w:vAlign w:val="bottom"/>
          </w:tcPr>
          <w:p>
            <w:pPr>
              <w:spacing w:after="0"/>
              <w:rPr>
                <w:sz w:val="1"/>
                <w:szCs w:val="1"/>
                <w:color w:val="auto"/>
              </w:rPr>
            </w:pPr>
          </w:p>
        </w:tc>
      </w:tr>
      <w:tr>
        <w:trPr>
          <w:trHeight w:val="99"/>
        </w:trPr>
        <w:tc>
          <w:tcPr>
            <w:tcW w:w="3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(464)</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(464)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46</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(418)</w:t>
            </w:r>
          </w:p>
        </w:tc>
        <w:tc>
          <w:tcPr>
            <w:tcW w:w="0" w:type="dxa"/>
            <w:vAlign w:val="bottom"/>
          </w:tcPr>
          <w:p>
            <w:pPr>
              <w:spacing w:after="0"/>
              <w:rPr>
                <w:sz w:val="1"/>
                <w:szCs w:val="1"/>
                <w:color w:val="auto"/>
              </w:rPr>
            </w:pPr>
          </w:p>
        </w:tc>
      </w:tr>
      <w:tr>
        <w:trPr>
          <w:trHeight w:val="99"/>
        </w:trPr>
        <w:tc>
          <w:tcPr>
            <w:tcW w:w="31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Net loss for the period</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(5,730)</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(5,730)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51</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(5,679)</w:t>
            </w:r>
          </w:p>
        </w:tc>
        <w:tc>
          <w:tcPr>
            <w:tcW w:w="0" w:type="dxa"/>
            <w:vAlign w:val="bottom"/>
          </w:tcPr>
          <w:p>
            <w:pPr>
              <w:spacing w:after="0"/>
              <w:rPr>
                <w:sz w:val="1"/>
                <w:szCs w:val="1"/>
                <w:color w:val="auto"/>
              </w:rPr>
            </w:pPr>
          </w:p>
        </w:tc>
      </w:tr>
      <w:tr>
        <w:trPr>
          <w:trHeight w:val="90"/>
        </w:trPr>
        <w:tc>
          <w:tcPr>
            <w:tcW w:w="3100" w:type="dxa"/>
            <w:vAlign w:val="bottom"/>
            <w:tcBorders>
              <w:top w:val="single" w:sz="8" w:color="CCEEFF"/>
              <w:bottom w:val="single" w:sz="8" w:color="CCEEFF"/>
            </w:tcBorders>
            <w:shd w:val="clear" w:color="auto" w:fill="CCEEFF"/>
          </w:tcPr>
          <w:p>
            <w:pPr>
              <w:spacing w:after="0" w:line="90" w:lineRule="exact"/>
              <w:rPr>
                <w:sz w:val="20"/>
                <w:szCs w:val="20"/>
                <w:color w:val="auto"/>
              </w:rPr>
            </w:pPr>
            <w:r>
              <w:rPr>
                <w:rFonts w:ascii="Times New Roman" w:cs="Times New Roman" w:eastAsia="Times New Roman" w:hAnsi="Times New Roman"/>
                <w:sz w:val="9"/>
                <w:szCs w:val="9"/>
                <w:b w:val="1"/>
                <w:bCs w:val="1"/>
                <w:color w:val="auto"/>
              </w:rPr>
              <w:t>June 30, 2023</w:t>
            </w:r>
          </w:p>
        </w:tc>
        <w:tc>
          <w:tcPr>
            <w:tcW w:w="52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4,170,925</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spacing w:after="0" w:line="90"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42</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380" w:type="dxa"/>
            <w:vAlign w:val="bottom"/>
            <w:tcBorders>
              <w:top w:val="single" w:sz="8" w:color="auto"/>
              <w:bottom w:val="single" w:sz="8" w:color="auto"/>
            </w:tcBorders>
            <w:shd w:val="clear" w:color="auto" w:fill="CCEEFF"/>
          </w:tcPr>
          <w:p>
            <w:pPr>
              <w:ind w:left="24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shd w:val="clear" w:color="auto" w:fill="CCEEFF"/>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469,700</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(439,351)</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(1,128)</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29,263</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7,737</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top w:val="single" w:sz="8" w:color="auto"/>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37,000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Issuance of restricted stock units</w:t>
            </w: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100" w:type="dxa"/>
            <w:vAlign w:val="bottom"/>
            <w:vMerge w:val="continue"/>
          </w:tcPr>
          <w:p>
            <w:pPr>
              <w:spacing w:after="0"/>
              <w:rPr>
                <w:sz w:val="6"/>
                <w:szCs w:val="6"/>
                <w:color w:val="auto"/>
              </w:rPr>
            </w:pPr>
          </w:p>
        </w:tc>
        <w:tc>
          <w:tcPr>
            <w:tcW w:w="5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3,456</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vMerge w:val="continue"/>
          </w:tcPr>
          <w:p>
            <w:pPr>
              <w:spacing w:after="0"/>
              <w:rPr>
                <w:sz w:val="6"/>
                <w:szCs w:val="6"/>
                <w:color w:val="auto"/>
              </w:rPr>
            </w:pPr>
          </w:p>
        </w:tc>
        <w:tc>
          <w:tcPr>
            <w:tcW w:w="380" w:type="dxa"/>
            <w:vAlign w:val="bottom"/>
          </w:tcPr>
          <w:p>
            <w:pPr>
              <w:ind w:left="240"/>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ind w:left="20"/>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9"/>
        </w:trPr>
        <w:tc>
          <w:tcPr>
            <w:tcW w:w="3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Stock-based compensation</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567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567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24</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591</w:t>
            </w:r>
          </w:p>
        </w:tc>
        <w:tc>
          <w:tcPr>
            <w:tcW w:w="0" w:type="dxa"/>
            <w:vAlign w:val="bottom"/>
          </w:tcPr>
          <w:p>
            <w:pPr>
              <w:spacing w:after="0"/>
              <w:rPr>
                <w:sz w:val="1"/>
                <w:szCs w:val="1"/>
                <w:color w:val="auto"/>
              </w:rPr>
            </w:pPr>
          </w:p>
        </w:tc>
      </w:tr>
      <w:tr>
        <w:trPr>
          <w:trHeight w:val="99"/>
        </w:trPr>
        <w:tc>
          <w:tcPr>
            <w:tcW w:w="31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Grant of stock for services</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99"/>
        </w:trPr>
        <w:tc>
          <w:tcPr>
            <w:tcW w:w="3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Contributions from noncontrolling interests</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150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150</w:t>
            </w:r>
          </w:p>
        </w:tc>
        <w:tc>
          <w:tcPr>
            <w:tcW w:w="0" w:type="dxa"/>
            <w:vAlign w:val="bottom"/>
          </w:tcPr>
          <w:p>
            <w:pPr>
              <w:spacing w:after="0"/>
              <w:rPr>
                <w:sz w:val="1"/>
                <w:szCs w:val="1"/>
                <w:color w:val="auto"/>
              </w:rPr>
            </w:pPr>
          </w:p>
        </w:tc>
      </w:tr>
      <w:tr>
        <w:trPr>
          <w:trHeight w:val="99"/>
        </w:trPr>
        <w:tc>
          <w:tcPr>
            <w:tcW w:w="31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(514)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(514)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18</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(496)</w:t>
            </w:r>
          </w:p>
        </w:tc>
        <w:tc>
          <w:tcPr>
            <w:tcW w:w="0" w:type="dxa"/>
            <w:vAlign w:val="bottom"/>
          </w:tcPr>
          <w:p>
            <w:pPr>
              <w:spacing w:after="0"/>
              <w:rPr>
                <w:sz w:val="1"/>
                <w:szCs w:val="1"/>
                <w:color w:val="auto"/>
              </w:rPr>
            </w:pPr>
          </w:p>
        </w:tc>
      </w:tr>
      <w:tr>
        <w:trPr>
          <w:trHeight w:val="99"/>
        </w:trPr>
        <w:tc>
          <w:tcPr>
            <w:tcW w:w="3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Net loss for the period</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ind w:lef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(9,918)</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(9,918)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(9,978)</w:t>
            </w:r>
          </w:p>
        </w:tc>
        <w:tc>
          <w:tcPr>
            <w:tcW w:w="0" w:type="dxa"/>
            <w:vAlign w:val="bottom"/>
          </w:tcPr>
          <w:p>
            <w:pPr>
              <w:spacing w:after="0"/>
              <w:rPr>
                <w:sz w:val="1"/>
                <w:szCs w:val="1"/>
                <w:color w:val="auto"/>
              </w:rPr>
            </w:pPr>
          </w:p>
        </w:tc>
      </w:tr>
      <w:tr>
        <w:trPr>
          <w:trHeight w:val="90"/>
        </w:trPr>
        <w:tc>
          <w:tcPr>
            <w:tcW w:w="3100" w:type="dxa"/>
            <w:vAlign w:val="bottom"/>
            <w:tcBorders>
              <w:bottom w:val="single" w:sz="8" w:color="CCEEFF"/>
            </w:tcBorders>
          </w:tcPr>
          <w:p>
            <w:pPr>
              <w:spacing w:after="0" w:line="90" w:lineRule="exact"/>
              <w:rPr>
                <w:sz w:val="20"/>
                <w:szCs w:val="20"/>
                <w:color w:val="auto"/>
              </w:rPr>
            </w:pPr>
            <w:r>
              <w:rPr>
                <w:rFonts w:ascii="Times New Roman" w:cs="Times New Roman" w:eastAsia="Times New Roman" w:hAnsi="Times New Roman"/>
                <w:sz w:val="9"/>
                <w:szCs w:val="9"/>
                <w:b w:val="1"/>
                <w:bCs w:val="1"/>
                <w:color w:val="auto"/>
              </w:rPr>
              <w:t>September 30, 2023 as filed</w:t>
            </w:r>
          </w:p>
        </w:tc>
        <w:tc>
          <w:tcPr>
            <w:tcW w:w="52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4,174,381</w:t>
            </w:r>
          </w:p>
        </w:tc>
        <w:tc>
          <w:tcPr>
            <w:tcW w:w="100" w:type="dxa"/>
            <w:vAlign w:val="bottom"/>
            <w:tcBorders>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line="90"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42</w:t>
            </w:r>
          </w:p>
        </w:tc>
        <w:tc>
          <w:tcPr>
            <w:tcW w:w="10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ind w:left="24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top w:val="single" w:sz="8" w:color="auto"/>
              <w:bottom w:val="single" w:sz="8" w:color="auto"/>
            </w:tcBorders>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bottom w:val="single" w:sz="8" w:color="CCEEFF"/>
            </w:tcBorders>
          </w:tcPr>
          <w:p>
            <w:pPr>
              <w:spacing w:after="0"/>
              <w:rPr>
                <w:sz w:val="7"/>
                <w:szCs w:val="7"/>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470,270</w:t>
            </w:r>
          </w:p>
        </w:tc>
        <w:tc>
          <w:tcPr>
            <w:tcW w:w="100" w:type="dxa"/>
            <w:vAlign w:val="bottom"/>
            <w:tcBorders>
              <w:bottom w:val="single" w:sz="8" w:color="CCEEFF"/>
            </w:tcBorders>
          </w:tcPr>
          <w:p>
            <w:pPr>
              <w:spacing w:after="0"/>
              <w:rPr>
                <w:sz w:val="7"/>
                <w:szCs w:val="7"/>
                <w:color w:val="auto"/>
              </w:rPr>
            </w:pPr>
          </w:p>
        </w:tc>
        <w:tc>
          <w:tcPr>
            <w:tcW w:w="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(449,269)</w:t>
            </w:r>
          </w:p>
        </w:tc>
        <w:tc>
          <w:tcPr>
            <w:tcW w:w="1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(1,642)</w:t>
            </w:r>
          </w:p>
        </w:tc>
        <w:tc>
          <w:tcPr>
            <w:tcW w:w="100" w:type="dxa"/>
            <w:vAlign w:val="bottom"/>
            <w:tcBorders>
              <w:bottom w:val="single" w:sz="8" w:color="CCEEFF"/>
            </w:tcBorders>
          </w:tcPr>
          <w:p>
            <w:pPr>
              <w:spacing w:after="0"/>
              <w:rPr>
                <w:sz w:val="7"/>
                <w:szCs w:val="7"/>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19,401</w:t>
            </w:r>
          </w:p>
        </w:tc>
        <w:tc>
          <w:tcPr>
            <w:tcW w:w="8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7,869</w:t>
            </w:r>
          </w:p>
        </w:tc>
        <w:tc>
          <w:tcPr>
            <w:tcW w:w="1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top w:val="single" w:sz="8" w:color="auto"/>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27,270</w:t>
            </w:r>
          </w:p>
        </w:tc>
        <w:tc>
          <w:tcPr>
            <w:tcW w:w="0" w:type="dxa"/>
            <w:vAlign w:val="bottom"/>
          </w:tcPr>
          <w:p>
            <w:pPr>
              <w:spacing w:after="0"/>
              <w:rPr>
                <w:sz w:val="1"/>
                <w:szCs w:val="1"/>
                <w:color w:val="auto"/>
              </w:rPr>
            </w:pPr>
          </w:p>
        </w:tc>
      </w:tr>
      <w:tr>
        <w:trPr>
          <w:trHeight w:val="90"/>
        </w:trPr>
        <w:tc>
          <w:tcPr>
            <w:tcW w:w="310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9"/>
                <w:szCs w:val="9"/>
                <w:color w:val="auto"/>
              </w:rPr>
              <w:t>Restatement</w:t>
            </w:r>
          </w:p>
        </w:tc>
        <w:tc>
          <w:tcPr>
            <w:tcW w:w="52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ind w:left="24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(1,613)</w:t>
            </w:r>
          </w:p>
        </w:tc>
        <w:tc>
          <w:tcPr>
            <w:tcW w:w="10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(1,613)</w:t>
            </w:r>
          </w:p>
        </w:tc>
        <w:tc>
          <w:tcPr>
            <w:tcW w:w="8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9"/>
                <w:szCs w:val="9"/>
                <w:color w:val="auto"/>
              </w:rPr>
              <w:t>(1,613)</w:t>
            </w:r>
          </w:p>
        </w:tc>
        <w:tc>
          <w:tcPr>
            <w:tcW w:w="0" w:type="dxa"/>
            <w:vAlign w:val="bottom"/>
          </w:tcPr>
          <w:p>
            <w:pPr>
              <w:spacing w:after="0"/>
              <w:rPr>
                <w:sz w:val="1"/>
                <w:szCs w:val="1"/>
                <w:color w:val="auto"/>
              </w:rPr>
            </w:pPr>
          </w:p>
        </w:tc>
      </w:tr>
      <w:tr>
        <w:trPr>
          <w:trHeight w:val="90"/>
        </w:trPr>
        <w:tc>
          <w:tcPr>
            <w:tcW w:w="3100" w:type="dxa"/>
            <w:vAlign w:val="bottom"/>
          </w:tcPr>
          <w:p>
            <w:pPr>
              <w:spacing w:after="0" w:line="90" w:lineRule="exact"/>
              <w:rPr>
                <w:sz w:val="20"/>
                <w:szCs w:val="20"/>
                <w:color w:val="auto"/>
              </w:rPr>
            </w:pPr>
            <w:r>
              <w:rPr>
                <w:rFonts w:ascii="Times New Roman" w:cs="Times New Roman" w:eastAsia="Times New Roman" w:hAnsi="Times New Roman"/>
                <w:sz w:val="9"/>
                <w:szCs w:val="9"/>
                <w:b w:val="1"/>
                <w:bCs w:val="1"/>
                <w:color w:val="auto"/>
              </w:rPr>
              <w:t>September 30, 2023 as restated</w:t>
            </w:r>
          </w:p>
        </w:tc>
        <w:tc>
          <w:tcPr>
            <w:tcW w:w="52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4,174,381</w:t>
            </w: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line="90"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42</w:t>
            </w:r>
          </w:p>
        </w:tc>
        <w:tc>
          <w:tcPr>
            <w:tcW w:w="100" w:type="dxa"/>
            <w:vAlign w:val="bottom"/>
          </w:tcPr>
          <w:p>
            <w:pPr>
              <w:spacing w:after="0"/>
              <w:rPr>
                <w:sz w:val="7"/>
                <w:szCs w:val="7"/>
                <w:color w:val="auto"/>
              </w:rPr>
            </w:pPr>
          </w:p>
        </w:tc>
        <w:tc>
          <w:tcPr>
            <w:tcW w:w="380" w:type="dxa"/>
            <w:vAlign w:val="bottom"/>
            <w:tcBorders>
              <w:bottom w:val="single" w:sz="8" w:color="auto"/>
            </w:tcBorders>
          </w:tcPr>
          <w:p>
            <w:pPr>
              <w:ind w:left="24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2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5"/>
                <w:szCs w:val="5"/>
                <w:color w:val="auto"/>
                <w:w w:val="78"/>
              </w:rPr>
              <w:t>$</w:t>
            </w:r>
          </w:p>
        </w:tc>
        <w:tc>
          <w:tcPr>
            <w:tcW w:w="140" w:type="dxa"/>
            <w:vAlign w:val="bottom"/>
            <w:tcBorders>
              <w:bottom w:val="single" w:sz="8" w:color="auto"/>
            </w:tcBorders>
          </w:tcPr>
          <w:p>
            <w:pPr>
              <w:ind w:left="20"/>
              <w:spacing w:after="0" w:line="90"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470,270</w:t>
            </w:r>
          </w:p>
        </w:tc>
        <w:tc>
          <w:tcPr>
            <w:tcW w:w="100" w:type="dxa"/>
            <w:vAlign w:val="bottom"/>
          </w:tcPr>
          <w:p>
            <w:pPr>
              <w:spacing w:after="0"/>
              <w:rPr>
                <w:sz w:val="7"/>
                <w:szCs w:val="7"/>
                <w:color w:val="auto"/>
              </w:rPr>
            </w:pPr>
          </w:p>
        </w:tc>
        <w:tc>
          <w:tcPr>
            <w:tcW w:w="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56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(450,882)</w:t>
            </w:r>
          </w:p>
        </w:tc>
        <w:tc>
          <w:tcPr>
            <w:tcW w:w="10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(1,642)</w:t>
            </w:r>
          </w:p>
        </w:tc>
        <w:tc>
          <w:tcPr>
            <w:tcW w:w="100" w:type="dxa"/>
            <w:vAlign w:val="bottom"/>
          </w:tcPr>
          <w:p>
            <w:pPr>
              <w:spacing w:after="0"/>
              <w:rPr>
                <w:sz w:val="7"/>
                <w:szCs w:val="7"/>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17,788</w:t>
            </w:r>
          </w:p>
        </w:tc>
        <w:tc>
          <w:tcPr>
            <w:tcW w:w="80" w:type="dxa"/>
            <w:vAlign w:val="bottom"/>
          </w:tcPr>
          <w:p>
            <w:pPr>
              <w:spacing w:after="0"/>
              <w:rPr>
                <w:sz w:val="7"/>
                <w:szCs w:val="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7,869</w:t>
            </w:r>
          </w:p>
        </w:tc>
        <w:tc>
          <w:tcPr>
            <w:tcW w:w="1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8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9"/>
                <w:szCs w:val="9"/>
                <w:color w:val="auto"/>
              </w:rPr>
              <w:t>25,657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40" w:hanging="105"/>
        <w:spacing w:after="0"/>
        <w:tabs>
          <w:tab w:leader="none" w:pos="1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to reflect the impact of the 1:20 reverse stock split that became effective on September 28, 2023.</w:t>
      </w:r>
    </w:p>
    <w:p>
      <w:pPr>
        <w:spacing w:after="0" w:line="200" w:lineRule="exact"/>
        <w:rPr>
          <w:rFonts w:ascii="Times New Roman" w:cs="Times New Roman" w:eastAsia="Times New Roman" w:hAnsi="Times New Roman"/>
          <w:sz w:val="15"/>
          <w:szCs w:val="15"/>
          <w:color w:val="auto"/>
        </w:rPr>
      </w:pPr>
    </w:p>
    <w:p>
      <w:pPr>
        <w:spacing w:after="0" w:line="330" w:lineRule="exact"/>
        <w:rPr>
          <w:rFonts w:ascii="Times New Roman" w:cs="Times New Roman" w:eastAsia="Times New Roman" w:hAnsi="Times New Roman"/>
          <w:sz w:val="15"/>
          <w:szCs w:val="15"/>
          <w:color w:val="auto"/>
        </w:rPr>
      </w:pPr>
    </w:p>
    <w:p>
      <w:pPr>
        <w:ind w:left="43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8">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443"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XWELL,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for share and per share data)</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As Filed</w:t>
            </w:r>
          </w:p>
        </w:tc>
        <w:tc>
          <w:tcPr>
            <w:tcW w:w="8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Restatement</w:t>
            </w:r>
          </w:p>
        </w:tc>
        <w:tc>
          <w:tcPr>
            <w:tcW w:w="8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As Restated</w:t>
            </w: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7"/>
              </w:rPr>
              <w:t>Adjustments</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September 30</w:t>
            </w:r>
          </w:p>
        </w:tc>
        <w:tc>
          <w:tcPr>
            <w:tcW w:w="80" w:type="dxa"/>
            <w:vAlign w:val="bottom"/>
          </w:tcPr>
          <w:p>
            <w:pPr>
              <w:spacing w:after="0"/>
              <w:rPr>
                <w:sz w:val="10"/>
                <w:szCs w:val="10"/>
                <w:color w:val="auto"/>
              </w:rPr>
            </w:pPr>
          </w:p>
        </w:tc>
        <w:tc>
          <w:tcPr>
            <w:tcW w:w="94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September 30</w:t>
            </w:r>
          </w:p>
        </w:tc>
        <w:tc>
          <w:tcPr>
            <w:tcW w:w="80" w:type="dxa"/>
            <w:vAlign w:val="bottom"/>
          </w:tcPr>
          <w:p>
            <w:pPr>
              <w:spacing w:after="0"/>
              <w:rPr>
                <w:sz w:val="10"/>
                <w:szCs w:val="10"/>
                <w:color w:val="auto"/>
              </w:rPr>
            </w:pPr>
          </w:p>
        </w:tc>
        <w:tc>
          <w:tcPr>
            <w:tcW w:w="800" w:type="dxa"/>
            <w:vAlign w:val="bottom"/>
            <w:gridSpan w:val="2"/>
          </w:tcPr>
          <w:p>
            <w:pPr>
              <w:jc w:val="center"/>
              <w:ind w:right="80"/>
              <w:spacing w:after="0" w:line="121" w:lineRule="exact"/>
              <w:rPr>
                <w:sz w:val="20"/>
                <w:szCs w:val="20"/>
                <w:color w:val="auto"/>
              </w:rPr>
            </w:pPr>
            <w:r>
              <w:rPr>
                <w:rFonts w:ascii="Times New Roman" w:cs="Times New Roman" w:eastAsia="Times New Roman" w:hAnsi="Times New Roman"/>
                <w:sz w:val="12"/>
                <w:szCs w:val="12"/>
                <w:b w:val="1"/>
                <w:bCs w:val="1"/>
                <w:color w:val="auto"/>
                <w:w w:val="96"/>
              </w:rPr>
              <w:t>September 30</w:t>
            </w:r>
          </w:p>
        </w:tc>
        <w:tc>
          <w:tcPr>
            <w:tcW w:w="0" w:type="dxa"/>
            <w:vAlign w:val="bottom"/>
          </w:tcPr>
          <w:p>
            <w:pPr>
              <w:spacing w:after="0"/>
              <w:rPr>
                <w:sz w:val="1"/>
                <w:szCs w:val="1"/>
                <w:color w:val="auto"/>
              </w:rPr>
            </w:pPr>
          </w:p>
        </w:tc>
      </w:tr>
      <w:tr>
        <w:trPr>
          <w:trHeight w:val="121"/>
        </w:trPr>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8"/>
              <w:spacing w:after="0" w:line="121"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8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(unaudited)</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0" w:type="dxa"/>
            <w:vAlign w:val="bottom"/>
          </w:tcPr>
          <w:p>
            <w:pPr>
              <w:spacing w:after="0"/>
              <w:rPr>
                <w:sz w:val="1"/>
                <w:szCs w:val="1"/>
                <w:color w:val="auto"/>
              </w:rPr>
            </w:pPr>
          </w:p>
        </w:tc>
      </w:tr>
      <w:tr>
        <w:trPr>
          <w:trHeight w:val="156"/>
        </w:trPr>
        <w:tc>
          <w:tcPr>
            <w:tcW w:w="604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(21,486)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(1,613)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Impairment of long lived assets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Foreign currency remeasurement loss</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Loss on disposal of assets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Gain on lease termination</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(821)</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Unrealized gain on marketable securities</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Amortization of operating lease right of use asset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Stock-based compensation</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Loss on equity investment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Changes in assets and liabilities: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Decrease in inventory</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Decrease (increase) in accounts receivable</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Increase in other assets, current and non-current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(336)</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Increase in deferred revenue</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(266)</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Increase in other liabilities, current and non-current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(3,226)</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Decrease in accounts payable</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0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(12,873)</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(12,873)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Acquisition of property and equipment</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(1,639)</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Investment in marketable securities</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(1,991)</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Sale of marketable securities</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Acquisition of Naples Wax</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(1,574)</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Acquisition of intangibles</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(468)</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0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(1,172)</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4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Contributions from noncontrolling interests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Payments for shares withheld on vesting</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(22)</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0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8</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(174)</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Decrease in cash, cash equivalents and restricted cash</w:t>
            </w:r>
          </w:p>
        </w:tc>
        <w:tc>
          <w:tcPr>
            <w:tcW w:w="8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(14,211)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(14,211)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the period</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19,789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40" w:type="dxa"/>
            <w:vAlign w:val="bottom"/>
            <w:tcBorders>
              <w:bottom w:val="single" w:sz="8" w:color="CCEEFF"/>
            </w:tcBorders>
          </w:tcPr>
          <w:p>
            <w:pPr>
              <w:spacing w:after="0" w:line="167" w:lineRule="exact"/>
              <w:rPr>
                <w:sz w:val="20"/>
                <w:szCs w:val="20"/>
                <w:color w:val="auto"/>
              </w:rPr>
            </w:pPr>
            <w:r>
              <w:rPr>
                <w:rFonts w:ascii="Times New Roman" w:cs="Times New Roman" w:eastAsia="Times New Roman" w:hAnsi="Times New Roman"/>
                <w:sz w:val="15"/>
                <w:szCs w:val="15"/>
                <w:color w:val="auto"/>
              </w:rPr>
              <w:t>Cash, cash equivalents, and restricted cash at end of the period</w:t>
            </w: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5,578</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Cash paid for</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Income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transactions</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Capital expenditures included in Accounts payable, accrued expenses and other current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5"/>
        </w:trPr>
        <w:tc>
          <w:tcPr>
            <w:tcW w:w="6040" w:type="dxa"/>
            <w:vAlign w:val="bottom"/>
          </w:tcPr>
          <w:p>
            <w:pPr>
              <w:ind w:left="4320"/>
              <w:spacing w:after="0"/>
              <w:rPr>
                <w:sz w:val="20"/>
                <w:szCs w:val="20"/>
                <w:color w:val="auto"/>
              </w:rPr>
            </w:pPr>
            <w:r>
              <w:rPr>
                <w:rFonts w:ascii="Times New Roman" w:cs="Times New Roman" w:eastAsia="Times New Roman" w:hAnsi="Times New Roman"/>
                <w:sz w:val="15"/>
                <w:szCs w:val="15"/>
                <w:color w:val="auto"/>
              </w:rPr>
              <w:t>F-40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44"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1" w:lineRule="exact"/>
        <w:rPr>
          <w:sz w:val="20"/>
          <w:szCs w:val="20"/>
          <w:color w:val="auto"/>
        </w:rPr>
      </w:pPr>
    </w:p>
    <w:p>
      <w:pPr>
        <w:ind w:left="40" w:right="39"/>
        <w:spacing w:after="0" w:line="282"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Annual Report on Form 10-K to be signed on its behalf by the undersigned thereunto, duly authorized on the 16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day of April 2024.</w:t>
      </w:r>
    </w:p>
    <w:p>
      <w:pPr>
        <w:spacing w:after="0" w:line="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XWELL, Inc.</w:t>
      </w:r>
    </w:p>
    <w:p>
      <w:pPr>
        <w:spacing w:after="0" w:line="181" w:lineRule="exact"/>
        <w:rPr>
          <w:sz w:val="20"/>
          <w:szCs w:val="20"/>
          <w:color w:val="auto"/>
        </w:rPr>
      </w:pPr>
    </w:p>
    <w:tbl>
      <w:tblPr>
        <w:tblLayout w:type="fixed"/>
        <w:tblInd w:w="4340" w:type="dxa"/>
        <w:tblCellMar>
          <w:top w:w="0" w:type="dxa"/>
          <w:left w:w="0" w:type="dxa"/>
          <w:bottom w:w="0" w:type="dxa"/>
          <w:right w:w="0" w:type="dxa"/>
        </w:tblCellMar>
      </w:tblPr>
      <w:tr>
        <w:trPr>
          <w:trHeight w:val="190"/>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4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SCOTT R. MILFORD</w:t>
            </w:r>
          </w:p>
        </w:tc>
      </w:tr>
      <w:tr>
        <w:trPr>
          <w:trHeight w:val="150"/>
        </w:trPr>
        <w:tc>
          <w:tcPr>
            <w:tcW w:w="340" w:type="dxa"/>
            <w:vAlign w:val="bottom"/>
          </w:tcPr>
          <w:p>
            <w:pPr>
              <w:spacing w:after="0"/>
              <w:rPr>
                <w:sz w:val="13"/>
                <w:szCs w:val="13"/>
                <w:color w:val="auto"/>
              </w:rPr>
            </w:pPr>
          </w:p>
        </w:tc>
        <w:tc>
          <w:tcPr>
            <w:tcW w:w="43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Scott R. Milford</w:t>
            </w:r>
          </w:p>
        </w:tc>
      </w:tr>
      <w:tr>
        <w:trPr>
          <w:trHeight w:val="176"/>
        </w:trPr>
        <w:tc>
          <w:tcPr>
            <w:tcW w:w="34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Chief Executive Officer</w:t>
            </w:r>
          </w:p>
        </w:tc>
      </w:tr>
      <w:tr>
        <w:trPr>
          <w:trHeight w:val="192"/>
        </w:trPr>
        <w:tc>
          <w:tcPr>
            <w:tcW w:w="34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tc>
      </w:tr>
      <w:tr>
        <w:trPr>
          <w:trHeight w:val="352"/>
        </w:trPr>
        <w:tc>
          <w:tcPr>
            <w:tcW w:w="4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XWELL, Inc.</w:t>
            </w:r>
          </w:p>
        </w:tc>
      </w:tr>
      <w:tr>
        <w:trPr>
          <w:trHeight w:val="352"/>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4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SUZANNE A. SCRABIS</w:t>
            </w:r>
          </w:p>
        </w:tc>
      </w:tr>
      <w:tr>
        <w:trPr>
          <w:trHeight w:val="150"/>
        </w:trPr>
        <w:tc>
          <w:tcPr>
            <w:tcW w:w="340" w:type="dxa"/>
            <w:vAlign w:val="bottom"/>
          </w:tcPr>
          <w:p>
            <w:pPr>
              <w:spacing w:after="0"/>
              <w:rPr>
                <w:sz w:val="13"/>
                <w:szCs w:val="13"/>
                <w:color w:val="auto"/>
              </w:rPr>
            </w:pPr>
          </w:p>
        </w:tc>
        <w:tc>
          <w:tcPr>
            <w:tcW w:w="4300" w:type="dxa"/>
            <w:vAlign w:val="bottom"/>
            <w:gridSpan w:val="2"/>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Suzanne A. Scrabis</w:t>
            </w:r>
          </w:p>
        </w:tc>
      </w:tr>
      <w:tr>
        <w:trPr>
          <w:trHeight w:val="176"/>
        </w:trPr>
        <w:tc>
          <w:tcPr>
            <w:tcW w:w="34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Chief Financial Officer</w:t>
            </w:r>
          </w:p>
        </w:tc>
      </w:tr>
      <w:tr>
        <w:trPr>
          <w:trHeight w:val="192"/>
        </w:trPr>
        <w:tc>
          <w:tcPr>
            <w:tcW w:w="34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(Principal Financial and Accounting Officer)</w:t>
            </w:r>
          </w:p>
        </w:tc>
      </w:tr>
    </w:tbl>
    <w:p>
      <w:pPr>
        <w:spacing w:after="0" w:line="161" w:lineRule="exact"/>
        <w:rPr>
          <w:sz w:val="20"/>
          <w:szCs w:val="20"/>
          <w:color w:val="auto"/>
        </w:rPr>
      </w:pPr>
    </w:p>
    <w:p>
      <w:pPr>
        <w:jc w:val="both"/>
        <w:ind w:left="40" w:right="39"/>
        <w:spacing w:after="0" w:line="269" w:lineRule="auto"/>
        <w:rPr>
          <w:sz w:val="20"/>
          <w:szCs w:val="20"/>
          <w:color w:val="auto"/>
        </w:rPr>
      </w:pPr>
      <w:r>
        <w:rPr>
          <w:rFonts w:ascii="Times New Roman" w:cs="Times New Roman" w:eastAsia="Times New Roman" w:hAnsi="Times New Roman"/>
          <w:sz w:val="15"/>
          <w:szCs w:val="15"/>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180" w:type="dxa"/>
            <w:vAlign w:val="bottom"/>
          </w:tcPr>
          <w:p>
            <w:pPr>
              <w:spacing w:after="0"/>
              <w:rPr>
                <w:sz w:val="16"/>
                <w:szCs w:val="16"/>
                <w:color w:val="auto"/>
              </w:rPr>
            </w:pPr>
          </w:p>
        </w:tc>
        <w:tc>
          <w:tcPr>
            <w:tcW w:w="36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240" w:type="dxa"/>
            <w:vAlign w:val="bottom"/>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343"/>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SCOTT R. MILFORD</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Chief Executive Officer and Director (Principal</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April 16, 2024</w:t>
            </w:r>
          </w:p>
        </w:tc>
      </w:tr>
      <w:tr>
        <w:trPr>
          <w:trHeight w:val="183"/>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Scott R. Milford</w:t>
            </w:r>
          </w:p>
        </w:tc>
        <w:tc>
          <w:tcPr>
            <w:tcW w:w="386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5"/>
                <w:szCs w:val="15"/>
                <w:color w:val="auto"/>
              </w:rPr>
              <w:t>Executive Officer)</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SUZANNE A. SCRABIS</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Chief Financial Officer (Principal Financial and</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April 16, 2024</w:t>
            </w:r>
          </w:p>
        </w:tc>
      </w:tr>
      <w:tr>
        <w:trPr>
          <w:trHeight w:val="183"/>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Suzanne A. Scrabis</w:t>
            </w:r>
          </w:p>
        </w:tc>
        <w:tc>
          <w:tcPr>
            <w:tcW w:w="386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5"/>
                <w:szCs w:val="15"/>
                <w:color w:val="auto"/>
              </w:rPr>
              <w:t>Accounting Officer)</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BRUCE T. BERNSTEIN</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April 16, 2024</w:t>
            </w:r>
          </w:p>
        </w:tc>
      </w:tr>
      <w:tr>
        <w:trPr>
          <w:trHeight w:val="183"/>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Bruce T. Bernstein</w:t>
            </w:r>
          </w:p>
        </w:tc>
        <w:tc>
          <w:tcPr>
            <w:tcW w:w="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3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ROBERT WEINSTEIN</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April 16, 2024</w:t>
            </w:r>
          </w:p>
        </w:tc>
      </w:tr>
      <w:tr>
        <w:trPr>
          <w:trHeight w:val="183"/>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Robert Weinstein</w:t>
            </w:r>
          </w:p>
        </w:tc>
        <w:tc>
          <w:tcPr>
            <w:tcW w:w="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40"/>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MICHAEL LEBOWITZ</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April 16, 2024</w:t>
            </w:r>
          </w:p>
        </w:tc>
      </w:tr>
      <w:tr>
        <w:trPr>
          <w:trHeight w:val="189"/>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Michael Lebowitz</w:t>
            </w:r>
          </w:p>
        </w:tc>
        <w:tc>
          <w:tcPr>
            <w:tcW w:w="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3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t>
            </w:r>
          </w:p>
        </w:tc>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GAELLE WIZENBERG</w:t>
            </w:r>
          </w:p>
        </w:tc>
        <w:tc>
          <w:tcPr>
            <w:tcW w:w="3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Director</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April 16, 2024</w:t>
            </w:r>
          </w:p>
        </w:tc>
      </w:tr>
      <w:tr>
        <w:trPr>
          <w:trHeight w:val="183"/>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Gaelle Wizenberg</w:t>
            </w:r>
          </w:p>
        </w:tc>
        <w:tc>
          <w:tcPr>
            <w:tcW w:w="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873"/>
        </w:trPr>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60" w:type="dxa"/>
            <w:vAlign w:val="bottom"/>
            <w:gridSpan w:val="2"/>
          </w:tcPr>
          <w:p>
            <w:pPr>
              <w:ind w:left="780"/>
              <w:spacing w:after="0"/>
              <w:rPr>
                <w:sz w:val="20"/>
                <w:szCs w:val="20"/>
                <w:color w:val="auto"/>
              </w:rPr>
            </w:pPr>
            <w:r>
              <w:rPr>
                <w:rFonts w:ascii="Times New Roman" w:cs="Times New Roman" w:eastAsia="Times New Roman" w:hAnsi="Times New Roman"/>
                <w:sz w:val="15"/>
                <w:szCs w:val="15"/>
                <w:color w:val="auto"/>
              </w:rPr>
              <w:t>50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2"/>
        </w:trPr>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3" w:right="1440" w:bottom="1440" w:gutter="0" w:footer="0" w:header="0"/>
        </w:sectPr>
      </w:pPr>
    </w:p>
    <w:bookmarkStart w:id="91" w:name="page92"/>
    <w:bookmarkEnd w:id="91"/>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Exhibit 21.1</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5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Subsidiaries of XWELL, Inc.</w:t>
            </w: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52"/>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Subsidiary</w:t>
            </w:r>
          </w:p>
        </w:tc>
        <w:tc>
          <w:tcPr>
            <w:tcW w:w="2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Jurisdiction of Incorporation</w:t>
            </w:r>
          </w:p>
        </w:tc>
      </w:tr>
      <w:tr>
        <w:trPr>
          <w:trHeight w:val="167"/>
        </w:trPr>
        <w:tc>
          <w:tcPr>
            <w:tcW w:w="56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GCG Connect, LLC d/b/a HyperPointe</w:t>
            </w:r>
          </w:p>
        </w:tc>
        <w:tc>
          <w:tcPr>
            <w:tcW w:w="22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New Jersey</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I/P Engine, Inc.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Virginia</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Innovate/Protect, Inc.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Iron Gate Security, Inc.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Naples Wax FRM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Florida</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Naples Wax NPL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Florida</w:t>
            </w:r>
          </w:p>
        </w:tc>
      </w:tr>
      <w:tr>
        <w:trPr>
          <w:trHeight w:val="161"/>
        </w:trPr>
        <w:tc>
          <w:tcPr>
            <w:tcW w:w="56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Naples Wax UTC LLC</w:t>
            </w:r>
          </w:p>
        </w:tc>
        <w:tc>
          <w:tcPr>
            <w:tcW w:w="22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Florida</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Naples Wax,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Florida</w:t>
            </w:r>
          </w:p>
        </w:tc>
      </w:tr>
      <w:tr>
        <w:trPr>
          <w:trHeight w:val="19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Quantum Stream Inc.</w:t>
            </w:r>
          </w:p>
        </w:tc>
        <w:tc>
          <w:tcPr>
            <w:tcW w:w="220" w:type="dxa"/>
            <w:vAlign w:val="bottom"/>
            <w:shd w:val="clear" w:color="auto" w:fill="CCEEFF"/>
          </w:tcPr>
          <w:p>
            <w:pPr>
              <w:spacing w:after="0"/>
              <w:rPr>
                <w:sz w:val="16"/>
                <w:szCs w:val="16"/>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Spa Products Import &amp; Distribution Co.,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Vringo Acquisition, Inc.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Vringo GmbH</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Vringo Infrastructure, Inc.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Vringo Labs, Inc.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Vringo Ltd.</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Israel</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Vringo Mobile, Inc.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VRTUAL, Inc.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Amsterdam Airport B.V.</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at Term. 4 JFK,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Atlanta Terminal A,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Atlanta Terminal C,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Atlanta Terminal D&amp;E,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Austin Airport,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Charlotte Airport,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Denver Airport,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DFW International,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DFW Kiosk,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DFW Terminal A,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Europe B.V.</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Franchising,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Franchising USA,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Holdings,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Houston Hobby,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Houston Intercontinental Terminal A,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International Holdings,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LaGuardia Airport,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Las Vegas Airport,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LAX Airport,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LAX Tom Bradley, LLC</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Miami Airport, LLC</w:t>
            </w:r>
          </w:p>
        </w:tc>
        <w:tc>
          <w:tcPr>
            <w:tcW w:w="2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Middle East B.V.</w:t>
            </w:r>
          </w:p>
        </w:tc>
        <w:tc>
          <w:tcPr>
            <w:tcW w:w="220" w:type="dxa"/>
            <w:vAlign w:val="bottom"/>
            <w:shd w:val="clear" w:color="auto" w:fill="CCEEFF"/>
          </w:tcPr>
          <w:p>
            <w:pPr>
              <w:spacing w:after="0"/>
              <w:rPr>
                <w:sz w:val="15"/>
                <w:szCs w:val="15"/>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XpresSpa Middle East Limited</w:t>
            </w:r>
          </w:p>
        </w:tc>
        <w:tc>
          <w:tcPr>
            <w:tcW w:w="220" w:type="dxa"/>
            <w:vAlign w:val="bottom"/>
          </w:tcPr>
          <w:p>
            <w:pPr>
              <w:spacing w:after="0"/>
              <w:rPr>
                <w:sz w:val="16"/>
                <w:szCs w:val="16"/>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British Virgin Islands</w:t>
            </w:r>
          </w:p>
        </w:tc>
      </w:tr>
      <w:tr>
        <w:trPr>
          <w:trHeight w:val="273"/>
        </w:trPr>
        <w:tc>
          <w:tcPr>
            <w:tcW w:w="56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020" w:type="dxa"/>
            <w:vAlign w:val="bottom"/>
          </w:tcPr>
          <w:p>
            <w:pPr>
              <w:spacing w:after="0"/>
              <w:rPr>
                <w:sz w:val="23"/>
                <w:szCs w:val="23"/>
                <w:color w:val="auto"/>
              </w:rPr>
            </w:pPr>
          </w:p>
        </w:tc>
      </w:tr>
      <w:tr>
        <w:trPr>
          <w:trHeight w:val="529"/>
        </w:trPr>
        <w:tc>
          <w:tcPr>
            <w:tcW w:w="5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3" w:right="1440" w:bottom="1440" w:gutter="0" w:footer="0" w:header="0"/>
        </w:sectPr>
      </w:pPr>
    </w:p>
    <w:bookmarkStart w:id="92" w:name="page93"/>
    <w:bookmarkEnd w:id="92"/>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 of Subsidiary</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Jurisdiction of Incorporation</w:t>
            </w:r>
          </w:p>
        </w:tc>
      </w:tr>
      <w:tr>
        <w:trPr>
          <w:trHeight w:val="167"/>
        </w:trPr>
        <w:tc>
          <w:tcPr>
            <w:tcW w:w="56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XpresSpa Mobile Services, LLC</w:t>
            </w:r>
          </w:p>
        </w:tc>
        <w:tc>
          <w:tcPr>
            <w:tcW w:w="220" w:type="dxa"/>
            <w:vAlign w:val="bottom"/>
            <w:tcBorders>
              <w:top w:val="single" w:sz="8" w:color="CCEEFF"/>
            </w:tcBorders>
            <w:shd w:val="clear" w:color="auto" w:fill="CCEEFF"/>
          </w:tcPr>
          <w:p>
            <w:pPr>
              <w:spacing w:after="0"/>
              <w:rPr>
                <w:sz w:val="14"/>
                <w:szCs w:val="14"/>
                <w:color w:val="auto"/>
              </w:rPr>
            </w:pPr>
          </w:p>
        </w:tc>
        <w:tc>
          <w:tcPr>
            <w:tcW w:w="2800" w:type="dxa"/>
            <w:vAlign w:val="bottom"/>
            <w:tcBorders>
              <w:top w:val="single" w:sz="8" w:color="auto"/>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XpresSpa MSP Airport,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Online Shopping, LLC</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XpresSpa Orlando International,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Orlando, LLC</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XpresSpa Philadelphia Airport,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Philadelphia Terminal B, LLC</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XpresSpa Phoenix Airport,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Pittsburgh A, LLC</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XpresSpa RDU Airport,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S.F. International, LLC</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XpresSpa Salt Lake City,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Turkey Sağlık Hizmetleri Ve Perakende Ticaret Limited Sirketi</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Turkiye</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Xpresspa Sağlık Hizmetleri Ve Ticaret Limited Sirketi</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Turkiye</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XpresSpa Washington Reagan, LLC</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XpresRecover Charlotte Airport, LLC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w:t>
            </w:r>
          </w:p>
        </w:tc>
      </w:tr>
      <w:tr>
        <w:trPr>
          <w:trHeight w:val="17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XpresTest, Inc.</w:t>
            </w: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90"/>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Treat, Inc.</w:t>
            </w:r>
          </w:p>
        </w:tc>
        <w:tc>
          <w:tcPr>
            <w:tcW w:w="2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273"/>
        </w:trPr>
        <w:tc>
          <w:tcPr>
            <w:tcW w:w="56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020" w:type="dxa"/>
            <w:vAlign w:val="bottom"/>
          </w:tcPr>
          <w:p>
            <w:pPr>
              <w:spacing w:after="0"/>
              <w:rPr>
                <w:sz w:val="23"/>
                <w:szCs w:val="23"/>
                <w:color w:val="auto"/>
              </w:rPr>
            </w:pPr>
          </w:p>
        </w:tc>
      </w:tr>
      <w:tr>
        <w:trPr>
          <w:trHeight w:val="529"/>
        </w:trPr>
        <w:tc>
          <w:tcPr>
            <w:tcW w:w="5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9" w:right="1440" w:bottom="1440" w:gutter="0" w:footer="0" w:header="0"/>
        </w:sectPr>
      </w:pPr>
    </w:p>
    <w:bookmarkStart w:id="93" w:name="page94"/>
    <w:bookmarkEnd w:id="93"/>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189" w:lineRule="exact"/>
        <w:rPr>
          <w:sz w:val="20"/>
          <w:szCs w:val="20"/>
          <w:color w:val="auto"/>
        </w:rPr>
      </w:pPr>
    </w:p>
    <w:p>
      <w:pPr>
        <w:jc w:val="both"/>
        <w:ind w:left="200" w:right="199"/>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XWELL, Inc. on Form S-8 (Nos. 333-254508, 333-268004 and 333-264028) and on Form S-3 (Nos. 333-273726, 333-239913, 333-225531, 333-233419 and 333-264026), with respect to our audits of the consolidated financial statements of XWELL, Inc. and Subsidiaries as of December 31, 2023 and 2022 and for the years ended December 31, 2023 and 2022, which report is included in this Annual Report on Form 10-K of XWELL, Inc. for the year ended December 31, 2023.</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East Hanover, New Jersey</w:t>
      </w:r>
    </w:p>
    <w:p>
      <w:pPr>
        <w:ind w:left="200"/>
        <w:spacing w:after="0"/>
        <w:rPr>
          <w:sz w:val="20"/>
          <w:szCs w:val="20"/>
          <w:color w:val="auto"/>
        </w:rPr>
      </w:pPr>
      <w:r>
        <w:rPr>
          <w:rFonts w:ascii="Times New Roman" w:cs="Times New Roman" w:eastAsia="Times New Roman" w:hAnsi="Times New Roman"/>
          <w:sz w:val="18"/>
          <w:szCs w:val="18"/>
          <w:color w:val="auto"/>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400685</wp:posOffset>
            </wp:positionV>
            <wp:extent cx="546925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9">
                      <a:extLst>
                        <a:ext uri="{28A0092B-C50C-407E-A947-70E740481C1C}"/>
                      </a:extLst>
                    </a:blip>
                    <a:srcRect/>
                    <a:stretch>
                      <a:fillRect/>
                    </a:stretch>
                  </pic:blipFill>
                  <pic:spPr bwMode="auto">
                    <a:xfrm>
                      <a:off x="0" y="0"/>
                      <a:ext cx="5469255" cy="20955"/>
                    </a:xfrm>
                    <a:prstGeom prst="rect">
                      <a:avLst/>
                    </a:prstGeom>
                    <a:noFill/>
                  </pic:spPr>
                </pic:pic>
              </a:graphicData>
            </a:graphic>
          </wp:anchor>
        </w:drawing>
      </w:r>
    </w:p>
    <w:p>
      <w:pPr>
        <w:sectPr>
          <w:pgSz w:w="11900" w:h="16838" w:orient="portrait"/>
          <w:cols w:equalWidth="0" w:num="1">
            <w:col w:w="9019"/>
          </w:cols>
          <w:pgMar w:left="1440" w:top="313"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CERTIFICATIONS UNDER SECTION 302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Scott Milford, certify that:</w:t>
      </w:r>
    </w:p>
    <w:p>
      <w:pPr>
        <w:spacing w:after="0" w:line="179" w:lineRule="exact"/>
        <w:rPr>
          <w:sz w:val="20"/>
          <w:szCs w:val="20"/>
          <w:color w:val="auto"/>
        </w:rPr>
      </w:pPr>
    </w:p>
    <w:p>
      <w:pPr>
        <w:ind w:left="660" w:hanging="142"/>
        <w:spacing w:after="0"/>
        <w:tabs>
          <w:tab w:leader="none" w:pos="6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XpresSpa Group, Inc.;</w:t>
      </w:r>
    </w:p>
    <w:p>
      <w:pPr>
        <w:spacing w:after="0" w:line="179" w:lineRule="exact"/>
        <w:rPr>
          <w:rFonts w:ascii="Times New Roman" w:cs="Times New Roman" w:eastAsia="Times New Roman" w:hAnsi="Times New Roman"/>
          <w:sz w:val="15"/>
          <w:szCs w:val="15"/>
          <w:color w:val="auto"/>
        </w:rPr>
      </w:pPr>
    </w:p>
    <w:p>
      <w:pPr>
        <w:ind w:firstLine="518"/>
        <w:spacing w:after="0" w:line="269" w:lineRule="auto"/>
        <w:tabs>
          <w:tab w:leader="none" w:pos="677"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5"/>
          <w:szCs w:val="15"/>
          <w:color w:val="auto"/>
        </w:rPr>
      </w:pPr>
    </w:p>
    <w:p>
      <w:pPr>
        <w:ind w:firstLine="518"/>
        <w:spacing w:after="0" w:line="269" w:lineRule="auto"/>
        <w:tabs>
          <w:tab w:leader="none" w:pos="682"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15"/>
          <w:szCs w:val="15"/>
          <w:color w:val="auto"/>
        </w:rPr>
      </w:pPr>
    </w:p>
    <w:p>
      <w:pPr>
        <w:ind w:right="20" w:firstLine="518"/>
        <w:spacing w:after="0" w:line="269" w:lineRule="auto"/>
        <w:tabs>
          <w:tab w:leader="none" w:pos="696"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firstLine="518"/>
        <w:spacing w:after="0" w:line="257" w:lineRule="auto"/>
        <w:tabs>
          <w:tab w:leader="none" w:pos="691"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firstLine="518"/>
        <w:spacing w:after="0" w:line="257" w:lineRule="auto"/>
        <w:tabs>
          <w:tab w:leader="none" w:pos="703"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firstLine="518"/>
        <w:spacing w:after="0" w:line="269" w:lineRule="auto"/>
        <w:tabs>
          <w:tab w:leader="none" w:pos="687"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5"/>
          <w:szCs w:val="15"/>
          <w:color w:val="auto"/>
        </w:rPr>
      </w:pPr>
    </w:p>
    <w:p>
      <w:pPr>
        <w:jc w:val="both"/>
        <w:ind w:firstLine="518"/>
        <w:spacing w:after="0" w:line="257" w:lineRule="auto"/>
        <w:tabs>
          <w:tab w:leader="none" w:pos="693"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518"/>
        <w:spacing w:after="0" w:line="269" w:lineRule="auto"/>
        <w:tabs>
          <w:tab w:leader="none" w:pos="682"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20" w:firstLine="518"/>
        <w:spacing w:after="0" w:line="269" w:lineRule="auto"/>
        <w:tabs>
          <w:tab w:leader="none" w:pos="694"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5"/>
          <w:szCs w:val="15"/>
          <w:color w:val="auto"/>
        </w:rPr>
      </w:pPr>
    </w:p>
    <w:p>
      <w:pPr>
        <w:ind w:firstLine="518"/>
        <w:spacing w:after="0" w:line="269" w:lineRule="auto"/>
        <w:tabs>
          <w:tab w:leader="none" w:pos="70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April 16,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wp:posOffset>
            </wp:positionV>
            <wp:extent cx="316039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0">
                      <a:extLst>
                        <a:ext uri="{28A0092B-C50C-407E-A947-70E740481C1C}"/>
                      </a:extLst>
                    </a:blip>
                    <a:srcRect/>
                    <a:stretch>
                      <a:fillRect/>
                    </a:stretch>
                  </pic:blipFill>
                  <pic:spPr bwMode="auto">
                    <a:xfrm>
                      <a:off x="0" y="0"/>
                      <a:ext cx="3160395" cy="698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504190</wp:posOffset>
            </wp:positionV>
            <wp:extent cx="632079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1">
                      <a:extLst>
                        <a:ext uri="{28A0092B-C50C-407E-A947-70E740481C1C}"/>
                      </a:extLst>
                    </a:blip>
                    <a:srcRect/>
                    <a:stretch>
                      <a:fillRect/>
                    </a:stretch>
                  </pic:blipFill>
                  <pic:spPr bwMode="auto">
                    <a:xfrm>
                      <a:off x="0" y="0"/>
                      <a:ext cx="6320790" cy="2095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CERTIFICATIONS UNDER SECTION 302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Omar Haynes, certify that:</w:t>
      </w:r>
    </w:p>
    <w:p>
      <w:pPr>
        <w:spacing w:after="0" w:line="179" w:lineRule="exact"/>
        <w:rPr>
          <w:sz w:val="20"/>
          <w:szCs w:val="20"/>
          <w:color w:val="auto"/>
        </w:rPr>
      </w:pPr>
    </w:p>
    <w:p>
      <w:pPr>
        <w:ind w:left="660" w:hanging="142"/>
        <w:spacing w:after="0"/>
        <w:tabs>
          <w:tab w:leader="none" w:pos="6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XpresSpa Group, Inc.;</w:t>
      </w:r>
    </w:p>
    <w:p>
      <w:pPr>
        <w:spacing w:after="0" w:line="179" w:lineRule="exact"/>
        <w:rPr>
          <w:rFonts w:ascii="Times New Roman" w:cs="Times New Roman" w:eastAsia="Times New Roman" w:hAnsi="Times New Roman"/>
          <w:sz w:val="15"/>
          <w:szCs w:val="15"/>
          <w:color w:val="auto"/>
        </w:rPr>
      </w:pPr>
    </w:p>
    <w:p>
      <w:pPr>
        <w:ind w:firstLine="518"/>
        <w:spacing w:after="0" w:line="269" w:lineRule="auto"/>
        <w:tabs>
          <w:tab w:leader="none" w:pos="677"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5"/>
          <w:szCs w:val="15"/>
          <w:color w:val="auto"/>
        </w:rPr>
      </w:pPr>
    </w:p>
    <w:p>
      <w:pPr>
        <w:ind w:firstLine="518"/>
        <w:spacing w:after="0" w:line="269" w:lineRule="auto"/>
        <w:tabs>
          <w:tab w:leader="none" w:pos="682"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15"/>
          <w:szCs w:val="15"/>
          <w:color w:val="auto"/>
        </w:rPr>
      </w:pPr>
    </w:p>
    <w:p>
      <w:pPr>
        <w:ind w:right="20" w:firstLine="518"/>
        <w:spacing w:after="0" w:line="269" w:lineRule="auto"/>
        <w:tabs>
          <w:tab w:leader="none" w:pos="696"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firstLine="518"/>
        <w:spacing w:after="0" w:line="257" w:lineRule="auto"/>
        <w:tabs>
          <w:tab w:leader="none" w:pos="691"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49" w:lineRule="exact"/>
        <w:rPr>
          <w:rFonts w:ascii="Times New Roman" w:cs="Times New Roman" w:eastAsia="Times New Roman" w:hAnsi="Times New Roman"/>
          <w:sz w:val="15"/>
          <w:szCs w:val="15"/>
          <w:color w:val="auto"/>
        </w:rPr>
      </w:pPr>
    </w:p>
    <w:p>
      <w:pPr>
        <w:jc w:val="both"/>
        <w:ind w:firstLine="518"/>
        <w:spacing w:after="0" w:line="257" w:lineRule="auto"/>
        <w:tabs>
          <w:tab w:leader="none" w:pos="703"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5"/>
          <w:szCs w:val="15"/>
          <w:color w:val="auto"/>
        </w:rPr>
      </w:pPr>
    </w:p>
    <w:p>
      <w:pPr>
        <w:ind w:firstLine="518"/>
        <w:spacing w:after="0" w:line="269" w:lineRule="auto"/>
        <w:tabs>
          <w:tab w:leader="none" w:pos="68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5"/>
          <w:szCs w:val="15"/>
          <w:color w:val="auto"/>
        </w:rPr>
      </w:pPr>
    </w:p>
    <w:p>
      <w:pPr>
        <w:jc w:val="both"/>
        <w:ind w:firstLine="518"/>
        <w:spacing w:after="0" w:line="257" w:lineRule="auto"/>
        <w:tabs>
          <w:tab w:leader="none" w:pos="693"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firstLine="518"/>
        <w:spacing w:after="0" w:line="269" w:lineRule="auto"/>
        <w:tabs>
          <w:tab w:leader="none" w:pos="682"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20" w:firstLine="518"/>
        <w:spacing w:after="0" w:line="269" w:lineRule="auto"/>
        <w:tabs>
          <w:tab w:leader="none" w:pos="694"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5"/>
          <w:szCs w:val="15"/>
          <w:color w:val="auto"/>
        </w:rPr>
      </w:pPr>
    </w:p>
    <w:p>
      <w:pPr>
        <w:ind w:firstLine="518"/>
        <w:spacing w:after="0" w:line="269" w:lineRule="auto"/>
        <w:tabs>
          <w:tab w:leader="none" w:pos="70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April 16,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Suzanne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wp:posOffset>
            </wp:positionV>
            <wp:extent cx="316039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2">
                      <a:extLst>
                        <a:ext uri="{28A0092B-C50C-407E-A947-70E740481C1C}"/>
                      </a:extLst>
                    </a:blip>
                    <a:srcRect/>
                    <a:stretch>
                      <a:fillRect/>
                    </a:stretch>
                  </pic:blipFill>
                  <pic:spPr bwMode="auto">
                    <a:xfrm>
                      <a:off x="0" y="0"/>
                      <a:ext cx="3160395" cy="698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406400</wp:posOffset>
            </wp:positionV>
            <wp:extent cx="632079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3">
                      <a:extLst>
                        <a:ext uri="{28A0092B-C50C-407E-A947-70E740481C1C}"/>
                      </a:extLst>
                    </a:blip>
                    <a:srcRect/>
                    <a:stretch>
                      <a:fillRect/>
                    </a:stretch>
                  </pic:blipFill>
                  <pic:spPr bwMode="auto">
                    <a:xfrm>
                      <a:off x="0" y="0"/>
                      <a:ext cx="6320790" cy="2095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96" w:name="page97"/>
    <w:bookmarkEnd w:id="96"/>
    <w:p>
      <w:pPr>
        <w:ind w:left="932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CERTIFICATIONS UNDER SECTION 906</w:t>
      </w:r>
    </w:p>
    <w:p>
      <w:pPr>
        <w:spacing w:after="0" w:line="179" w:lineRule="exact"/>
        <w:rPr>
          <w:sz w:val="20"/>
          <w:szCs w:val="20"/>
          <w:color w:val="auto"/>
        </w:rPr>
      </w:pPr>
    </w:p>
    <w:p>
      <w:pPr>
        <w:jc w:val="both"/>
        <w:ind w:left="20" w:right="20" w:firstLine="527"/>
        <w:spacing w:after="0" w:line="269" w:lineRule="auto"/>
        <w:rPr>
          <w:sz w:val="20"/>
          <w:szCs w:val="20"/>
          <w:color w:val="auto"/>
        </w:rPr>
      </w:pPr>
      <w:r>
        <w:rPr>
          <w:rFonts w:ascii="Times New Roman" w:cs="Times New Roman" w:eastAsia="Times New Roman" w:hAnsi="Times New Roman"/>
          <w:sz w:val="15"/>
          <w:szCs w:val="15"/>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41" w:lineRule="exact"/>
        <w:rPr>
          <w:sz w:val="20"/>
          <w:szCs w:val="20"/>
          <w:color w:val="auto"/>
        </w:rPr>
      </w:pPr>
    </w:p>
    <w:p>
      <w:pPr>
        <w:jc w:val="both"/>
        <w:ind w:left="20" w:firstLine="527"/>
        <w:spacing w:after="0" w:line="257" w:lineRule="auto"/>
        <w:rPr>
          <w:sz w:val="20"/>
          <w:szCs w:val="20"/>
          <w:color w:val="auto"/>
        </w:rPr>
      </w:pPr>
      <w:r>
        <w:rPr>
          <w:rFonts w:ascii="Times New Roman" w:cs="Times New Roman" w:eastAsia="Times New Roman" w:hAnsi="Times New Roman"/>
          <w:sz w:val="15"/>
          <w:szCs w:val="15"/>
          <w:color w:val="auto"/>
        </w:rPr>
        <w:t>The Annual Report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Dated: April 16, 2024</w:t>
            </w:r>
          </w:p>
        </w:tc>
        <w:tc>
          <w:tcPr>
            <w:tcW w:w="4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SCOTT R. MILFORD</w:t>
            </w:r>
          </w:p>
        </w:tc>
      </w:tr>
      <w:tr>
        <w:trPr>
          <w:trHeight w:val="163"/>
        </w:trPr>
        <w:tc>
          <w:tcPr>
            <w:tcW w:w="4980" w:type="dxa"/>
            <w:vAlign w:val="bottom"/>
          </w:tcPr>
          <w:p>
            <w:pPr>
              <w:spacing w:after="0"/>
              <w:rPr>
                <w:sz w:val="14"/>
                <w:szCs w:val="14"/>
                <w:color w:val="auto"/>
              </w:rPr>
            </w:pPr>
          </w:p>
        </w:tc>
        <w:tc>
          <w:tcPr>
            <w:tcW w:w="496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Chief Executive Officer</w:t>
            </w:r>
          </w:p>
        </w:tc>
        <w:tc>
          <w:tcPr>
            <w:tcW w:w="20" w:type="dxa"/>
            <w:vAlign w:val="bottom"/>
          </w:tcPr>
          <w:p>
            <w:pPr>
              <w:spacing w:after="0"/>
              <w:rPr>
                <w:sz w:val="14"/>
                <w:szCs w:val="14"/>
                <w:color w:val="auto"/>
              </w:rPr>
            </w:pPr>
          </w:p>
        </w:tc>
      </w:tr>
      <w:tr>
        <w:trPr>
          <w:trHeight w:val="190"/>
        </w:trPr>
        <w:tc>
          <w:tcPr>
            <w:tcW w:w="4980" w:type="dxa"/>
            <w:vAlign w:val="bottom"/>
          </w:tcPr>
          <w:p>
            <w:pPr>
              <w:spacing w:after="0"/>
              <w:rPr>
                <w:sz w:val="16"/>
                <w:szCs w:val="16"/>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890"/>
        </w:trPr>
        <w:tc>
          <w:tcPr>
            <w:tcW w:w="49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SUZANNE SCRABIS</w:t>
            </w:r>
          </w:p>
        </w:tc>
      </w:tr>
      <w:tr>
        <w:trPr>
          <w:trHeight w:val="163"/>
        </w:trPr>
        <w:tc>
          <w:tcPr>
            <w:tcW w:w="4980" w:type="dxa"/>
            <w:vAlign w:val="bottom"/>
          </w:tcPr>
          <w:p>
            <w:pPr>
              <w:spacing w:after="0"/>
              <w:rPr>
                <w:sz w:val="14"/>
                <w:szCs w:val="14"/>
                <w:color w:val="auto"/>
              </w:rPr>
            </w:pPr>
          </w:p>
        </w:tc>
        <w:tc>
          <w:tcPr>
            <w:tcW w:w="496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Chief Financial Officer</w:t>
            </w:r>
          </w:p>
        </w:tc>
        <w:tc>
          <w:tcPr>
            <w:tcW w:w="20" w:type="dxa"/>
            <w:vAlign w:val="bottom"/>
          </w:tcPr>
          <w:p>
            <w:pPr>
              <w:spacing w:after="0"/>
              <w:rPr>
                <w:sz w:val="14"/>
                <w:szCs w:val="14"/>
                <w:color w:val="auto"/>
              </w:rPr>
            </w:pPr>
          </w:p>
        </w:tc>
      </w:tr>
      <w:tr>
        <w:trPr>
          <w:trHeight w:val="190"/>
        </w:trPr>
        <w:tc>
          <w:tcPr>
            <w:tcW w:w="4980" w:type="dxa"/>
            <w:vAlign w:val="bottom"/>
          </w:tcPr>
          <w:p>
            <w:pPr>
              <w:spacing w:after="0"/>
              <w:rPr>
                <w:sz w:val="16"/>
                <w:szCs w:val="16"/>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r>
      <w:tr>
        <w:trPr>
          <w:trHeight w:val="650"/>
        </w:trPr>
        <w:tc>
          <w:tcPr>
            <w:tcW w:w="49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3" w:right="979"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5"/>
          <w:szCs w:val="15"/>
          <w:b w:val="1"/>
          <w:bCs w:val="1"/>
          <w:color w:val="auto"/>
        </w:rPr>
        <w:t>Adopted December 1, 2023</w:t>
      </w:r>
    </w:p>
    <w:p>
      <w:pPr>
        <w:spacing w:after="0" w:line="17"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RECOVERY POLICY</w:t>
      </w:r>
    </w:p>
    <w:p>
      <w:pPr>
        <w:spacing w:after="0" w:line="79" w:lineRule="exact"/>
        <w:rPr>
          <w:sz w:val="20"/>
          <w:szCs w:val="20"/>
          <w:color w:val="auto"/>
        </w:rPr>
      </w:pPr>
    </w:p>
    <w:p>
      <w:pPr>
        <w:ind w:left="820" w:hanging="522"/>
        <w:spacing w:after="0"/>
        <w:tabs>
          <w:tab w:leader="none" w:pos="820" w:val="left"/>
        </w:tabs>
        <w:numPr>
          <w:ilvl w:val="0"/>
          <w:numId w:val="4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Introduction</w:t>
      </w:r>
    </w:p>
    <w:p>
      <w:pPr>
        <w:spacing w:after="0" w:line="79"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6"/>
          <w:szCs w:val="16"/>
          <w:color w:val="auto"/>
        </w:rPr>
        <w:t>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of XWELL,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has adopted this Incentive Compensation Recovery Policy (this “</w:t>
      </w:r>
      <w:r>
        <w:rPr>
          <w:rFonts w:ascii="Times New Roman" w:cs="Times New Roman" w:eastAsia="Times New Roman" w:hAnsi="Times New Roman"/>
          <w:sz w:val="16"/>
          <w:szCs w:val="16"/>
          <w:b w:val="1"/>
          <w:bCs w:val="1"/>
          <w:color w:val="auto"/>
        </w:rPr>
        <w:t>Policy</w:t>
      </w:r>
      <w:r>
        <w:rPr>
          <w:rFonts w:ascii="Times New Roman" w:cs="Times New Roman" w:eastAsia="Times New Roman" w:hAnsi="Times New Roman"/>
          <w:sz w:val="16"/>
          <w:szCs w:val="16"/>
          <w:color w:val="auto"/>
        </w:rPr>
        <w:t>”) to provide for the recovery of certain executive compensation in the event of an Accounting Restatement resulting from material noncompliance with financial reporting requirements under the U.S. federal securities laws. This Policy is designed to comply with, and shall be interpreted to be consistent with, Nasdaq Listed Company Rule 5608 (“</w:t>
      </w:r>
      <w:r>
        <w:rPr>
          <w:rFonts w:ascii="Times New Roman" w:cs="Times New Roman" w:eastAsia="Times New Roman" w:hAnsi="Times New Roman"/>
          <w:sz w:val="16"/>
          <w:szCs w:val="16"/>
          <w:b w:val="1"/>
          <w:bCs w:val="1"/>
          <w:color w:val="auto"/>
        </w:rPr>
        <w:t>Rule 5608</w:t>
      </w:r>
      <w:r>
        <w:rPr>
          <w:rFonts w:ascii="Times New Roman" w:cs="Times New Roman" w:eastAsia="Times New Roman" w:hAnsi="Times New Roman"/>
          <w:sz w:val="16"/>
          <w:szCs w:val="16"/>
          <w:color w:val="auto"/>
        </w:rPr>
        <w:t>”), which implements Rule 10D-1 under the Securities Exchange Act of 1934, as amended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(as promulgated pursuant to Section 954 of the Dodd-Frank Wall Street Reform and Consumer Protection Act of 2010).</w:t>
      </w:r>
    </w:p>
    <w:p>
      <w:pPr>
        <w:spacing w:after="0" w:line="33" w:lineRule="exact"/>
        <w:rPr>
          <w:sz w:val="20"/>
          <w:szCs w:val="20"/>
          <w:color w:val="auto"/>
        </w:rPr>
      </w:pPr>
    </w:p>
    <w:p>
      <w:pPr>
        <w:ind w:left="820" w:hanging="522"/>
        <w:spacing w:after="0"/>
        <w:tabs>
          <w:tab w:leader="none" w:pos="820" w:val="left"/>
        </w:tabs>
        <w:numPr>
          <w:ilvl w:val="0"/>
          <w:numId w:val="4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Administration</w:t>
      </w:r>
    </w:p>
    <w:p>
      <w:pPr>
        <w:spacing w:after="0" w:line="79" w:lineRule="exact"/>
        <w:rPr>
          <w:sz w:val="20"/>
          <w:szCs w:val="20"/>
          <w:color w:val="auto"/>
        </w:rPr>
      </w:pPr>
    </w:p>
    <w:p>
      <w:pPr>
        <w:ind w:left="40" w:right="39"/>
        <w:spacing w:after="0" w:line="256"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Any determinations made by the Committee shall be final and binding on all affected individuals.</w:t>
      </w:r>
    </w:p>
    <w:p>
      <w:pPr>
        <w:spacing w:after="0" w:line="42" w:lineRule="exact"/>
        <w:rPr>
          <w:sz w:val="20"/>
          <w:szCs w:val="20"/>
          <w:color w:val="auto"/>
        </w:rPr>
      </w:pPr>
    </w:p>
    <w:p>
      <w:pPr>
        <w:ind w:left="820" w:hanging="522"/>
        <w:spacing w:after="0"/>
        <w:tabs>
          <w:tab w:leader="none" w:pos="820" w:val="left"/>
        </w:tabs>
        <w:numPr>
          <w:ilvl w:val="0"/>
          <w:numId w:val="4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Definitions</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purposes of this Policy, the following capitalized terms shall have the meanings set forth below:</w:t>
      </w:r>
    </w:p>
    <w:p>
      <w:pPr>
        <w:spacing w:after="0" w:line="77" w:lineRule="exact"/>
        <w:rPr>
          <w:sz w:val="20"/>
          <w:szCs w:val="20"/>
          <w:color w:val="auto"/>
        </w:rPr>
      </w:pPr>
    </w:p>
    <w:p>
      <w:pPr>
        <w:jc w:val="both"/>
        <w:ind w:left="40" w:right="39" w:firstLine="522"/>
        <w:spacing w:after="0" w:line="232"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means an accounting restatement (i) due to the material noncompliance of the Company with any financial reporting requirement under the U.S. federal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not corrected the current period or left uncorrected in the current period (a “little r” restatement).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84" w:lineRule="exact"/>
        <w:rPr>
          <w:rFonts w:ascii="Times New Roman" w:cs="Times New Roman" w:eastAsia="Times New Roman" w:hAnsi="Times New Roman"/>
          <w:sz w:val="18"/>
          <w:szCs w:val="18"/>
          <w:color w:val="auto"/>
        </w:rPr>
      </w:pPr>
    </w:p>
    <w:p>
      <w:pPr>
        <w:jc w:val="both"/>
        <w:ind w:left="40" w:right="59" w:firstLine="522"/>
        <w:spacing w:after="0" w:line="243"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Executives</w:t>
      </w:r>
      <w:r>
        <w:rPr>
          <w:rFonts w:ascii="Times New Roman" w:cs="Times New Roman" w:eastAsia="Times New Roman" w:hAnsi="Times New Roman"/>
          <w:sz w:val="18"/>
          <w:szCs w:val="18"/>
          <w:color w:val="auto"/>
        </w:rPr>
        <w:t>” means the Company’s current and former Executive Officers, as determined by the Committee in accordance with Section 10D of the Exchange Act and Rule 5608 and any other applicable the Nasdaq listing rules or standards.</w:t>
      </w:r>
    </w:p>
    <w:p>
      <w:pPr>
        <w:spacing w:after="0" w:line="85" w:lineRule="exact"/>
        <w:rPr>
          <w:rFonts w:ascii="Times New Roman" w:cs="Times New Roman" w:eastAsia="Times New Roman" w:hAnsi="Times New Roman"/>
          <w:sz w:val="18"/>
          <w:szCs w:val="18"/>
          <w:color w:val="auto"/>
        </w:rPr>
      </w:pPr>
    </w:p>
    <w:p>
      <w:pPr>
        <w:jc w:val="both"/>
        <w:ind w:left="40" w:right="59" w:firstLine="522"/>
        <w:spacing w:after="0" w:line="238"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means, with respect to each Covered Executive in connection with an Accounting Restatement, the amount of Recovery Eligible Incentive-based Compensation that exceeds the amount of Incentive-based Compensation that otherwise would have been Received had it been determined based on the restated amounts, computed without regard to any taxes paid.</w:t>
      </w:r>
    </w:p>
    <w:p>
      <w:pPr>
        <w:spacing w:after="0" w:line="90" w:lineRule="exact"/>
        <w:rPr>
          <w:rFonts w:ascii="Times New Roman" w:cs="Times New Roman" w:eastAsia="Times New Roman" w:hAnsi="Times New Roman"/>
          <w:sz w:val="18"/>
          <w:szCs w:val="18"/>
          <w:color w:val="auto"/>
        </w:rPr>
      </w:pPr>
    </w:p>
    <w:p>
      <w:pPr>
        <w:ind w:left="40" w:right="39" w:firstLine="522"/>
        <w:spacing w:after="0" w:line="256" w:lineRule="auto"/>
        <w:tabs>
          <w:tab w:leader="none" w:pos="10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265430</wp:posOffset>
            </wp:positionV>
            <wp:extent cx="567880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4">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8" w:name="page99"/>
    <w:bookmarkEnd w:id="98"/>
    <w:p>
      <w:pPr>
        <w:jc w:val="both"/>
        <w:ind w:left="40" w:right="59"/>
        <w:spacing w:after="0" w:line="235" w:lineRule="auto"/>
        <w:rPr>
          <w:sz w:val="20"/>
          <w:szCs w:val="20"/>
          <w:color w:val="auto"/>
        </w:rPr>
      </w:pPr>
      <w:r>
        <w:rPr>
          <w:rFonts w:ascii="Times New Roman" w:cs="Times New Roman" w:eastAsia="Times New Roman" w:hAnsi="Times New Roman"/>
          <w:sz w:val="18"/>
          <w:szCs w:val="18"/>
          <w:color w:val="auto"/>
        </w:rPr>
        <w:t>president of the Company in charge of a principal business unit, division, or function (such as sales, administration, or finance), any other officer who performs a policy-making function, or any other person (including any executive officer of the Company’s affiliates) who performs similar policy-making functions for the Company. Executive officers of the Company’s subsidiaries are deemed executive officers of the Company if they perform such policy making functions for the Company. The term “Executive Officer” includes, without limitation, those officers identified by the Company in any disclosure made pursuant to the requirements of Regulation S-K Item 401(b).</w:t>
      </w:r>
    </w:p>
    <w:p>
      <w:pPr>
        <w:spacing w:after="0" w:line="89" w:lineRule="exact"/>
        <w:rPr>
          <w:sz w:val="20"/>
          <w:szCs w:val="20"/>
          <w:color w:val="auto"/>
        </w:rPr>
      </w:pPr>
    </w:p>
    <w:p>
      <w:pPr>
        <w:jc w:val="both"/>
        <w:ind w:left="40" w:right="39" w:firstLine="522"/>
        <w:spacing w:after="0" w:line="235" w:lineRule="auto"/>
        <w:tabs>
          <w:tab w:leader="none" w:pos="10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 preparing the Company’s financial statements, and any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80" w:lineRule="exact"/>
        <w:rPr>
          <w:rFonts w:ascii="Times New Roman" w:cs="Times New Roman" w:eastAsia="Times New Roman" w:hAnsi="Times New Roman"/>
          <w:sz w:val="18"/>
          <w:szCs w:val="18"/>
          <w:color w:val="auto"/>
        </w:rPr>
      </w:pPr>
    </w:p>
    <w:p>
      <w:pPr>
        <w:jc w:val="both"/>
        <w:ind w:left="40" w:right="39" w:firstLine="522"/>
        <w:spacing w:after="0" w:line="273" w:lineRule="auto"/>
        <w:tabs>
          <w:tab w:leader="none" w:pos="109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Incentive-based Compensation</w:t>
      </w:r>
      <w:r>
        <w:rPr>
          <w:rFonts w:ascii="Times New Roman" w:cs="Times New Roman" w:eastAsia="Times New Roman" w:hAnsi="Times New Roman"/>
          <w:sz w:val="16"/>
          <w:szCs w:val="16"/>
          <w:color w:val="auto"/>
        </w:rPr>
        <w:t>” means any compensation that is granted, earned or vested based wholly or in part upon the attainment of a Financial Reporting Measure. Incentive-Based Compensation does not include base salary, bonus awards that are discretionary or based on subjective goals or goals unrelated to Financial Reporting Measures, equity awards that vest exclusively upon completion of a specified employment period, without any performance condition, and equity awards that vest based on milestones or performance conditions that are unrelated to Financial Reporting Measures.</w:t>
      </w:r>
    </w:p>
    <w:p>
      <w:pPr>
        <w:spacing w:after="0" w:line="63" w:lineRule="exact"/>
        <w:rPr>
          <w:rFonts w:ascii="Times New Roman" w:cs="Times New Roman" w:eastAsia="Times New Roman" w:hAnsi="Times New Roman"/>
          <w:sz w:val="16"/>
          <w:szCs w:val="16"/>
          <w:color w:val="auto"/>
        </w:rPr>
      </w:pPr>
    </w:p>
    <w:p>
      <w:pPr>
        <w:ind w:left="1080" w:hanging="518"/>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w:t>
      </w:r>
    </w:p>
    <w:p>
      <w:pPr>
        <w:spacing w:after="0" w:line="111" w:lineRule="exact"/>
        <w:rPr>
          <w:rFonts w:ascii="Times New Roman" w:cs="Times New Roman" w:eastAsia="Times New Roman" w:hAnsi="Times New Roman"/>
          <w:sz w:val="18"/>
          <w:szCs w:val="18"/>
          <w:color w:val="auto"/>
        </w:rPr>
      </w:pPr>
    </w:p>
    <w:p>
      <w:pPr>
        <w:jc w:val="both"/>
        <w:ind w:left="40" w:right="39" w:firstLine="522"/>
        <w:spacing w:after="0" w:line="238" w:lineRule="auto"/>
        <w:tabs>
          <w:tab w:leader="none" w:pos="10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 or is subject to additional time-based vesting requirements.</w:t>
      </w:r>
    </w:p>
    <w:p>
      <w:pPr>
        <w:spacing w:after="0" w:line="79" w:lineRule="exact"/>
        <w:rPr>
          <w:rFonts w:ascii="Times New Roman" w:cs="Times New Roman" w:eastAsia="Times New Roman" w:hAnsi="Times New Roman"/>
          <w:sz w:val="18"/>
          <w:szCs w:val="18"/>
          <w:color w:val="auto"/>
        </w:rPr>
      </w:pPr>
    </w:p>
    <w:p>
      <w:pPr>
        <w:jc w:val="both"/>
        <w:ind w:left="40" w:right="39" w:firstLine="522"/>
        <w:spacing w:after="0" w:line="234" w:lineRule="auto"/>
        <w:tabs>
          <w:tab w:leader="none" w:pos="10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 Eligible Incentive-based Compensation</w:t>
      </w:r>
      <w:r>
        <w:rPr>
          <w:rFonts w:ascii="Times New Roman" w:cs="Times New Roman" w:eastAsia="Times New Roman" w:hAnsi="Times New Roman"/>
          <w:sz w:val="18"/>
          <w:szCs w:val="18"/>
          <w:color w:val="auto"/>
        </w:rPr>
        <w:t>” means, in connection with an Accounting Restatement and with respect to each individual who served as a Covered Executive at any time during the applicable performance period for any Incentive-based Compensation (whether or not such Covered Executive is serving at the time the Erroneously Awarded Compensation is required to be repaid to the Company), all Incentive-based Compensation Received by such Covered Executive (i) on or after October 2, 2023, (ii) after beginning service as a Covered Executive, (iii) while the Company has a class of securities listed on a national securities exchange or a national securities association, and (iv) during the applicable Recovery Period.</w:t>
      </w:r>
    </w:p>
    <w:p>
      <w:pPr>
        <w:spacing w:after="0" w:line="92" w:lineRule="exact"/>
        <w:rPr>
          <w:rFonts w:ascii="Times New Roman" w:cs="Times New Roman" w:eastAsia="Times New Roman" w:hAnsi="Times New Roman"/>
          <w:sz w:val="18"/>
          <w:szCs w:val="18"/>
          <w:color w:val="auto"/>
        </w:rPr>
      </w:pPr>
    </w:p>
    <w:p>
      <w:pPr>
        <w:jc w:val="both"/>
        <w:ind w:left="40" w:right="59" w:firstLine="522"/>
        <w:spacing w:after="0" w:line="243" w:lineRule="auto"/>
        <w:tabs>
          <w:tab w:leader="none" w:pos="10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 Period</w:t>
      </w:r>
      <w:r>
        <w:rPr>
          <w:rFonts w:ascii="Times New Roman" w:cs="Times New Roman" w:eastAsia="Times New Roman" w:hAnsi="Times New Roman"/>
          <w:sz w:val="18"/>
          <w:szCs w:val="18"/>
          <w:color w:val="auto"/>
        </w:rPr>
        <w:t>” 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85" w:lineRule="exact"/>
        <w:rPr>
          <w:rFonts w:ascii="Times New Roman" w:cs="Times New Roman" w:eastAsia="Times New Roman" w:hAnsi="Times New Roman"/>
          <w:sz w:val="18"/>
          <w:szCs w:val="18"/>
          <w:color w:val="auto"/>
        </w:rPr>
      </w:pPr>
    </w:p>
    <w:p>
      <w:pPr>
        <w:jc w:val="both"/>
        <w:ind w:left="40" w:right="39" w:firstLine="522"/>
        <w:spacing w:after="0" w:line="243" w:lineRule="auto"/>
        <w:tabs>
          <w:tab w:leader="none" w:pos="10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means the earlier to occur of (i) (A) the date the Board, or (B) the date a committee of the Board or the officers of the Company authorized to take such action if Board action is not required, concludes, or reasonably should have concluded, that the Company is required</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5">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9" w:name="page100"/>
    <w:bookmarkEnd w:id="99"/>
    <w:p>
      <w:pPr>
        <w:ind w:left="40" w:right="39"/>
        <w:spacing w:after="0" w:line="253" w:lineRule="auto"/>
        <w:rPr>
          <w:sz w:val="20"/>
          <w:szCs w:val="20"/>
          <w:color w:val="auto"/>
        </w:rPr>
      </w:pPr>
      <w:r>
        <w:rPr>
          <w:rFonts w:ascii="Times New Roman" w:cs="Times New Roman" w:eastAsia="Times New Roman" w:hAnsi="Times New Roman"/>
          <w:sz w:val="18"/>
          <w:szCs w:val="18"/>
          <w:color w:val="auto"/>
        </w:rPr>
        <w:t>to prepare an Accounting Restatement, and (ii) the date a court, regulator or other legally authorized body directs the Company to prepare an Accounting Restatement.</w:t>
      </w:r>
    </w:p>
    <w:p>
      <w:pPr>
        <w:spacing w:after="0" w:line="77" w:lineRule="exact"/>
        <w:rPr>
          <w:sz w:val="20"/>
          <w:szCs w:val="20"/>
          <w:color w:val="auto"/>
        </w:rPr>
      </w:pPr>
    </w:p>
    <w:p>
      <w:pPr>
        <w:ind w:left="1080" w:hanging="518"/>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01"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Repayment of Erroneously Awarded Compensation; Method of Recovery</w:t>
      </w:r>
    </w:p>
    <w:p>
      <w:pPr>
        <w:spacing w:after="0" w:line="300" w:lineRule="exact"/>
        <w:rPr>
          <w:sz w:val="20"/>
          <w:szCs w:val="20"/>
          <w:color w:val="auto"/>
        </w:rPr>
      </w:pPr>
    </w:p>
    <w:p>
      <w:pPr>
        <w:jc w:val="both"/>
        <w:ind w:left="40" w:right="39" w:firstLine="522"/>
        <w:spacing w:after="0" w:line="232" w:lineRule="auto"/>
        <w:tabs>
          <w:tab w:leader="none" w:pos="10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the Committee shall take reasonably prompt action after the Restatement Date to determine the amount of any Erroneously Awarded Compensation for each Covered Executive in connection with such Accounting Restatement and, thereafter, shall promptly provide each Covered Executive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97" w:lineRule="exact"/>
        <w:rPr>
          <w:rFonts w:ascii="Times New Roman" w:cs="Times New Roman" w:eastAsia="Times New Roman" w:hAnsi="Times New Roman"/>
          <w:sz w:val="18"/>
          <w:szCs w:val="18"/>
          <w:color w:val="auto"/>
        </w:rPr>
      </w:pPr>
    </w:p>
    <w:p>
      <w:pPr>
        <w:jc w:val="both"/>
        <w:ind w:left="40" w:right="39" w:firstLine="522"/>
        <w:spacing w:after="0" w:line="265" w:lineRule="auto"/>
        <w:tabs>
          <w:tab w:leader="none" w:pos="109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Committee shall have broad discretion to determine the appropriate means of recovery of Erroneously Awarded Compensation based on all applicable facts and circumstances and taking into account the time value of money and the cost to shareholders of delaying recovery, including without limitation (i) requiring reimbursement of cash Incentive-based Compensation previously paid; (ii) seeking recovery of any gain realized on the vesting, exercise, settlement, sale, transfer, or other disposition of any equity-based awards; (iii) offsetting the amount of any Erroneously Awarded Compensation from any compensation otherwise owed by the Company to the Covered Executive; (iv) cancelling outstanding vested or unvested equity awards; and/or (v) taking any other remedial and recovery action permitted by law. For the avoidance of doubt, except as set forth in </w:t>
      </w:r>
      <w:r>
        <w:rPr>
          <w:rFonts w:ascii="Times New Roman" w:cs="Times New Roman" w:eastAsia="Times New Roman" w:hAnsi="Times New Roman"/>
          <w:sz w:val="16"/>
          <w:szCs w:val="16"/>
          <w:u w:val="single" w:color="auto"/>
          <w:color w:val="auto"/>
        </w:rPr>
        <w:t>Section IV(d)</w:t>
      </w:r>
      <w:r>
        <w:rPr>
          <w:rFonts w:ascii="Times New Roman" w:cs="Times New Roman" w:eastAsia="Times New Roman" w:hAnsi="Times New Roman"/>
          <w:sz w:val="16"/>
          <w:szCs w:val="16"/>
          <w:color w:val="auto"/>
        </w:rPr>
        <w:t xml:space="preserve"> below, in no event may the Company accept an amount that is less than the amount of Erroneously Awarded Compensation in satisfaction of a Covered Executive’s obligations hereunder.</w:t>
      </w:r>
    </w:p>
    <w:p>
      <w:pPr>
        <w:spacing w:after="0" w:line="264" w:lineRule="exact"/>
        <w:rPr>
          <w:rFonts w:ascii="Times New Roman" w:cs="Times New Roman" w:eastAsia="Times New Roman" w:hAnsi="Times New Roman"/>
          <w:sz w:val="16"/>
          <w:szCs w:val="16"/>
          <w:color w:val="auto"/>
        </w:rPr>
      </w:pPr>
    </w:p>
    <w:p>
      <w:pPr>
        <w:jc w:val="both"/>
        <w:ind w:left="40" w:right="39" w:firstLine="522"/>
        <w:spacing w:after="0" w:line="235" w:lineRule="auto"/>
        <w:tabs>
          <w:tab w:leader="none" w:pos="10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 Covered Executive fails to repay all Erroneously Awarded Compensation to the Company when due (as determined in accordance with </w:t>
      </w:r>
      <w:r>
        <w:rPr>
          <w:rFonts w:ascii="Times New Roman" w:cs="Times New Roman" w:eastAsia="Times New Roman" w:hAnsi="Times New Roman"/>
          <w:sz w:val="18"/>
          <w:szCs w:val="18"/>
          <w:u w:val="single" w:color="auto"/>
          <w:color w:val="auto"/>
        </w:rPr>
        <w:t>Section IV(b) above</w:t>
      </w:r>
      <w:r>
        <w:rPr>
          <w:rFonts w:ascii="Times New Roman" w:cs="Times New Roman" w:eastAsia="Times New Roman" w:hAnsi="Times New Roman"/>
          <w:sz w:val="18"/>
          <w:szCs w:val="18"/>
          <w:color w:val="auto"/>
        </w:rPr>
        <w:t>),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 in accordance with the immediately preceding sentence.</w:t>
      </w:r>
    </w:p>
    <w:p>
      <w:pPr>
        <w:spacing w:after="0" w:line="91" w:lineRule="exact"/>
        <w:rPr>
          <w:rFonts w:ascii="Times New Roman" w:cs="Times New Roman" w:eastAsia="Times New Roman" w:hAnsi="Times New Roman"/>
          <w:sz w:val="18"/>
          <w:szCs w:val="18"/>
          <w:color w:val="auto"/>
        </w:rPr>
      </w:pPr>
    </w:p>
    <w:p>
      <w:pPr>
        <w:jc w:val="both"/>
        <w:ind w:left="40" w:right="39" w:firstLine="522"/>
        <w:spacing w:after="0" w:line="241" w:lineRule="auto"/>
        <w:tabs>
          <w:tab w:leader="none" w:pos="10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Company shall not be required to take the actions contemplated by </w:t>
      </w:r>
      <w:r>
        <w:rPr>
          <w:rFonts w:ascii="Times New Roman" w:cs="Times New Roman" w:eastAsia="Times New Roman" w:hAnsi="Times New Roman"/>
          <w:sz w:val="18"/>
          <w:szCs w:val="18"/>
          <w:u w:val="single" w:color="auto"/>
          <w:color w:val="auto"/>
        </w:rPr>
        <w:t>Section IV(b)</w:t>
      </w:r>
      <w:r>
        <w:rPr>
          <w:rFonts w:ascii="Times New Roman" w:cs="Times New Roman" w:eastAsia="Times New Roman" w:hAnsi="Times New Roman"/>
          <w:sz w:val="18"/>
          <w:szCs w:val="18"/>
          <w:color w:val="auto"/>
        </w:rPr>
        <w:t xml:space="preserve"> above if the following conditions are met and the Committee determines that recovery would be impracticable:</w:t>
      </w:r>
    </w:p>
    <w:p>
      <w:pPr>
        <w:spacing w:after="0" w:line="91" w:lineRule="exact"/>
        <w:rPr>
          <w:sz w:val="20"/>
          <w:szCs w:val="20"/>
          <w:color w:val="auto"/>
        </w:rPr>
      </w:pPr>
    </w:p>
    <w:p>
      <w:pPr>
        <w:ind w:left="560" w:right="1799" w:firstLine="582"/>
        <w:spacing w:after="0" w:line="316" w:lineRule="auto"/>
        <w:tabs>
          <w:tab w:leader="none" w:pos="161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expenses paid to a third party to assist in enforcing this Policy against a Covered Executive would exceed the amount to be recovered, after the Company has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6">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0" w:name="page101"/>
    <w:bookmarkEnd w:id="100"/>
    <w:p>
      <w:pPr>
        <w:ind w:left="560" w:right="39"/>
        <w:spacing w:after="0" w:line="253" w:lineRule="auto"/>
        <w:rPr>
          <w:sz w:val="20"/>
          <w:szCs w:val="20"/>
          <w:color w:val="auto"/>
        </w:rPr>
      </w:pPr>
      <w:r>
        <w:rPr>
          <w:rFonts w:ascii="Times New Roman" w:cs="Times New Roman" w:eastAsia="Times New Roman" w:hAnsi="Times New Roman"/>
          <w:sz w:val="18"/>
          <w:szCs w:val="18"/>
          <w:color w:val="auto"/>
        </w:rPr>
        <w:t>made a reasonable attempt to recover the applicable Erroneously Awarded Compensation, documented such attempts and provided such documentation to Nasdaq;</w:t>
      </w:r>
    </w:p>
    <w:p>
      <w:pPr>
        <w:spacing w:after="0" w:line="123" w:lineRule="exact"/>
        <w:rPr>
          <w:sz w:val="20"/>
          <w:szCs w:val="20"/>
          <w:color w:val="auto"/>
        </w:rPr>
      </w:pPr>
    </w:p>
    <w:p>
      <w:pPr>
        <w:ind w:left="1620" w:hanging="478"/>
        <w:spacing w:after="0"/>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w:t>
      </w:r>
    </w:p>
    <w:p>
      <w:pPr>
        <w:spacing w:after="0" w:line="11" w:lineRule="exact"/>
        <w:rPr>
          <w:sz w:val="20"/>
          <w:szCs w:val="20"/>
          <w:color w:val="auto"/>
        </w:rPr>
      </w:pPr>
    </w:p>
    <w:p>
      <w:pPr>
        <w:jc w:val="both"/>
        <w:ind w:left="560" w:right="39"/>
        <w:spacing w:after="0" w:line="232" w:lineRule="auto"/>
        <w:rPr>
          <w:sz w:val="20"/>
          <w:szCs w:val="20"/>
          <w:color w:val="auto"/>
        </w:rPr>
      </w:pPr>
      <w:r>
        <w:rPr>
          <w:rFonts w:ascii="Times New Roman" w:cs="Times New Roman" w:eastAsia="Times New Roman" w:hAnsi="Times New Roman"/>
          <w:sz w:val="18"/>
          <w:szCs w:val="18"/>
          <w:color w:val="auto"/>
        </w:rPr>
        <w:t>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92" w:lineRule="exact"/>
        <w:rPr>
          <w:sz w:val="20"/>
          <w:szCs w:val="20"/>
          <w:color w:val="auto"/>
        </w:rPr>
      </w:pPr>
    </w:p>
    <w:p>
      <w:pPr>
        <w:jc w:val="both"/>
        <w:ind w:left="560" w:right="59" w:firstLine="582"/>
        <w:spacing w:after="0" w:line="241" w:lineRule="auto"/>
        <w:tabs>
          <w:tab w:leader="none" w:pos="16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77"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5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Acknowledgement by Covered Executives</w:t>
      </w:r>
    </w:p>
    <w:p>
      <w:pPr>
        <w:spacing w:after="0" w:line="81" w:lineRule="exact"/>
        <w:rPr>
          <w:sz w:val="20"/>
          <w:szCs w:val="20"/>
          <w:color w:val="auto"/>
        </w:rPr>
      </w:pPr>
    </w:p>
    <w:p>
      <w:pPr>
        <w:jc w:val="both"/>
        <w:ind w:left="40" w:right="39"/>
        <w:spacing w:after="0" w:line="241" w:lineRule="auto"/>
        <w:rPr>
          <w:sz w:val="20"/>
          <w:szCs w:val="20"/>
          <w:color w:val="auto"/>
        </w:rPr>
      </w:pPr>
      <w:r>
        <w:rPr>
          <w:rFonts w:ascii="Times New Roman" w:cs="Times New Roman" w:eastAsia="Times New Roman" w:hAnsi="Times New Roman"/>
          <w:sz w:val="18"/>
          <w:szCs w:val="18"/>
          <w:color w:val="auto"/>
        </w:rPr>
        <w:t xml:space="preserve">The Committee shall provide notice of this Policy to, and seek written acknowledgement of this Policy from, each Covered Executive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provided that the failure to provide such notice or obtain such acknowledgement shall have no impact on the applicability or enforceability of this Policy.</w:t>
      </w:r>
    </w:p>
    <w:p>
      <w:pPr>
        <w:spacing w:after="0" w:line="56"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Reporting and Disclosure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 of the U.S. federal securities laws, including the disclosure required by applicable SEC filings.</w:t>
      </w:r>
    </w:p>
    <w:p>
      <w:pPr>
        <w:spacing w:after="0" w:line="43"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VII.</w:t>
        <w:tab/>
        <w:t>No Indemnification</w:t>
      </w:r>
    </w:p>
    <w:p>
      <w:pPr>
        <w:spacing w:after="0" w:line="81" w:lineRule="exact"/>
        <w:rPr>
          <w:sz w:val="20"/>
          <w:szCs w:val="20"/>
          <w:color w:val="auto"/>
        </w:rPr>
      </w:pPr>
    </w:p>
    <w:p>
      <w:pPr>
        <w:jc w:val="both"/>
        <w:ind w:left="40" w:right="39"/>
        <w:spacing w:after="0" w:line="238" w:lineRule="auto"/>
        <w:rPr>
          <w:sz w:val="20"/>
          <w:szCs w:val="20"/>
          <w:color w:val="auto"/>
        </w:rPr>
      </w:pPr>
      <w:r>
        <w:rPr>
          <w:rFonts w:ascii="Times New Roman" w:cs="Times New Roman" w:eastAsia="Times New Roman" w:hAnsi="Times New Roman"/>
          <w:sz w:val="18"/>
          <w:szCs w:val="18"/>
          <w:color w:val="auto"/>
        </w:rPr>
        <w:t>Notwithstanding the terms of any of the Company’s organizational documents, any corporate policy or any contract, the Company shall not indemnify any Covered Executive against the loss of any Erroneously Awarded Compensation or any claims relating to the Company’s enforcement of its rights under this Policy nor shall the Company pay or reimburse any Covered executive for any insurance premium to cover the loss of any Erroneously Awarded Compensation.</w:t>
      </w:r>
    </w:p>
    <w:p>
      <w:pPr>
        <w:spacing w:after="0" w:line="56"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VIII.</w:t>
      </w:r>
      <w:r>
        <w:rPr>
          <w:sz w:val="20"/>
          <w:szCs w:val="20"/>
          <w:color w:val="auto"/>
        </w:rPr>
        <w:tab/>
      </w:r>
      <w:r>
        <w:rPr>
          <w:rFonts w:ascii="Times New Roman" w:cs="Times New Roman" w:eastAsia="Times New Roman" w:hAnsi="Times New Roman"/>
          <w:sz w:val="16"/>
          <w:szCs w:val="16"/>
          <w:b w:val="1"/>
          <w:bCs w:val="1"/>
          <w:u w:val="single" w:color="auto"/>
          <w:color w:val="auto"/>
        </w:rPr>
        <w:t>Interpretation</w:t>
      </w:r>
    </w:p>
    <w:p>
      <w:pPr>
        <w:spacing w:after="0" w:line="81" w:lineRule="exact"/>
        <w:rPr>
          <w:sz w:val="20"/>
          <w:szCs w:val="20"/>
          <w:color w:val="auto"/>
        </w:rPr>
      </w:pPr>
    </w:p>
    <w:p>
      <w:pPr>
        <w:jc w:val="both"/>
        <w:ind w:left="40" w:right="59"/>
        <w:spacing w:after="0" w:line="238" w:lineRule="auto"/>
        <w:rPr>
          <w:sz w:val="20"/>
          <w:szCs w:val="20"/>
          <w:color w:val="auto"/>
        </w:rPr>
      </w:pPr>
      <w:r>
        <w:rPr>
          <w:rFonts w:ascii="Times New Roman" w:cs="Times New Roman" w:eastAsia="Times New Roman" w:hAnsi="Times New Roman"/>
          <w:sz w:val="18"/>
          <w:szCs w:val="18"/>
          <w:color w:val="auto"/>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or national securities association on which the Company’s securities are listed.</w:t>
      </w:r>
    </w:p>
    <w:p>
      <w:pPr>
        <w:spacing w:after="0" w:line="320"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IX.</w:t>
        <w:tab/>
        <w:t>Amendment; Termination</w:t>
      </w:r>
    </w:p>
    <w:p>
      <w:pPr>
        <w:spacing w:after="0" w:line="81" w:lineRule="exact"/>
        <w:rPr>
          <w:sz w:val="20"/>
          <w:szCs w:val="20"/>
          <w:color w:val="auto"/>
        </w:rPr>
      </w:pPr>
    </w:p>
    <w:p>
      <w:pPr>
        <w:jc w:val="both"/>
        <w:ind w:left="40" w:right="39"/>
        <w:spacing w:after="0" w:line="236"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final regulations adopted by the SEC under Section 10D of the Exchange Act and to comply with Rule 5608 or any rules or standards adopted by Nasdaq or any other national securities exchange or national securities association on which the Company’s securities are listed. The Board may terminate this Policy at any time. Notwithstanding the foregoing, no amendment or termination of this Policy shall be effective if such amendment or termination would (after taking into</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7">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1" w:name="page102"/>
    <w:bookmarkEnd w:id="101"/>
    <w:p>
      <w:pPr>
        <w:jc w:val="both"/>
        <w:ind w:left="40" w:right="39"/>
        <w:spacing w:after="0" w:line="241" w:lineRule="auto"/>
        <w:rPr>
          <w:sz w:val="20"/>
          <w:szCs w:val="20"/>
          <w:color w:val="auto"/>
        </w:rPr>
      </w:pPr>
      <w:r>
        <w:rPr>
          <w:rFonts w:ascii="Times New Roman" w:cs="Times New Roman" w:eastAsia="Times New Roman" w:hAnsi="Times New Roman"/>
          <w:sz w:val="18"/>
          <w:szCs w:val="18"/>
          <w:color w:val="auto"/>
        </w:rPr>
        <w:t>account any actions taken by the Company contemporaneously with such amendment or termination) cause the Company to violate any U.S. federal securities laws, SEC rule, Rule 5608 or the rules of Nasdaq or any other national securities exchange or national securities association on which the Company’s securities are listed.</w:t>
      </w:r>
    </w:p>
    <w:p>
      <w:pPr>
        <w:spacing w:after="0" w:line="55" w:lineRule="exact"/>
        <w:rPr>
          <w:sz w:val="20"/>
          <w:szCs w:val="20"/>
          <w:color w:val="auto"/>
        </w:rPr>
      </w:pPr>
    </w:p>
    <w:p>
      <w:pPr>
        <w:ind w:left="820" w:hanging="522"/>
        <w:spacing w:after="0"/>
        <w:tabs>
          <w:tab w:leader="none" w:pos="820" w:val="left"/>
        </w:tabs>
        <w:numPr>
          <w:ilvl w:val="0"/>
          <w:numId w:val="56"/>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Other Recovery Rights</w:t>
      </w:r>
    </w:p>
    <w:p>
      <w:pPr>
        <w:spacing w:after="0" w:line="81" w:lineRule="exact"/>
        <w:rPr>
          <w:sz w:val="20"/>
          <w:szCs w:val="20"/>
          <w:color w:val="auto"/>
        </w:rPr>
      </w:pPr>
    </w:p>
    <w:p>
      <w:pPr>
        <w:jc w:val="both"/>
        <w:ind w:left="40" w:right="39"/>
        <w:spacing w:after="0" w:line="234"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Committee may require that any employment agreement, equity award agreement, or similar agreement entered into on or after the effective date of this Policy shall, as a condition to the grant of any benefit thereunder, require a Covered Executive to agree to abide by the terms of this Policy. Any right of recovery under this Policy is in addition to, and not in lieu of, any other remedies or rights of recovery that may be available to the Company under applicable law, regulation or rule or pursuant to the terms of any similar policy, whether or not included in any employment agreement, equity award agreement, or similar agreement, and any other legal remedies or rights available to the Company.</w:t>
      </w:r>
    </w:p>
    <w:p>
      <w:pPr>
        <w:spacing w:after="0" w:line="58"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XI.</w:t>
        <w:tab/>
        <w:t>Successors</w:t>
      </w:r>
    </w:p>
    <w:p>
      <w:pPr>
        <w:spacing w:after="0" w:line="81" w:lineRule="exact"/>
        <w:rPr>
          <w:sz w:val="20"/>
          <w:szCs w:val="20"/>
          <w:color w:val="auto"/>
        </w:rPr>
      </w:pPr>
    </w:p>
    <w:p>
      <w:pPr>
        <w:jc w:val="both"/>
        <w:ind w:left="40" w:right="39"/>
        <w:spacing w:after="0" w:line="254"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290195</wp:posOffset>
            </wp:positionV>
            <wp:extent cx="567880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8">
                      <a:extLst>
                        <a:ext uri="{28A0092B-C50C-407E-A947-70E740481C1C}"/>
                      </a:extLst>
                    </a:blip>
                    <a:srcRect/>
                    <a:stretch>
                      <a:fillRect/>
                    </a:stretch>
                  </pic:blipFill>
                  <pic:spPr bwMode="auto">
                    <a:xfrm>
                      <a:off x="0" y="0"/>
                      <a:ext cx="5678805" cy="209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2" w:name="page103"/>
    <w:bookmarkEnd w:id="102"/>
    <w:p>
      <w:pPr>
        <w:ind w:left="41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INCENTIVE COMPENSATION RECOVERY POLICY ACKNOWLEDGEMENT FORM</w:t>
      </w:r>
    </w:p>
    <w:p>
      <w:pPr>
        <w:spacing w:after="0" w:line="342" w:lineRule="exact"/>
        <w:rPr>
          <w:sz w:val="20"/>
          <w:szCs w:val="20"/>
          <w:color w:val="auto"/>
        </w:rPr>
      </w:pPr>
    </w:p>
    <w:p>
      <w:pPr>
        <w:jc w:val="both"/>
        <w:ind w:left="40" w:right="39"/>
        <w:spacing w:after="0" w:line="235" w:lineRule="auto"/>
        <w:rPr>
          <w:sz w:val="20"/>
          <w:szCs w:val="20"/>
          <w:color w:val="auto"/>
        </w:rPr>
      </w:pPr>
      <w:r>
        <w:rPr>
          <w:rFonts w:ascii="Times New Roman" w:cs="Times New Roman" w:eastAsia="Times New Roman" w:hAnsi="Times New Roman"/>
          <w:sz w:val="18"/>
          <w:szCs w:val="18"/>
          <w:color w:val="auto"/>
        </w:rPr>
        <w:t>By signing below, the undersigned (i) acknowledges and confirms that the undersigned has received and reviewed a copy of the Incentive Compensation Recovery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of XWELL,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(ii)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permitted by,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295910</wp:posOffset>
            </wp:positionV>
            <wp:extent cx="425577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9">
                      <a:extLst>
                        <a:ext uri="{28A0092B-C50C-407E-A947-70E740481C1C}"/>
                      </a:extLst>
                    </a:blip>
                    <a:srcRect/>
                    <a:stretch>
                      <a:fillRect/>
                    </a:stretch>
                  </pic:blipFill>
                  <pic:spPr bwMode="auto">
                    <a:xfrm>
                      <a:off x="0" y="0"/>
                      <a:ext cx="4255770" cy="1397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Signature</w:t>
      </w:r>
    </w:p>
    <w:p>
      <w:pPr>
        <w:spacing w:after="0" w:line="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Print Name:</w:t>
      </w:r>
    </w:p>
    <w:p>
      <w:pPr>
        <w:ind w:left="32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442595</wp:posOffset>
            </wp:positionV>
            <wp:extent cx="567880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0">
                      <a:extLst>
                        <a:ext uri="{28A0092B-C50C-407E-A947-70E740481C1C}"/>
                      </a:extLst>
                    </a:blip>
                    <a:srcRect/>
                    <a:stretch>
                      <a:fillRect/>
                    </a:stretch>
                  </pic:blipFill>
                  <pic:spPr bwMode="auto">
                    <a:xfrm>
                      <a:off x="0" y="0"/>
                      <a:ext cx="5678805" cy="13970"/>
                    </a:xfrm>
                    <a:prstGeom prst="rect">
                      <a:avLst/>
                    </a:prstGeom>
                    <a:noFill/>
                  </pic:spPr>
                </pic:pic>
              </a:graphicData>
            </a:graphic>
          </wp:anchor>
        </w:drawing>
      </w:r>
    </w:p>
    <w:sectPr>
      <w:pgSz w:w="11900" w:h="16838" w:orient="portrait"/>
      <w:cols w:equalWidth="0" w:num="1">
        <w:col w:w="9019"/>
      </w:cols>
      <w:pgMar w:left="1440" w:top="7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amp;"/>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97"/>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upperLetter"/>
      <w:start w:val="9"/>
    </w:lvl>
  </w:abstractNum>
  <w:abstractNum w:abstractNumId="45">
    <w:nsid w:val="1BA026FA"/>
    <w:multiLevelType w:val="hybridMultilevel"/>
    <w:lvl w:ilvl="0">
      <w:lvlJc w:val="left"/>
      <w:lvlText w:val="%1."/>
      <w:numFmt w:val="upperLetter"/>
      <w:start w:val="35"/>
    </w:lvl>
  </w:abstractNum>
  <w:abstractNum w:abstractNumId="46">
    <w:nsid w:val="79A1DEAA"/>
    <w:multiLevelType w:val="hybridMultilevel"/>
    <w:lvl w:ilvl="0">
      <w:lvlJc w:val="left"/>
      <w:lvlText w:val="%1."/>
      <w:numFmt w:val="upperLetter"/>
      <w:start w:val="6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5"/>
    </w:lvl>
  </w:abstractNum>
  <w:abstractNum w:abstractNumId="49">
    <w:nsid w:val="70C6A529"/>
    <w:multiLevelType w:val="hybridMultilevel"/>
    <w:lvl w:ilvl="0">
      <w:lvlJc w:val="left"/>
      <w:lvlText w:val="(%1)"/>
      <w:numFmt w:val="lowerLetter"/>
      <w:start w:val="12"/>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1)"/>
      <w:numFmt w:val="lowerRoman"/>
      <w:start w:val="2"/>
    </w:lvl>
  </w:abstractNum>
  <w:abstractNum w:abstractNumId="53">
    <w:nsid w:val="23F9C13C"/>
    <w:multiLevelType w:val="hybridMultilevel"/>
    <w:lvl w:ilvl="0">
      <w:lvlJc w:val="left"/>
      <w:lvlText w:val="%1"/>
      <w:numFmt w:val="upperLetter"/>
      <w:start w:val="1"/>
    </w:lvl>
    <w:lvl w:ilvl="1">
      <w:lvlJc w:val="left"/>
      <w:lvlText w:val="(%2)"/>
      <w:numFmt w:val="lowerRoman"/>
      <w:start w:val="3"/>
    </w:lvl>
  </w:abstractNum>
  <w:abstractNum w:abstractNumId="54">
    <w:nsid w:val="649BB77C"/>
    <w:multiLevelType w:val="hybridMultilevel"/>
    <w:lvl w:ilvl="0">
      <w:lvlJc w:val="left"/>
      <w:lvlText w:val="%1."/>
      <w:numFmt w:val="upperLetter"/>
      <w:start w:val="22"/>
    </w:lvl>
    <w:lvl w:ilvl="1">
      <w:lvlJc w:val="left"/>
      <w:lvlText w:val="%2"/>
      <w:numFmt w:val="lowerRoman"/>
      <w:start w:val="1"/>
    </w:lvl>
  </w:abstractNum>
  <w:abstractNum w:abstractNumId="55">
    <w:nsid w:val="275AC794"/>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4" Type="http://schemas.openxmlformats.org/officeDocument/2006/relationships/image" Target="media/image49.png"/><Relationship Id="rId111" Type="http://schemas.openxmlformats.org/officeDocument/2006/relationships/image" Target="media/image50.png"/><Relationship Id="rId122" Type="http://schemas.openxmlformats.org/officeDocument/2006/relationships/image" Target="media/image51.png"/><Relationship Id="rId123" Type="http://schemas.openxmlformats.org/officeDocument/2006/relationships/image" Target="media/image52.png"/><Relationship Id="rId124" Type="http://schemas.openxmlformats.org/officeDocument/2006/relationships/image" Target="media/image53.png"/><Relationship Id="rId125" Type="http://schemas.openxmlformats.org/officeDocument/2006/relationships/image" Target="media/image54.png"/><Relationship Id="rId126" Type="http://schemas.openxmlformats.org/officeDocument/2006/relationships/image" Target="media/image55.png"/><Relationship Id="rId127" Type="http://schemas.openxmlformats.org/officeDocument/2006/relationships/image" Target="media/image56.png"/><Relationship Id="rId128"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132" Type="http://schemas.openxmlformats.org/officeDocument/2006/relationships/image" Target="media/image61.png"/><Relationship Id="rId133" Type="http://schemas.openxmlformats.org/officeDocument/2006/relationships/image" Target="media/image62.png"/><Relationship Id="rId134" Type="http://schemas.openxmlformats.org/officeDocument/2006/relationships/image" Target="media/image63.png"/><Relationship Id="rId135" Type="http://schemas.openxmlformats.org/officeDocument/2006/relationships/image" Target="media/image64.png"/><Relationship Id="rId136" Type="http://schemas.openxmlformats.org/officeDocument/2006/relationships/image" Target="media/image65.png"/><Relationship Id="rId137" Type="http://schemas.openxmlformats.org/officeDocument/2006/relationships/image" Target="media/image66.png"/><Relationship Id="rId138" Type="http://schemas.openxmlformats.org/officeDocument/2006/relationships/image" Target="media/image67.png"/><Relationship Id="rId139" Type="http://schemas.openxmlformats.org/officeDocument/2006/relationships/image" Target="media/image68.png"/><Relationship Id="rId140" Type="http://schemas.openxmlformats.org/officeDocument/2006/relationships/image" Target="media/image69.png"/><Relationship Id="rId141" Type="http://schemas.openxmlformats.org/officeDocument/2006/relationships/image" Target="media/image70.png"/><Relationship Id="rId142" Type="http://schemas.openxmlformats.org/officeDocument/2006/relationships/image" Target="media/image71.png"/><Relationship Id="rId143" Type="http://schemas.openxmlformats.org/officeDocument/2006/relationships/image" Target="media/image72.png"/><Relationship Id="rId144" Type="http://schemas.openxmlformats.org/officeDocument/2006/relationships/image" Target="media/image73.png"/><Relationship Id="rId145" Type="http://schemas.openxmlformats.org/officeDocument/2006/relationships/image" Target="media/image74.png"/><Relationship Id="rId146" Type="http://schemas.openxmlformats.org/officeDocument/2006/relationships/image" Target="media/image75.png"/><Relationship Id="rId147" Type="http://schemas.openxmlformats.org/officeDocument/2006/relationships/image" Target="media/image76.png"/><Relationship Id="rId148" Type="http://schemas.openxmlformats.org/officeDocument/2006/relationships/image" Target="media/image77.png"/><Relationship Id="rId149" Type="http://schemas.openxmlformats.org/officeDocument/2006/relationships/image" Target="media/image78.png"/><Relationship Id="rId150" Type="http://schemas.openxmlformats.org/officeDocument/2006/relationships/image" Target="media/image79.png"/><Relationship Id="rId151" Type="http://schemas.openxmlformats.org/officeDocument/2006/relationships/image" Target="media/image80.png"/><Relationship Id="rId152" Type="http://schemas.openxmlformats.org/officeDocument/2006/relationships/image" Target="media/image81.png"/><Relationship Id="rId153" Type="http://schemas.openxmlformats.org/officeDocument/2006/relationships/image" Target="media/image82.png"/><Relationship Id="rId154" Type="http://schemas.openxmlformats.org/officeDocument/2006/relationships/image" Target="media/image83.png"/><Relationship Id="rId155" Type="http://schemas.openxmlformats.org/officeDocument/2006/relationships/image" Target="media/image84.png"/><Relationship Id="rId156" Type="http://schemas.openxmlformats.org/officeDocument/2006/relationships/image" Target="media/image85.png"/><Relationship Id="rId157" Type="http://schemas.openxmlformats.org/officeDocument/2006/relationships/image" Target="media/image86.png"/><Relationship Id="rId158" Type="http://schemas.openxmlformats.org/officeDocument/2006/relationships/image" Target="media/image87.png"/><Relationship Id="rId159" Type="http://schemas.openxmlformats.org/officeDocument/2006/relationships/image" Target="media/image88.png"/><Relationship Id="rId160" Type="http://schemas.openxmlformats.org/officeDocument/2006/relationships/image" Target="media/image89.png"/><Relationship Id="rId161" Type="http://schemas.openxmlformats.org/officeDocument/2006/relationships/image" Target="media/image90.png"/><Relationship Id="rId162" Type="http://schemas.openxmlformats.org/officeDocument/2006/relationships/image" Target="media/image91.png"/><Relationship Id="rId163" Type="http://schemas.openxmlformats.org/officeDocument/2006/relationships/image" Target="media/image92.png"/><Relationship Id="rId164" Type="http://schemas.openxmlformats.org/officeDocument/2006/relationships/image" Target="media/image93.png"/><Relationship Id="rId165" Type="http://schemas.openxmlformats.org/officeDocument/2006/relationships/image" Target="media/image94.png"/><Relationship Id="rId166" Type="http://schemas.openxmlformats.org/officeDocument/2006/relationships/image" Target="media/image95.png"/><Relationship Id="rId167" Type="http://schemas.openxmlformats.org/officeDocument/2006/relationships/image" Target="media/image96.png"/><Relationship Id="rId168" Type="http://schemas.openxmlformats.org/officeDocument/2006/relationships/image" Target="media/image97.png"/><Relationship Id="rId169" Type="http://schemas.openxmlformats.org/officeDocument/2006/relationships/image" Target="media/image98.png"/><Relationship Id="rId170" Type="http://schemas.openxmlformats.org/officeDocument/2006/relationships/image" Target="media/image99.png"/><Relationship Id="rId56" Type="http://schemas.openxmlformats.org/officeDocument/2006/relationships/hyperlink" Target="https://www.sec.gov/Archives/edgar/data/1410428/000114420416117230/v446257_ex2-1.htm" TargetMode="External"/><Relationship Id="rId57" Type="http://schemas.openxmlformats.org/officeDocument/2006/relationships/hyperlink" Target="https://www.sec.gov/Archives/edgar/data/1410428/000114420416123414/v448507_ex2-1.htm" TargetMode="External"/><Relationship Id="rId58" Type="http://schemas.openxmlformats.org/officeDocument/2006/relationships/hyperlink" Target="https://www.sec.gov/Archives/edgar/data/1410428/000114420416129472/v451220_ex2-1.htm" TargetMode="External"/><Relationship Id="rId59" Type="http://schemas.openxmlformats.org/officeDocument/2006/relationships/hyperlink" Target="https://www.sec.gov/Archives/edgar/data/1410428/000110465922110803/tm2228726d1_ex3-1.htm" TargetMode="External"/><Relationship Id="rId60" Type="http://schemas.openxmlformats.org/officeDocument/2006/relationships/hyperlink" Target="https://www.sec.gov/Archives/edgar/data/1410428/000110465922110803/tm2228726d1_ex3-2.htm" TargetMode="External"/><Relationship Id="rId61" Type="http://schemas.openxmlformats.org/officeDocument/2006/relationships/hyperlink" Target="https://www.sec.gov/Archives/edgar/data/1410428/000110465922110803/tm2228726d1_ex3-3.htm" TargetMode="External"/><Relationship Id="rId62" Type="http://schemas.openxmlformats.org/officeDocument/2006/relationships/hyperlink" Target="https://www.sec.gov/Archives/edgar/data/1410428/000110465923104093/tm2327010d1_ex3-1.htm" TargetMode="External"/><Relationship Id="rId63" Type="http://schemas.openxmlformats.org/officeDocument/2006/relationships/hyperlink" Target="https://www.sec.gov/Archives/edgar/data/1410428/000114420416089189/v434655_ex4-1.htm" TargetMode="External"/><Relationship Id="rId65" Type="http://schemas.openxmlformats.org/officeDocument/2006/relationships/hyperlink" Target="https://www.sec.gov/Archives/edgar/data/1410428/000114420419015650/tv516755_ex10-1.htm" TargetMode="External"/><Relationship Id="rId66" Type="http://schemas.openxmlformats.org/officeDocument/2006/relationships/hyperlink" Target="https://www.sec.gov/Archives/edgar/data/1410428/000114420416129474/v449051_s4a.htm" TargetMode="External"/><Relationship Id="rId67" Type="http://schemas.openxmlformats.org/officeDocument/2006/relationships/hyperlink" Target="https://www.sec.gov/Archives/edgar/data/1410428/000114420418028911/tv492938_ex4-1.htm" TargetMode="External"/><Relationship Id="rId68" Type="http://schemas.openxmlformats.org/officeDocument/2006/relationships/hyperlink" Target="https://www.sec.gov/Archives/edgar/data/1410428/000114420419032532/tv524367_ex4-1.htm" TargetMode="External"/><Relationship Id="rId69" Type="http://schemas.openxmlformats.org/officeDocument/2006/relationships/hyperlink" Target="https://www.sec.gov/Archives/edgar/data/1410428/000114420419033939/tv524856_ex4-3.htm" TargetMode="External"/><Relationship Id="rId70" Type="http://schemas.openxmlformats.org/officeDocument/2006/relationships/hyperlink" Target="https://www.sec.gov/Archives/edgar/data/1410428/000110465920003636/tm203197d1_ex4-1.htm" TargetMode="External"/><Relationship Id="rId71" Type="http://schemas.openxmlformats.org/officeDocument/2006/relationships/hyperlink" Target="https://www.sec.gov/Archives/edgar/data/1410428/000110465920029962/tm2011914d1_ex4-1.htm" TargetMode="External"/><Relationship Id="rId72" Type="http://schemas.openxmlformats.org/officeDocument/2006/relationships/hyperlink" Target="https://www.sec.gov/Archives/edgar/data/1410428/000114420419033939/tv524856_ex4-1.htm" TargetMode="External"/><Relationship Id="rId73" Type="http://schemas.openxmlformats.org/officeDocument/2006/relationships/hyperlink" Target="https://www.sec.gov/Archives/edgar/data/1410428/000114420419033939/tv524856_ex4-2.htm" TargetMode="External"/><Relationship Id="rId74" Type="http://schemas.openxmlformats.org/officeDocument/2006/relationships/hyperlink" Target="https://www.sec.gov/Archives/edgar/data/1410428/000110465920035631/tm2013177d1_ex4-1.htm" TargetMode="External"/><Relationship Id="rId75" Type="http://schemas.openxmlformats.org/officeDocument/2006/relationships/hyperlink" Target="https://www.sec.gov/Archives/edgar/data/1410428/000110465920038562/tm2013765d1_ex4-1.htm" TargetMode="External"/><Relationship Id="rId76" Type="http://schemas.openxmlformats.org/officeDocument/2006/relationships/hyperlink" Target="https://www.sec.gov/Archives/edgar/data/1410428/000110465920039953/tm2014049d1_ex4-1.htm" TargetMode="External"/><Relationship Id="rId77" Type="http://schemas.openxmlformats.org/officeDocument/2006/relationships/hyperlink" Target="https://www.sec.gov/Archives/edgar/data/1410428/000110465920043879/tm2015133d1_ex4-1.htm" TargetMode="External"/><Relationship Id="rId78" Type="http://schemas.openxmlformats.org/officeDocument/2006/relationships/hyperlink" Target="https://www.sec.gov/Archives/edgar/data/0001410428/000110465920048780/tm205324d1_ex4-22.htm" TargetMode="External"/><Relationship Id="rId79" Type="http://schemas.openxmlformats.org/officeDocument/2006/relationships/hyperlink" Target="https://www.sec.gov/Archives/edgar/data/1410428/000110465920048297/tm2016230-1_ex41.htm" TargetMode="External"/><Relationship Id="rId80" Type="http://schemas.openxmlformats.org/officeDocument/2006/relationships/hyperlink" Target="https://www.sec.gov/Archives/edgar/data/1410428/000110465920051103/tm2016889d1_ex4-1.htm" TargetMode="External"/><Relationship Id="rId81" Type="http://schemas.openxmlformats.org/officeDocument/2006/relationships/hyperlink" Target="https://www.sec.gov/Archives/edgar/data/1410428/000110465920074007/tm2022774d1_ex4-1.htm" TargetMode="External"/><Relationship Id="rId82" Type="http://schemas.openxmlformats.org/officeDocument/2006/relationships/hyperlink" Target="https://www.sec.gov/Archives/edgar/data/1410428/000110465920074007/tm2022774d1_ex4-2.htm" TargetMode="External"/><Relationship Id="rId83" Type="http://schemas.openxmlformats.org/officeDocument/2006/relationships/hyperlink" Target="https://www.sec.gov/Archives/edgar/data/1410428/000110465920100178/tm2029683d2_ex4-1.htm" TargetMode="External"/><Relationship Id="rId84" Type="http://schemas.openxmlformats.org/officeDocument/2006/relationships/hyperlink" Target="https://www.sec.gov/Archives/edgar/data/1410428/000110465920100178/tm2029683d2_ex4-2.htm" TargetMode="External"/><Relationship Id="rId85" Type="http://schemas.openxmlformats.org/officeDocument/2006/relationships/hyperlink" Target="https://www.sec.gov/Archives/edgar/data/1410428/000110465920100178/tm2029683d2_ex4-3.htm" TargetMode="External"/><Relationship Id="rId86" Type="http://schemas.openxmlformats.org/officeDocument/2006/relationships/hyperlink" Target="https://www.sec.gov/Archives/edgar/data/1410428/000110465920138085/tm2039005d1_ex4-1.htm" TargetMode="External"/><Relationship Id="rId87" Type="http://schemas.openxmlformats.org/officeDocument/2006/relationships/hyperlink" Target="https://www.sec.gov/Archives/edgar/data/1410428/000110465920138085/tm2039005d1_ex4-2.htm" TargetMode="External"/><Relationship Id="rId88" Type="http://schemas.openxmlformats.org/officeDocument/2006/relationships/hyperlink" Target="https://www.sec.gov/Archives/edgar/data/1410428/000114420415056596/v420716_def14a.htm" TargetMode="External"/><Relationship Id="rId89" Type="http://schemas.openxmlformats.org/officeDocument/2006/relationships/hyperlink" Target="https://www.sec.gov/Archives/edgar/data/1410428/000119312510069268/dex45.htm" TargetMode="External"/><Relationship Id="rId90" Type="http://schemas.openxmlformats.org/officeDocument/2006/relationships/hyperlink" Target="https://www.sec.gov/Archives/edgar/data/1410428/000114420412041064/v319421_ex99-2.htm" TargetMode="External"/><Relationship Id="rId91" Type="http://schemas.openxmlformats.org/officeDocument/2006/relationships/hyperlink" Target="https://www.sec.gov/Archives/edgar/data/1410428/000114420412041064/v319421_ex99-3.htm" TargetMode="External"/><Relationship Id="rId92" Type="http://schemas.openxmlformats.org/officeDocument/2006/relationships/hyperlink" Target="https://www.sec.gov/Archives/edgar/data/1410428/000114420413016671/v333989_ex10-24.htm" TargetMode="External"/><Relationship Id="rId93" Type="http://schemas.openxmlformats.org/officeDocument/2006/relationships/hyperlink" Target="https://www.sec.gov/Archives/edgar/data/1410428/000114420416136736/v454026_ex10-1.htm" TargetMode="External"/><Relationship Id="rId94" Type="http://schemas.openxmlformats.org/officeDocument/2006/relationships/hyperlink" Target="https://www.sec.gov/Archives/edgar/data/1410428/000114420418028911/tv492938_ex10-9.htm" TargetMode="External"/><Relationship Id="rId95" Type="http://schemas.openxmlformats.org/officeDocument/2006/relationships/hyperlink" Target="https://www.sec.gov/Archives/edgar/data/1410428/000114420419033939/tv524856_ex10-5.htm" TargetMode="External"/><Relationship Id="rId96" Type="http://schemas.openxmlformats.org/officeDocument/2006/relationships/hyperlink" Target="https://www.sec.gov/Archives/edgar/data/1410428/000114420419017496/tv516017_ex10-28.htm" TargetMode="External"/><Relationship Id="rId97" Type="http://schemas.openxmlformats.org/officeDocument/2006/relationships/hyperlink" Target="https://www.sec.gov/Archives/edgar/data/1410428/000110465919064328/tm1919635d1_ex108.htm" TargetMode="External"/><Relationship Id="rId98" Type="http://schemas.openxmlformats.org/officeDocument/2006/relationships/hyperlink" Target="https://www.sec.gov/Archives/edgar/data/1410428/000114420419033939/tv524856_ex10-1.htm" TargetMode="External"/><Relationship Id="rId99" Type="http://schemas.openxmlformats.org/officeDocument/2006/relationships/hyperlink" Target="https://www.sec.gov/Archives/edgar/data/1410428/000114420419033939/tv524856_ex10-2.htm" TargetMode="External"/><Relationship Id="rId100" Type="http://schemas.openxmlformats.org/officeDocument/2006/relationships/hyperlink" Target="https://www.sec.gov/Archives/edgar/data/1410428/000114420419047032/tv530541_ex10-1.htm" TargetMode="External"/><Relationship Id="rId101" Type="http://schemas.openxmlformats.org/officeDocument/2006/relationships/hyperlink" Target="https://www.sec.gov/Archives/edgar/data/1410428/000110465920035631/tm2013177d1_ex10-1.htm" TargetMode="External"/><Relationship Id="rId102" Type="http://schemas.openxmlformats.org/officeDocument/2006/relationships/hyperlink" Target="https://www.sec.gov/Archives/edgar/data/1410428/000110465920035631/tm2013177d1_ex10-2.htm" TargetMode="External"/><Relationship Id="rId103" Type="http://schemas.openxmlformats.org/officeDocument/2006/relationships/hyperlink" Target="https://www.sec.gov/Archives/edgar/data/1410428/000110465920035631/tm2013177d1_ex10-3.htm" TargetMode="External"/><Relationship Id="rId104" Type="http://schemas.openxmlformats.org/officeDocument/2006/relationships/hyperlink" Target="https://www.sec.gov/Archives/edgar/data/1410428/000110465920038562/tm2013765d1_ex10-1.htm" TargetMode="External"/><Relationship Id="rId105" Type="http://schemas.openxmlformats.org/officeDocument/2006/relationships/hyperlink" Target="https://www.sec.gov/Archives/edgar/data/1410428/000110465920039953/tm2014049d1_ex10-1.htm" TargetMode="External"/><Relationship Id="rId106" Type="http://schemas.openxmlformats.org/officeDocument/2006/relationships/hyperlink" Target="https://www.sec.gov/Archives/edgar/data/1410428/000110465920043879/tm2015133d1_ex10-1.htm" TargetMode="External"/><Relationship Id="rId107" Type="http://schemas.openxmlformats.org/officeDocument/2006/relationships/hyperlink" Target="https://www.sec.gov/Archives/edgar/data/1410428/000155837021003840/xspa-20201231ex103530ae1.htm" TargetMode="External"/><Relationship Id="rId108" Type="http://schemas.openxmlformats.org/officeDocument/2006/relationships/hyperlink" Target="https://www.sec.gov/Archives/edgar/data/1410428/000155837021003840/xspa-20201231ex1036b4f7e.htm" TargetMode="External"/><Relationship Id="rId109" Type="http://schemas.openxmlformats.org/officeDocument/2006/relationships/hyperlink" Target="https://www.sec.gov/Archives/edgar/data/1410428/000110465920069761/tm2021831d1_ex10-1.htm" TargetMode="External"/><Relationship Id="rId110" Type="http://schemas.openxmlformats.org/officeDocument/2006/relationships/hyperlink" Target="https://www.sec.gov/Archives/edgar/data/1410428/000110465920074007/tm2022774d1_ex10-1.htm" TargetMode="External"/><Relationship Id="rId112" Type="http://schemas.openxmlformats.org/officeDocument/2006/relationships/hyperlink" Target="https://www.sec.gov/Archives/edgar/data/1410428/000110465920100178/tm2029683d2_ex10-1.htm" TargetMode="External"/><Relationship Id="rId113" Type="http://schemas.openxmlformats.org/officeDocument/2006/relationships/hyperlink" Target="https://www.sec.gov/Archives/edgar/data/1410428/000110465920109366/tm2031943d1_ex10-1.htm" TargetMode="External"/><Relationship Id="rId114" Type="http://schemas.openxmlformats.org/officeDocument/2006/relationships/hyperlink" Target="https://www.sec.gov/Archives/edgar/data/1410428/000110465920120037/tm2034656d1_ex10-1.htm" TargetMode="External"/><Relationship Id="rId115" Type="http://schemas.openxmlformats.org/officeDocument/2006/relationships/hyperlink" Target="https://www.sec.gov/Archives/edgar/data/1410428/000110465920138085/tm2039005d1_ex10-1.htm" TargetMode="External"/><Relationship Id="rId116" Type="http://schemas.openxmlformats.org/officeDocument/2006/relationships/hyperlink" Target="https://www.sec.gov/Archives/edgar/data/1410428/000155837021005390/tmb-20201231xex10d45.htm" TargetMode="External"/><Relationship Id="rId117" Type="http://schemas.openxmlformats.org/officeDocument/2006/relationships/hyperlink" Target="https://www.sec.gov/Archives/edgar/data/1410428/000155837022017847/xwel-20220930xex10d2.htm" TargetMode="External"/><Relationship Id="rId118" Type="http://schemas.openxmlformats.org/officeDocument/2006/relationships/hyperlink" Target="https://www.sec.gov/Archives/edgar/data/1410428/000110465922041088/tm2210786d1_ex10-1.htm" TargetMode="External"/><Relationship Id="rId119" Type="http://schemas.openxmlformats.org/officeDocument/2006/relationships/hyperlink" Target="https://www.sec.gov/Archives/edgar/data/1410428/000155837022004897/xspa-20211231xex10d48.htm" TargetMode="External"/><Relationship Id="rId120" Type="http://schemas.openxmlformats.org/officeDocument/2006/relationships/hyperlink" Target="https://www.sec.gov/Archives/edgar/data/1410428/000110465922111225/tm2228862d1_ex10-1.htm" TargetMode="External"/><Relationship Id="rId121" Type="http://schemas.openxmlformats.org/officeDocument/2006/relationships/hyperlink" Target="https://www.sec.gov/Archives/edgar/data/1410428/000110465923075565/tm231984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2024-04-16T16:43:59Z</dcterms:created>
  <dcterms:modified xsi:type="dcterms:W3CDTF">2024-04-16T16:43:59Z</dcterms:modified>
</cp:coreProperties>
</file>