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ind w:right="-79"/>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0" w:lineRule="exact"/>
        <w:rPr>
          <w:sz w:val="24"/>
          <w:szCs w:val="24"/>
          <w:color w:val="auto"/>
        </w:rPr>
      </w:pPr>
    </w:p>
    <w:p>
      <w:pPr>
        <w:jc w:val="center"/>
        <w:ind w:right="-79"/>
        <w:spacing w:after="0"/>
        <w:rPr>
          <w:sz w:val="20"/>
          <w:szCs w:val="20"/>
          <w:color w:val="auto"/>
        </w:rPr>
      </w:pPr>
      <w:r>
        <w:rPr>
          <w:rFonts w:ascii="Arial" w:cs="Arial" w:eastAsia="Arial" w:hAnsi="Arial"/>
          <w:sz w:val="24"/>
          <w:szCs w:val="24"/>
          <w:b w:val="1"/>
          <w:bCs w:val="1"/>
          <w:color w:val="auto"/>
        </w:rPr>
        <w:t>SCHEDULE 13G</w:t>
      </w:r>
    </w:p>
    <w:p>
      <w:pPr>
        <w:spacing w:after="0" w:line="4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(Amendment No. 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4"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Vringo, Inc.</w:t>
      </w:r>
    </w:p>
    <w:p>
      <w:pPr>
        <w:spacing w:after="0" w:line="38"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Common Stock, par value $0.01 per share</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(Title of Class of Securities)</w:t>
      </w:r>
    </w:p>
    <w:p>
      <w:pPr>
        <w:spacing w:after="0" w:line="145" w:lineRule="exact"/>
        <w:rPr>
          <w:sz w:val="24"/>
          <w:szCs w:val="24"/>
          <w:color w:val="auto"/>
        </w:rPr>
      </w:pPr>
    </w:p>
    <w:p>
      <w:pPr>
        <w:ind w:left="5280"/>
        <w:spacing w:after="0"/>
        <w:rPr>
          <w:sz w:val="20"/>
          <w:szCs w:val="20"/>
          <w:color w:val="auto"/>
        </w:rPr>
      </w:pPr>
      <w:r>
        <w:rPr>
          <w:rFonts w:ascii="Arial" w:cs="Arial" w:eastAsia="Arial" w:hAnsi="Arial"/>
          <w:sz w:val="18"/>
          <w:szCs w:val="18"/>
          <w:b w:val="1"/>
          <w:bCs w:val="1"/>
          <w:color w:val="auto"/>
        </w:rPr>
        <w:t>92911N104</w:t>
      </w:r>
    </w:p>
    <w:p>
      <w:pPr>
        <w:spacing w:after="0" w:line="21" w:lineRule="exact"/>
        <w:rPr>
          <w:sz w:val="24"/>
          <w:szCs w:val="24"/>
          <w:color w:val="auto"/>
        </w:rPr>
      </w:pPr>
    </w:p>
    <w:p>
      <w:pPr>
        <w:ind w:left="5060"/>
        <w:spacing w:after="0"/>
        <w:rPr>
          <w:sz w:val="20"/>
          <w:szCs w:val="20"/>
          <w:color w:val="auto"/>
        </w:rPr>
      </w:pPr>
      <w:r>
        <w:rPr>
          <w:rFonts w:ascii="Arial" w:cs="Arial" w:eastAsia="Arial" w:hAnsi="Arial"/>
          <w:sz w:val="18"/>
          <w:szCs w:val="18"/>
          <w:b w:val="1"/>
          <w:bCs w:val="1"/>
          <w:color w:val="auto"/>
        </w:rPr>
        <w:t>(CUSIP Number)</w:t>
      </w:r>
    </w:p>
    <w:p>
      <w:pPr>
        <w:spacing w:after="0" w:line="14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December 31, 2012</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7"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66" w:lineRule="exact"/>
        <w:rPr>
          <w:sz w:val="24"/>
          <w:szCs w:val="24"/>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x Rule 13d-1(b)</w:t>
      </w:r>
    </w:p>
    <w:p>
      <w:pPr>
        <w:spacing w:after="0" w:line="157"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 Rule 13d-1(c)</w:t>
      </w:r>
    </w:p>
    <w:p>
      <w:pPr>
        <w:spacing w:after="0" w:line="157"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 Rule 13d-1(d)</w:t>
      </w:r>
    </w:p>
    <w:p>
      <w:pPr>
        <w:spacing w:after="0" w:line="266" w:lineRule="exact"/>
        <w:rPr>
          <w:sz w:val="24"/>
          <w:szCs w:val="24"/>
          <w:color w:val="auto"/>
        </w:rPr>
      </w:pPr>
    </w:p>
    <w:p>
      <w:pPr>
        <w:ind w:left="240" w:hanging="232"/>
        <w:spacing w:after="0" w:line="268" w:lineRule="auto"/>
        <w:tabs>
          <w:tab w:leader="none" w:pos="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18" w:lineRule="exact"/>
        <w:rPr>
          <w:sz w:val="24"/>
          <w:szCs w:val="24"/>
          <w:color w:val="auto"/>
        </w:rPr>
      </w:pPr>
    </w:p>
    <w:p>
      <w:pPr>
        <w:ind w:right="220"/>
        <w:spacing w:after="0" w:line="33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177165</wp:posOffset>
            </wp:positionV>
            <wp:extent cx="726757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40"/>
          </w:cols>
          <w:pgMar w:left="240" w:top="651" w:right="319" w:bottom="1440" w:gutter="0" w:footer="0" w:header="0"/>
        </w:sectPr>
      </w:pPr>
    </w:p>
    <w:bookmarkStart w:id="1" w:name="page2"/>
    <w:bookmarkEnd w:id="1"/>
    <w:p>
      <w:pPr>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114935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t>CUSIP No. 92911N104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9274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927475"/>
                    </a:xfrm>
                    <a:prstGeom prst="rect">
                      <a:avLst/>
                    </a:prstGeom>
                    <a:noFill/>
                  </pic:spPr>
                </pic:pic>
              </a:graphicData>
            </a:graphic>
          </wp:anchor>
        </w:drawing>
      </w:r>
    </w:p>
    <w:p>
      <w:pPr>
        <w:spacing w:after="0" w:line="210" w:lineRule="exact"/>
        <w:rPr>
          <w:sz w:val="20"/>
          <w:szCs w:val="20"/>
          <w:color w:val="auto"/>
        </w:rPr>
      </w:pPr>
    </w:p>
    <w:p>
      <w:pPr>
        <w:ind w:left="580" w:hanging="347"/>
        <w:spacing w:after="0"/>
        <w:tabs>
          <w:tab w:leader="none" w:pos="580" w:val="left"/>
        </w:tabs>
        <w:numPr>
          <w:ilvl w:val="0"/>
          <w:numId w:val="3"/>
        </w:numPr>
        <w:rPr>
          <w:rFonts w:ascii="Arial" w:cs="Arial" w:eastAsia="Arial" w:hAnsi="Arial"/>
          <w:sz w:val="14"/>
          <w:szCs w:val="14"/>
          <w:color w:val="auto"/>
        </w:rPr>
      </w:pPr>
      <w:r>
        <w:rPr>
          <w:rFonts w:ascii="Arial" w:cs="Arial" w:eastAsia="Arial" w:hAnsi="Arial"/>
          <w:sz w:val="14"/>
          <w:szCs w:val="14"/>
          <w:color w:val="auto"/>
        </w:rPr>
        <w:t>Names of reporting persons.</w:t>
      </w:r>
    </w:p>
    <w:p>
      <w:pPr>
        <w:ind w:left="580" w:right="7740"/>
        <w:spacing w:after="0" w:line="397" w:lineRule="auto"/>
        <w:rPr>
          <w:rFonts w:ascii="Arial" w:cs="Arial" w:eastAsia="Arial" w:hAnsi="Arial"/>
          <w:sz w:val="14"/>
          <w:szCs w:val="14"/>
          <w:color w:val="auto"/>
        </w:rPr>
      </w:pPr>
      <w:r>
        <w:rPr>
          <w:rFonts w:ascii="Arial" w:cs="Arial" w:eastAsia="Arial" w:hAnsi="Arial"/>
          <w:sz w:val="12"/>
          <w:szCs w:val="12"/>
          <w:color w:val="auto"/>
        </w:rPr>
        <w:t>I.R.S. Identification Nos. of above persons (entities only) Iroquois Capital Management L.L.C.</w:t>
      </w:r>
    </w:p>
    <w:p>
      <w:pPr>
        <w:ind w:left="580" w:hanging="347"/>
        <w:spacing w:after="0"/>
        <w:tabs>
          <w:tab w:leader="none" w:pos="580" w:val="left"/>
        </w:tabs>
        <w:numPr>
          <w:ilvl w:val="0"/>
          <w:numId w:val="3"/>
        </w:numPr>
        <w:rPr>
          <w:rFonts w:ascii="Arial" w:cs="Arial" w:eastAsia="Arial" w:hAnsi="Arial"/>
          <w:sz w:val="14"/>
          <w:szCs w:val="14"/>
          <w:color w:val="auto"/>
        </w:rPr>
      </w:pPr>
      <w:r>
        <w:rPr>
          <w:rFonts w:ascii="Arial" w:cs="Arial" w:eastAsia="Arial" w:hAnsi="Arial"/>
          <w:sz w:val="14"/>
          <w:szCs w:val="14"/>
          <w:color w:val="auto"/>
        </w:rPr>
        <w:t>Check the appropriate box if a member of a group (see instructions)</w:t>
      </w:r>
    </w:p>
    <w:p>
      <w:pPr>
        <w:spacing w:after="0" w:line="125" w:lineRule="exact"/>
        <w:rPr>
          <w:rFonts w:ascii="Arial" w:cs="Arial" w:eastAsia="Arial" w:hAnsi="Arial"/>
          <w:sz w:val="14"/>
          <w:szCs w:val="14"/>
          <w:color w:val="auto"/>
        </w:rPr>
      </w:pPr>
    </w:p>
    <w:p>
      <w:pPr>
        <w:ind w:left="800" w:hanging="216"/>
        <w:spacing w:after="0"/>
        <w:tabs>
          <w:tab w:leader="none" w:pos="800" w:val="left"/>
        </w:tabs>
        <w:numPr>
          <w:ilvl w:val="1"/>
          <w:numId w:val="3"/>
        </w:numPr>
        <w:rPr>
          <w:rFonts w:ascii="Arial" w:cs="Arial" w:eastAsia="Arial" w:hAnsi="Arial"/>
          <w:sz w:val="14"/>
          <w:szCs w:val="14"/>
          <w:color w:val="auto"/>
        </w:rPr>
      </w:pPr>
      <w:r>
        <w:rPr>
          <w:rFonts w:ascii="Arial" w:cs="Arial" w:eastAsia="Arial" w:hAnsi="Arial"/>
          <w:sz w:val="14"/>
          <w:szCs w:val="14"/>
          <w:color w:val="auto"/>
        </w:rPr>
        <w:t>o</w:t>
      </w:r>
    </w:p>
    <w:p>
      <w:pPr>
        <w:spacing w:after="0" w:line="136" w:lineRule="exact"/>
        <w:rPr>
          <w:rFonts w:ascii="Arial" w:cs="Arial" w:eastAsia="Arial" w:hAnsi="Arial"/>
          <w:sz w:val="14"/>
          <w:szCs w:val="14"/>
          <w:color w:val="auto"/>
        </w:rPr>
      </w:pPr>
    </w:p>
    <w:p>
      <w:pPr>
        <w:ind w:left="800" w:hanging="216"/>
        <w:spacing w:after="0"/>
        <w:tabs>
          <w:tab w:leader="none" w:pos="800" w:val="left"/>
        </w:tabs>
        <w:numPr>
          <w:ilvl w:val="1"/>
          <w:numId w:val="3"/>
        </w:numPr>
        <w:rPr>
          <w:rFonts w:ascii="Arial" w:cs="Arial" w:eastAsia="Arial" w:hAnsi="Arial"/>
          <w:sz w:val="14"/>
          <w:szCs w:val="14"/>
          <w:color w:val="auto"/>
        </w:rPr>
      </w:pPr>
      <w:r>
        <w:rPr>
          <w:rFonts w:ascii="Arial" w:cs="Arial" w:eastAsia="Arial" w:hAnsi="Arial"/>
          <w:sz w:val="14"/>
          <w:szCs w:val="14"/>
          <w:color w:val="auto"/>
        </w:rPr>
        <w:t>o</w:t>
      </w:r>
    </w:p>
    <w:p>
      <w:pPr>
        <w:spacing w:after="0" w:line="68" w:lineRule="exact"/>
        <w:rPr>
          <w:rFonts w:ascii="Arial" w:cs="Arial" w:eastAsia="Arial" w:hAnsi="Arial"/>
          <w:sz w:val="14"/>
          <w:szCs w:val="14"/>
          <w:color w:val="auto"/>
        </w:rPr>
      </w:pPr>
    </w:p>
    <w:p>
      <w:pPr>
        <w:ind w:left="580" w:hanging="347"/>
        <w:spacing w:after="0"/>
        <w:tabs>
          <w:tab w:leader="none" w:pos="580" w:val="left"/>
        </w:tabs>
        <w:numPr>
          <w:ilvl w:val="0"/>
          <w:numId w:val="3"/>
        </w:numPr>
        <w:rPr>
          <w:rFonts w:ascii="Arial" w:cs="Arial" w:eastAsia="Arial" w:hAnsi="Arial"/>
          <w:sz w:val="14"/>
          <w:szCs w:val="14"/>
          <w:color w:val="auto"/>
        </w:rPr>
      </w:pPr>
      <w:r>
        <w:rPr>
          <w:rFonts w:ascii="Arial" w:cs="Arial" w:eastAsia="Arial" w:hAnsi="Arial"/>
          <w:sz w:val="14"/>
          <w:szCs w:val="14"/>
          <w:color w:val="auto"/>
        </w:rPr>
        <w:t>SEC use only</w:t>
      </w:r>
    </w:p>
    <w:p>
      <w:pPr>
        <w:spacing w:after="0" w:line="149" w:lineRule="exact"/>
        <w:rPr>
          <w:rFonts w:ascii="Arial" w:cs="Arial" w:eastAsia="Arial" w:hAnsi="Arial"/>
          <w:sz w:val="14"/>
          <w:szCs w:val="14"/>
          <w:color w:val="auto"/>
        </w:rPr>
      </w:pPr>
    </w:p>
    <w:p>
      <w:pPr>
        <w:ind w:left="580" w:hanging="347"/>
        <w:spacing w:after="0"/>
        <w:tabs>
          <w:tab w:leader="none" w:pos="580" w:val="left"/>
        </w:tabs>
        <w:numPr>
          <w:ilvl w:val="0"/>
          <w:numId w:val="3"/>
        </w:numPr>
        <w:rPr>
          <w:rFonts w:ascii="Arial" w:cs="Arial" w:eastAsia="Arial" w:hAnsi="Arial"/>
          <w:sz w:val="14"/>
          <w:szCs w:val="14"/>
          <w:color w:val="auto"/>
        </w:rPr>
      </w:pPr>
      <w:r>
        <w:rPr>
          <w:rFonts w:ascii="Arial" w:cs="Arial" w:eastAsia="Arial" w:hAnsi="Arial"/>
          <w:sz w:val="14"/>
          <w:szCs w:val="14"/>
          <w:color w:val="auto"/>
        </w:rPr>
        <w:t>Citizenship or place of organization</w:t>
      </w:r>
    </w:p>
    <w:p>
      <w:pPr>
        <w:spacing w:after="0" w:line="136" w:lineRule="exact"/>
        <w:rPr>
          <w:sz w:val="20"/>
          <w:szCs w:val="20"/>
          <w:color w:val="auto"/>
        </w:rPr>
      </w:pPr>
    </w:p>
    <w:p>
      <w:pPr>
        <w:ind w:left="580"/>
        <w:spacing w:after="0"/>
        <w:rPr>
          <w:sz w:val="20"/>
          <w:szCs w:val="20"/>
          <w:color w:val="auto"/>
        </w:rPr>
      </w:pPr>
      <w:r>
        <w:rPr>
          <w:rFonts w:ascii="Arial" w:cs="Arial" w:eastAsia="Arial" w:hAnsi="Arial"/>
          <w:sz w:val="14"/>
          <w:szCs w:val="14"/>
          <w:color w:val="auto"/>
        </w:rPr>
        <w:t>Delaware</w:t>
      </w:r>
    </w:p>
    <w:tbl>
      <w:tblPr>
        <w:tblLayout w:type="fixed"/>
        <w:tblInd w:w="200" w:type="dxa"/>
        <w:tblCellMar>
          <w:top w:w="0" w:type="dxa"/>
          <w:left w:w="0" w:type="dxa"/>
          <w:bottom w:w="0" w:type="dxa"/>
          <w:right w:w="0" w:type="dxa"/>
        </w:tblCellMar>
      </w:tblPr>
      <w:tr>
        <w:trPr>
          <w:trHeight w:val="150"/>
        </w:trPr>
        <w:tc>
          <w:tcPr>
            <w:tcW w:w="840" w:type="dxa"/>
            <w:vAlign w:val="bottom"/>
          </w:tcPr>
          <w:p>
            <w:pPr>
              <w:jc w:val="center"/>
              <w:ind w:right="113"/>
              <w:spacing w:after="0" w:line="150" w:lineRule="exact"/>
              <w:rPr>
                <w:sz w:val="20"/>
                <w:szCs w:val="20"/>
                <w:color w:val="auto"/>
              </w:rPr>
            </w:pPr>
            <w:r>
              <w:rPr>
                <w:rFonts w:ascii="Arial" w:cs="Arial" w:eastAsia="Arial" w:hAnsi="Arial"/>
                <w:sz w:val="14"/>
                <w:szCs w:val="14"/>
                <w:color w:val="auto"/>
                <w:w w:val="88"/>
              </w:rPr>
              <w:t>Number of</w:t>
            </w:r>
          </w:p>
        </w:tc>
        <w:tc>
          <w:tcPr>
            <w:tcW w:w="480" w:type="dxa"/>
            <w:vAlign w:val="bottom"/>
          </w:tcPr>
          <w:p>
            <w:pPr>
              <w:jc w:val="right"/>
              <w:ind w:right="35"/>
              <w:spacing w:after="0" w:line="150" w:lineRule="exact"/>
              <w:rPr>
                <w:sz w:val="20"/>
                <w:szCs w:val="20"/>
                <w:color w:val="auto"/>
              </w:rPr>
            </w:pPr>
            <w:r>
              <w:rPr>
                <w:rFonts w:ascii="Arial" w:cs="Arial" w:eastAsia="Arial" w:hAnsi="Arial"/>
                <w:sz w:val="14"/>
                <w:szCs w:val="14"/>
                <w:color w:val="auto"/>
              </w:rPr>
              <w:t>(5)</w:t>
            </w:r>
          </w:p>
        </w:tc>
        <w:tc>
          <w:tcPr>
            <w:tcW w:w="9900" w:type="dxa"/>
            <w:vAlign w:val="bottom"/>
          </w:tcPr>
          <w:p>
            <w:pPr>
              <w:ind w:left="100"/>
              <w:spacing w:after="0" w:line="150" w:lineRule="exact"/>
              <w:rPr>
                <w:sz w:val="20"/>
                <w:szCs w:val="20"/>
                <w:color w:val="auto"/>
              </w:rPr>
            </w:pPr>
            <w:r>
              <w:rPr>
                <w:rFonts w:ascii="Arial" w:cs="Arial" w:eastAsia="Arial" w:hAnsi="Arial"/>
                <w:sz w:val="14"/>
                <w:szCs w:val="14"/>
                <w:color w:val="auto"/>
              </w:rPr>
              <w:t>Sole voting power</w:t>
            </w:r>
          </w:p>
        </w:tc>
        <w:tc>
          <w:tcPr>
            <w:tcW w:w="0" w:type="dxa"/>
            <w:vAlign w:val="bottom"/>
          </w:tcPr>
          <w:p>
            <w:pPr>
              <w:spacing w:after="0"/>
              <w:rPr>
                <w:sz w:val="1"/>
                <w:szCs w:val="1"/>
                <w:color w:val="auto"/>
              </w:rPr>
            </w:pPr>
          </w:p>
        </w:tc>
      </w:tr>
      <w:tr>
        <w:trPr>
          <w:trHeight w:val="149"/>
        </w:trPr>
        <w:tc>
          <w:tcPr>
            <w:tcW w:w="840" w:type="dxa"/>
            <w:vAlign w:val="bottom"/>
          </w:tcPr>
          <w:p>
            <w:pPr>
              <w:jc w:val="center"/>
              <w:ind w:right="113"/>
              <w:spacing w:after="0" w:line="149" w:lineRule="exact"/>
              <w:rPr>
                <w:sz w:val="20"/>
                <w:szCs w:val="20"/>
                <w:color w:val="auto"/>
              </w:rPr>
            </w:pPr>
            <w:r>
              <w:rPr>
                <w:rFonts w:ascii="Arial" w:cs="Arial" w:eastAsia="Arial" w:hAnsi="Arial"/>
                <w:sz w:val="14"/>
                <w:szCs w:val="14"/>
                <w:color w:val="auto"/>
                <w:w w:val="80"/>
              </w:rPr>
              <w:t>shares</w:t>
            </w:r>
          </w:p>
        </w:tc>
        <w:tc>
          <w:tcPr>
            <w:tcW w:w="480" w:type="dxa"/>
            <w:vAlign w:val="bottom"/>
          </w:tcPr>
          <w:p>
            <w:pPr>
              <w:spacing w:after="0"/>
              <w:rPr>
                <w:sz w:val="12"/>
                <w:szCs w:val="12"/>
                <w:color w:val="auto"/>
              </w:rPr>
            </w:pPr>
          </w:p>
        </w:tc>
        <w:tc>
          <w:tcPr>
            <w:tcW w:w="9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40" w:type="dxa"/>
            <w:vAlign w:val="bottom"/>
          </w:tcPr>
          <w:p>
            <w:pPr>
              <w:jc w:val="center"/>
              <w:ind w:right="133"/>
              <w:spacing w:after="0" w:line="149" w:lineRule="exact"/>
              <w:rPr>
                <w:sz w:val="20"/>
                <w:szCs w:val="20"/>
                <w:color w:val="auto"/>
              </w:rPr>
            </w:pPr>
            <w:r>
              <w:rPr>
                <w:rFonts w:ascii="Arial" w:cs="Arial" w:eastAsia="Arial" w:hAnsi="Arial"/>
                <w:sz w:val="14"/>
                <w:szCs w:val="14"/>
                <w:color w:val="auto"/>
                <w:w w:val="92"/>
              </w:rPr>
              <w:t>beneficially</w:t>
            </w:r>
          </w:p>
        </w:tc>
        <w:tc>
          <w:tcPr>
            <w:tcW w:w="480" w:type="dxa"/>
            <w:vAlign w:val="bottom"/>
          </w:tcPr>
          <w:p>
            <w:pPr>
              <w:spacing w:after="0"/>
              <w:rPr>
                <w:sz w:val="12"/>
                <w:szCs w:val="12"/>
                <w:color w:val="auto"/>
              </w:rPr>
            </w:pPr>
          </w:p>
        </w:tc>
        <w:tc>
          <w:tcPr>
            <w:tcW w:w="9900" w:type="dxa"/>
            <w:vAlign w:val="bottom"/>
          </w:tcPr>
          <w:p>
            <w:pPr>
              <w:ind w:left="100"/>
              <w:spacing w:after="0" w:line="149" w:lineRule="exact"/>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49"/>
        </w:trPr>
        <w:tc>
          <w:tcPr>
            <w:tcW w:w="840" w:type="dxa"/>
            <w:vAlign w:val="bottom"/>
          </w:tcPr>
          <w:p>
            <w:pPr>
              <w:jc w:val="center"/>
              <w:ind w:right="113"/>
              <w:spacing w:after="0" w:line="149" w:lineRule="exact"/>
              <w:rPr>
                <w:sz w:val="20"/>
                <w:szCs w:val="20"/>
                <w:color w:val="auto"/>
              </w:rPr>
            </w:pPr>
            <w:r>
              <w:rPr>
                <w:rFonts w:ascii="Arial" w:cs="Arial" w:eastAsia="Arial" w:hAnsi="Arial"/>
                <w:sz w:val="14"/>
                <w:szCs w:val="14"/>
                <w:color w:val="auto"/>
                <w:w w:val="90"/>
              </w:rPr>
              <w:t>owned by</w:t>
            </w:r>
          </w:p>
        </w:tc>
        <w:tc>
          <w:tcPr>
            <w:tcW w:w="480" w:type="dxa"/>
            <w:vAlign w:val="bottom"/>
          </w:tcPr>
          <w:p>
            <w:pPr>
              <w:spacing w:after="0"/>
              <w:rPr>
                <w:sz w:val="12"/>
                <w:szCs w:val="12"/>
                <w:color w:val="auto"/>
              </w:rPr>
            </w:pPr>
          </w:p>
        </w:tc>
        <w:tc>
          <w:tcPr>
            <w:tcW w:w="9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40" w:type="dxa"/>
            <w:vAlign w:val="bottom"/>
          </w:tcPr>
          <w:p>
            <w:pPr>
              <w:jc w:val="center"/>
              <w:ind w:right="113"/>
              <w:spacing w:after="0" w:line="149" w:lineRule="exact"/>
              <w:rPr>
                <w:sz w:val="20"/>
                <w:szCs w:val="20"/>
                <w:color w:val="auto"/>
              </w:rPr>
            </w:pPr>
            <w:r>
              <w:rPr>
                <w:rFonts w:ascii="Arial" w:cs="Arial" w:eastAsia="Arial" w:hAnsi="Arial"/>
                <w:sz w:val="14"/>
                <w:szCs w:val="14"/>
                <w:color w:val="auto"/>
                <w:w w:val="85"/>
              </w:rPr>
              <w:t>each</w:t>
            </w:r>
          </w:p>
        </w:tc>
        <w:tc>
          <w:tcPr>
            <w:tcW w:w="480" w:type="dxa"/>
            <w:vAlign w:val="bottom"/>
          </w:tcPr>
          <w:p>
            <w:pPr>
              <w:spacing w:after="0"/>
              <w:rPr>
                <w:sz w:val="12"/>
                <w:szCs w:val="12"/>
                <w:color w:val="auto"/>
              </w:rPr>
            </w:pPr>
          </w:p>
        </w:tc>
        <w:tc>
          <w:tcPr>
            <w:tcW w:w="9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840" w:type="dxa"/>
            <w:vAlign w:val="bottom"/>
          </w:tcPr>
          <w:p>
            <w:pPr>
              <w:jc w:val="center"/>
              <w:ind w:right="113"/>
              <w:spacing w:after="0" w:line="159" w:lineRule="exact"/>
              <w:rPr>
                <w:sz w:val="20"/>
                <w:szCs w:val="20"/>
                <w:color w:val="auto"/>
              </w:rPr>
            </w:pPr>
            <w:r>
              <w:rPr>
                <w:rFonts w:ascii="Arial" w:cs="Arial" w:eastAsia="Arial" w:hAnsi="Arial"/>
                <w:sz w:val="14"/>
                <w:szCs w:val="14"/>
                <w:color w:val="auto"/>
                <w:w w:val="90"/>
              </w:rPr>
              <w:t>reporting</w:t>
            </w:r>
          </w:p>
        </w:tc>
        <w:tc>
          <w:tcPr>
            <w:tcW w:w="480" w:type="dxa"/>
            <w:vAlign w:val="bottom"/>
            <w:tcBorders>
              <w:bottom w:val="single" w:sz="8" w:color="auto"/>
            </w:tcBorders>
          </w:tcPr>
          <w:p>
            <w:pPr>
              <w:spacing w:after="0"/>
              <w:rPr>
                <w:sz w:val="13"/>
                <w:szCs w:val="13"/>
                <w:color w:val="auto"/>
              </w:rPr>
            </w:pPr>
          </w:p>
        </w:tc>
        <w:tc>
          <w:tcPr>
            <w:tcW w:w="99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840" w:type="dxa"/>
            <w:vAlign w:val="bottom"/>
          </w:tcPr>
          <w:p>
            <w:pPr>
              <w:jc w:val="center"/>
              <w:ind w:right="133"/>
              <w:spacing w:after="0" w:line="118" w:lineRule="exact"/>
              <w:rPr>
                <w:sz w:val="20"/>
                <w:szCs w:val="20"/>
                <w:color w:val="auto"/>
              </w:rPr>
            </w:pPr>
            <w:r>
              <w:rPr>
                <w:rFonts w:ascii="Arial" w:cs="Arial" w:eastAsia="Arial" w:hAnsi="Arial"/>
                <w:sz w:val="12"/>
                <w:szCs w:val="12"/>
                <w:color w:val="auto"/>
                <w:w w:val="97"/>
              </w:rPr>
              <w:t>person</w:t>
            </w:r>
          </w:p>
        </w:tc>
        <w:tc>
          <w:tcPr>
            <w:tcW w:w="480" w:type="dxa"/>
            <w:vAlign w:val="bottom"/>
          </w:tcPr>
          <w:p>
            <w:pPr>
              <w:jc w:val="right"/>
              <w:ind w:right="35"/>
              <w:spacing w:after="0" w:line="118" w:lineRule="exact"/>
              <w:rPr>
                <w:sz w:val="20"/>
                <w:szCs w:val="20"/>
                <w:color w:val="auto"/>
              </w:rPr>
            </w:pPr>
            <w:r>
              <w:rPr>
                <w:rFonts w:ascii="Arial" w:cs="Arial" w:eastAsia="Arial" w:hAnsi="Arial"/>
                <w:sz w:val="12"/>
                <w:szCs w:val="12"/>
                <w:color w:val="auto"/>
              </w:rPr>
              <w:t>(6)</w:t>
            </w:r>
          </w:p>
        </w:tc>
        <w:tc>
          <w:tcPr>
            <w:tcW w:w="9900" w:type="dxa"/>
            <w:vAlign w:val="bottom"/>
          </w:tcPr>
          <w:p>
            <w:pPr>
              <w:ind w:left="100"/>
              <w:spacing w:after="0" w:line="118" w:lineRule="exact"/>
              <w:rPr>
                <w:sz w:val="20"/>
                <w:szCs w:val="20"/>
                <w:color w:val="auto"/>
              </w:rPr>
            </w:pPr>
            <w:r>
              <w:rPr>
                <w:rFonts w:ascii="Arial" w:cs="Arial" w:eastAsia="Arial" w:hAnsi="Arial"/>
                <w:sz w:val="12"/>
                <w:szCs w:val="12"/>
                <w:color w:val="auto"/>
              </w:rPr>
              <w:t>Shared voting power</w:t>
            </w:r>
          </w:p>
        </w:tc>
        <w:tc>
          <w:tcPr>
            <w:tcW w:w="0" w:type="dxa"/>
            <w:vAlign w:val="bottom"/>
          </w:tcPr>
          <w:p>
            <w:pPr>
              <w:spacing w:after="0"/>
              <w:rPr>
                <w:sz w:val="1"/>
                <w:szCs w:val="1"/>
                <w:color w:val="auto"/>
              </w:rPr>
            </w:pPr>
          </w:p>
        </w:tc>
      </w:tr>
      <w:tr>
        <w:trPr>
          <w:trHeight w:val="172"/>
        </w:trPr>
        <w:tc>
          <w:tcPr>
            <w:tcW w:w="840" w:type="dxa"/>
            <w:vAlign w:val="bottom"/>
          </w:tcPr>
          <w:p>
            <w:pPr>
              <w:jc w:val="center"/>
              <w:ind w:right="133"/>
              <w:spacing w:after="0"/>
              <w:rPr>
                <w:sz w:val="20"/>
                <w:szCs w:val="20"/>
                <w:color w:val="auto"/>
              </w:rPr>
            </w:pPr>
            <w:r>
              <w:rPr>
                <w:rFonts w:ascii="Arial" w:cs="Arial" w:eastAsia="Arial" w:hAnsi="Arial"/>
                <w:sz w:val="14"/>
                <w:szCs w:val="14"/>
                <w:color w:val="auto"/>
                <w:w w:val="97"/>
              </w:rPr>
              <w:t>with:</w:t>
            </w:r>
          </w:p>
        </w:tc>
        <w:tc>
          <w:tcPr>
            <w:tcW w:w="480" w:type="dxa"/>
            <w:vAlign w:val="bottom"/>
          </w:tcPr>
          <w:p>
            <w:pPr>
              <w:spacing w:after="0"/>
              <w:rPr>
                <w:sz w:val="14"/>
                <w:szCs w:val="14"/>
                <w:color w:val="auto"/>
              </w:rPr>
            </w:pPr>
          </w:p>
        </w:tc>
        <w:tc>
          <w:tcPr>
            <w:tcW w:w="9900" w:type="dxa"/>
            <w:vAlign w:val="bottom"/>
            <w:vMerge w:val="restart"/>
          </w:tcPr>
          <w:p>
            <w:pPr>
              <w:ind w:left="100"/>
              <w:spacing w:after="0"/>
              <w:rPr>
                <w:sz w:val="20"/>
                <w:szCs w:val="20"/>
                <w:color w:val="auto"/>
              </w:rPr>
            </w:pPr>
            <w:r>
              <w:rPr>
                <w:rFonts w:ascii="Arial" w:cs="Arial" w:eastAsia="Arial" w:hAnsi="Arial"/>
                <w:sz w:val="14"/>
                <w:szCs w:val="14"/>
                <w:color w:val="auto"/>
              </w:rPr>
              <w:t>2,111,559 (see Item 4)</w:t>
            </w:r>
          </w:p>
        </w:tc>
        <w:tc>
          <w:tcPr>
            <w:tcW w:w="0" w:type="dxa"/>
            <w:vAlign w:val="bottom"/>
          </w:tcPr>
          <w:p>
            <w:pPr>
              <w:spacing w:after="0"/>
              <w:rPr>
                <w:sz w:val="1"/>
                <w:szCs w:val="1"/>
                <w:color w:val="auto"/>
              </w:rPr>
            </w:pPr>
          </w:p>
        </w:tc>
      </w:tr>
      <w:tr>
        <w:trPr>
          <w:trHeight w:val="162"/>
        </w:trPr>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ind w:left="1620" w:right="8580" w:hanging="360"/>
        <w:spacing w:after="0" w:line="342" w:lineRule="auto"/>
        <w:tabs>
          <w:tab w:leader="none" w:pos="1620" w:val="left"/>
        </w:tabs>
        <w:numPr>
          <w:ilvl w:val="1"/>
          <w:numId w:val="4"/>
        </w:numPr>
        <w:rPr>
          <w:rFonts w:ascii="Arial" w:cs="Arial" w:eastAsia="Arial" w:hAnsi="Arial"/>
          <w:sz w:val="14"/>
          <w:szCs w:val="14"/>
          <w:color w:val="auto"/>
        </w:rPr>
      </w:pPr>
      <w:r>
        <w:rPr>
          <w:rFonts w:ascii="Arial" w:cs="Arial" w:eastAsia="Arial" w:hAnsi="Arial"/>
          <w:sz w:val="14"/>
          <w:szCs w:val="14"/>
          <w:color w:val="auto"/>
        </w:rPr>
        <w:t>Sole dispositive power 0</w:t>
      </w:r>
    </w:p>
    <w:p>
      <w:pPr>
        <w:ind w:left="1620" w:right="8440" w:hanging="360"/>
        <w:spacing w:after="0" w:line="399" w:lineRule="auto"/>
        <w:tabs>
          <w:tab w:leader="none" w:pos="1620" w:val="left"/>
        </w:tabs>
        <w:numPr>
          <w:ilvl w:val="1"/>
          <w:numId w:val="4"/>
        </w:numPr>
        <w:rPr>
          <w:rFonts w:ascii="Arial" w:cs="Arial" w:eastAsia="Arial" w:hAnsi="Arial"/>
          <w:sz w:val="12"/>
          <w:szCs w:val="12"/>
          <w:color w:val="auto"/>
        </w:rPr>
      </w:pPr>
      <w:r>
        <w:rPr>
          <w:rFonts w:ascii="Arial" w:cs="Arial" w:eastAsia="Arial" w:hAnsi="Arial"/>
          <w:sz w:val="12"/>
          <w:szCs w:val="12"/>
          <w:color w:val="auto"/>
        </w:rPr>
        <w:t>Shared dispositive power 2,111,559 (see Item 4)</w:t>
      </w:r>
    </w:p>
    <w:p>
      <w:pPr>
        <w:ind w:left="580" w:right="7400" w:hanging="347"/>
        <w:spacing w:after="0" w:line="342" w:lineRule="auto"/>
        <w:tabs>
          <w:tab w:leader="none" w:pos="580" w:val="left"/>
        </w:tabs>
        <w:numPr>
          <w:ilvl w:val="0"/>
          <w:numId w:val="5"/>
        </w:numPr>
        <w:rPr>
          <w:rFonts w:ascii="Arial" w:cs="Arial" w:eastAsia="Arial" w:hAnsi="Arial"/>
          <w:sz w:val="14"/>
          <w:szCs w:val="14"/>
          <w:color w:val="auto"/>
        </w:rPr>
      </w:pPr>
      <w:r>
        <w:rPr>
          <w:rFonts w:ascii="Arial" w:cs="Arial" w:eastAsia="Arial" w:hAnsi="Arial"/>
          <w:sz w:val="14"/>
          <w:szCs w:val="14"/>
          <w:color w:val="auto"/>
        </w:rPr>
        <w:t>Aggregate amount beneficially owned by each reporting person 2,111,559 (see Item 4)</w:t>
      </w:r>
    </w:p>
    <w:p>
      <w:pPr>
        <w:ind w:left="580" w:hanging="414"/>
        <w:spacing w:after="0"/>
        <w:tabs>
          <w:tab w:leader="none" w:pos="580" w:val="left"/>
        </w:tabs>
        <w:numPr>
          <w:ilvl w:val="0"/>
          <w:numId w:val="5"/>
        </w:numPr>
        <w:rPr>
          <w:rFonts w:ascii="Arial" w:cs="Arial" w:eastAsia="Arial" w:hAnsi="Arial"/>
          <w:sz w:val="14"/>
          <w:szCs w:val="14"/>
          <w:color w:val="auto"/>
        </w:rPr>
      </w:pPr>
      <w:r>
        <w:rPr>
          <w:rFonts w:ascii="Arial" w:cs="Arial" w:eastAsia="Arial" w:hAnsi="Arial"/>
          <w:sz w:val="14"/>
          <w:szCs w:val="14"/>
          <w:color w:val="auto"/>
        </w:rPr>
        <w:t>Check if the aggregate amount in Row (9) excludes certain shares (see instructions)</w:t>
      </w:r>
    </w:p>
    <w:p>
      <w:pPr>
        <w:spacing w:after="0" w:line="139" w:lineRule="exact"/>
        <w:rPr>
          <w:rFonts w:ascii="Arial" w:cs="Arial" w:eastAsia="Arial" w:hAnsi="Arial"/>
          <w:sz w:val="14"/>
          <w:szCs w:val="14"/>
          <w:color w:val="auto"/>
        </w:rPr>
      </w:pPr>
    </w:p>
    <w:p>
      <w:pPr>
        <w:ind w:left="580" w:right="8100" w:hanging="409"/>
        <w:spacing w:after="0" w:line="349" w:lineRule="auto"/>
        <w:tabs>
          <w:tab w:leader="none" w:pos="580" w:val="left"/>
        </w:tabs>
        <w:numPr>
          <w:ilvl w:val="0"/>
          <w:numId w:val="5"/>
        </w:numPr>
        <w:rPr>
          <w:rFonts w:ascii="Arial" w:cs="Arial" w:eastAsia="Arial" w:hAnsi="Arial"/>
          <w:sz w:val="14"/>
          <w:szCs w:val="14"/>
          <w:color w:val="auto"/>
        </w:rPr>
      </w:pPr>
      <w:r>
        <w:rPr>
          <w:rFonts w:ascii="Arial" w:cs="Arial" w:eastAsia="Arial" w:hAnsi="Arial"/>
          <w:sz w:val="14"/>
          <w:szCs w:val="14"/>
          <w:color w:val="auto"/>
        </w:rPr>
        <w:t>Percent of class represented by amount in Row (9) 2.5% (see Item 4)</w:t>
      </w:r>
    </w:p>
    <w:p>
      <w:pPr>
        <w:spacing w:after="0" w:line="1" w:lineRule="exact"/>
        <w:rPr>
          <w:rFonts w:ascii="Arial" w:cs="Arial" w:eastAsia="Arial" w:hAnsi="Arial"/>
          <w:sz w:val="14"/>
          <w:szCs w:val="14"/>
          <w:color w:val="auto"/>
        </w:rPr>
      </w:pPr>
    </w:p>
    <w:p>
      <w:pPr>
        <w:ind w:left="580" w:hanging="414"/>
        <w:spacing w:after="0"/>
        <w:tabs>
          <w:tab w:leader="none" w:pos="580" w:val="left"/>
        </w:tabs>
        <w:numPr>
          <w:ilvl w:val="0"/>
          <w:numId w:val="5"/>
        </w:numPr>
        <w:rPr>
          <w:rFonts w:ascii="Arial" w:cs="Arial" w:eastAsia="Arial" w:hAnsi="Arial"/>
          <w:sz w:val="14"/>
          <w:szCs w:val="14"/>
          <w:color w:val="auto"/>
        </w:rPr>
      </w:pPr>
      <w:r>
        <w:rPr>
          <w:rFonts w:ascii="Arial" w:cs="Arial" w:eastAsia="Arial" w:hAnsi="Arial"/>
          <w:sz w:val="14"/>
          <w:szCs w:val="14"/>
          <w:color w:val="auto"/>
        </w:rPr>
        <w:t>Type of reporting person (see instructions)</w:t>
      </w:r>
    </w:p>
    <w:p>
      <w:pPr>
        <w:spacing w:after="0" w:line="125" w:lineRule="exact"/>
        <w:rPr>
          <w:rFonts w:ascii="Arial" w:cs="Arial" w:eastAsia="Arial" w:hAnsi="Arial"/>
          <w:sz w:val="14"/>
          <w:szCs w:val="14"/>
          <w:color w:val="auto"/>
        </w:rPr>
      </w:pPr>
    </w:p>
    <w:p>
      <w:pPr>
        <w:ind w:left="580"/>
        <w:spacing w:after="0"/>
        <w:rPr>
          <w:rFonts w:ascii="Arial" w:cs="Arial" w:eastAsia="Arial" w:hAnsi="Arial"/>
          <w:sz w:val="14"/>
          <w:szCs w:val="14"/>
          <w:color w:val="auto"/>
        </w:rPr>
      </w:pPr>
      <w:r>
        <w:rPr>
          <w:rFonts w:ascii="Arial" w:cs="Arial" w:eastAsia="Arial" w:hAnsi="Arial"/>
          <w:sz w:val="14"/>
          <w:szCs w:val="14"/>
          <w:color w:val="auto"/>
        </w:rPr>
        <w:t>OO</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399" w:right="239" w:bottom="1440" w:gutter="0" w:footer="0" w:header="0"/>
        </w:sectPr>
      </w:pPr>
    </w:p>
    <w:bookmarkStart w:id="2" w:name="page3"/>
    <w:bookmarkEnd w:id="2"/>
    <w:p>
      <w:pPr>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t>CUSIP No. 92911N104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9274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3927475"/>
                    </a:xfrm>
                    <a:prstGeom prst="rect">
                      <a:avLst/>
                    </a:prstGeom>
                    <a:noFill/>
                  </pic:spPr>
                </pic:pic>
              </a:graphicData>
            </a:graphic>
          </wp:anchor>
        </w:drawing>
      </w:r>
    </w:p>
    <w:p>
      <w:pPr>
        <w:spacing w:after="0" w:line="210" w:lineRule="exact"/>
        <w:rPr>
          <w:sz w:val="20"/>
          <w:szCs w:val="20"/>
          <w:color w:val="auto"/>
        </w:rPr>
      </w:pPr>
    </w:p>
    <w:p>
      <w:pPr>
        <w:ind w:left="580" w:hanging="347"/>
        <w:spacing w:after="0"/>
        <w:tabs>
          <w:tab w:leader="none" w:pos="580" w:val="left"/>
        </w:tabs>
        <w:numPr>
          <w:ilvl w:val="0"/>
          <w:numId w:val="6"/>
        </w:numPr>
        <w:rPr>
          <w:rFonts w:ascii="Arial" w:cs="Arial" w:eastAsia="Arial" w:hAnsi="Arial"/>
          <w:sz w:val="14"/>
          <w:szCs w:val="14"/>
          <w:color w:val="auto"/>
        </w:rPr>
      </w:pPr>
      <w:r>
        <w:rPr>
          <w:rFonts w:ascii="Arial" w:cs="Arial" w:eastAsia="Arial" w:hAnsi="Arial"/>
          <w:sz w:val="14"/>
          <w:szCs w:val="14"/>
          <w:color w:val="auto"/>
        </w:rPr>
        <w:t>Names of reporting persons.</w:t>
      </w:r>
    </w:p>
    <w:p>
      <w:pPr>
        <w:ind w:left="580" w:right="6539"/>
        <w:spacing w:after="0" w:line="340" w:lineRule="auto"/>
        <w:rPr>
          <w:rFonts w:ascii="Arial" w:cs="Arial" w:eastAsia="Arial" w:hAnsi="Arial"/>
          <w:sz w:val="14"/>
          <w:szCs w:val="14"/>
          <w:color w:val="auto"/>
        </w:rPr>
      </w:pPr>
      <w:r>
        <w:rPr>
          <w:rFonts w:ascii="Arial" w:cs="Arial" w:eastAsia="Arial" w:hAnsi="Arial"/>
          <w:sz w:val="14"/>
          <w:szCs w:val="14"/>
          <w:color w:val="auto"/>
        </w:rPr>
        <w:t>I.R.S. Identification Nos. of above persons (entities only) Joshua Silverman</w:t>
      </w:r>
    </w:p>
    <w:p>
      <w:pPr>
        <w:spacing w:after="0" w:line="1" w:lineRule="exact"/>
        <w:rPr>
          <w:rFonts w:ascii="Arial" w:cs="Arial" w:eastAsia="Arial" w:hAnsi="Arial"/>
          <w:sz w:val="14"/>
          <w:szCs w:val="14"/>
          <w:color w:val="auto"/>
        </w:rPr>
      </w:pPr>
    </w:p>
    <w:p>
      <w:pPr>
        <w:ind w:left="580" w:hanging="347"/>
        <w:spacing w:after="0"/>
        <w:tabs>
          <w:tab w:leader="none" w:pos="580" w:val="left"/>
        </w:tabs>
        <w:numPr>
          <w:ilvl w:val="0"/>
          <w:numId w:val="6"/>
        </w:numPr>
        <w:rPr>
          <w:rFonts w:ascii="Arial" w:cs="Arial" w:eastAsia="Arial" w:hAnsi="Arial"/>
          <w:sz w:val="14"/>
          <w:szCs w:val="14"/>
          <w:color w:val="auto"/>
        </w:rPr>
      </w:pPr>
      <w:r>
        <w:rPr>
          <w:rFonts w:ascii="Arial" w:cs="Arial" w:eastAsia="Arial" w:hAnsi="Arial"/>
          <w:sz w:val="14"/>
          <w:szCs w:val="14"/>
          <w:color w:val="auto"/>
        </w:rPr>
        <w:t>Check the appropriate box if a member of a group (see instructions)</w:t>
      </w:r>
    </w:p>
    <w:p>
      <w:pPr>
        <w:spacing w:after="0" w:line="125" w:lineRule="exact"/>
        <w:rPr>
          <w:rFonts w:ascii="Arial" w:cs="Arial" w:eastAsia="Arial" w:hAnsi="Arial"/>
          <w:sz w:val="14"/>
          <w:szCs w:val="14"/>
          <w:color w:val="auto"/>
        </w:rPr>
      </w:pPr>
    </w:p>
    <w:p>
      <w:pPr>
        <w:ind w:left="800" w:hanging="216"/>
        <w:spacing w:after="0"/>
        <w:tabs>
          <w:tab w:leader="none" w:pos="800" w:val="left"/>
        </w:tabs>
        <w:numPr>
          <w:ilvl w:val="1"/>
          <w:numId w:val="6"/>
        </w:numPr>
        <w:rPr>
          <w:rFonts w:ascii="Arial" w:cs="Arial" w:eastAsia="Arial" w:hAnsi="Arial"/>
          <w:sz w:val="14"/>
          <w:szCs w:val="14"/>
          <w:color w:val="auto"/>
        </w:rPr>
      </w:pPr>
      <w:r>
        <w:rPr>
          <w:rFonts w:ascii="Arial" w:cs="Arial" w:eastAsia="Arial" w:hAnsi="Arial"/>
          <w:sz w:val="14"/>
          <w:szCs w:val="14"/>
          <w:color w:val="auto"/>
        </w:rPr>
        <w:t>o</w:t>
      </w:r>
    </w:p>
    <w:p>
      <w:pPr>
        <w:spacing w:after="0" w:line="136" w:lineRule="exact"/>
        <w:rPr>
          <w:rFonts w:ascii="Arial" w:cs="Arial" w:eastAsia="Arial" w:hAnsi="Arial"/>
          <w:sz w:val="14"/>
          <w:szCs w:val="14"/>
          <w:color w:val="auto"/>
        </w:rPr>
      </w:pPr>
    </w:p>
    <w:p>
      <w:pPr>
        <w:ind w:left="800" w:hanging="216"/>
        <w:spacing w:after="0"/>
        <w:tabs>
          <w:tab w:leader="none" w:pos="800" w:val="left"/>
        </w:tabs>
        <w:numPr>
          <w:ilvl w:val="1"/>
          <w:numId w:val="6"/>
        </w:numPr>
        <w:rPr>
          <w:rFonts w:ascii="Arial" w:cs="Arial" w:eastAsia="Arial" w:hAnsi="Arial"/>
          <w:sz w:val="14"/>
          <w:szCs w:val="14"/>
          <w:color w:val="auto"/>
        </w:rPr>
      </w:pPr>
      <w:r>
        <w:rPr>
          <w:rFonts w:ascii="Arial" w:cs="Arial" w:eastAsia="Arial" w:hAnsi="Arial"/>
          <w:sz w:val="14"/>
          <w:szCs w:val="14"/>
          <w:color w:val="auto"/>
        </w:rPr>
        <w:t>o</w:t>
      </w:r>
    </w:p>
    <w:p>
      <w:pPr>
        <w:spacing w:after="0" w:line="68" w:lineRule="exact"/>
        <w:rPr>
          <w:rFonts w:ascii="Arial" w:cs="Arial" w:eastAsia="Arial" w:hAnsi="Arial"/>
          <w:sz w:val="14"/>
          <w:szCs w:val="14"/>
          <w:color w:val="auto"/>
        </w:rPr>
      </w:pPr>
    </w:p>
    <w:p>
      <w:pPr>
        <w:ind w:left="580" w:hanging="347"/>
        <w:spacing w:after="0"/>
        <w:tabs>
          <w:tab w:leader="none" w:pos="580" w:val="left"/>
        </w:tabs>
        <w:numPr>
          <w:ilvl w:val="0"/>
          <w:numId w:val="6"/>
        </w:numPr>
        <w:rPr>
          <w:rFonts w:ascii="Arial" w:cs="Arial" w:eastAsia="Arial" w:hAnsi="Arial"/>
          <w:sz w:val="14"/>
          <w:szCs w:val="14"/>
          <w:color w:val="auto"/>
        </w:rPr>
      </w:pPr>
      <w:r>
        <w:rPr>
          <w:rFonts w:ascii="Arial" w:cs="Arial" w:eastAsia="Arial" w:hAnsi="Arial"/>
          <w:sz w:val="14"/>
          <w:szCs w:val="14"/>
          <w:color w:val="auto"/>
        </w:rPr>
        <w:t>SEC use only</w:t>
      </w:r>
    </w:p>
    <w:p>
      <w:pPr>
        <w:spacing w:after="0" w:line="149" w:lineRule="exact"/>
        <w:rPr>
          <w:rFonts w:ascii="Arial" w:cs="Arial" w:eastAsia="Arial" w:hAnsi="Arial"/>
          <w:sz w:val="14"/>
          <w:szCs w:val="14"/>
          <w:color w:val="auto"/>
        </w:rPr>
      </w:pPr>
    </w:p>
    <w:p>
      <w:pPr>
        <w:ind w:left="580" w:hanging="347"/>
        <w:spacing w:after="0"/>
        <w:tabs>
          <w:tab w:leader="none" w:pos="580" w:val="left"/>
        </w:tabs>
        <w:numPr>
          <w:ilvl w:val="0"/>
          <w:numId w:val="6"/>
        </w:numPr>
        <w:rPr>
          <w:rFonts w:ascii="Arial" w:cs="Arial" w:eastAsia="Arial" w:hAnsi="Arial"/>
          <w:sz w:val="14"/>
          <w:szCs w:val="14"/>
          <w:color w:val="auto"/>
        </w:rPr>
      </w:pPr>
      <w:r>
        <w:rPr>
          <w:rFonts w:ascii="Arial" w:cs="Arial" w:eastAsia="Arial" w:hAnsi="Arial"/>
          <w:sz w:val="14"/>
          <w:szCs w:val="14"/>
          <w:color w:val="auto"/>
        </w:rPr>
        <w:t>Citizenship or place of organization</w:t>
      </w:r>
    </w:p>
    <w:p>
      <w:pPr>
        <w:spacing w:after="0" w:line="136" w:lineRule="exact"/>
        <w:rPr>
          <w:sz w:val="20"/>
          <w:szCs w:val="20"/>
          <w:color w:val="auto"/>
        </w:rPr>
      </w:pPr>
    </w:p>
    <w:p>
      <w:pPr>
        <w:ind w:left="580"/>
        <w:spacing w:after="0"/>
        <w:rPr>
          <w:sz w:val="20"/>
          <w:szCs w:val="20"/>
          <w:color w:val="auto"/>
        </w:rPr>
      </w:pPr>
      <w:r>
        <w:rPr>
          <w:rFonts w:ascii="Arial" w:cs="Arial" w:eastAsia="Arial" w:hAnsi="Arial"/>
          <w:sz w:val="14"/>
          <w:szCs w:val="14"/>
          <w:color w:val="auto"/>
        </w:rPr>
        <w:t>United States of America</w:t>
      </w:r>
    </w:p>
    <w:p>
      <w:pPr>
        <w:spacing w:after="0" w:line="1" w:lineRule="exact"/>
        <w:rPr>
          <w:sz w:val="20"/>
          <w:szCs w:val="20"/>
          <w:color w:val="auto"/>
        </w:rPr>
      </w:pPr>
    </w:p>
    <w:p>
      <w:pPr>
        <w:ind w:left="240"/>
        <w:spacing w:after="0"/>
        <w:tabs>
          <w:tab w:leader="none" w:pos="1240" w:val="left"/>
          <w:tab w:leader="none" w:pos="1600" w:val="left"/>
        </w:tabs>
        <w:rPr>
          <w:sz w:val="20"/>
          <w:szCs w:val="20"/>
          <w:color w:val="auto"/>
        </w:rPr>
      </w:pPr>
      <w:r>
        <w:rPr>
          <w:rFonts w:ascii="Arial" w:cs="Arial" w:eastAsia="Arial" w:hAnsi="Arial"/>
          <w:sz w:val="14"/>
          <w:szCs w:val="14"/>
          <w:color w:val="auto"/>
        </w:rPr>
        <w:t>Number of</w:t>
      </w:r>
      <w:r>
        <w:rPr>
          <w:sz w:val="20"/>
          <w:szCs w:val="20"/>
          <w:color w:val="auto"/>
        </w:rPr>
        <w:tab/>
      </w:r>
      <w:r>
        <w:rPr>
          <w:rFonts w:ascii="Arial" w:cs="Arial" w:eastAsia="Arial" w:hAnsi="Arial"/>
          <w:sz w:val="14"/>
          <w:szCs w:val="14"/>
          <w:color w:val="auto"/>
        </w:rPr>
        <w:t>(5)</w:t>
      </w:r>
      <w:r>
        <w:rPr>
          <w:sz w:val="20"/>
          <w:szCs w:val="20"/>
          <w:color w:val="auto"/>
        </w:rPr>
        <w:tab/>
      </w:r>
      <w:r>
        <w:rPr>
          <w:rFonts w:ascii="Arial" w:cs="Arial" w:eastAsia="Arial" w:hAnsi="Arial"/>
          <w:sz w:val="12"/>
          <w:szCs w:val="12"/>
          <w:color w:val="auto"/>
        </w:rPr>
        <w:t>Sole voting power</w:t>
      </w:r>
    </w:p>
    <w:p>
      <w:pPr>
        <w:ind w:left="360"/>
        <w:spacing w:after="0" w:line="221" w:lineRule="auto"/>
        <w:rPr>
          <w:sz w:val="20"/>
          <w:szCs w:val="20"/>
          <w:color w:val="auto"/>
        </w:rPr>
      </w:pPr>
      <w:r>
        <w:rPr>
          <w:rFonts w:ascii="Arial" w:cs="Arial" w:eastAsia="Arial" w:hAnsi="Arial"/>
          <w:sz w:val="14"/>
          <w:szCs w:val="14"/>
          <w:color w:val="auto"/>
        </w:rPr>
        <w:t>shares</w:t>
      </w:r>
    </w:p>
    <w:p>
      <w:pPr>
        <w:ind w:left="200"/>
        <w:spacing w:after="0" w:line="221" w:lineRule="auto"/>
        <w:tabs>
          <w:tab w:leader="none" w:pos="1600" w:val="left"/>
        </w:tabs>
        <w:rPr>
          <w:sz w:val="20"/>
          <w:szCs w:val="20"/>
          <w:color w:val="auto"/>
        </w:rPr>
      </w:pPr>
      <w:r>
        <w:rPr>
          <w:rFonts w:ascii="Arial" w:cs="Arial" w:eastAsia="Arial" w:hAnsi="Arial"/>
          <w:sz w:val="14"/>
          <w:szCs w:val="14"/>
          <w:color w:val="auto"/>
        </w:rPr>
        <w:t>beneficially</w:t>
      </w:r>
      <w:r>
        <w:rPr>
          <w:sz w:val="20"/>
          <w:szCs w:val="20"/>
          <w:color w:val="auto"/>
        </w:rPr>
        <w:tab/>
      </w:r>
      <w:r>
        <w:rPr>
          <w:rFonts w:ascii="Arial" w:cs="Arial" w:eastAsia="Arial" w:hAnsi="Arial"/>
          <w:sz w:val="14"/>
          <w:szCs w:val="14"/>
          <w:color w:val="auto"/>
        </w:rPr>
        <w:t>0</w:t>
      </w:r>
    </w:p>
    <w:p>
      <w:pPr>
        <w:ind w:left="260"/>
        <w:spacing w:after="0" w:line="222" w:lineRule="auto"/>
        <w:rPr>
          <w:sz w:val="20"/>
          <w:szCs w:val="20"/>
          <w:color w:val="auto"/>
        </w:rPr>
      </w:pPr>
      <w:r>
        <w:rPr>
          <w:rFonts w:ascii="Arial" w:cs="Arial" w:eastAsia="Arial" w:hAnsi="Arial"/>
          <w:sz w:val="14"/>
          <w:szCs w:val="14"/>
          <w:color w:val="auto"/>
        </w:rPr>
        <w:t>owned by</w:t>
      </w:r>
    </w:p>
    <w:p>
      <w:pPr>
        <w:jc w:val="center"/>
        <w:ind w:right="9159"/>
        <w:spacing w:after="0" w:line="221" w:lineRule="auto"/>
        <w:rPr>
          <w:sz w:val="20"/>
          <w:szCs w:val="20"/>
          <w:color w:val="auto"/>
        </w:rPr>
      </w:pPr>
      <w:r>
        <w:rPr>
          <w:rFonts w:ascii="Arial" w:cs="Arial" w:eastAsia="Arial" w:hAnsi="Arial"/>
          <w:sz w:val="14"/>
          <w:szCs w:val="14"/>
          <w:color w:val="auto"/>
        </w:rPr>
        <w:t>each</w:t>
      </w:r>
    </w:p>
    <w:p>
      <w:pPr>
        <w:jc w:val="center"/>
        <w:ind w:right="9159"/>
        <w:spacing w:after="0" w:line="222" w:lineRule="auto"/>
        <w:rPr>
          <w:sz w:val="20"/>
          <w:szCs w:val="20"/>
          <w:color w:val="auto"/>
        </w:rPr>
      </w:pPr>
      <w:r>
        <w:rPr>
          <w:rFonts w:ascii="Arial" w:cs="Arial" w:eastAsia="Arial" w:hAnsi="Arial"/>
          <w:sz w:val="14"/>
          <w:szCs w:val="14"/>
          <w:color w:val="auto"/>
        </w:rPr>
        <w:t>reporting</w:t>
      </w:r>
    </w:p>
    <w:p>
      <w:pPr>
        <w:ind w:left="340"/>
        <w:spacing w:after="0"/>
        <w:tabs>
          <w:tab w:leader="none" w:pos="1240" w:val="left"/>
          <w:tab w:leader="none" w:pos="1600" w:val="left"/>
        </w:tabs>
        <w:rPr>
          <w:sz w:val="20"/>
          <w:szCs w:val="20"/>
          <w:color w:val="auto"/>
        </w:rPr>
      </w:pPr>
      <w:r>
        <w:rPr>
          <w:rFonts w:ascii="Arial" w:cs="Arial" w:eastAsia="Arial" w:hAnsi="Arial"/>
          <w:sz w:val="14"/>
          <w:szCs w:val="14"/>
          <w:color w:val="auto"/>
        </w:rPr>
        <w:t>person</w:t>
      </w:r>
      <w:r>
        <w:rPr>
          <w:sz w:val="20"/>
          <w:szCs w:val="20"/>
          <w:color w:val="auto"/>
        </w:rPr>
        <w:tab/>
      </w:r>
      <w:r>
        <w:rPr>
          <w:rFonts w:ascii="Arial" w:cs="Arial" w:eastAsia="Arial" w:hAnsi="Arial"/>
          <w:sz w:val="14"/>
          <w:szCs w:val="14"/>
          <w:color w:val="auto"/>
        </w:rPr>
        <w:t>(6)</w:t>
      </w:r>
      <w:r>
        <w:rPr>
          <w:sz w:val="20"/>
          <w:szCs w:val="20"/>
          <w:color w:val="auto"/>
        </w:rPr>
        <w:tab/>
      </w:r>
      <w:r>
        <w:rPr>
          <w:rFonts w:ascii="Arial" w:cs="Arial" w:eastAsia="Arial" w:hAnsi="Arial"/>
          <w:sz w:val="12"/>
          <w:szCs w:val="12"/>
          <w:color w:val="auto"/>
        </w:rPr>
        <w:t>Shared voting power</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4"/>
          <w:szCs w:val="14"/>
          <w:color w:val="auto"/>
        </w:rPr>
        <w:t>with:</w:t>
      </w:r>
    </w:p>
    <w:p>
      <w:pPr>
        <w:ind w:left="1620"/>
        <w:spacing w:after="0"/>
        <w:rPr>
          <w:sz w:val="20"/>
          <w:szCs w:val="20"/>
          <w:color w:val="auto"/>
        </w:rPr>
      </w:pPr>
      <w:r>
        <w:rPr>
          <w:rFonts w:ascii="Arial" w:cs="Arial" w:eastAsia="Arial" w:hAnsi="Arial"/>
          <w:sz w:val="14"/>
          <w:szCs w:val="14"/>
          <w:color w:val="auto"/>
        </w:rPr>
        <w:t>2,111,559 (see Item 4)</w:t>
      </w:r>
    </w:p>
    <w:p>
      <w:pPr>
        <w:spacing w:after="0" w:line="1" w:lineRule="exact"/>
        <w:rPr>
          <w:sz w:val="20"/>
          <w:szCs w:val="20"/>
          <w:color w:val="auto"/>
        </w:rPr>
      </w:pPr>
    </w:p>
    <w:p>
      <w:pPr>
        <w:ind w:left="1620" w:right="7379" w:hanging="360"/>
        <w:spacing w:after="0" w:line="342" w:lineRule="auto"/>
        <w:tabs>
          <w:tab w:leader="none" w:pos="1620" w:val="left"/>
        </w:tabs>
        <w:numPr>
          <w:ilvl w:val="1"/>
          <w:numId w:val="7"/>
        </w:numPr>
        <w:rPr>
          <w:rFonts w:ascii="Arial" w:cs="Arial" w:eastAsia="Arial" w:hAnsi="Arial"/>
          <w:sz w:val="14"/>
          <w:szCs w:val="14"/>
          <w:color w:val="auto"/>
        </w:rPr>
      </w:pPr>
      <w:r>
        <w:rPr>
          <w:rFonts w:ascii="Arial" w:cs="Arial" w:eastAsia="Arial" w:hAnsi="Arial"/>
          <w:sz w:val="14"/>
          <w:szCs w:val="14"/>
          <w:color w:val="auto"/>
        </w:rPr>
        <w:t>Sole dispositive power 0</w:t>
      </w:r>
    </w:p>
    <w:p>
      <w:pPr>
        <w:ind w:left="1620" w:right="7239" w:hanging="360"/>
        <w:spacing w:after="0" w:line="399" w:lineRule="auto"/>
        <w:tabs>
          <w:tab w:leader="none" w:pos="1620" w:val="left"/>
        </w:tabs>
        <w:numPr>
          <w:ilvl w:val="1"/>
          <w:numId w:val="7"/>
        </w:numPr>
        <w:rPr>
          <w:rFonts w:ascii="Arial" w:cs="Arial" w:eastAsia="Arial" w:hAnsi="Arial"/>
          <w:sz w:val="12"/>
          <w:szCs w:val="12"/>
          <w:color w:val="auto"/>
        </w:rPr>
      </w:pPr>
      <w:r>
        <w:rPr>
          <w:rFonts w:ascii="Arial" w:cs="Arial" w:eastAsia="Arial" w:hAnsi="Arial"/>
          <w:sz w:val="12"/>
          <w:szCs w:val="12"/>
          <w:color w:val="auto"/>
        </w:rPr>
        <w:t>Shared dispositive power 2,111,559 (see Item 4)</w:t>
      </w:r>
    </w:p>
    <w:p>
      <w:pPr>
        <w:ind w:left="580" w:right="6199" w:hanging="347"/>
        <w:spacing w:after="0" w:line="342" w:lineRule="auto"/>
        <w:tabs>
          <w:tab w:leader="none" w:pos="580" w:val="left"/>
        </w:tabs>
        <w:numPr>
          <w:ilvl w:val="0"/>
          <w:numId w:val="8"/>
        </w:numPr>
        <w:rPr>
          <w:rFonts w:ascii="Arial" w:cs="Arial" w:eastAsia="Arial" w:hAnsi="Arial"/>
          <w:sz w:val="14"/>
          <w:szCs w:val="14"/>
          <w:color w:val="auto"/>
        </w:rPr>
      </w:pPr>
      <w:r>
        <w:rPr>
          <w:rFonts w:ascii="Arial" w:cs="Arial" w:eastAsia="Arial" w:hAnsi="Arial"/>
          <w:sz w:val="14"/>
          <w:szCs w:val="14"/>
          <w:color w:val="auto"/>
        </w:rPr>
        <w:t>Aggregate amount beneficially owned by each reporting person 2,111,559 (see Item 4)</w:t>
      </w:r>
    </w:p>
    <w:p>
      <w:pPr>
        <w:ind w:left="580" w:hanging="414"/>
        <w:spacing w:after="0"/>
        <w:tabs>
          <w:tab w:leader="none" w:pos="580" w:val="left"/>
        </w:tabs>
        <w:numPr>
          <w:ilvl w:val="0"/>
          <w:numId w:val="8"/>
        </w:numPr>
        <w:rPr>
          <w:rFonts w:ascii="Arial" w:cs="Arial" w:eastAsia="Arial" w:hAnsi="Arial"/>
          <w:sz w:val="14"/>
          <w:szCs w:val="14"/>
          <w:color w:val="auto"/>
        </w:rPr>
      </w:pPr>
      <w:r>
        <w:rPr>
          <w:rFonts w:ascii="Arial" w:cs="Arial" w:eastAsia="Arial" w:hAnsi="Arial"/>
          <w:sz w:val="14"/>
          <w:szCs w:val="14"/>
          <w:color w:val="auto"/>
        </w:rPr>
        <w:t>Check if the aggregate amount in Row (9) excludes certain shares (see instructions)</w:t>
      </w:r>
    </w:p>
    <w:p>
      <w:pPr>
        <w:spacing w:after="0" w:line="139" w:lineRule="exact"/>
        <w:rPr>
          <w:rFonts w:ascii="Arial" w:cs="Arial" w:eastAsia="Arial" w:hAnsi="Arial"/>
          <w:sz w:val="14"/>
          <w:szCs w:val="14"/>
          <w:color w:val="auto"/>
        </w:rPr>
      </w:pPr>
    </w:p>
    <w:p>
      <w:pPr>
        <w:ind w:left="580" w:right="6899" w:hanging="409"/>
        <w:spacing w:after="0" w:line="349" w:lineRule="auto"/>
        <w:tabs>
          <w:tab w:leader="none" w:pos="580" w:val="left"/>
        </w:tabs>
        <w:numPr>
          <w:ilvl w:val="0"/>
          <w:numId w:val="8"/>
        </w:numPr>
        <w:rPr>
          <w:rFonts w:ascii="Arial" w:cs="Arial" w:eastAsia="Arial" w:hAnsi="Arial"/>
          <w:sz w:val="14"/>
          <w:szCs w:val="14"/>
          <w:color w:val="auto"/>
        </w:rPr>
      </w:pPr>
      <w:r>
        <w:rPr>
          <w:rFonts w:ascii="Arial" w:cs="Arial" w:eastAsia="Arial" w:hAnsi="Arial"/>
          <w:sz w:val="14"/>
          <w:szCs w:val="14"/>
          <w:color w:val="auto"/>
        </w:rPr>
        <w:t>Percent of class represented by amount in Row (9) 2.5% (see Item 4)</w:t>
      </w:r>
    </w:p>
    <w:p>
      <w:pPr>
        <w:spacing w:after="0" w:line="1" w:lineRule="exact"/>
        <w:rPr>
          <w:rFonts w:ascii="Arial" w:cs="Arial" w:eastAsia="Arial" w:hAnsi="Arial"/>
          <w:sz w:val="14"/>
          <w:szCs w:val="14"/>
          <w:color w:val="auto"/>
        </w:rPr>
      </w:pPr>
    </w:p>
    <w:p>
      <w:pPr>
        <w:ind w:left="580" w:right="7339" w:hanging="414"/>
        <w:spacing w:after="0" w:line="444" w:lineRule="auto"/>
        <w:tabs>
          <w:tab w:leader="none" w:pos="580" w:val="left"/>
        </w:tabs>
        <w:numPr>
          <w:ilvl w:val="0"/>
          <w:numId w:val="8"/>
        </w:numPr>
        <w:rPr>
          <w:rFonts w:ascii="Arial" w:cs="Arial" w:eastAsia="Arial" w:hAnsi="Arial"/>
          <w:sz w:val="14"/>
          <w:szCs w:val="14"/>
          <w:color w:val="auto"/>
        </w:rPr>
      </w:pPr>
      <w:r>
        <w:rPr>
          <w:rFonts w:ascii="Arial" w:cs="Arial" w:eastAsia="Arial" w:hAnsi="Arial"/>
          <w:sz w:val="14"/>
          <w:szCs w:val="14"/>
          <w:color w:val="auto"/>
        </w:rPr>
        <w:t>Type of reporting person (see instructions) IN; HC</w:t>
      </w:r>
    </w:p>
    <w:p>
      <w:pPr>
        <w:spacing w:after="0" w:line="72" w:lineRule="exact"/>
        <w:rPr>
          <w:sz w:val="20"/>
          <w:szCs w:val="20"/>
          <w:color w:val="auto"/>
        </w:rPr>
      </w:pPr>
    </w:p>
    <w:p>
      <w:pPr>
        <w:jc w:val="right"/>
        <w:ind w:right="4099"/>
        <w:spacing w:after="0"/>
        <w:rPr>
          <w:sz w:val="20"/>
          <w:szCs w:val="20"/>
          <w:color w:val="auto"/>
        </w:rPr>
      </w:pPr>
      <w:r>
        <w:rPr>
          <w:rFonts w:ascii="Arial" w:cs="Arial" w:eastAsia="Arial" w:hAnsi="Arial"/>
          <w:sz w:val="18"/>
          <w:szCs w:val="18"/>
          <w:color w:val="auto"/>
        </w:rPr>
        <w:t>Page 3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19"/>
          </w:cols>
          <w:pgMar w:left="240" w:top="372" w:right="1440" w:bottom="1440" w:gutter="0" w:footer="0" w:header="0"/>
        </w:sectPr>
      </w:pPr>
    </w:p>
    <w:bookmarkStart w:id="3" w:name="page4"/>
    <w:bookmarkEnd w:id="3"/>
    <w:p>
      <w:pPr>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t>CUSIP No. 92911N104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9274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3927475"/>
                    </a:xfrm>
                    <a:prstGeom prst="rect">
                      <a:avLst/>
                    </a:prstGeom>
                    <a:noFill/>
                  </pic:spPr>
                </pic:pic>
              </a:graphicData>
            </a:graphic>
          </wp:anchor>
        </w:drawing>
      </w:r>
    </w:p>
    <w:p>
      <w:pPr>
        <w:spacing w:after="0" w:line="210" w:lineRule="exact"/>
        <w:rPr>
          <w:sz w:val="20"/>
          <w:szCs w:val="20"/>
          <w:color w:val="auto"/>
        </w:rPr>
      </w:pPr>
    </w:p>
    <w:p>
      <w:pPr>
        <w:ind w:left="580" w:hanging="347"/>
        <w:spacing w:after="0"/>
        <w:tabs>
          <w:tab w:leader="none" w:pos="580" w:val="left"/>
        </w:tabs>
        <w:numPr>
          <w:ilvl w:val="0"/>
          <w:numId w:val="9"/>
        </w:numPr>
        <w:rPr>
          <w:rFonts w:ascii="Arial" w:cs="Arial" w:eastAsia="Arial" w:hAnsi="Arial"/>
          <w:sz w:val="14"/>
          <w:szCs w:val="14"/>
          <w:color w:val="auto"/>
        </w:rPr>
      </w:pPr>
      <w:r>
        <w:rPr>
          <w:rFonts w:ascii="Arial" w:cs="Arial" w:eastAsia="Arial" w:hAnsi="Arial"/>
          <w:sz w:val="14"/>
          <w:szCs w:val="14"/>
          <w:color w:val="auto"/>
        </w:rPr>
        <w:t>Names of reporting persons.</w:t>
      </w:r>
    </w:p>
    <w:p>
      <w:pPr>
        <w:ind w:left="580" w:right="6539"/>
        <w:spacing w:after="0" w:line="340" w:lineRule="auto"/>
        <w:rPr>
          <w:rFonts w:ascii="Arial" w:cs="Arial" w:eastAsia="Arial" w:hAnsi="Arial"/>
          <w:sz w:val="14"/>
          <w:szCs w:val="14"/>
          <w:color w:val="auto"/>
        </w:rPr>
      </w:pPr>
      <w:r>
        <w:rPr>
          <w:rFonts w:ascii="Arial" w:cs="Arial" w:eastAsia="Arial" w:hAnsi="Arial"/>
          <w:sz w:val="14"/>
          <w:szCs w:val="14"/>
          <w:color w:val="auto"/>
        </w:rPr>
        <w:t>I.R.S. Identification Nos. of above persons (entities only) Richard Abbe</w:t>
      </w:r>
    </w:p>
    <w:p>
      <w:pPr>
        <w:spacing w:after="0" w:line="1" w:lineRule="exact"/>
        <w:rPr>
          <w:rFonts w:ascii="Arial" w:cs="Arial" w:eastAsia="Arial" w:hAnsi="Arial"/>
          <w:sz w:val="14"/>
          <w:szCs w:val="14"/>
          <w:color w:val="auto"/>
        </w:rPr>
      </w:pPr>
    </w:p>
    <w:p>
      <w:pPr>
        <w:ind w:left="580" w:hanging="347"/>
        <w:spacing w:after="0"/>
        <w:tabs>
          <w:tab w:leader="none" w:pos="580" w:val="left"/>
        </w:tabs>
        <w:numPr>
          <w:ilvl w:val="0"/>
          <w:numId w:val="9"/>
        </w:numPr>
        <w:rPr>
          <w:rFonts w:ascii="Arial" w:cs="Arial" w:eastAsia="Arial" w:hAnsi="Arial"/>
          <w:sz w:val="14"/>
          <w:szCs w:val="14"/>
          <w:color w:val="auto"/>
        </w:rPr>
      </w:pPr>
      <w:r>
        <w:rPr>
          <w:rFonts w:ascii="Arial" w:cs="Arial" w:eastAsia="Arial" w:hAnsi="Arial"/>
          <w:sz w:val="14"/>
          <w:szCs w:val="14"/>
          <w:color w:val="auto"/>
        </w:rPr>
        <w:t>Check the appropriate box if a member of a group (see instructions)</w:t>
      </w:r>
    </w:p>
    <w:p>
      <w:pPr>
        <w:spacing w:after="0" w:line="125" w:lineRule="exact"/>
        <w:rPr>
          <w:rFonts w:ascii="Arial" w:cs="Arial" w:eastAsia="Arial" w:hAnsi="Arial"/>
          <w:sz w:val="14"/>
          <w:szCs w:val="14"/>
          <w:color w:val="auto"/>
        </w:rPr>
      </w:pPr>
    </w:p>
    <w:p>
      <w:pPr>
        <w:ind w:left="800" w:hanging="216"/>
        <w:spacing w:after="0"/>
        <w:tabs>
          <w:tab w:leader="none" w:pos="800" w:val="left"/>
        </w:tabs>
        <w:numPr>
          <w:ilvl w:val="1"/>
          <w:numId w:val="9"/>
        </w:numPr>
        <w:rPr>
          <w:rFonts w:ascii="Arial" w:cs="Arial" w:eastAsia="Arial" w:hAnsi="Arial"/>
          <w:sz w:val="14"/>
          <w:szCs w:val="14"/>
          <w:color w:val="auto"/>
        </w:rPr>
      </w:pPr>
      <w:r>
        <w:rPr>
          <w:rFonts w:ascii="Arial" w:cs="Arial" w:eastAsia="Arial" w:hAnsi="Arial"/>
          <w:sz w:val="14"/>
          <w:szCs w:val="14"/>
          <w:color w:val="auto"/>
        </w:rPr>
        <w:t>o</w:t>
      </w:r>
    </w:p>
    <w:p>
      <w:pPr>
        <w:spacing w:after="0" w:line="136" w:lineRule="exact"/>
        <w:rPr>
          <w:rFonts w:ascii="Arial" w:cs="Arial" w:eastAsia="Arial" w:hAnsi="Arial"/>
          <w:sz w:val="14"/>
          <w:szCs w:val="14"/>
          <w:color w:val="auto"/>
        </w:rPr>
      </w:pPr>
    </w:p>
    <w:p>
      <w:pPr>
        <w:ind w:left="800" w:hanging="216"/>
        <w:spacing w:after="0"/>
        <w:tabs>
          <w:tab w:leader="none" w:pos="800" w:val="left"/>
        </w:tabs>
        <w:numPr>
          <w:ilvl w:val="1"/>
          <w:numId w:val="9"/>
        </w:numPr>
        <w:rPr>
          <w:rFonts w:ascii="Arial" w:cs="Arial" w:eastAsia="Arial" w:hAnsi="Arial"/>
          <w:sz w:val="14"/>
          <w:szCs w:val="14"/>
          <w:color w:val="auto"/>
        </w:rPr>
      </w:pPr>
      <w:r>
        <w:rPr>
          <w:rFonts w:ascii="Arial" w:cs="Arial" w:eastAsia="Arial" w:hAnsi="Arial"/>
          <w:sz w:val="14"/>
          <w:szCs w:val="14"/>
          <w:color w:val="auto"/>
        </w:rPr>
        <w:t>o</w:t>
      </w:r>
    </w:p>
    <w:p>
      <w:pPr>
        <w:spacing w:after="0" w:line="68" w:lineRule="exact"/>
        <w:rPr>
          <w:rFonts w:ascii="Arial" w:cs="Arial" w:eastAsia="Arial" w:hAnsi="Arial"/>
          <w:sz w:val="14"/>
          <w:szCs w:val="14"/>
          <w:color w:val="auto"/>
        </w:rPr>
      </w:pPr>
    </w:p>
    <w:p>
      <w:pPr>
        <w:ind w:left="580" w:hanging="347"/>
        <w:spacing w:after="0"/>
        <w:tabs>
          <w:tab w:leader="none" w:pos="580" w:val="left"/>
        </w:tabs>
        <w:numPr>
          <w:ilvl w:val="0"/>
          <w:numId w:val="9"/>
        </w:numPr>
        <w:rPr>
          <w:rFonts w:ascii="Arial" w:cs="Arial" w:eastAsia="Arial" w:hAnsi="Arial"/>
          <w:sz w:val="14"/>
          <w:szCs w:val="14"/>
          <w:color w:val="auto"/>
        </w:rPr>
      </w:pPr>
      <w:r>
        <w:rPr>
          <w:rFonts w:ascii="Arial" w:cs="Arial" w:eastAsia="Arial" w:hAnsi="Arial"/>
          <w:sz w:val="14"/>
          <w:szCs w:val="14"/>
          <w:color w:val="auto"/>
        </w:rPr>
        <w:t>SEC use only</w:t>
      </w:r>
    </w:p>
    <w:p>
      <w:pPr>
        <w:spacing w:after="0" w:line="149" w:lineRule="exact"/>
        <w:rPr>
          <w:rFonts w:ascii="Arial" w:cs="Arial" w:eastAsia="Arial" w:hAnsi="Arial"/>
          <w:sz w:val="14"/>
          <w:szCs w:val="14"/>
          <w:color w:val="auto"/>
        </w:rPr>
      </w:pPr>
    </w:p>
    <w:p>
      <w:pPr>
        <w:ind w:left="580" w:hanging="347"/>
        <w:spacing w:after="0"/>
        <w:tabs>
          <w:tab w:leader="none" w:pos="580" w:val="left"/>
        </w:tabs>
        <w:numPr>
          <w:ilvl w:val="0"/>
          <w:numId w:val="9"/>
        </w:numPr>
        <w:rPr>
          <w:rFonts w:ascii="Arial" w:cs="Arial" w:eastAsia="Arial" w:hAnsi="Arial"/>
          <w:sz w:val="14"/>
          <w:szCs w:val="14"/>
          <w:color w:val="auto"/>
        </w:rPr>
      </w:pPr>
      <w:r>
        <w:rPr>
          <w:rFonts w:ascii="Arial" w:cs="Arial" w:eastAsia="Arial" w:hAnsi="Arial"/>
          <w:sz w:val="14"/>
          <w:szCs w:val="14"/>
          <w:color w:val="auto"/>
        </w:rPr>
        <w:t>Citizenship or place of organization</w:t>
      </w:r>
    </w:p>
    <w:p>
      <w:pPr>
        <w:spacing w:after="0" w:line="136" w:lineRule="exact"/>
        <w:rPr>
          <w:sz w:val="20"/>
          <w:szCs w:val="20"/>
          <w:color w:val="auto"/>
        </w:rPr>
      </w:pPr>
    </w:p>
    <w:p>
      <w:pPr>
        <w:ind w:left="580"/>
        <w:spacing w:after="0"/>
        <w:rPr>
          <w:sz w:val="20"/>
          <w:szCs w:val="20"/>
          <w:color w:val="auto"/>
        </w:rPr>
      </w:pPr>
      <w:r>
        <w:rPr>
          <w:rFonts w:ascii="Arial" w:cs="Arial" w:eastAsia="Arial" w:hAnsi="Arial"/>
          <w:sz w:val="14"/>
          <w:szCs w:val="14"/>
          <w:color w:val="auto"/>
        </w:rPr>
        <w:t>United States of America</w:t>
      </w:r>
    </w:p>
    <w:p>
      <w:pPr>
        <w:spacing w:after="0" w:line="1" w:lineRule="exact"/>
        <w:rPr>
          <w:sz w:val="20"/>
          <w:szCs w:val="20"/>
          <w:color w:val="auto"/>
        </w:rPr>
      </w:pPr>
    </w:p>
    <w:p>
      <w:pPr>
        <w:ind w:left="240"/>
        <w:spacing w:after="0"/>
        <w:tabs>
          <w:tab w:leader="none" w:pos="1240" w:val="left"/>
          <w:tab w:leader="none" w:pos="1600" w:val="left"/>
        </w:tabs>
        <w:rPr>
          <w:sz w:val="20"/>
          <w:szCs w:val="20"/>
          <w:color w:val="auto"/>
        </w:rPr>
      </w:pPr>
      <w:r>
        <w:rPr>
          <w:rFonts w:ascii="Arial" w:cs="Arial" w:eastAsia="Arial" w:hAnsi="Arial"/>
          <w:sz w:val="14"/>
          <w:szCs w:val="14"/>
          <w:color w:val="auto"/>
        </w:rPr>
        <w:t>Number of</w:t>
      </w:r>
      <w:r>
        <w:rPr>
          <w:sz w:val="20"/>
          <w:szCs w:val="20"/>
          <w:color w:val="auto"/>
        </w:rPr>
        <w:tab/>
      </w:r>
      <w:r>
        <w:rPr>
          <w:rFonts w:ascii="Arial" w:cs="Arial" w:eastAsia="Arial" w:hAnsi="Arial"/>
          <w:sz w:val="14"/>
          <w:szCs w:val="14"/>
          <w:color w:val="auto"/>
        </w:rPr>
        <w:t>(5)</w:t>
      </w:r>
      <w:r>
        <w:rPr>
          <w:sz w:val="20"/>
          <w:szCs w:val="20"/>
          <w:color w:val="auto"/>
        </w:rPr>
        <w:tab/>
      </w:r>
      <w:r>
        <w:rPr>
          <w:rFonts w:ascii="Arial" w:cs="Arial" w:eastAsia="Arial" w:hAnsi="Arial"/>
          <w:sz w:val="12"/>
          <w:szCs w:val="12"/>
          <w:color w:val="auto"/>
        </w:rPr>
        <w:t>Sole voting power</w:t>
      </w:r>
    </w:p>
    <w:p>
      <w:pPr>
        <w:ind w:left="360"/>
        <w:spacing w:after="0" w:line="221" w:lineRule="auto"/>
        <w:rPr>
          <w:sz w:val="20"/>
          <w:szCs w:val="20"/>
          <w:color w:val="auto"/>
        </w:rPr>
      </w:pPr>
      <w:r>
        <w:rPr>
          <w:rFonts w:ascii="Arial" w:cs="Arial" w:eastAsia="Arial" w:hAnsi="Arial"/>
          <w:sz w:val="14"/>
          <w:szCs w:val="14"/>
          <w:color w:val="auto"/>
        </w:rPr>
        <w:t>shares</w:t>
      </w:r>
    </w:p>
    <w:p>
      <w:pPr>
        <w:ind w:left="200"/>
        <w:spacing w:after="0" w:line="221" w:lineRule="auto"/>
        <w:tabs>
          <w:tab w:leader="none" w:pos="1600" w:val="left"/>
        </w:tabs>
        <w:rPr>
          <w:sz w:val="20"/>
          <w:szCs w:val="20"/>
          <w:color w:val="auto"/>
        </w:rPr>
      </w:pPr>
      <w:r>
        <w:rPr>
          <w:rFonts w:ascii="Arial" w:cs="Arial" w:eastAsia="Arial" w:hAnsi="Arial"/>
          <w:sz w:val="14"/>
          <w:szCs w:val="14"/>
          <w:color w:val="auto"/>
        </w:rPr>
        <w:t>beneficially</w:t>
      </w:r>
      <w:r>
        <w:rPr>
          <w:sz w:val="20"/>
          <w:szCs w:val="20"/>
          <w:color w:val="auto"/>
        </w:rPr>
        <w:tab/>
      </w:r>
      <w:r>
        <w:rPr>
          <w:rFonts w:ascii="Arial" w:cs="Arial" w:eastAsia="Arial" w:hAnsi="Arial"/>
          <w:sz w:val="14"/>
          <w:szCs w:val="14"/>
          <w:color w:val="auto"/>
        </w:rPr>
        <w:t>0</w:t>
      </w:r>
    </w:p>
    <w:p>
      <w:pPr>
        <w:ind w:left="260"/>
        <w:spacing w:after="0" w:line="222" w:lineRule="auto"/>
        <w:rPr>
          <w:sz w:val="20"/>
          <w:szCs w:val="20"/>
          <w:color w:val="auto"/>
        </w:rPr>
      </w:pPr>
      <w:r>
        <w:rPr>
          <w:rFonts w:ascii="Arial" w:cs="Arial" w:eastAsia="Arial" w:hAnsi="Arial"/>
          <w:sz w:val="14"/>
          <w:szCs w:val="14"/>
          <w:color w:val="auto"/>
        </w:rPr>
        <w:t>owned by</w:t>
      </w:r>
    </w:p>
    <w:p>
      <w:pPr>
        <w:jc w:val="center"/>
        <w:ind w:right="9159"/>
        <w:spacing w:after="0" w:line="221" w:lineRule="auto"/>
        <w:rPr>
          <w:sz w:val="20"/>
          <w:szCs w:val="20"/>
          <w:color w:val="auto"/>
        </w:rPr>
      </w:pPr>
      <w:r>
        <w:rPr>
          <w:rFonts w:ascii="Arial" w:cs="Arial" w:eastAsia="Arial" w:hAnsi="Arial"/>
          <w:sz w:val="14"/>
          <w:szCs w:val="14"/>
          <w:color w:val="auto"/>
        </w:rPr>
        <w:t>each</w:t>
      </w:r>
    </w:p>
    <w:p>
      <w:pPr>
        <w:jc w:val="center"/>
        <w:ind w:right="9159"/>
        <w:spacing w:after="0" w:line="222" w:lineRule="auto"/>
        <w:rPr>
          <w:sz w:val="20"/>
          <w:szCs w:val="20"/>
          <w:color w:val="auto"/>
        </w:rPr>
      </w:pPr>
      <w:r>
        <w:rPr>
          <w:rFonts w:ascii="Arial" w:cs="Arial" w:eastAsia="Arial" w:hAnsi="Arial"/>
          <w:sz w:val="14"/>
          <w:szCs w:val="14"/>
          <w:color w:val="auto"/>
        </w:rPr>
        <w:t>reporting</w:t>
      </w:r>
    </w:p>
    <w:p>
      <w:pPr>
        <w:ind w:left="340"/>
        <w:spacing w:after="0"/>
        <w:tabs>
          <w:tab w:leader="none" w:pos="1240" w:val="left"/>
          <w:tab w:leader="none" w:pos="1600" w:val="left"/>
        </w:tabs>
        <w:rPr>
          <w:sz w:val="20"/>
          <w:szCs w:val="20"/>
          <w:color w:val="auto"/>
        </w:rPr>
      </w:pPr>
      <w:r>
        <w:rPr>
          <w:rFonts w:ascii="Arial" w:cs="Arial" w:eastAsia="Arial" w:hAnsi="Arial"/>
          <w:sz w:val="14"/>
          <w:szCs w:val="14"/>
          <w:color w:val="auto"/>
        </w:rPr>
        <w:t>person</w:t>
      </w:r>
      <w:r>
        <w:rPr>
          <w:sz w:val="20"/>
          <w:szCs w:val="20"/>
          <w:color w:val="auto"/>
        </w:rPr>
        <w:tab/>
      </w:r>
      <w:r>
        <w:rPr>
          <w:rFonts w:ascii="Arial" w:cs="Arial" w:eastAsia="Arial" w:hAnsi="Arial"/>
          <w:sz w:val="14"/>
          <w:szCs w:val="14"/>
          <w:color w:val="auto"/>
        </w:rPr>
        <w:t>(6)</w:t>
      </w:r>
      <w:r>
        <w:rPr>
          <w:sz w:val="20"/>
          <w:szCs w:val="20"/>
          <w:color w:val="auto"/>
        </w:rPr>
        <w:tab/>
      </w:r>
      <w:r>
        <w:rPr>
          <w:rFonts w:ascii="Arial" w:cs="Arial" w:eastAsia="Arial" w:hAnsi="Arial"/>
          <w:sz w:val="12"/>
          <w:szCs w:val="12"/>
          <w:color w:val="auto"/>
        </w:rPr>
        <w:t>Shared voting power</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4"/>
          <w:szCs w:val="14"/>
          <w:color w:val="auto"/>
        </w:rPr>
        <w:t>with:</w:t>
      </w:r>
    </w:p>
    <w:p>
      <w:pPr>
        <w:ind w:left="1620"/>
        <w:spacing w:after="0"/>
        <w:rPr>
          <w:sz w:val="20"/>
          <w:szCs w:val="20"/>
          <w:color w:val="auto"/>
        </w:rPr>
      </w:pPr>
      <w:r>
        <w:rPr>
          <w:rFonts w:ascii="Arial" w:cs="Arial" w:eastAsia="Arial" w:hAnsi="Arial"/>
          <w:sz w:val="14"/>
          <w:szCs w:val="14"/>
          <w:color w:val="auto"/>
        </w:rPr>
        <w:t>2,111,559 (see Item 4)</w:t>
      </w:r>
    </w:p>
    <w:p>
      <w:pPr>
        <w:spacing w:after="0" w:line="1" w:lineRule="exact"/>
        <w:rPr>
          <w:sz w:val="20"/>
          <w:szCs w:val="20"/>
          <w:color w:val="auto"/>
        </w:rPr>
      </w:pPr>
    </w:p>
    <w:p>
      <w:pPr>
        <w:ind w:left="1620" w:right="7379" w:hanging="360"/>
        <w:spacing w:after="0" w:line="342" w:lineRule="auto"/>
        <w:tabs>
          <w:tab w:leader="none" w:pos="1620" w:val="left"/>
        </w:tabs>
        <w:numPr>
          <w:ilvl w:val="1"/>
          <w:numId w:val="10"/>
        </w:numPr>
        <w:rPr>
          <w:rFonts w:ascii="Arial" w:cs="Arial" w:eastAsia="Arial" w:hAnsi="Arial"/>
          <w:sz w:val="14"/>
          <w:szCs w:val="14"/>
          <w:color w:val="auto"/>
        </w:rPr>
      </w:pPr>
      <w:r>
        <w:rPr>
          <w:rFonts w:ascii="Arial" w:cs="Arial" w:eastAsia="Arial" w:hAnsi="Arial"/>
          <w:sz w:val="14"/>
          <w:szCs w:val="14"/>
          <w:color w:val="auto"/>
        </w:rPr>
        <w:t>Sole dispositive power 0</w:t>
      </w:r>
    </w:p>
    <w:p>
      <w:pPr>
        <w:ind w:left="1620" w:right="7239" w:hanging="360"/>
        <w:spacing w:after="0" w:line="399" w:lineRule="auto"/>
        <w:tabs>
          <w:tab w:leader="none" w:pos="1620" w:val="left"/>
        </w:tabs>
        <w:numPr>
          <w:ilvl w:val="1"/>
          <w:numId w:val="10"/>
        </w:numPr>
        <w:rPr>
          <w:rFonts w:ascii="Arial" w:cs="Arial" w:eastAsia="Arial" w:hAnsi="Arial"/>
          <w:sz w:val="12"/>
          <w:szCs w:val="12"/>
          <w:color w:val="auto"/>
        </w:rPr>
      </w:pPr>
      <w:r>
        <w:rPr>
          <w:rFonts w:ascii="Arial" w:cs="Arial" w:eastAsia="Arial" w:hAnsi="Arial"/>
          <w:sz w:val="12"/>
          <w:szCs w:val="12"/>
          <w:color w:val="auto"/>
        </w:rPr>
        <w:t>Shared dispositive power 2,111,559 (see Item 4)</w:t>
      </w:r>
    </w:p>
    <w:p>
      <w:pPr>
        <w:ind w:left="580" w:right="6199" w:hanging="347"/>
        <w:spacing w:after="0" w:line="342" w:lineRule="auto"/>
        <w:tabs>
          <w:tab w:leader="none" w:pos="5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Aggregate amount beneficially owned by each reporting person 2,111,559 (see Item 4)</w:t>
      </w:r>
    </w:p>
    <w:p>
      <w:pPr>
        <w:ind w:left="580" w:hanging="414"/>
        <w:spacing w:after="0"/>
        <w:tabs>
          <w:tab w:leader="none" w:pos="5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Check if the aggregate amount in Row (9) excludes certain shares (see instructions)</w:t>
      </w:r>
    </w:p>
    <w:p>
      <w:pPr>
        <w:spacing w:after="0" w:line="139" w:lineRule="exact"/>
        <w:rPr>
          <w:rFonts w:ascii="Arial" w:cs="Arial" w:eastAsia="Arial" w:hAnsi="Arial"/>
          <w:sz w:val="14"/>
          <w:szCs w:val="14"/>
          <w:color w:val="auto"/>
        </w:rPr>
      </w:pPr>
    </w:p>
    <w:p>
      <w:pPr>
        <w:ind w:left="580" w:right="6899" w:hanging="409"/>
        <w:spacing w:after="0" w:line="349" w:lineRule="auto"/>
        <w:tabs>
          <w:tab w:leader="none" w:pos="5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Percent of class represented by amount in Row (9) 2.5% (see Item 4)</w:t>
      </w:r>
    </w:p>
    <w:p>
      <w:pPr>
        <w:spacing w:after="0" w:line="1" w:lineRule="exact"/>
        <w:rPr>
          <w:rFonts w:ascii="Arial" w:cs="Arial" w:eastAsia="Arial" w:hAnsi="Arial"/>
          <w:sz w:val="14"/>
          <w:szCs w:val="14"/>
          <w:color w:val="auto"/>
        </w:rPr>
      </w:pPr>
    </w:p>
    <w:p>
      <w:pPr>
        <w:ind w:left="580" w:right="7339" w:hanging="414"/>
        <w:spacing w:after="0" w:line="444" w:lineRule="auto"/>
        <w:tabs>
          <w:tab w:leader="none" w:pos="5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Type of reporting person (see instructions) IN; HC</w:t>
      </w:r>
    </w:p>
    <w:p>
      <w:pPr>
        <w:spacing w:after="0" w:line="72" w:lineRule="exact"/>
        <w:rPr>
          <w:sz w:val="20"/>
          <w:szCs w:val="20"/>
          <w:color w:val="auto"/>
        </w:rPr>
      </w:pPr>
    </w:p>
    <w:p>
      <w:pPr>
        <w:jc w:val="right"/>
        <w:ind w:right="4099"/>
        <w:spacing w:after="0"/>
        <w:rPr>
          <w:sz w:val="20"/>
          <w:szCs w:val="20"/>
          <w:color w:val="auto"/>
        </w:rPr>
      </w:pPr>
      <w:r>
        <w:rPr>
          <w:rFonts w:ascii="Arial" w:cs="Arial" w:eastAsia="Arial" w:hAnsi="Arial"/>
          <w:sz w:val="18"/>
          <w:szCs w:val="18"/>
          <w:color w:val="auto"/>
        </w:rPr>
        <w:t>Page 4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19"/>
          </w:cols>
          <w:pgMar w:left="240" w:top="372" w:right="1440" w:bottom="1440" w:gutter="0" w:footer="0" w:header="0"/>
        </w:sectPr>
      </w:pPr>
    </w:p>
    <w:bookmarkStart w:id="4" w:name="page5"/>
    <w:bookmarkEnd w:id="4"/>
    <w:p>
      <w:pPr>
        <w:ind w:right="480" w:firstLine="436"/>
        <w:spacing w:after="0" w:line="332" w:lineRule="auto"/>
        <w:rPr>
          <w:sz w:val="20"/>
          <w:szCs w:val="20"/>
          <w:color w:val="auto"/>
        </w:rPr>
      </w:pPr>
      <w:r>
        <w:rPr>
          <w:rFonts w:ascii="Arial" w:cs="Arial" w:eastAsia="Arial" w:hAnsi="Arial"/>
          <w:sz w:val="16"/>
          <w:szCs w:val="16"/>
          <w:color w:val="auto"/>
        </w:rPr>
        <w:t xml:space="preserve">This Amendment No. 2 is being filed jointly by the Reporting Persons and amends the Schedule 13G initially filed by the Reporting Persons with the Securities and Exchange Commission (the “ </w:t>
      </w:r>
      <w:r>
        <w:rPr>
          <w:rFonts w:ascii="Arial" w:cs="Arial" w:eastAsia="Arial" w:hAnsi="Arial"/>
          <w:sz w:val="16"/>
          <w:szCs w:val="16"/>
          <w:u w:val="single" w:color="auto"/>
          <w:color w:val="auto"/>
        </w:rPr>
        <w:t>SEC</w:t>
      </w:r>
      <w:r>
        <w:rPr>
          <w:rFonts w:ascii="Arial" w:cs="Arial" w:eastAsia="Arial" w:hAnsi="Arial"/>
          <w:sz w:val="16"/>
          <w:szCs w:val="16"/>
          <w:color w:val="auto"/>
        </w:rPr>
        <w:t xml:space="preserve"> ”) on July 5, 2011 and as amended on February 14, 2012 (the “ </w:t>
      </w:r>
      <w:r>
        <w:rPr>
          <w:rFonts w:ascii="Arial" w:cs="Arial" w:eastAsia="Arial" w:hAnsi="Arial"/>
          <w:sz w:val="16"/>
          <w:szCs w:val="16"/>
          <w:u w:val="single" w:color="auto"/>
          <w:color w:val="auto"/>
        </w:rPr>
        <w:t>Schedule 13G</w:t>
      </w:r>
      <w:r>
        <w:rPr>
          <w:rFonts w:ascii="Arial" w:cs="Arial" w:eastAsia="Arial" w:hAnsi="Arial"/>
          <w:sz w:val="16"/>
          <w:szCs w:val="16"/>
          <w:color w:val="auto"/>
        </w:rPr>
        <w:t xml:space="preserve"> ”).</w:t>
      </w:r>
    </w:p>
    <w:p>
      <w:pPr>
        <w:spacing w:after="0" w:line="139" w:lineRule="exact"/>
        <w:rPr>
          <w:sz w:val="20"/>
          <w:szCs w:val="20"/>
          <w:color w:val="auto"/>
        </w:rPr>
      </w:pPr>
    </w:p>
    <w:p>
      <w:pPr>
        <w:ind w:right="340" w:firstLine="439"/>
        <w:spacing w:after="0" w:line="268" w:lineRule="auto"/>
        <w:rPr>
          <w:sz w:val="20"/>
          <w:szCs w:val="20"/>
          <w:color w:val="auto"/>
        </w:rPr>
      </w:pPr>
      <w:r>
        <w:rPr>
          <w:rFonts w:ascii="Arial" w:cs="Arial" w:eastAsia="Arial" w:hAnsi="Arial"/>
          <w:sz w:val="18"/>
          <w:szCs w:val="18"/>
          <w:color w:val="auto"/>
        </w:rPr>
        <w:t>Except as set forth below, all Items of the Schedule 13G remain unchanged. All capitalized terms not otherwise defined herein shall have the meanings ascribed to such terms in the Schedule 13G.</w:t>
      </w:r>
    </w:p>
    <w:p>
      <w:pPr>
        <w:spacing w:after="0" w:line="19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If this statement is filed pursuant to §§ 240.13d-1(b), or 240.13d-2(b) or (c), check whether the person filing is a:</w:t>
      </w:r>
    </w:p>
    <w:p>
      <w:pPr>
        <w:spacing w:after="0" w:line="164"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ind w:left="1260" w:hanging="455"/>
        <w:spacing w:after="0"/>
        <w:tabs>
          <w:tab w:leader="none" w:pos="1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5"/>
          <w:szCs w:val="15"/>
          <w:color w:val="auto"/>
        </w:rPr>
        <w:t>Broker or dealer registered under section 15 of the Act (15 U.S.C. 78o);</w:t>
      </w:r>
    </w:p>
    <w:p>
      <w:pPr>
        <w:spacing w:after="0" w:line="157" w:lineRule="exact"/>
        <w:rPr>
          <w:rFonts w:ascii="Arial" w:cs="Arial" w:eastAsia="Arial" w:hAnsi="Arial"/>
          <w:sz w:val="18"/>
          <w:szCs w:val="18"/>
          <w:color w:val="auto"/>
        </w:rPr>
      </w:pPr>
    </w:p>
    <w:p>
      <w:pPr>
        <w:ind w:left="1260" w:hanging="455"/>
        <w:spacing w:after="0"/>
        <w:tabs>
          <w:tab w:leader="none" w:pos="1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157" w:lineRule="exact"/>
        <w:rPr>
          <w:rFonts w:ascii="Arial" w:cs="Arial" w:eastAsia="Arial" w:hAnsi="Arial"/>
          <w:sz w:val="18"/>
          <w:szCs w:val="18"/>
          <w:color w:val="auto"/>
        </w:rPr>
      </w:pPr>
    </w:p>
    <w:p>
      <w:pPr>
        <w:ind w:left="1260" w:hanging="455"/>
        <w:spacing w:after="0"/>
        <w:tabs>
          <w:tab w:leader="none" w:pos="1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5"/>
          <w:szCs w:val="15"/>
          <w:color w:val="auto"/>
        </w:rPr>
        <w:t>Insurance company as defined in section 3(a)(19) of the Act (15 U.S.C. 78c);</w:t>
      </w:r>
    </w:p>
    <w:p>
      <w:pPr>
        <w:spacing w:after="0" w:line="157" w:lineRule="exact"/>
        <w:rPr>
          <w:rFonts w:ascii="Arial" w:cs="Arial" w:eastAsia="Arial" w:hAnsi="Arial"/>
          <w:sz w:val="18"/>
          <w:szCs w:val="18"/>
          <w:color w:val="auto"/>
        </w:rPr>
      </w:pPr>
    </w:p>
    <w:p>
      <w:pPr>
        <w:ind w:left="1260" w:hanging="455"/>
        <w:spacing w:after="0"/>
        <w:tabs>
          <w:tab w:leader="none" w:pos="1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5"/>
          <w:szCs w:val="15"/>
          <w:color w:val="auto"/>
        </w:rPr>
        <w:t>Investment company registered under Section 8 of the Investment Company Act of 1940 (15 U.S.C. 80a-8);</w:t>
      </w:r>
    </w:p>
    <w:p>
      <w:pPr>
        <w:spacing w:after="0" w:line="157" w:lineRule="exact"/>
        <w:rPr>
          <w:rFonts w:ascii="Arial" w:cs="Arial" w:eastAsia="Arial" w:hAnsi="Arial"/>
          <w:sz w:val="18"/>
          <w:szCs w:val="18"/>
          <w:color w:val="auto"/>
        </w:rPr>
      </w:pPr>
    </w:p>
    <w:p>
      <w:pPr>
        <w:ind w:left="1260" w:hanging="455"/>
        <w:spacing w:after="0"/>
        <w:tabs>
          <w:tab w:leader="none" w:pos="1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An investment adviser in accordance with § 240.13d-1(b)(1)(ii)(E);</w:t>
      </w:r>
    </w:p>
    <w:p>
      <w:pPr>
        <w:spacing w:after="0" w:line="157" w:lineRule="exact"/>
        <w:rPr>
          <w:rFonts w:ascii="Arial" w:cs="Arial" w:eastAsia="Arial" w:hAnsi="Arial"/>
          <w:sz w:val="18"/>
          <w:szCs w:val="18"/>
          <w:color w:val="auto"/>
        </w:rPr>
      </w:pPr>
    </w:p>
    <w:p>
      <w:pPr>
        <w:ind w:left="1260" w:hanging="455"/>
        <w:spacing w:after="0"/>
        <w:tabs>
          <w:tab w:leader="none" w:pos="1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 240.13d-1(b)(1)(ii)(F);</w:t>
      </w:r>
    </w:p>
    <w:p>
      <w:pPr>
        <w:spacing w:after="0" w:line="157" w:lineRule="exact"/>
        <w:rPr>
          <w:rFonts w:ascii="Arial" w:cs="Arial" w:eastAsia="Arial" w:hAnsi="Arial"/>
          <w:sz w:val="18"/>
          <w:szCs w:val="18"/>
          <w:color w:val="auto"/>
        </w:rPr>
      </w:pPr>
    </w:p>
    <w:p>
      <w:pPr>
        <w:ind w:left="1260" w:hanging="455"/>
        <w:spacing w:after="0"/>
        <w:tabs>
          <w:tab w:leader="none" w:pos="1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parent holding company or control person in accordance with § 240.13d-1(b)(1)(ii)(G);</w:t>
      </w:r>
    </w:p>
    <w:p>
      <w:pPr>
        <w:spacing w:after="0" w:line="157" w:lineRule="exact"/>
        <w:rPr>
          <w:rFonts w:ascii="Arial" w:cs="Arial" w:eastAsia="Arial" w:hAnsi="Arial"/>
          <w:sz w:val="18"/>
          <w:szCs w:val="18"/>
          <w:color w:val="auto"/>
        </w:rPr>
      </w:pPr>
    </w:p>
    <w:p>
      <w:pPr>
        <w:ind w:left="1260" w:hanging="455"/>
        <w:spacing w:after="0"/>
        <w:tabs>
          <w:tab w:leader="none" w:pos="1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5"/>
          <w:szCs w:val="15"/>
          <w:color w:val="auto"/>
        </w:rPr>
        <w:t>A savings association as defined in Section 3(b) of the Federal Deposit Insurance Act (12 U.S.C. 1813);</w:t>
      </w:r>
    </w:p>
    <w:p>
      <w:pPr>
        <w:spacing w:after="0" w:line="157" w:lineRule="exact"/>
        <w:rPr>
          <w:rFonts w:ascii="Arial" w:cs="Arial" w:eastAsia="Arial" w:hAnsi="Arial"/>
          <w:sz w:val="18"/>
          <w:szCs w:val="18"/>
          <w:color w:val="auto"/>
        </w:rPr>
      </w:pPr>
    </w:p>
    <w:p>
      <w:pPr>
        <w:ind w:left="1700" w:right="120" w:hanging="895"/>
        <w:spacing w:after="0" w:line="268" w:lineRule="auto"/>
        <w:tabs>
          <w:tab w:leader="none" w:pos="1254" w:val="left"/>
        </w:tabs>
        <w:numPr>
          <w:ilvl w:val="0"/>
          <w:numId w:val="12"/>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(15 U.S.C. 80a-3);</w:t>
      </w:r>
    </w:p>
    <w:p>
      <w:pPr>
        <w:spacing w:after="0" w:line="118" w:lineRule="exact"/>
        <w:rPr>
          <w:rFonts w:ascii="Arial" w:cs="Arial" w:eastAsia="Arial" w:hAnsi="Arial"/>
          <w:sz w:val="18"/>
          <w:szCs w:val="18"/>
          <w:color w:val="auto"/>
        </w:rPr>
      </w:pPr>
    </w:p>
    <w:p>
      <w:pPr>
        <w:ind w:left="1260" w:hanging="455"/>
        <w:spacing w:after="0"/>
        <w:tabs>
          <w:tab w:leader="none" w:pos="1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non-U.S. institution in accordance with § 240.13d-1(b)(1)(ii)(J);</w:t>
      </w:r>
    </w:p>
    <w:p>
      <w:pPr>
        <w:spacing w:after="0" w:line="157" w:lineRule="exact"/>
        <w:rPr>
          <w:rFonts w:ascii="Arial" w:cs="Arial" w:eastAsia="Arial" w:hAnsi="Arial"/>
          <w:sz w:val="18"/>
          <w:szCs w:val="18"/>
          <w:color w:val="auto"/>
        </w:rPr>
      </w:pPr>
    </w:p>
    <w:p>
      <w:pPr>
        <w:ind w:left="1260" w:hanging="455"/>
        <w:spacing w:after="0"/>
        <w:tabs>
          <w:tab w:leader="none" w:pos="1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Group, in accordance with § 240.13d-1(b)(1)(ii)(K).</w:t>
      </w:r>
    </w:p>
    <w:p>
      <w:pPr>
        <w:spacing w:after="0" w:line="158" w:lineRule="exact"/>
        <w:rPr>
          <w:sz w:val="20"/>
          <w:szCs w:val="20"/>
          <w:color w:val="auto"/>
        </w:rPr>
      </w:pPr>
    </w:p>
    <w:p>
      <w:pPr>
        <w:ind w:left="800" w:right="3360"/>
        <w:spacing w:after="0" w:line="332" w:lineRule="auto"/>
        <w:rPr>
          <w:sz w:val="20"/>
          <w:szCs w:val="20"/>
          <w:color w:val="auto"/>
        </w:rPr>
      </w:pPr>
      <w:r>
        <w:rPr>
          <w:rFonts w:ascii="Arial" w:cs="Arial" w:eastAsia="Arial" w:hAnsi="Arial"/>
          <w:sz w:val="16"/>
          <w:szCs w:val="16"/>
          <w:color w:val="auto"/>
        </w:rPr>
        <w:t>If filing as a non-U.S. institution in accordance with § 240.13d-1(b)(1)(ii)(J), please specify the type of institution:______________________________________________________________</w:t>
      </w:r>
    </w:p>
    <w:p>
      <w:pPr>
        <w:spacing w:after="0" w:line="17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64"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 and (b):</w:t>
      </w:r>
    </w:p>
    <w:p>
      <w:pPr>
        <w:spacing w:after="0" w:line="158" w:lineRule="exact"/>
        <w:rPr>
          <w:sz w:val="20"/>
          <w:szCs w:val="20"/>
          <w:color w:val="auto"/>
        </w:rPr>
      </w:pPr>
    </w:p>
    <w:p>
      <w:pPr>
        <w:ind w:left="460"/>
        <w:spacing w:after="0" w:line="256" w:lineRule="auto"/>
        <w:rPr>
          <w:sz w:val="20"/>
          <w:szCs w:val="20"/>
          <w:color w:val="auto"/>
        </w:rPr>
      </w:pPr>
      <w:r>
        <w:rPr>
          <w:rFonts w:ascii="Arial" w:cs="Arial" w:eastAsia="Arial" w:hAnsi="Arial"/>
          <w:sz w:val="18"/>
          <w:szCs w:val="18"/>
          <w:color w:val="auto"/>
        </w:rPr>
        <w:t>As of the close of business on December 31, 2012, each of the Reporting Persons may be deemed to have beneficial ownership of 2,111,559 shares of Common Stock, which are issuable upon the exercise of warrants to purchase Common Stock (the “Warrants”) held by Iroquois Master Fund Ltd., and all such shares of Common Stock represent beneficial ownership of approximately 2.5% of the Common Stock, based on 82,294,610 shares of Common Stock issued and outstanding as of January 31, 2013.</w:t>
      </w:r>
    </w:p>
    <w:p>
      <w:pPr>
        <w:spacing w:after="0" w:line="130" w:lineRule="exact"/>
        <w:rPr>
          <w:sz w:val="20"/>
          <w:szCs w:val="20"/>
          <w:color w:val="auto"/>
        </w:rPr>
      </w:pPr>
    </w:p>
    <w:p>
      <w:pPr>
        <w:ind w:left="820"/>
        <w:spacing w:after="0"/>
        <w:rPr>
          <w:sz w:val="20"/>
          <w:szCs w:val="20"/>
          <w:color w:val="auto"/>
        </w:rPr>
      </w:pPr>
      <w:r>
        <w:rPr>
          <w:rFonts w:ascii="Arial" w:cs="Arial" w:eastAsia="Arial" w:hAnsi="Arial"/>
          <w:sz w:val="18"/>
          <w:szCs w:val="18"/>
          <w:color w:val="auto"/>
        </w:rPr>
        <w:t>(c)(i) Number of shares as to which each of the Reporting Persons has:</w:t>
      </w:r>
    </w:p>
    <w:p>
      <w:pPr>
        <w:spacing w:after="0" w:line="158" w:lineRule="exact"/>
        <w:rPr>
          <w:sz w:val="20"/>
          <w:szCs w:val="20"/>
          <w:color w:val="auto"/>
        </w:rPr>
      </w:pPr>
    </w:p>
    <w:p>
      <w:pPr>
        <w:ind w:left="680" w:hanging="213"/>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157" w:lineRule="exact"/>
        <w:rPr>
          <w:rFonts w:ascii="Arial" w:cs="Arial" w:eastAsia="Arial" w:hAnsi="Arial"/>
          <w:sz w:val="18"/>
          <w:szCs w:val="18"/>
          <w:color w:val="auto"/>
        </w:rPr>
      </w:pPr>
    </w:p>
    <w:p>
      <w:pPr>
        <w:ind w:left="720" w:hanging="253"/>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Shared power to vote or to direct the vote: 2,111,559.</w:t>
      </w:r>
    </w:p>
    <w:p>
      <w:pPr>
        <w:spacing w:after="0" w:line="157" w:lineRule="exact"/>
        <w:rPr>
          <w:rFonts w:ascii="Arial" w:cs="Arial" w:eastAsia="Arial" w:hAnsi="Arial"/>
          <w:sz w:val="18"/>
          <w:szCs w:val="18"/>
          <w:color w:val="auto"/>
        </w:rPr>
      </w:pPr>
    </w:p>
    <w:p>
      <w:pPr>
        <w:ind w:left="780" w:hanging="313"/>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157" w:lineRule="exact"/>
        <w:rPr>
          <w:rFonts w:ascii="Arial" w:cs="Arial" w:eastAsia="Arial" w:hAnsi="Arial"/>
          <w:sz w:val="18"/>
          <w:szCs w:val="18"/>
          <w:color w:val="auto"/>
        </w:rPr>
      </w:pPr>
    </w:p>
    <w:p>
      <w:pPr>
        <w:ind w:left="760" w:hanging="293"/>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2,111,559.</w:t>
      </w:r>
    </w:p>
    <w:p>
      <w:pPr>
        <w:spacing w:after="0" w:line="15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Ownership of Five Percent or Less of a Class</w:t>
      </w:r>
    </w:p>
    <w:p>
      <w:pPr>
        <w:spacing w:after="0" w:line="164" w:lineRule="exact"/>
        <w:rPr>
          <w:sz w:val="20"/>
          <w:szCs w:val="20"/>
          <w:color w:val="auto"/>
        </w:rPr>
      </w:pPr>
    </w:p>
    <w:p>
      <w:pPr>
        <w:ind w:left="820" w:right="320"/>
        <w:spacing w:after="0" w:line="268"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5 percent of the class of securities, check the following x</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5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Item 10. Certification</w:t>
      </w:r>
    </w:p>
    <w:p>
      <w:pPr>
        <w:spacing w:after="0" w:line="231" w:lineRule="exact"/>
        <w:rPr>
          <w:sz w:val="20"/>
          <w:szCs w:val="20"/>
          <w:color w:val="auto"/>
        </w:rPr>
      </w:pPr>
    </w:p>
    <w:p>
      <w:pPr>
        <w:ind w:firstLine="439"/>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11, 2013</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IROQUOIS CAPITAL MANAGEMENT L.L.C.</w:t>
      </w:r>
    </w:p>
    <w:p>
      <w:pPr>
        <w:spacing w:after="0" w:line="15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Joshua Silverman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19685</wp:posOffset>
            </wp:positionV>
            <wp:extent cx="240982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Joshua Silverman, Authorized Signatory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 Joshua Silverman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26244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Joshua Silverman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 Richard Abbe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262445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Richard Abbe</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Page 6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sectPr>
      <w:pgSz w:w="11900" w:h="16838" w:orient="portrait"/>
      <w:cols w:equalWidth="0" w:num="1">
        <w:col w:w="11260"/>
      </w:cols>
      <w:pgMar w:left="240" w:top="125"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lowerLetter"/>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decimal"/>
      <w:start w:val="1"/>
    </w:lvl>
    <w:lvl w:ilvl="1">
      <w:lvlJc w:val="left"/>
      <w:lvlText w:val="(%2)"/>
      <w:numFmt w:val="lowerLetter"/>
      <w:start w:val="1"/>
    </w:lvl>
  </w:abstractNum>
  <w:abstractNum w:abstractNumId="3">
    <w:nsid w:val="515F007C"/>
    <w:multiLevelType w:val="hybridMultilevel"/>
    <w:lvl w:ilvl="0">
      <w:lvlJc w:val="left"/>
      <w:lvlText w:val="%1"/>
      <w:numFmt w:val="decimal"/>
      <w:start w:val="1"/>
    </w:lvl>
    <w:lvl w:ilvl="1">
      <w:lvlJc w:val="left"/>
      <w:lvlText w:val="(%2)"/>
      <w:numFmt w:val="decimal"/>
      <w:start w:val="7"/>
    </w:lvl>
  </w:abstractNum>
  <w:abstractNum w:abstractNumId="4">
    <w:nsid w:val="5BD062C2"/>
    <w:multiLevelType w:val="hybridMultilevel"/>
    <w:lvl w:ilvl="0">
      <w:lvlJc w:val="left"/>
      <w:lvlText w:val="(%1)"/>
      <w:numFmt w:val="decimal"/>
      <w:start w:val="9"/>
    </w:lvl>
    <w:lvl w:ilvl="1">
      <w:lvlJc w:val="left"/>
      <w:lvlText w:val="%2"/>
      <w:numFmt w:val="decimal"/>
      <w:start w:val="1"/>
    </w:lvl>
  </w:abstractNum>
  <w:abstractNum w:abstractNumId="5">
    <w:nsid w:val="12200854"/>
    <w:multiLevelType w:val="hybridMultilevel"/>
    <w:lvl w:ilvl="0">
      <w:lvlJc w:val="left"/>
      <w:lvlText w:val="(%1)"/>
      <w:numFmt w:val="decimal"/>
      <w:start w:val="1"/>
    </w:lvl>
    <w:lvl w:ilvl="1">
      <w:lvlJc w:val="left"/>
      <w:lvlText w:val="(%2)"/>
      <w:numFmt w:val="lowerLetter"/>
      <w:start w:val="1"/>
    </w:lvl>
  </w:abstractNum>
  <w:abstractNum w:abstractNumId="6">
    <w:nsid w:val="4DB127F8"/>
    <w:multiLevelType w:val="hybridMultilevel"/>
    <w:lvl w:ilvl="0">
      <w:lvlJc w:val="left"/>
      <w:lvlText w:val="%1"/>
      <w:numFmt w:val="decimal"/>
      <w:start w:val="1"/>
    </w:lvl>
    <w:lvl w:ilvl="1">
      <w:lvlJc w:val="left"/>
      <w:lvlText w:val="(%2)"/>
      <w:numFmt w:val="decimal"/>
      <w:start w:val="7"/>
    </w:lvl>
  </w:abstractNum>
  <w:abstractNum w:abstractNumId="7">
    <w:nsid w:val="216231B"/>
    <w:multiLevelType w:val="hybridMultilevel"/>
    <w:lvl w:ilvl="0">
      <w:lvlJc w:val="left"/>
      <w:lvlText w:val="(%1)"/>
      <w:numFmt w:val="decimal"/>
      <w:start w:val="9"/>
    </w:lvl>
    <w:lvl w:ilvl="1">
      <w:lvlJc w:val="left"/>
      <w:lvlText w:val="%2"/>
      <w:numFmt w:val="decimal"/>
      <w:start w:val="1"/>
    </w:lvl>
  </w:abstractNum>
  <w:abstractNum w:abstractNumId="8">
    <w:nsid w:val="1F16E9E8"/>
    <w:multiLevelType w:val="hybridMultilevel"/>
    <w:lvl w:ilvl="0">
      <w:lvlJc w:val="left"/>
      <w:lvlText w:val="(%1)"/>
      <w:numFmt w:val="decimal"/>
      <w:start w:val="1"/>
    </w:lvl>
    <w:lvl w:ilvl="1">
      <w:lvlJc w:val="left"/>
      <w:lvlText w:val="(%2)"/>
      <w:numFmt w:val="lowerLetter"/>
      <w:start w:val="1"/>
    </w:lvl>
  </w:abstractNum>
  <w:abstractNum w:abstractNumId="9">
    <w:nsid w:val="1190CDE7"/>
    <w:multiLevelType w:val="hybridMultilevel"/>
    <w:lvl w:ilvl="0">
      <w:lvlJc w:val="left"/>
      <w:lvlText w:val="%1"/>
      <w:numFmt w:val="decimal"/>
      <w:start w:val="1"/>
    </w:lvl>
    <w:lvl w:ilvl="1">
      <w:lvlJc w:val="left"/>
      <w:lvlText w:val="(%2)"/>
      <w:numFmt w:val="decimal"/>
      <w:start w:val="7"/>
    </w:lvl>
  </w:abstractNum>
  <w:abstractNum w:abstractNumId="10">
    <w:nsid w:val="66EF438D"/>
    <w:multiLevelType w:val="hybridMultilevel"/>
    <w:lvl w:ilvl="0">
      <w:lvlJc w:val="left"/>
      <w:lvlText w:val="(%1)"/>
      <w:numFmt w:val="decimal"/>
      <w:start w:val="9"/>
    </w:lvl>
    <w:lvl w:ilvl="1">
      <w:lvlJc w:val="left"/>
      <w:lvlText w:val="%2"/>
      <w:numFmt w:val="decimal"/>
      <w:start w:val="1"/>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2019-12-07T16:47:20Z</dcterms:created>
  <dcterms:modified xsi:type="dcterms:W3CDTF">2019-12-07T16:47:20Z</dcterms:modified>
</cp:coreProperties>
</file>