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1708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Perlman Andrew D</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80" w:type="dxa"/>
            <w:vAlign w:val="bottom"/>
            <w:tcBorders>
              <w:top w:val="single" w:sz="8" w:color="0000EE"/>
              <w:bottom w:val="single" w:sz="8" w:color="9A9A9A"/>
            </w:tcBorders>
          </w:tcPr>
          <w:p>
            <w:pPr>
              <w:spacing w:after="0"/>
              <w:rPr>
                <w:sz w:val="15"/>
                <w:szCs w:val="15"/>
                <w:color w:val="auto"/>
              </w:rPr>
            </w:pPr>
          </w:p>
        </w:tc>
        <w:tc>
          <w:tcPr>
            <w:tcW w:w="15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06/21/2010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Vringo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VRNGU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1140" w:type="dxa"/>
            <w:vAlign w:val="bottom"/>
          </w:tcPr>
          <w:p>
            <w:pPr>
              <w:ind w:left="80"/>
              <w:spacing w:after="0"/>
              <w:rPr>
                <w:sz w:val="20"/>
                <w:szCs w:val="20"/>
                <w:color w:val="auto"/>
              </w:rPr>
            </w:pPr>
            <w:r>
              <w:rPr>
                <w:rFonts w:ascii="Arial" w:cs="Arial" w:eastAsia="Arial" w:hAnsi="Arial"/>
                <w:sz w:val="14"/>
                <w:szCs w:val="14"/>
                <w:color w:val="auto"/>
              </w:rPr>
              <w:t>(First)</w:t>
            </w:r>
          </w:p>
        </w:tc>
        <w:tc>
          <w:tcPr>
            <w:tcW w:w="1060" w:type="dxa"/>
            <w:vAlign w:val="bottom"/>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0000FF"/>
              </w:rPr>
              <w:t>C/O VRINGO, INC.</w:t>
            </w:r>
          </w:p>
        </w:tc>
        <w:tc>
          <w:tcPr>
            <w:tcW w:w="106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0000FF"/>
                <w:w w:val="91"/>
              </w:rPr>
              <w:t>18 E. 16TH ST., 7TH FLOOR</w:t>
            </w:r>
          </w:p>
        </w:tc>
        <w:tc>
          <w:tcPr>
            <w:tcW w:w="106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1140" w:type="dxa"/>
            <w:vAlign w:val="bottom"/>
          </w:tcPr>
          <w:p>
            <w:pPr>
              <w:ind w:left="80"/>
              <w:spacing w:after="0"/>
              <w:rPr>
                <w:sz w:val="20"/>
                <w:szCs w:val="20"/>
                <w:color w:val="auto"/>
              </w:rPr>
            </w:pPr>
            <w:r>
              <w:rPr>
                <w:rFonts w:ascii="Arial" w:cs="Arial" w:eastAsia="Arial" w:hAnsi="Arial"/>
                <w:sz w:val="18"/>
                <w:szCs w:val="18"/>
                <w:color w:val="0000FF"/>
              </w:rPr>
              <w:t>NY</w:t>
            </w:r>
          </w:p>
        </w:tc>
        <w:tc>
          <w:tcPr>
            <w:tcW w:w="1060" w:type="dxa"/>
            <w:vAlign w:val="bottom"/>
          </w:tcPr>
          <w:p>
            <w:pPr>
              <w:ind w:left="20"/>
              <w:spacing w:after="0"/>
              <w:rPr>
                <w:sz w:val="20"/>
                <w:szCs w:val="20"/>
                <w:color w:val="auto"/>
              </w:rPr>
            </w:pPr>
            <w:r>
              <w:rPr>
                <w:rFonts w:ascii="Arial" w:cs="Arial" w:eastAsia="Arial" w:hAnsi="Arial"/>
                <w:sz w:val="18"/>
                <w:szCs w:val="18"/>
                <w:color w:val="0000FF"/>
              </w:rPr>
              <w:t>10003</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6" w:type="dxa"/>
        <w:tblCellMar>
          <w:top w:w="0" w:type="dxa"/>
          <w:left w:w="0" w:type="dxa"/>
          <w:bottom w:w="0" w:type="dxa"/>
          <w:right w:w="0" w:type="dxa"/>
        </w:tblCellMar>
      </w:tblPr>
      <w:tr>
        <w:trPr>
          <w:trHeight w:val="222"/>
        </w:trPr>
        <w:tc>
          <w:tcPr>
            <w:tcW w:w="220" w:type="dxa"/>
            <w:vAlign w:val="bottom"/>
          </w:tcPr>
          <w:p>
            <w:pPr>
              <w:spacing w:after="0"/>
              <w:rPr>
                <w:sz w:val="20"/>
                <w:szCs w:val="20"/>
                <w:color w:val="auto"/>
              </w:rPr>
            </w:pPr>
            <w:r>
              <w:rPr>
                <w:rFonts w:ascii="Arial" w:cs="Arial" w:eastAsia="Arial" w:hAnsi="Arial"/>
                <w:sz w:val="18"/>
                <w:szCs w:val="18"/>
                <w:color w:val="0000FF"/>
              </w:rPr>
              <w:t>X</w:t>
            </w:r>
          </w:p>
        </w:tc>
        <w:tc>
          <w:tcPr>
            <w:tcW w:w="1640" w:type="dxa"/>
            <w:vAlign w:val="bottom"/>
          </w:tcPr>
          <w:p>
            <w:pPr>
              <w:ind w:left="120"/>
              <w:spacing w:after="0"/>
              <w:rPr>
                <w:sz w:val="20"/>
                <w:szCs w:val="20"/>
                <w:color w:val="auto"/>
              </w:rPr>
            </w:pPr>
            <w:r>
              <w:rPr>
                <w:rFonts w:ascii="Arial" w:cs="Arial" w:eastAsia="Arial" w:hAnsi="Arial"/>
                <w:sz w:val="14"/>
                <w:szCs w:val="14"/>
                <w:color w:val="auto"/>
              </w:rPr>
              <w:t>Director</w:t>
            </w:r>
          </w:p>
        </w:tc>
        <w:tc>
          <w:tcPr>
            <w:tcW w:w="940" w:type="dxa"/>
            <w:vAlign w:val="bottom"/>
          </w:tcPr>
          <w:p>
            <w:pPr>
              <w:ind w:left="1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64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940" w:type="dxa"/>
            <w:vAlign w:val="bottom"/>
          </w:tcPr>
          <w:p>
            <w:pPr>
              <w:ind w:left="1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64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9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640" w:type="dxa"/>
            <w:vAlign w:val="bottom"/>
          </w:tcPr>
          <w:p>
            <w:pPr>
              <w:ind w:left="880"/>
              <w:spacing w:after="0"/>
              <w:rPr>
                <w:sz w:val="20"/>
                <w:szCs w:val="20"/>
                <w:color w:val="auto"/>
              </w:rPr>
            </w:pPr>
            <w:r>
              <w:rPr>
                <w:rFonts w:ascii="Arial" w:cs="Arial" w:eastAsia="Arial" w:hAnsi="Arial"/>
                <w:sz w:val="18"/>
                <w:szCs w:val="18"/>
                <w:color w:val="0000FF"/>
                <w:w w:val="97"/>
              </w:rPr>
              <w:t>President</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NONE</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820"/>
              <w:spacing w:after="0"/>
              <w:rPr>
                <w:sz w:val="20"/>
                <w:szCs w:val="20"/>
                <w:color w:val="auto"/>
              </w:rPr>
            </w:pPr>
            <w:r>
              <w:rPr>
                <w:rFonts w:ascii="Arial" w:cs="Arial" w:eastAsia="Arial" w:hAnsi="Arial"/>
                <w:sz w:val="18"/>
                <w:szCs w:val="18"/>
                <w:color w:val="0000FF"/>
              </w:rPr>
              <w:t>0</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Options</w:t>
            </w:r>
          </w:p>
        </w:tc>
        <w:tc>
          <w:tcPr>
            <w:tcW w:w="1560" w:type="dxa"/>
            <w:vAlign w:val="bottom"/>
            <w:gridSpan w:val="2"/>
          </w:tcPr>
          <w:p>
            <w:pPr>
              <w:jc w:val="center"/>
              <w:ind w:left="613"/>
              <w:spacing w:after="0"/>
              <w:rPr>
                <w:sz w:val="20"/>
                <w:szCs w:val="20"/>
                <w:color w:val="auto"/>
              </w:rPr>
            </w:pPr>
            <w:r>
              <w:rPr>
                <w:rFonts w:ascii="Arial" w:cs="Arial" w:eastAsia="Arial" w:hAnsi="Arial"/>
                <w:sz w:val="14"/>
                <w:szCs w:val="14"/>
                <w:color w:val="0000FF"/>
                <w:w w:val="85"/>
              </w:rPr>
              <w:t>07/30/2007</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07/30/2013</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1"/>
              <w:spacing w:after="0"/>
              <w:rPr>
                <w:sz w:val="20"/>
                <w:szCs w:val="20"/>
                <w:color w:val="auto"/>
              </w:rPr>
            </w:pPr>
            <w:r>
              <w:rPr>
                <w:rFonts w:ascii="Arial" w:cs="Arial" w:eastAsia="Arial" w:hAnsi="Arial"/>
                <w:sz w:val="18"/>
                <w:szCs w:val="18"/>
                <w:color w:val="0000FF"/>
                <w:w w:val="88"/>
              </w:rPr>
              <w:t>4,167</w:t>
            </w:r>
          </w:p>
        </w:tc>
        <w:tc>
          <w:tcPr>
            <w:tcW w:w="880" w:type="dxa"/>
            <w:vAlign w:val="bottom"/>
          </w:tcPr>
          <w:p>
            <w:pPr>
              <w:jc w:val="center"/>
              <w:spacing w:after="0"/>
              <w:rPr>
                <w:sz w:val="20"/>
                <w:szCs w:val="20"/>
                <w:color w:val="auto"/>
              </w:rPr>
            </w:pPr>
            <w:r>
              <w:rPr>
                <w:rFonts w:ascii="Arial" w:cs="Arial" w:eastAsia="Arial" w:hAnsi="Arial"/>
                <w:sz w:val="18"/>
                <w:szCs w:val="18"/>
                <w:color w:val="0000FF"/>
                <w:w w:val="79"/>
              </w:rPr>
              <w:t>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Options</w:t>
            </w:r>
          </w:p>
        </w:tc>
        <w:tc>
          <w:tcPr>
            <w:tcW w:w="1560" w:type="dxa"/>
            <w:vAlign w:val="bottom"/>
            <w:gridSpan w:val="2"/>
          </w:tcPr>
          <w:p>
            <w:pPr>
              <w:jc w:val="center"/>
              <w:ind w:left="613"/>
              <w:spacing w:after="0"/>
              <w:rPr>
                <w:sz w:val="20"/>
                <w:szCs w:val="20"/>
                <w:color w:val="auto"/>
              </w:rPr>
            </w:pPr>
            <w:r>
              <w:rPr>
                <w:rFonts w:ascii="Arial" w:cs="Arial" w:eastAsia="Arial" w:hAnsi="Arial"/>
                <w:sz w:val="14"/>
                <w:szCs w:val="14"/>
                <w:color w:val="0000FF"/>
                <w:w w:val="85"/>
              </w:rPr>
              <w:t>01/20/2008</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01/20/2014</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1"/>
              <w:spacing w:after="0"/>
              <w:rPr>
                <w:sz w:val="20"/>
                <w:szCs w:val="20"/>
                <w:color w:val="auto"/>
              </w:rPr>
            </w:pPr>
            <w:r>
              <w:rPr>
                <w:rFonts w:ascii="Arial" w:cs="Arial" w:eastAsia="Arial" w:hAnsi="Arial"/>
                <w:sz w:val="18"/>
                <w:szCs w:val="18"/>
                <w:color w:val="0000FF"/>
                <w:w w:val="88"/>
              </w:rPr>
              <w:t>2,500</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4.5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w:t>
            </w:r>
            <w:r>
              <w:rPr>
                <w:rFonts w:ascii="Arial" w:cs="Arial" w:eastAsia="Arial" w:hAnsi="Arial"/>
                <w:sz w:val="22"/>
                <w:szCs w:val="22"/>
                <w:color w:val="008000"/>
                <w:vertAlign w:val="superscript"/>
              </w:rPr>
              <w:t>(1)</w:t>
            </w:r>
          </w:p>
        </w:tc>
        <w:tc>
          <w:tcPr>
            <w:tcW w:w="1560" w:type="dxa"/>
            <w:vAlign w:val="bottom"/>
            <w:tcBorders>
              <w:bottom w:val="single" w:sz="8" w:color="2C2C2C"/>
            </w:tcBorders>
            <w:gridSpan w:val="2"/>
          </w:tcPr>
          <w:p>
            <w:pPr>
              <w:jc w:val="center"/>
              <w:ind w:left="613"/>
              <w:spacing w:after="0"/>
              <w:rPr>
                <w:sz w:val="20"/>
                <w:szCs w:val="20"/>
                <w:color w:val="auto"/>
              </w:rPr>
            </w:pPr>
            <w:r>
              <w:rPr>
                <w:rFonts w:ascii="Arial" w:cs="Arial" w:eastAsia="Arial" w:hAnsi="Arial"/>
                <w:sz w:val="14"/>
                <w:szCs w:val="14"/>
                <w:color w:val="0000FF"/>
                <w:w w:val="85"/>
              </w:rPr>
              <w:t>02/14/2009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06/25/2015</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1"/>
              <w:spacing w:after="0"/>
              <w:rPr>
                <w:sz w:val="20"/>
                <w:szCs w:val="20"/>
                <w:color w:val="auto"/>
              </w:rPr>
            </w:pPr>
            <w:r>
              <w:rPr>
                <w:rFonts w:ascii="Arial" w:cs="Arial" w:eastAsia="Arial" w:hAnsi="Arial"/>
                <w:sz w:val="18"/>
                <w:szCs w:val="18"/>
                <w:color w:val="0000FF"/>
                <w:w w:val="88"/>
              </w:rPr>
              <w:t>2,167</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center"/>
              <w:ind w:left="613"/>
              <w:spacing w:after="0"/>
              <w:rPr>
                <w:sz w:val="20"/>
                <w:szCs w:val="20"/>
                <w:color w:val="auto"/>
              </w:rPr>
            </w:pPr>
            <w:r>
              <w:rPr>
                <w:rFonts w:ascii="Arial" w:cs="Arial" w:eastAsia="Arial" w:hAnsi="Arial"/>
                <w:sz w:val="11"/>
                <w:szCs w:val="11"/>
                <w:color w:val="008000"/>
                <w:w w:val="88"/>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(2)</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1"/>
              <w:spacing w:after="0"/>
              <w:rPr>
                <w:sz w:val="20"/>
                <w:szCs w:val="20"/>
                <w:color w:val="auto"/>
              </w:rPr>
            </w:pPr>
            <w:r>
              <w:rPr>
                <w:rFonts w:ascii="Arial" w:cs="Arial" w:eastAsia="Arial" w:hAnsi="Arial"/>
                <w:sz w:val="18"/>
                <w:szCs w:val="18"/>
                <w:color w:val="0000FF"/>
                <w:w w:val="87"/>
              </w:rPr>
              <w:t>70,000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0.01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w:t>
            </w:r>
            <w:r>
              <w:rPr>
                <w:rFonts w:ascii="Arial" w:cs="Arial" w:eastAsia="Arial" w:hAnsi="Arial"/>
                <w:sz w:val="22"/>
                <w:szCs w:val="22"/>
                <w:color w:val="008000"/>
                <w:vertAlign w:val="superscript"/>
              </w:rPr>
              <w:t>(3)</w:t>
            </w:r>
          </w:p>
        </w:tc>
        <w:tc>
          <w:tcPr>
            <w:tcW w:w="1560" w:type="dxa"/>
            <w:vAlign w:val="bottom"/>
            <w:tcBorders>
              <w:bottom w:val="single" w:sz="8" w:color="2C2C2C"/>
            </w:tcBorders>
            <w:gridSpan w:val="2"/>
          </w:tcPr>
          <w:p>
            <w:pPr>
              <w:jc w:val="center"/>
              <w:ind w:left="613"/>
              <w:spacing w:after="0"/>
              <w:rPr>
                <w:sz w:val="20"/>
                <w:szCs w:val="20"/>
                <w:color w:val="auto"/>
              </w:rPr>
            </w:pPr>
            <w:r>
              <w:rPr>
                <w:rFonts w:ascii="Arial" w:cs="Arial" w:eastAsia="Arial" w:hAnsi="Arial"/>
                <w:sz w:val="11"/>
                <w:szCs w:val="11"/>
                <w:color w:val="008000"/>
                <w:w w:val="88"/>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(3)</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1"/>
              <w:spacing w:after="0"/>
              <w:rPr>
                <w:sz w:val="20"/>
                <w:szCs w:val="20"/>
                <w:color w:val="auto"/>
              </w:rPr>
            </w:pPr>
            <w:r>
              <w:rPr>
                <w:rFonts w:ascii="Arial" w:cs="Arial" w:eastAsia="Arial" w:hAnsi="Arial"/>
                <w:sz w:val="18"/>
                <w:szCs w:val="18"/>
                <w:color w:val="0000FF"/>
                <w:w w:val="87"/>
              </w:rPr>
              <w:t>90,000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5.06</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0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Stock Options were granted on June 25, 2009. One-fourth of the grant became exercisable six months after the respective vesting commencement date, with the remainder becoming exercisable in equal monthly installments over the following three years.</w:t>
      </w:r>
    </w:p>
    <w:p>
      <w:pPr>
        <w:spacing w:after="0" w:line="30" w:lineRule="exact"/>
        <w:rPr>
          <w:rFonts w:ascii="Arial" w:cs="Arial" w:eastAsia="Arial" w:hAnsi="Arial"/>
          <w:sz w:val="14"/>
          <w:szCs w:val="14"/>
          <w:color w:val="008000"/>
        </w:rPr>
      </w:pPr>
    </w:p>
    <w:p>
      <w:pPr>
        <w:ind w:left="40" w:right="440" w:firstLine="9"/>
        <w:spacing w:after="0" w:line="305"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Stock Options were granted on March 17, 2010. One-third of the grant becomes exercisable one year after the consummation of the company's initial public offering, with the remainder becoming exercisable in equal annual installments over the following two years. The stock options will expire six years following the company's initial public offering.</w:t>
      </w:r>
    </w:p>
    <w:p>
      <w:pPr>
        <w:ind w:left="40" w:right="360" w:firstLine="9"/>
        <w:spacing w:after="0" w:line="31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Stock Options were granted on March 17, 2010. One-fourth of the grant becomes exercisable one year after the consummation of the company's initial public offering, with the remainder becoming exercisable in equal quarterly installments over the following three years. The stock options will expire six years following the company's initial public offering.</w:t>
      </w:r>
    </w:p>
    <w:tbl>
      <w:tblPr>
        <w:tblLayout w:type="fixed"/>
        <w:tblInd w:w="6860" w:type="dxa"/>
        <w:tblCellMar>
          <w:top w:w="0" w:type="dxa"/>
          <w:left w:w="0" w:type="dxa"/>
          <w:bottom w:w="0" w:type="dxa"/>
          <w:right w:w="0" w:type="dxa"/>
        </w:tblCellMar>
      </w:tblPr>
      <w:tr>
        <w:trPr>
          <w:trHeight w:val="199"/>
        </w:trPr>
        <w:tc>
          <w:tcPr>
            <w:tcW w:w="1420" w:type="dxa"/>
            <w:vAlign w:val="bottom"/>
          </w:tcPr>
          <w:p>
            <w:pPr>
              <w:spacing w:after="0" w:line="199" w:lineRule="exact"/>
              <w:rPr>
                <w:sz w:val="20"/>
                <w:szCs w:val="20"/>
                <w:color w:val="auto"/>
              </w:rPr>
            </w:pPr>
            <w:r>
              <w:rPr>
                <w:rFonts w:ascii="Arial" w:cs="Arial" w:eastAsia="Arial" w:hAnsi="Arial"/>
                <w:sz w:val="18"/>
                <w:szCs w:val="18"/>
                <w:color w:val="0000FF"/>
                <w:w w:val="89"/>
              </w:rPr>
              <w:t>/s/ Andrew Perlman</w:t>
            </w:r>
          </w:p>
        </w:tc>
        <w:tc>
          <w:tcPr>
            <w:tcW w:w="700" w:type="dxa"/>
            <w:vAlign w:val="bottom"/>
          </w:tcPr>
          <w:p>
            <w:pPr>
              <w:spacing w:after="0"/>
              <w:rPr>
                <w:sz w:val="17"/>
                <w:szCs w:val="17"/>
                <w:color w:val="auto"/>
              </w:rPr>
            </w:pPr>
          </w:p>
        </w:tc>
        <w:tc>
          <w:tcPr>
            <w:tcW w:w="98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6"/>
              </w:rPr>
              <w:t>06/21/2010</w:t>
            </w:r>
          </w:p>
        </w:tc>
      </w:tr>
      <w:tr>
        <w:trPr>
          <w:trHeight w:val="20"/>
        </w:trPr>
        <w:tc>
          <w:tcPr>
            <w:tcW w:w="14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93066" TargetMode="External"/><Relationship Id="rId12"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2019-12-17T14:50:04Z</dcterms:created>
  <dcterms:modified xsi:type="dcterms:W3CDTF">2019-12-17T14:50:04Z</dcterms:modified>
</cp:coreProperties>
</file>