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2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8"/>
        </w:trPr>
        <w:tc>
          <w:tcPr>
            <w:tcW w:w="5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39"/>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780 Third Avenue, 15 Floor, 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44 W. 28th Street, New York, New York 10001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NYSE MKT</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Warrants to purchase Common Stock</w:t>
            </w:r>
          </w:p>
        </w:tc>
        <w:tc>
          <w:tcPr>
            <w:tcW w:w="5600" w:type="dxa"/>
            <w:vAlign w:val="bottom"/>
          </w:tcPr>
          <w:p>
            <w:pPr>
              <w:jc w:val="center"/>
              <w:spacing w:after="0"/>
              <w:rPr>
                <w:sz w:val="20"/>
                <w:szCs w:val="20"/>
                <w:color w:val="auto"/>
              </w:rPr>
            </w:pPr>
            <w:r>
              <w:rPr>
                <w:rFonts w:ascii="Arial" w:cs="Arial" w:eastAsia="Arial" w:hAnsi="Arial"/>
                <w:sz w:val="18"/>
                <w:szCs w:val="18"/>
                <w:color w:val="auto"/>
                <w:w w:val="99"/>
              </w:rPr>
              <w:t>NYSE MKT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59"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4"/>
          <w:szCs w:val="24"/>
          <w:color w:val="auto"/>
        </w:rPr>
      </w:pPr>
    </w:p>
    <w:p>
      <w:pPr>
        <w:sectPr>
          <w:pgSz w:w="11900" w:h="16838" w:orient="portrait"/>
          <w:cols w:equalWidth="0" w:num="4">
            <w:col w:w="2160" w:space="720"/>
            <w:col w:w="4400" w:space="720"/>
            <w:col w:w="2140" w:space="720"/>
            <w:col w:w="560"/>
          </w:cols>
          <w:pgMar w:left="240" w:top="45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S</w:t>
      </w:r>
    </w:p>
    <w:p>
      <w:pPr>
        <w:spacing w:after="0" w:line="222" w:lineRule="exact"/>
        <w:rPr>
          <w:sz w:val="24"/>
          <w:szCs w:val="24"/>
          <w:color w:val="auto"/>
        </w:rPr>
      </w:pPr>
    </w:p>
    <w:p>
      <w:pPr>
        <w:sectPr>
          <w:pgSz w:w="11900" w:h="16838" w:orient="portrait"/>
          <w:cols w:equalWidth="0" w:num="5">
            <w:col w:w="2160" w:space="720"/>
            <w:col w:w="160" w:space="80"/>
            <w:col w:w="4160" w:space="720"/>
            <w:col w:w="2140" w:space="720"/>
            <w:col w:w="560"/>
          </w:cols>
          <w:pgMar w:left="240" w:top="459" w:right="23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20" w:space="180"/>
            <w:col w:w="2420"/>
          </w:cols>
          <w:pgMar w:left="240" w:top="459"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As of August 14, 2012, 58,245,125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b w:val="1"/>
                <w:bCs w:val="1"/>
                <w:color w:val="auto"/>
              </w:rPr>
              <w:t>VRINGO,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36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360"/>
              <w:spacing w:after="0"/>
              <w:rPr>
                <w:sz w:val="20"/>
                <w:szCs w:val="20"/>
                <w:color w:val="auto"/>
              </w:rPr>
            </w:pPr>
            <w:r>
              <w:rPr>
                <w:rFonts w:ascii="Arial" w:cs="Arial" w:eastAsia="Arial" w:hAnsi="Arial"/>
                <w:sz w:val="18"/>
                <w:szCs w:val="18"/>
                <w:color w:val="auto"/>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36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Defaults Upon Senior Securities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360"/>
              <w:spacing w:after="0"/>
              <w:rPr>
                <w:sz w:val="20"/>
                <w:szCs w:val="20"/>
                <w:color w:val="auto"/>
              </w:rPr>
            </w:pPr>
            <w:r>
              <w:rPr>
                <w:rFonts w:ascii="Arial" w:cs="Arial" w:eastAsia="Arial" w:hAnsi="Arial"/>
                <w:sz w:val="18"/>
                <w:szCs w:val="18"/>
                <w:color w:val="auto"/>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360"/>
              <w:spacing w:after="0"/>
              <w:rPr>
                <w:sz w:val="20"/>
                <w:szCs w:val="20"/>
                <w:color w:val="auto"/>
              </w:rPr>
            </w:pPr>
            <w:r>
              <w:rPr>
                <w:rFonts w:ascii="Arial" w:cs="Arial" w:eastAsia="Arial" w:hAnsi="Arial"/>
                <w:sz w:val="18"/>
                <w:szCs w:val="18"/>
                <w:color w:val="auto"/>
              </w:rPr>
              <w:t>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20" w:type="dxa"/>
            <w:vAlign w:val="bottom"/>
          </w:tcPr>
          <w:p>
            <w:pPr>
              <w:jc w:val="center"/>
              <w:ind w:left="2290"/>
              <w:spacing w:after="0"/>
              <w:rPr>
                <w:sz w:val="20"/>
                <w:szCs w:val="20"/>
                <w:color w:val="auto"/>
              </w:rPr>
            </w:pPr>
            <w:r>
              <w:rPr>
                <w:rFonts w:ascii="Arial" w:cs="Arial" w:eastAsia="Arial" w:hAnsi="Arial"/>
                <w:sz w:val="18"/>
                <w:szCs w:val="18"/>
                <w:b w:val="1"/>
                <w:bCs w:val="1"/>
                <w:color w:val="auto"/>
              </w:rPr>
              <w:t>Part I — FINANCIAL INFORMATION</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20" w:type="dxa"/>
            <w:vAlign w:val="bottom"/>
          </w:tcPr>
          <w:p>
            <w:pPr>
              <w:jc w:val="center"/>
              <w:ind w:left="2290"/>
              <w:spacing w:after="0"/>
              <w:rPr>
                <w:sz w:val="20"/>
                <w:szCs w:val="20"/>
                <w:color w:val="auto"/>
              </w:rPr>
            </w:pPr>
            <w:r>
              <w:rPr>
                <w:rFonts w:ascii="Arial" w:cs="Arial" w:eastAsia="Arial" w:hAnsi="Arial"/>
                <w:sz w:val="18"/>
                <w:szCs w:val="18"/>
                <w:b w:val="1"/>
                <w:bCs w:val="1"/>
                <w:color w:val="auto"/>
                <w:w w:val="90"/>
              </w:rPr>
              <w:t>Vringo, Inc. and Subsidiaries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2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(a Development Stage Company)</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CONSOLIDATED BALANCE SHEETS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20" w:type="dxa"/>
            <w:vAlign w:val="bottom"/>
          </w:tcPr>
          <w:p>
            <w:pPr>
              <w:jc w:val="center"/>
              <w:ind w:left="22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Borders>
              <w:bottom w:val="single" w:sz="8" w:color="CCFFCC"/>
            </w:tcBorders>
          </w:tcPr>
          <w:p>
            <w:pPr>
              <w:spacing w:after="0"/>
              <w:rPr>
                <w:sz w:val="18"/>
                <w:szCs w:val="18"/>
                <w:color w:val="auto"/>
              </w:rPr>
            </w:pPr>
          </w:p>
        </w:tc>
        <w:tc>
          <w:tcPr>
            <w:tcW w:w="7220" w:type="dxa"/>
            <w:vAlign w:val="bottom"/>
            <w:tcBorders>
              <w:bottom w:val="single" w:sz="8" w:color="CCFFCC"/>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Borders>
              <w:bottom w:val="single" w:sz="8" w:color="CCFFCC"/>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3,374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126</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7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7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Long-term deposit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tcBorders>
              <w:top w:val="single" w:sz="8" w:color="CCFFCC"/>
            </w:tcBorders>
            <w:gridSpan w:val="2"/>
            <w:shd w:val="clear" w:color="auto" w:fill="CCFFCC"/>
          </w:tcPr>
          <w:p>
            <w:pPr>
              <w:spacing w:after="0" w:line="182" w:lineRule="exact"/>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 at cost, net of $485 and $454 accumulated depreciation and</w:t>
            </w:r>
          </w:p>
        </w:tc>
        <w:tc>
          <w:tcPr>
            <w:tcW w:w="1480" w:type="dxa"/>
            <w:vAlign w:val="bottom"/>
            <w:tcBorders>
              <w:top w:val="single" w:sz="8" w:color="auto"/>
            </w:tcBorders>
            <w:shd w:val="clear" w:color="auto" w:fill="CCFFCC"/>
          </w:tcPr>
          <w:p>
            <w:pPr>
              <w:spacing w:after="0"/>
              <w:rPr>
                <w:sz w:val="15"/>
                <w:szCs w:val="15"/>
                <w:color w:val="auto"/>
              </w:rPr>
            </w:pPr>
          </w:p>
        </w:tc>
        <w:tc>
          <w:tcPr>
            <w:tcW w:w="220" w:type="dxa"/>
            <w:vAlign w:val="bottom"/>
            <w:tcBorders>
              <w:top w:val="single" w:sz="8" w:color="CCFFCC"/>
            </w:tcBorders>
            <w:shd w:val="clear" w:color="auto" w:fill="CCFFCC"/>
          </w:tcPr>
          <w:p>
            <w:pPr>
              <w:spacing w:after="0"/>
              <w:rPr>
                <w:sz w:val="15"/>
                <w:szCs w:val="15"/>
                <w:color w:val="auto"/>
              </w:rPr>
            </w:pPr>
          </w:p>
        </w:tc>
        <w:tc>
          <w:tcPr>
            <w:tcW w:w="148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amortization, as of June 30, 2012 and December 31, 2011, respectively</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121</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Deferred tax assets—long-term</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84"/>
              </w:rPr>
              <w:t>Total assets</w:t>
            </w:r>
          </w:p>
        </w:tc>
        <w:tc>
          <w:tcPr>
            <w:tcW w:w="722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3,735</w:t>
            </w:r>
          </w:p>
        </w:tc>
        <w:tc>
          <w:tcPr>
            <w:tcW w:w="22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Note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U.S.$</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FFCC"/>
            </w:tcBorders>
          </w:tcPr>
          <w:p>
            <w:pPr>
              <w:spacing w:after="0"/>
              <w:rPr>
                <w:sz w:val="18"/>
                <w:szCs w:val="18"/>
                <w:color w:val="auto"/>
              </w:rPr>
            </w:pPr>
          </w:p>
        </w:tc>
        <w:tc>
          <w:tcPr>
            <w:tcW w:w="1160" w:type="dxa"/>
            <w:vAlign w:val="bottom"/>
            <w:tcBorders>
              <w:top w:val="single" w:sz="8" w:color="auto"/>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tcBorders>
              <w:bottom w:val="single" w:sz="8" w:color="CCFFC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Deferred short-term tax liabilities,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953</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Accrued short-term severance pay</w:t>
            </w: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155</w:t>
            </w:r>
          </w:p>
        </w:tc>
        <w:tc>
          <w:tcPr>
            <w:tcW w:w="1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1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1,552</w:t>
            </w:r>
          </w:p>
        </w:tc>
        <w:tc>
          <w:tcPr>
            <w:tcW w:w="2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severance pay</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3,555</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2,172</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long-term liabilities</w:t>
            </w:r>
          </w:p>
        </w:tc>
        <w:tc>
          <w:tcPr>
            <w:tcW w:w="11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3,555</w:t>
            </w:r>
          </w:p>
        </w:tc>
        <w:tc>
          <w:tcPr>
            <w:tcW w:w="2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Preferred stock, $0.01 par value per share; 5,000,000 authorized; none issued and</w:t>
            </w: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70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outstanding as of June 30, 2012 and December 31, 2011</w:t>
            </w: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00" w:type="dxa"/>
            <w:vAlign w:val="bottom"/>
            <w:gridSpan w:val="2"/>
            <w:vMerge w:val="continue"/>
            <w:shd w:val="clear" w:color="auto" w:fill="CCFFCC"/>
          </w:tcPr>
          <w:p>
            <w:pPr>
              <w:spacing w:after="0"/>
              <w:rPr>
                <w:sz w:val="20"/>
                <w:szCs w:val="20"/>
                <w:color w:val="auto"/>
              </w:rPr>
            </w:pPr>
          </w:p>
        </w:tc>
        <w:tc>
          <w:tcPr>
            <w:tcW w:w="1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2"/>
              </w:rPr>
              <w:t>Common stock, $0.01 par value per share 28,000,000 authorized; 15,051,964 and 9,954,516</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151</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issued and outstanding as of June 30, 2012 and December 31, 2011, respectively</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46,836</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36,281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(48,359)</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10"/>
        </w:trPr>
        <w:tc>
          <w:tcPr>
            <w:tcW w:w="6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(1,372</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Borders>
              <w:top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3,735</w:t>
            </w: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ind w:left="4620"/>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7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4"/>
              </w:rPr>
              <w:t>Three months ended June 30,</w:t>
            </w:r>
          </w:p>
        </w:tc>
        <w:tc>
          <w:tcPr>
            <w:tcW w:w="27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Six months ended June 30,</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to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FFCC"/>
            </w:tcBorders>
          </w:tcPr>
          <w:p>
            <w:pPr>
              <w:spacing w:after="0"/>
              <w:rPr>
                <w:sz w:val="18"/>
                <w:szCs w:val="18"/>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26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0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Borders>
              <w:bottom w:val="single" w:sz="8" w:color="CCFFC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1,155</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1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418</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460</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930</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979</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14,301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Marketing</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1,099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1,282</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690</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2,742</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1,355</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11,011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26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2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loss</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(1,971</w:t>
            </w:r>
          </w:p>
        </w:tc>
        <w:tc>
          <w:tcPr>
            <w:tcW w:w="26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(1,653</w:t>
            </w:r>
          </w:p>
        </w:tc>
        <w:tc>
          <w:tcPr>
            <w:tcW w:w="22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(4,627</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(3,336</w:t>
            </w:r>
          </w:p>
        </w:tc>
        <w:tc>
          <w:tcPr>
            <w:tcW w:w="22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(36,895</w:t>
            </w:r>
          </w:p>
        </w:tc>
        <w:tc>
          <w:tcPr>
            <w:tcW w:w="1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Non-operating expenses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Interest and amortization of debt discount expense</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(118)</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(227)</w:t>
            </w:r>
          </w:p>
        </w:tc>
        <w:tc>
          <w:tcPr>
            <w:tcW w:w="12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Gain (loss) on revaluation of warrants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(3,086)</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(663)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(3,497)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Issuance of preferential reload warrants</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(1,476)</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Issuance of non-preferential reload warrants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(1,091)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Gain on restructuring of venture loan</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963</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963</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Loss before taxes on income</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(5,086)</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(1,478)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(10,710)</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(2,569)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(48,137)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(103)</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w:t>
            </w:r>
          </w:p>
        </w:tc>
        <w:tc>
          <w:tcPr>
            <w:tcW w:w="12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(5,169)</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(1,504)</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(10,813)</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(2,613)</w:t>
            </w:r>
          </w:p>
        </w:tc>
        <w:tc>
          <w:tcPr>
            <w:tcW w:w="12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(48,359)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bottom w:val="single" w:sz="8" w:color="CCFFCC"/>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bottom w:val="single" w:sz="8" w:color="CCFFCC"/>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bottom w:val="single" w:sz="8" w:color="CCFFCC"/>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vMerge w:val="continue"/>
          </w:tcPr>
          <w:p>
            <w:pPr>
              <w:spacing w:after="0"/>
              <w:rPr>
                <w:sz w:val="20"/>
                <w:szCs w:val="20"/>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(0.36)</w:t>
            </w:r>
          </w:p>
        </w:tc>
        <w:tc>
          <w:tcPr>
            <w:tcW w:w="260" w:type="dxa"/>
            <w:vAlign w:val="bottom"/>
            <w:vMerge w:val="continue"/>
          </w:tcPr>
          <w:p>
            <w:pPr>
              <w:spacing w:after="0"/>
              <w:rPr>
                <w:sz w:val="20"/>
                <w:szCs w:val="20"/>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(0.26)</w:t>
            </w:r>
          </w:p>
        </w:tc>
        <w:tc>
          <w:tcPr>
            <w:tcW w:w="220" w:type="dxa"/>
            <w:vAlign w:val="bottom"/>
            <w:vMerge w:val="continue"/>
          </w:tcPr>
          <w:p>
            <w:pPr>
              <w:spacing w:after="0"/>
              <w:rPr>
                <w:sz w:val="20"/>
                <w:szCs w:val="20"/>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(0.81)</w:t>
            </w:r>
          </w:p>
        </w:tc>
        <w:tc>
          <w:tcPr>
            <w:tcW w:w="200" w:type="dxa"/>
            <w:vAlign w:val="bottom"/>
            <w:vMerge w:val="continue"/>
          </w:tcPr>
          <w:p>
            <w:pPr>
              <w:spacing w:after="0"/>
              <w:rPr>
                <w:sz w:val="20"/>
                <w:szCs w:val="20"/>
                <w:color w:val="auto"/>
              </w:rPr>
            </w:pPr>
          </w:p>
        </w:tc>
        <w:tc>
          <w:tcPr>
            <w:tcW w:w="1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(0.45)</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(17.54)</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FFCC"/>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basic</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spacing w:after="0"/>
              <w:rPr>
                <w:sz w:val="20"/>
                <w:szCs w:val="20"/>
                <w:color w:val="auto"/>
              </w:rPr>
            </w:pPr>
            <w:r>
              <w:rPr>
                <w:rFonts w:ascii="Arial" w:cs="Arial" w:eastAsia="Arial" w:hAnsi="Arial"/>
                <w:sz w:val="18"/>
                <w:szCs w:val="18"/>
                <w:color w:val="auto"/>
              </w:rPr>
              <w:t>and dilutive net loss per common share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14,361,100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5,845,738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13,407,668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5,784,337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2,756,647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8"/>
        <w:spacing w:after="0" w:line="277" w:lineRule="auto"/>
        <w:tabs>
          <w:tab w:leader="none" w:pos="58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recorded for the three and six months ending June 30, 2012 and 2011 and the cumulative period from inception include $0, $31, $20, $162 and $1,123, respectively, to related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Series 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accumulated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convertible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during the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preferred</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Common stock</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paid-in capital</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stage</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FFCC"/>
            </w:tcBorders>
          </w:tcPr>
          <w:p>
            <w:pPr>
              <w:spacing w:after="0"/>
              <w:rPr>
                <w:sz w:val="18"/>
                <w:szCs w:val="18"/>
                <w:color w:val="auto"/>
              </w:rPr>
            </w:pPr>
          </w:p>
        </w:tc>
      </w:tr>
      <w:tr>
        <w:trPr>
          <w:trHeight w:val="210"/>
        </w:trPr>
        <w:tc>
          <w:tcPr>
            <w:tcW w:w="4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2"/>
        </w:trPr>
        <w:tc>
          <w:tcPr>
            <w:tcW w:w="47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series A convertible preferred stock, net of</w:t>
            </w: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issuance costs of $33</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2,321</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2,321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 dividend</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(1,481)</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(1,481)</w:t>
            </w:r>
          </w:p>
        </w:tc>
      </w:tr>
      <w:tr>
        <w:trPr>
          <w:trHeight w:val="210"/>
        </w:trPr>
        <w:tc>
          <w:tcPr>
            <w:tcW w:w="47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Balance as of December 31, 2006 (Audited)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2,288</w:t>
            </w:r>
          </w:p>
        </w:tc>
        <w:tc>
          <w:tcPr>
            <w:tcW w:w="2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w:t>
            </w:r>
          </w:p>
        </w:tc>
        <w:tc>
          <w:tcPr>
            <w:tcW w:w="100" w:type="dxa"/>
            <w:vAlign w:val="bottom"/>
            <w:tcBorders>
              <w:bottom w:val="single" w:sz="8" w:color="CCFFCC"/>
            </w:tcBorders>
          </w:tcPr>
          <w:p>
            <w:pPr>
              <w:spacing w:after="0"/>
              <w:rPr>
                <w:sz w:val="18"/>
                <w:szCs w:val="18"/>
                <w:color w:val="auto"/>
              </w:rPr>
            </w:pPr>
          </w:p>
        </w:tc>
      </w:tr>
      <w:tr>
        <w:trPr>
          <w:trHeight w:val="182"/>
        </w:trPr>
        <w:tc>
          <w:tcPr>
            <w:tcW w:w="470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w w:val="94"/>
              </w:rPr>
              <w:t>Issuance of common stock as part of conversion of convertible</w:t>
            </w:r>
          </w:p>
        </w:tc>
        <w:tc>
          <w:tcPr>
            <w:tcW w:w="11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loan</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Discounts to temporary equity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(5,163)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(5,163)</w:t>
            </w:r>
          </w:p>
        </w:tc>
      </w:tr>
      <w:tr>
        <w:trPr>
          <w:trHeight w:val="210"/>
        </w:trPr>
        <w:tc>
          <w:tcPr>
            <w:tcW w:w="4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2007 (Audited)</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2,578</w:t>
            </w: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(6,644</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(4,020</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Issuance of warrants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(7,332)</w:t>
            </w:r>
          </w:p>
        </w:tc>
      </w:tr>
      <w:tr>
        <w:trPr>
          <w:trHeight w:val="210"/>
        </w:trPr>
        <w:tc>
          <w:tcPr>
            <w:tcW w:w="4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2008 (Audited)</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2,960</w:t>
            </w: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(13,976</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(10,970</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Issuance of warrants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Loan modification</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178</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stock options, net of forfeiture—non 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(6,149)</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(6,149)</w:t>
            </w:r>
          </w:p>
        </w:tc>
      </w:tr>
      <w:tr>
        <w:trPr>
          <w:trHeight w:val="20"/>
        </w:trPr>
        <w:tc>
          <w:tcPr>
            <w:tcW w:w="4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Series 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accumulated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convertible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during the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preferred</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Common stock</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paid-in capital</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stage</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FFCC"/>
            </w:tcBorders>
          </w:tcPr>
          <w:p>
            <w:pPr>
              <w:spacing w:after="0"/>
              <w:rPr>
                <w:sz w:val="18"/>
                <w:szCs w:val="18"/>
                <w:color w:val="auto"/>
              </w:rPr>
            </w:pPr>
          </w:p>
        </w:tc>
      </w:tr>
      <w:tr>
        <w:trPr>
          <w:trHeight w:val="210"/>
        </w:trPr>
        <w:tc>
          <w:tcPr>
            <w:tcW w:w="4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2009 (Audited)</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3,701</w:t>
            </w:r>
          </w:p>
        </w:tc>
        <w:tc>
          <w:tcPr>
            <w:tcW w:w="20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(20,125</w:t>
            </w:r>
          </w:p>
        </w:tc>
        <w:tc>
          <w:tcPr>
            <w:tcW w:w="220" w:type="dxa"/>
            <w:vAlign w:val="bottom"/>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(16,378</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w w:val="99"/>
              </w:rPr>
              <w:t>Issuance of common stock, net of issuance costs of $1,768</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9,239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18"/>
                <w:szCs w:val="18"/>
                <w:color w:val="auto"/>
              </w:rPr>
            </w:pPr>
          </w:p>
        </w:tc>
      </w:tr>
      <w:tr>
        <w:trPr>
          <w:trHeight w:val="202"/>
        </w:trPr>
        <w:tc>
          <w:tcPr>
            <w:tcW w:w="47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Exchange of series A convertible preferred stock for common</w:t>
            </w: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stock</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Conversion of bridge notes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2,536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2,545</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883</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Exercise of warrants to charity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Grants of warrants to lead investors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1,342</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warrants to charity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Exercise of warrants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Stock dividend</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Reverse stock split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2"/>
        </w:trPr>
        <w:tc>
          <w:tcPr>
            <w:tcW w:w="47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Exchange of series B convertible preferred stock for common</w:t>
            </w: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stock</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11,925</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11,971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Cashless exercise of warrants to charity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(9,942)</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(9,942)</w:t>
            </w:r>
          </w:p>
        </w:tc>
      </w:tr>
      <w:tr>
        <w:trPr>
          <w:trHeight w:val="210"/>
        </w:trPr>
        <w:tc>
          <w:tcPr>
            <w:tcW w:w="47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Balance as of December 31, 2010 (Audited)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29,774</w:t>
            </w:r>
          </w:p>
        </w:tc>
        <w:tc>
          <w:tcPr>
            <w:tcW w:w="2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(30,067</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FFC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Conversion of convertible notes and accrued interest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2,484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2,511</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net of issuance costs of $65</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777</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785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Issuance of shares to a consultant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r>
      <w:tr>
        <w:trPr>
          <w:trHeight w:val="202"/>
        </w:trPr>
        <w:tc>
          <w:tcPr>
            <w:tcW w:w="47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Issuance of shares in connection with restructuring of venture</w:t>
            </w: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loan</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warrants to charity</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Beneficial conversion feature recorded in connection with</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convertible notes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1,269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1,269</w:t>
            </w: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year</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(7,479)</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(7,479)</w:t>
            </w:r>
          </w:p>
        </w:tc>
      </w:tr>
      <w:tr>
        <w:trPr>
          <w:trHeight w:val="210"/>
        </w:trPr>
        <w:tc>
          <w:tcPr>
            <w:tcW w:w="47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Balance as of December 31, 2011 (Audited)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36,281</w:t>
            </w:r>
          </w:p>
        </w:tc>
        <w:tc>
          <w:tcPr>
            <w:tcW w:w="2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(37,546</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1,017</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1,017</w:t>
            </w:r>
          </w:p>
        </w:tc>
        <w:tc>
          <w:tcPr>
            <w:tcW w:w="100" w:type="dxa"/>
            <w:vAlign w:val="bottom"/>
            <w:shd w:val="clear" w:color="auto" w:fill="CCFFC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180</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8,236</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8,283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Issuance of non-preferential reload warrants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1,091</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35</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(10,813)</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(10,813)</w:t>
            </w:r>
          </w:p>
        </w:tc>
      </w:tr>
      <w:tr>
        <w:trPr>
          <w:trHeight w:val="223"/>
        </w:trPr>
        <w:tc>
          <w:tcPr>
            <w:tcW w:w="47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30, 2012 (Unaudited)</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151</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46,836</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(48,359</w:t>
            </w:r>
          </w:p>
        </w:tc>
        <w:tc>
          <w:tcPr>
            <w:tcW w:w="220" w:type="dxa"/>
            <w:vAlign w:val="bottom"/>
            <w:tcBorders>
              <w:top w:val="single" w:sz="8" w:color="CCFFCC"/>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(1,372</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4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Cumulative</w:t>
            </w:r>
          </w:p>
        </w:tc>
      </w:tr>
      <w:tr>
        <w:trPr>
          <w:trHeight w:val="230"/>
        </w:trPr>
        <w:tc>
          <w:tcPr>
            <w:tcW w:w="7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from inception</w:t>
            </w:r>
          </w:p>
        </w:tc>
      </w:tr>
      <w:tr>
        <w:trPr>
          <w:trHeight w:val="234"/>
        </w:trPr>
        <w:tc>
          <w:tcPr>
            <w:tcW w:w="7440" w:type="dxa"/>
            <w:vAlign w:val="bottom"/>
          </w:tcPr>
          <w:p>
            <w:pPr>
              <w:spacing w:after="0"/>
              <w:rPr>
                <w:sz w:val="20"/>
                <w:szCs w:val="20"/>
                <w:color w:val="auto"/>
              </w:rPr>
            </w:pPr>
          </w:p>
        </w:tc>
        <w:tc>
          <w:tcPr>
            <w:tcW w:w="27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Six months ended June 30,</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to June 30,</w:t>
            </w:r>
          </w:p>
        </w:tc>
      </w:tr>
      <w:tr>
        <w:trPr>
          <w:trHeight w:val="223"/>
        </w:trPr>
        <w:tc>
          <w:tcPr>
            <w:tcW w:w="74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7440" w:type="dxa"/>
            <w:vAlign w:val="bottom"/>
            <w:tcBorders>
              <w:bottom w:val="single" w:sz="8" w:color="CCFFCC"/>
            </w:tcBorders>
          </w:tcPr>
          <w:p>
            <w:pPr>
              <w:spacing w:after="0"/>
              <w:rPr>
                <w:sz w:val="18"/>
                <w:szCs w:val="18"/>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Borders>
              <w:bottom w:val="single" w:sz="8" w:color="CCFFCC"/>
            </w:tcBorders>
          </w:tcPr>
          <w:p>
            <w:pPr>
              <w:spacing w:after="0"/>
              <w:rPr>
                <w:sz w:val="18"/>
                <w:szCs w:val="18"/>
                <w:color w:val="auto"/>
              </w:rPr>
            </w:pPr>
          </w:p>
        </w:tc>
      </w:tr>
      <w:tr>
        <w:trPr>
          <w:trHeight w:val="210"/>
        </w:trPr>
        <w:tc>
          <w:tcPr>
            <w:tcW w:w="7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(10,813)</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(2,613)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(48,359)</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31</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accrued severance pay</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(179)</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883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5,659</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 expense</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2,855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and amortization of discount in connection with convertible notes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1,280</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Issuance of non-preferential reload warrants</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1,091</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1,091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Issuance of preferential reload warrants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1,476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1,476</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fair value of warrants</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3,497</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2,947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Gain on restructuring of venture loan</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Loss on extinguishment of debt</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Exchange rate (gains) losses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Decrease (increase) in receivables, prepaid expenses and other current assets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Increase in payables and accruals</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649</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1,282</w:t>
            </w:r>
          </w:p>
        </w:tc>
      </w:tr>
      <w:tr>
        <w:trPr>
          <w:trHeight w:val="210"/>
        </w:trPr>
        <w:tc>
          <w:tcPr>
            <w:tcW w:w="74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(2,531</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(31,834</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Decrease in lease deposits</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Investment in restricted short-term deposits and cash equivalents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(1,031)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10"/>
        </w:trPr>
        <w:tc>
          <w:tcPr>
            <w:tcW w:w="7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(1,059</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Six months ended June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 June 30,</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FFCC"/>
            </w:tcBorders>
          </w:tcPr>
          <w:p>
            <w:pPr>
              <w:spacing w:after="0"/>
              <w:rPr>
                <w:sz w:val="18"/>
                <w:szCs w:val="18"/>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Receipt of a venture loan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Repayment on account of venture loan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Receipt of convertible loans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convertible preferred stock</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Exercise of common stock options and warrants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4,728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4,728</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35,888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2,184</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5,407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3,374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Interest paid</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taxes paid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Extinguishment of debt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Allocation of fair value of loan warrants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Allocation of fair value of conversion warrants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bridge notes into common stock</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in consideration of restructuring of venture loan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Beneficial conversion feature recorded in connection with convertible notes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convertible notes into common stock</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Arial" w:cs="Arial" w:eastAsia="Arial" w:hAnsi="Arial"/>
                <w:sz w:val="18"/>
                <w:szCs w:val="18"/>
                <w:color w:val="auto"/>
              </w:rPr>
              <w:t>Conversion of derivative liabilities into common stock</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3,590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Vringo, Inc. (a Development Stage Company) (the "Parent") was incorporated in Delaware on January 9, 2006 and commenced operations during the first quarter of 2006. In March 2006, the Parent formed a wholly-owned subsidiary, Vringo (Israel) Ltd., primarily for the purpose of providing research and development services, as detailed in the intercompany service agreement. On March 13, 2012, the Company entered into a Merger Agreement (“Merger Agreement”) with Innovate/Protect, Inc. (“I/P”). For the purpose of the Merger Agreement, the Company formed a wholly owned subsidiary VIP Merger Sub, Inc. (“Merger Sub”), incorporated in Delaware on March 8, 2012. Merger Sub has not carried on any activities to date, except for activities incidental to its formation and activities undertaken in connection with the transactions contemplated by the Merger Agreement. On July 19, 2012, pursuant to the Merger Agreement, I/P merged with and into Merger Sub, with Merger Sub being the surviving corporation through an exchange of capital stock of I/P for capital stock of the Company (the “Merger”). Merger Sub changed its name to Innovate/Protect, Inc. I/P was a holding company, incorporated under the laws of Delaware on June 8, 2011, as Labrador Search Corporation, which holds two wholly-owned subsidiaries: I/P Engine Inc. (“I/P Engine”), formed under the laws of Virginia on June 14, 2011, as Smart Search Labs Inc., which operates for the purpose of realizing economic benefits, and I/P Labs (“I/P Labs”), incorporated in Delaware on June 8, 2011 as Scottish Terrier Capital Inc., which operates to acquire and develop other patented technologies or intellectual property. Except as described in Note 8 “Subsequent Events” or otherwise indicated, the accompanying unaudited condensed financial statements do not give effect to the Merger. The Merger will be accounted for as a “reverse acquisition”. See also Note 8. The Parent and its two Subsidiaries are collectively referred to herein as the "Company".</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Merger, the Company has been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 Pursuant to the consummation of the Merger Agreement, the combined company will also pursue the realization of economic benefits of intellectual property, and will operate to acquire and develop other patented technologies and intellectual property.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nor its ability to ensure the success of its marketing. The continuation of the stages of development and the realization of assets related to the planned activities will depend on future events, including future financings, timing and amount of any recovery, if any, resulting from patent litigation, as well as from achieving operational profitability.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commissions and other offering costs. Immediately prior to the closing of the IPO, the Company's outstanding shares of preferred stock were exchanged for shares of common stock and the Company effected a 1 for 6 reverse stock split of its common stock. The Company issued a stock dividend to holders of the preferred stock prior to the split and exchange. Pursuant to the IPO,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Despite the foregoing, there is still substantial doubt as to the ability of the Company to continue operating as a "going concern". The Company has incurred significant losses since its inception, and expects that it will continue to operate at a net loss in the foreseeable future. For the three and six month periods ended June 30, 2012 and for the cumulative period from inception (January 9, 2006) until June 30, 2012, the Company incurred net losses of $5.2 million, $10.8 million and $48.4 million, respectively. Based on current operating plans, the current resources of the combined company, after taking into account the $31.2 million received in a private registered direct offering, offset by $22 million paid for the acquisition of patent assets, as described in Note 8, are expected to be sufficient for at least the next twelve months from the balance sheet date. The Company may need to raise additional funds in connection with any acquisition of patent portfolios or other intellectual property assets that it may pursue. Moreover, a significant portion of the Company’s issued and outstanding warrants are currently “in the money” and the shares of common stock underlying such warrants will become freely tradable upon exercise after registration, with the potential of up to $31 million of incoming funds. There can be no assurance, however, that any such opportunities will materialize, moreover, any such financing would likely be dilutive to the Company’s current stockholders.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1—General—(cont'd)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2012, approximately $405 thousand of the Company's net assets were located outside of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Parent and the two fully-owned Subsidiaries are presented in accordance with generally accepted accounting principles in the United States of America ("U.S. GAAP"). All significant intercompany balances and transactions have been eliminated in consolidation.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These financial statements should be read in conjunction with the consolidated financial statements and related notes for the year ended December 31, 2011. The results of operations for the three and six month period ended June 30, 2012, are not necessarily indicative of the results that may be expected for the entire fiscal year or for any other interim period. For subsequent to the balance sheet date changes related to the Merger see Note 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currency of the primary economic environment in which the operations of the Company are conducted is the U.S. dollar ("dollar" or “U.S.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the dollar has been determined to be the Company's functional currency.</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At June 30, 2012, the exchange rate was U.S. $1 = NIS 3.923 (December 31, 2011—U.S. $1 = NIS 3.821). The average exchange rate for the three and six months ended June 30, 2012 was U.S. $1 = NIS 3.824 and U.S. $1 = NIS 3.782, respectively (three and six months ended June 30, 2011— U.S. $1 = NIS 3.441 and US $1 = NIS 3.521,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Accounts receivables and allowance for doubtful accounts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June 30, 2012, no significant write-offs, or provision for doubtful accounts was created. The Company does not have any significant off-balance-sheet credit exposure related to its customers.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 Impact of recently implemented accounting standards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2012 did not have an impact on the Company’s financial position, results of operations, or cash flows.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2012 did not have an impact on the Company’s financial position, results of operations, or cash flows, because the Company does not have elements of other comprehensive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Impact of recently issued accounting standards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The Company does not expect the adoption of ASU 2011-11 in the first quarter of 2013 to have an impact on its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Net loss per share data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75"/>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95"/>
              <w:spacing w:after="0"/>
              <w:rPr>
                <w:sz w:val="20"/>
                <w:szCs w:val="20"/>
                <w:color w:val="auto"/>
              </w:rPr>
            </w:pPr>
            <w:r>
              <w:rPr>
                <w:rFonts w:ascii="Arial" w:cs="Arial" w:eastAsia="Arial" w:hAnsi="Arial"/>
                <w:sz w:val="14"/>
                <w:szCs w:val="14"/>
                <w:b w:val="1"/>
                <w:bCs w:val="1"/>
                <w:color w:val="auto"/>
                <w:w w:val="92"/>
              </w:rPr>
              <w:t>from inception</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52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June 30,</w:t>
            </w:r>
          </w:p>
        </w:tc>
        <w:tc>
          <w:tcPr>
            <w:tcW w:w="240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gridSpan w:val="2"/>
          </w:tcPr>
          <w:p>
            <w:pPr>
              <w:jc w:val="center"/>
              <w:ind w:right="95"/>
              <w:spacing w:after="0"/>
              <w:rPr>
                <w:sz w:val="20"/>
                <w:szCs w:val="20"/>
                <w:color w:val="auto"/>
              </w:rPr>
            </w:pPr>
            <w:r>
              <w:rPr>
                <w:rFonts w:ascii="Arial" w:cs="Arial" w:eastAsia="Arial" w:hAnsi="Arial"/>
                <w:sz w:val="14"/>
                <w:szCs w:val="14"/>
                <w:b w:val="1"/>
                <w:bCs w:val="1"/>
                <w:color w:val="auto"/>
                <w:w w:val="90"/>
              </w:rPr>
              <w:t>to June 30,</w:t>
            </w:r>
          </w:p>
        </w:tc>
        <w:tc>
          <w:tcPr>
            <w:tcW w:w="0" w:type="dxa"/>
            <w:vAlign w:val="bottom"/>
          </w:tcPr>
          <w:p>
            <w:pPr>
              <w:spacing w:after="0"/>
              <w:rPr>
                <w:sz w:val="1"/>
                <w:szCs w:val="1"/>
                <w:color w:val="auto"/>
              </w:rPr>
            </w:pPr>
          </w:p>
        </w:tc>
      </w:tr>
      <w:tr>
        <w:trPr>
          <w:trHeight w:val="156"/>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Numerator:</w:t>
            </w:r>
          </w:p>
        </w:tc>
        <w:tc>
          <w:tcPr>
            <w:tcW w:w="10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gridSpan w:val="6"/>
          </w:tcPr>
          <w:p>
            <w:pPr>
              <w:jc w:val="right"/>
              <w:ind w:right="459"/>
              <w:spacing w:after="0" w:line="142" w:lineRule="exact"/>
              <w:rPr>
                <w:sz w:val="20"/>
                <w:szCs w:val="20"/>
                <w:color w:val="auto"/>
              </w:rPr>
            </w:pPr>
            <w:r>
              <w:rPr>
                <w:rFonts w:ascii="Arial" w:cs="Arial" w:eastAsia="Arial" w:hAnsi="Arial"/>
                <w:sz w:val="14"/>
                <w:szCs w:val="14"/>
                <w:b w:val="1"/>
                <w:bCs w:val="1"/>
                <w:color w:val="auto"/>
                <w:w w:val="98"/>
              </w:rPr>
              <w:t>(in thousands, except share and per share data)</w:t>
            </w:r>
          </w:p>
        </w:tc>
        <w:tc>
          <w:tcPr>
            <w:tcW w:w="10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loss attributable to common stock shares (basic and diluted)</w:t>
            </w:r>
          </w:p>
        </w:tc>
        <w:tc>
          <w:tcPr>
            <w:tcW w:w="1260" w:type="dxa"/>
            <w:vAlign w:val="bottom"/>
            <w:gridSpan w:val="2"/>
            <w:shd w:val="clear" w:color="auto" w:fill="CCFFCC"/>
          </w:tcPr>
          <w:p>
            <w:pPr>
              <w:jc w:val="right"/>
              <w:ind w:right="139"/>
              <w:spacing w:after="0" w:line="149" w:lineRule="exact"/>
              <w:rPr>
                <w:sz w:val="20"/>
                <w:szCs w:val="20"/>
                <w:color w:val="auto"/>
              </w:rPr>
            </w:pPr>
            <w:r>
              <w:rPr>
                <w:rFonts w:ascii="Arial" w:cs="Arial" w:eastAsia="Arial" w:hAnsi="Arial"/>
                <w:sz w:val="14"/>
                <w:szCs w:val="14"/>
                <w:color w:val="auto"/>
              </w:rPr>
              <w:t>(5,169)</w:t>
            </w:r>
          </w:p>
        </w:tc>
        <w:tc>
          <w:tcPr>
            <w:tcW w:w="1260" w:type="dxa"/>
            <w:vAlign w:val="bottom"/>
            <w:gridSpan w:val="2"/>
            <w:shd w:val="clear" w:color="auto" w:fill="CCFFCC"/>
          </w:tcPr>
          <w:p>
            <w:pPr>
              <w:jc w:val="right"/>
              <w:ind w:right="139"/>
              <w:spacing w:after="0" w:line="149" w:lineRule="exact"/>
              <w:rPr>
                <w:sz w:val="20"/>
                <w:szCs w:val="20"/>
                <w:color w:val="auto"/>
              </w:rPr>
            </w:pPr>
            <w:r>
              <w:rPr>
                <w:rFonts w:ascii="Arial" w:cs="Arial" w:eastAsia="Arial" w:hAnsi="Arial"/>
                <w:sz w:val="14"/>
                <w:szCs w:val="14"/>
                <w:color w:val="auto"/>
              </w:rPr>
              <w:t>(1,504)</w:t>
            </w:r>
          </w:p>
        </w:tc>
        <w:tc>
          <w:tcPr>
            <w:tcW w:w="120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(10,813)</w:t>
            </w:r>
          </w:p>
        </w:tc>
        <w:tc>
          <w:tcPr>
            <w:tcW w:w="120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(2,613)</w:t>
            </w:r>
          </w:p>
        </w:tc>
        <w:tc>
          <w:tcPr>
            <w:tcW w:w="1120" w:type="dxa"/>
            <w:vAlign w:val="bottom"/>
            <w:gridSpan w:val="2"/>
            <w:shd w:val="clear" w:color="auto" w:fill="CCFFCC"/>
          </w:tcPr>
          <w:p>
            <w:pPr>
              <w:jc w:val="right"/>
              <w:ind w:right="55"/>
              <w:spacing w:after="0" w:line="149" w:lineRule="exact"/>
              <w:rPr>
                <w:sz w:val="20"/>
                <w:szCs w:val="20"/>
                <w:color w:val="auto"/>
              </w:rPr>
            </w:pPr>
            <w:r>
              <w:rPr>
                <w:rFonts w:ascii="Arial" w:cs="Arial" w:eastAsia="Arial" w:hAnsi="Arial"/>
                <w:sz w:val="14"/>
                <w:szCs w:val="14"/>
                <w:color w:val="auto"/>
              </w:rPr>
              <w:t>(48,359)</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Denominator: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5"/>
              </w:rPr>
              <w:t>Weighted average number of common stock shares outstanding during</w:t>
            </w:r>
          </w:p>
        </w:tc>
        <w:tc>
          <w:tcPr>
            <w:tcW w:w="10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4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shd w:val="clear" w:color="auto" w:fill="CCFFCC"/>
          </w:tcPr>
          <w:p>
            <w:pPr>
              <w:spacing w:after="0"/>
              <w:rPr>
                <w:sz w:val="20"/>
                <w:szCs w:val="20"/>
                <w:color w:val="auto"/>
              </w:rPr>
            </w:pPr>
            <w:r>
              <w:rPr>
                <w:rFonts w:ascii="Arial" w:cs="Arial" w:eastAsia="Arial" w:hAnsi="Arial"/>
                <w:sz w:val="14"/>
                <w:szCs w:val="14"/>
                <w:color w:val="auto"/>
              </w:rPr>
              <w:t>the period (basic and diluted)</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14,145,406</w:t>
            </w:r>
          </w:p>
        </w:tc>
        <w:tc>
          <w:tcPr>
            <w:tcW w:w="220" w:type="dxa"/>
            <w:vAlign w:val="bottom"/>
            <w:shd w:val="clear" w:color="auto" w:fill="CCFFCC"/>
          </w:tcPr>
          <w:p>
            <w:pPr>
              <w:spacing w:after="0"/>
              <w:rPr>
                <w:sz w:val="14"/>
                <w:szCs w:val="14"/>
                <w:color w:val="auto"/>
              </w:rPr>
            </w:pPr>
          </w:p>
        </w:tc>
        <w:tc>
          <w:tcPr>
            <w:tcW w:w="1260" w:type="dxa"/>
            <w:vAlign w:val="bottom"/>
            <w:gridSpan w:val="2"/>
            <w:shd w:val="clear" w:color="auto" w:fill="CCFFCC"/>
          </w:tcPr>
          <w:p>
            <w:pPr>
              <w:jc w:val="right"/>
              <w:ind w:right="179"/>
              <w:spacing w:after="0"/>
              <w:rPr>
                <w:sz w:val="20"/>
                <w:szCs w:val="20"/>
                <w:color w:val="auto"/>
              </w:rPr>
            </w:pPr>
            <w:r>
              <w:rPr>
                <w:rFonts w:ascii="Arial" w:cs="Arial" w:eastAsia="Arial" w:hAnsi="Arial"/>
                <w:sz w:val="14"/>
                <w:szCs w:val="14"/>
                <w:color w:val="auto"/>
              </w:rPr>
              <w:t>5,756,345</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13,159,407</w:t>
            </w:r>
          </w:p>
        </w:tc>
        <w:tc>
          <w:tcPr>
            <w:tcW w:w="180" w:type="dxa"/>
            <w:vAlign w:val="bottom"/>
            <w:shd w:val="clear" w:color="auto" w:fill="CCFFCC"/>
          </w:tcPr>
          <w:p>
            <w:pPr>
              <w:spacing w:after="0"/>
              <w:rPr>
                <w:sz w:val="14"/>
                <w:szCs w:val="14"/>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5,654,929</w:t>
            </w:r>
          </w:p>
        </w:tc>
        <w:tc>
          <w:tcPr>
            <w:tcW w:w="180" w:type="dxa"/>
            <w:vAlign w:val="bottom"/>
            <w:shd w:val="clear" w:color="auto" w:fill="CCFFCC"/>
          </w:tcPr>
          <w:p>
            <w:pPr>
              <w:spacing w:after="0"/>
              <w:rPr>
                <w:sz w:val="14"/>
                <w:szCs w:val="14"/>
                <w:color w:val="auto"/>
              </w:rPr>
            </w:pPr>
          </w:p>
        </w:tc>
        <w:tc>
          <w:tcPr>
            <w:tcW w:w="10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2,678,643</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w w:val="98"/>
              </w:rPr>
              <w:t>Weighted average number of penny stock options (basic and diluted)</w:t>
            </w:r>
          </w:p>
        </w:tc>
        <w:tc>
          <w:tcPr>
            <w:tcW w:w="1260" w:type="dxa"/>
            <w:vAlign w:val="bottom"/>
            <w:gridSpan w:val="2"/>
          </w:tcPr>
          <w:p>
            <w:pPr>
              <w:jc w:val="right"/>
              <w:ind w:right="179"/>
              <w:spacing w:after="0"/>
              <w:rPr>
                <w:sz w:val="20"/>
                <w:szCs w:val="20"/>
                <w:color w:val="auto"/>
              </w:rPr>
            </w:pPr>
            <w:r>
              <w:rPr>
                <w:rFonts w:ascii="Arial" w:cs="Arial" w:eastAsia="Arial" w:hAnsi="Arial"/>
                <w:sz w:val="14"/>
                <w:szCs w:val="14"/>
                <w:color w:val="auto"/>
              </w:rPr>
              <w:t>215,694</w:t>
            </w:r>
          </w:p>
        </w:tc>
        <w:tc>
          <w:tcPr>
            <w:tcW w:w="1260" w:type="dxa"/>
            <w:vAlign w:val="bottom"/>
            <w:gridSpan w:val="2"/>
          </w:tcPr>
          <w:p>
            <w:pPr>
              <w:jc w:val="right"/>
              <w:ind w:right="179"/>
              <w:spacing w:after="0"/>
              <w:rPr>
                <w:sz w:val="20"/>
                <w:szCs w:val="20"/>
                <w:color w:val="auto"/>
              </w:rPr>
            </w:pPr>
            <w:r>
              <w:rPr>
                <w:rFonts w:ascii="Arial" w:cs="Arial" w:eastAsia="Arial" w:hAnsi="Arial"/>
                <w:sz w:val="14"/>
                <w:szCs w:val="14"/>
                <w:color w:val="auto"/>
              </w:rPr>
              <w:t>89,393</w:t>
            </w:r>
          </w:p>
        </w:tc>
        <w:tc>
          <w:tcPr>
            <w:tcW w:w="1200" w:type="dxa"/>
            <w:vAlign w:val="bottom"/>
            <w:gridSpan w:val="2"/>
          </w:tcPr>
          <w:p>
            <w:pPr>
              <w:jc w:val="right"/>
              <w:ind w:right="139"/>
              <w:spacing w:after="0"/>
              <w:rPr>
                <w:sz w:val="20"/>
                <w:szCs w:val="20"/>
                <w:color w:val="auto"/>
              </w:rPr>
            </w:pPr>
            <w:r>
              <w:rPr>
                <w:rFonts w:ascii="Arial" w:cs="Arial" w:eastAsia="Arial" w:hAnsi="Arial"/>
                <w:sz w:val="14"/>
                <w:szCs w:val="14"/>
                <w:color w:val="auto"/>
              </w:rPr>
              <w:t>248,281</w:t>
            </w:r>
          </w:p>
        </w:tc>
        <w:tc>
          <w:tcPr>
            <w:tcW w:w="1200" w:type="dxa"/>
            <w:vAlign w:val="bottom"/>
            <w:gridSpan w:val="2"/>
          </w:tcPr>
          <w:p>
            <w:pPr>
              <w:jc w:val="right"/>
              <w:ind w:right="139"/>
              <w:spacing w:after="0"/>
              <w:rPr>
                <w:sz w:val="20"/>
                <w:szCs w:val="20"/>
                <w:color w:val="auto"/>
              </w:rPr>
            </w:pPr>
            <w:r>
              <w:rPr>
                <w:rFonts w:ascii="Arial" w:cs="Arial" w:eastAsia="Arial" w:hAnsi="Arial"/>
                <w:sz w:val="14"/>
                <w:szCs w:val="14"/>
                <w:color w:val="auto"/>
              </w:rPr>
              <w:t>129,408</w:t>
            </w:r>
          </w:p>
        </w:tc>
        <w:tc>
          <w:tcPr>
            <w:tcW w:w="1040" w:type="dxa"/>
            <w:vAlign w:val="bottom"/>
          </w:tcPr>
          <w:p>
            <w:pPr>
              <w:jc w:val="right"/>
              <w:spacing w:after="0"/>
              <w:rPr>
                <w:sz w:val="20"/>
                <w:szCs w:val="20"/>
                <w:color w:val="auto"/>
              </w:rPr>
            </w:pPr>
            <w:r>
              <w:rPr>
                <w:rFonts w:ascii="Arial" w:cs="Arial" w:eastAsia="Arial" w:hAnsi="Arial"/>
                <w:sz w:val="14"/>
                <w:szCs w:val="14"/>
                <w:color w:val="auto"/>
              </w:rPr>
              <w:t>78,004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Basic and diluted common stock share outstanding</w:t>
            </w:r>
          </w:p>
        </w:tc>
        <w:tc>
          <w:tcPr>
            <w:tcW w:w="10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14,361,100</w:t>
            </w:r>
          </w:p>
        </w:tc>
        <w:tc>
          <w:tcPr>
            <w:tcW w:w="2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5,845,738</w:t>
            </w: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13,407,668</w:t>
            </w:r>
          </w:p>
        </w:tc>
        <w:tc>
          <w:tcPr>
            <w:tcW w:w="18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5,784,337</w:t>
            </w:r>
          </w:p>
        </w:tc>
        <w:tc>
          <w:tcPr>
            <w:tcW w:w="18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auto"/>
              <w:bottom w:val="single" w:sz="8" w:color="auto"/>
              <w:right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2,756,647</w:t>
            </w:r>
          </w:p>
        </w:tc>
        <w:tc>
          <w:tcPr>
            <w:tcW w:w="8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Arial" w:cs="Arial" w:eastAsia="Arial" w:hAnsi="Arial"/>
                <w:sz w:val="14"/>
                <w:szCs w:val="14"/>
                <w:b w:val="1"/>
                <w:bCs w:val="1"/>
                <w:color w:val="auto"/>
              </w:rPr>
              <w:t>Basic and diluted net losses per common stock share</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(0.36</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(0.26</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(0.81</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(0.45</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(17.54</w:t>
            </w:r>
          </w:p>
        </w:tc>
        <w:tc>
          <w:tcPr>
            <w:tcW w:w="80" w:type="dxa"/>
            <w:vAlign w:val="bottom"/>
          </w:tcPr>
          <w:p>
            <w:pPr>
              <w:jc w:val="right"/>
              <w:ind w:right="55"/>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fair value in accordance with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(formerly 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ASC 820-10 clarifies that fair value is an exit price, representing the amount that would be received to sell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Other than quoted prices included in Level 1 inputs that are observable for the asset or liability, either directly or indirectly, for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term of the asset or liability.</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Level 3 Inputs: </w:t>
      </w:r>
      <w:r>
        <w:rPr>
          <w:rFonts w:ascii="Arial" w:cs="Arial" w:eastAsia="Arial" w:hAnsi="Arial"/>
          <w:sz w:val="17"/>
          <w:szCs w:val="17"/>
          <w:color w:val="auto"/>
        </w:rPr>
        <w:t>Unobservable inputs for the asset or liability used to measure fair value to the extent that observable inputs are not available,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 — (cont'd)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measures its derivative liabilities at fair value. The Special Bridge Warrants, Conversion Warrants and Preferential Reload Warrants are classified within Level 3 because they are valued using the Black-Scholes-Merton and the Monte-Carlo models (as these warrants include a down-round protection clauses), which utilize significant inputs that are unobservable in the market such as the expected stock price volatility and the dividend yield, and the remaining period of time the warrants will be outstanding before they expire.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June 30, 2012 and December 31, 2011, aggregated by the level in the fair-value hierarchy within which those measurements fall:</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10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Derivative liabilities on account of warrants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160"/>
        <w:spacing w:after="0"/>
        <w:rPr>
          <w:sz w:val="20"/>
          <w:szCs w:val="20"/>
          <w:color w:val="auto"/>
        </w:rPr>
      </w:pPr>
      <w:r>
        <w:rPr>
          <w:rFonts w:ascii="Arial" w:cs="Arial" w:eastAsia="Arial" w:hAnsi="Arial"/>
          <w:sz w:val="16"/>
          <w:szCs w:val="16"/>
          <w:b w:val="1"/>
          <w:bCs w:val="1"/>
          <w:color w:val="auto"/>
        </w:rPr>
        <w:t>Description</w:t>
      </w:r>
    </w:p>
    <w:p>
      <w:pPr>
        <w:spacing w:after="0" w:line="50" w:lineRule="exact"/>
        <w:rPr>
          <w:sz w:val="20"/>
          <w:szCs w:val="20"/>
          <w:color w:val="auto"/>
        </w:rPr>
      </w:pPr>
    </w:p>
    <w:p>
      <w:pPr>
        <w:jc w:val="right"/>
        <w:ind w:right="4100"/>
        <w:spacing w:after="0"/>
        <w:rPr>
          <w:sz w:val="20"/>
          <w:szCs w:val="20"/>
          <w:color w:val="auto"/>
        </w:rPr>
      </w:pPr>
      <w:r>
        <w:rPr>
          <w:rFonts w:ascii="Arial" w:cs="Arial" w:eastAsia="Arial" w:hAnsi="Arial"/>
          <w:sz w:val="18"/>
          <w:szCs w:val="18"/>
          <w:b w:val="1"/>
          <w:bCs w:val="1"/>
          <w:color w:val="auto"/>
        </w:rPr>
        <w:t>Liabilities</w:t>
      </w:r>
    </w:p>
    <w:p>
      <w:pPr>
        <w:spacing w:after="0" w:line="23" w:lineRule="exact"/>
        <w:rPr>
          <w:sz w:val="20"/>
          <w:szCs w:val="20"/>
          <w:color w:val="auto"/>
        </w:rPr>
      </w:pPr>
    </w:p>
    <w:p>
      <w:pPr>
        <w:ind w:left="180" w:right="1700"/>
        <w:spacing w:after="0" w:line="276" w:lineRule="auto"/>
        <w:rPr>
          <w:sz w:val="20"/>
          <w:szCs w:val="20"/>
          <w:color w:val="auto"/>
        </w:rPr>
      </w:pPr>
      <w:r>
        <w:rPr>
          <w:rFonts w:ascii="Arial" w:cs="Arial" w:eastAsia="Arial" w:hAnsi="Arial"/>
          <w:sz w:val="18"/>
          <w:szCs w:val="18"/>
          <w:color w:val="auto"/>
        </w:rPr>
        <w:t xml:space="preserve">Derivative liabilities on account of warrants </w:t>
      </w: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w w:val="96"/>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active markets</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identical</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6"/>
              </w:rPr>
              <w:t>assets (Level 1)</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inputs (Level 2)</w:t>
            </w:r>
          </w:p>
        </w:tc>
        <w:tc>
          <w:tcPr>
            <w:tcW w:w="13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U.S.$ thousands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3,555</w:t>
            </w:r>
          </w:p>
        </w:tc>
        <w:tc>
          <w:tcPr>
            <w:tcW w:w="100" w:type="dxa"/>
            <w:vAlign w:val="bottom"/>
          </w:tcPr>
          <w:p>
            <w:pPr>
              <w:spacing w:after="0"/>
              <w:rPr>
                <w:sz w:val="24"/>
                <w:szCs w:val="24"/>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3,555</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17"/>
                <w:szCs w:val="17"/>
                <w:color w:val="auto"/>
              </w:rPr>
            </w:pPr>
          </w:p>
        </w:tc>
        <w:tc>
          <w:tcPr>
            <w:tcW w:w="1280" w:type="dxa"/>
            <w:vAlign w:val="bottom"/>
            <w:tcBorders>
              <w:bottom w:val="single" w:sz="8" w:color="auto"/>
            </w:tcBorders>
          </w:tcPr>
          <w:p>
            <w:pPr>
              <w:ind w:left="1100"/>
              <w:spacing w:after="0" w:line="196" w:lineRule="exact"/>
              <w:rPr>
                <w:sz w:val="20"/>
                <w:szCs w:val="20"/>
                <w:color w:val="auto"/>
              </w:rPr>
            </w:pPr>
            <w:r>
              <w:rPr>
                <w:rFonts w:ascii="Arial" w:cs="Arial" w:eastAsia="Arial" w:hAnsi="Arial"/>
                <w:sz w:val="18"/>
                <w:szCs w:val="18"/>
                <w:color w:val="auto"/>
                <w:w w:val="88"/>
              </w:rPr>
              <w:t>—</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w w:val="96"/>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active markets</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identical</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6"/>
              </w:rPr>
              <w:t>assets (Level 1)</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inputs (Level 2)</w:t>
            </w:r>
          </w:p>
        </w:tc>
        <w:tc>
          <w:tcPr>
            <w:tcW w:w="13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U.S.$ thousands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2,172</w:t>
            </w:r>
          </w:p>
        </w:tc>
        <w:tc>
          <w:tcPr>
            <w:tcW w:w="100" w:type="dxa"/>
            <w:vAlign w:val="bottom"/>
          </w:tcPr>
          <w:p>
            <w:pPr>
              <w:spacing w:after="0"/>
              <w:rPr>
                <w:sz w:val="24"/>
                <w:szCs w:val="24"/>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-1937385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-1637030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-179705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-471170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640"/>
          </w:cols>
          <w:pgMar w:left="240" w:top="877" w:right="239" w:bottom="1440" w:gutter="0" w:footer="0" w:header="0"/>
          <w:type w:val="continuous"/>
        </w:sectPr>
      </w:pPr>
    </w:p>
    <w:p>
      <w:pPr>
        <w:spacing w:after="0" w:line="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addition to the above, the Company's financial instruments at June 30, 2012 and December 31, 2011 consisted of cash, accounts receivable, long-term deposits and accounts payable. The carrying amounts of all the aforementioned financial instruments approximate fair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Measurements—(cont'd)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changes in the Company's liabilities measured at fair value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 periods ended June 30, 2012 and 2011:</w:t>
      </w:r>
    </w:p>
    <w:p>
      <w:pPr>
        <w:spacing w:after="0" w:line="220"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Level 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12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3"/>
              </w:rPr>
              <w:t>U.S.$</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FFCC"/>
            </w:tcBorders>
            <w:gridSpan w:val="2"/>
          </w:tcPr>
          <w:p>
            <w:pPr>
              <w:spacing w:after="0"/>
              <w:rPr>
                <w:sz w:val="18"/>
                <w:szCs w:val="18"/>
                <w:color w:val="auto"/>
              </w:rPr>
            </w:pPr>
          </w:p>
        </w:tc>
      </w:tr>
      <w:tr>
        <w:trPr>
          <w:trHeight w:val="210"/>
        </w:trPr>
        <w:tc>
          <w:tcPr>
            <w:tcW w:w="8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at January 1,</w:t>
            </w:r>
          </w:p>
        </w:tc>
        <w:tc>
          <w:tcPr>
            <w:tcW w:w="100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2,172</w:t>
            </w: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Issuance of Preferential Reload Warrants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1,476</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270</w:t>
            </w:r>
          </w:p>
        </w:tc>
        <w:tc>
          <w:tcPr>
            <w:tcW w:w="15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(708)</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Exercise of derivative warrants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(2,223)</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141</w:t>
            </w:r>
          </w:p>
        </w:tc>
        <w:tc>
          <w:tcPr>
            <w:tcW w:w="1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120" w:type="dxa"/>
            <w:vAlign w:val="bottom"/>
          </w:tcPr>
          <w:p>
            <w:pPr>
              <w:spacing w:after="0"/>
              <w:rPr>
                <w:sz w:val="20"/>
                <w:szCs w:val="20"/>
                <w:color w:val="auto"/>
              </w:rPr>
            </w:pPr>
            <w:r>
              <w:rPr>
                <w:rFonts w:ascii="Arial" w:cs="Arial" w:eastAsia="Arial" w:hAnsi="Arial"/>
                <w:sz w:val="18"/>
                <w:szCs w:val="18"/>
                <w:b w:val="1"/>
                <w:bCs w:val="1"/>
                <w:color w:val="auto"/>
              </w:rPr>
              <w:t>Balance at March 31,</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1,836</w:t>
            </w:r>
          </w:p>
        </w:tc>
        <w:tc>
          <w:tcPr>
            <w:tcW w:w="2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1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Exercise of derivative warrants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(1,367)</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2,336</w:t>
            </w: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FFCC"/>
          </w:tcPr>
          <w:p>
            <w:pPr>
              <w:spacing w:after="0"/>
              <w:rPr>
                <w:sz w:val="19"/>
                <w:szCs w:val="19"/>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b w:val="1"/>
                <w:bCs w:val="1"/>
                <w:color w:val="auto"/>
              </w:rPr>
              <w:t>Balance at June 30,</w:t>
            </w:r>
          </w:p>
        </w:tc>
        <w:tc>
          <w:tcPr>
            <w:tcW w:w="10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3,555</w:t>
            </w:r>
          </w:p>
        </w:tc>
        <w:tc>
          <w:tcPr>
            <w:tcW w:w="2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and Preferential Reload Warrants, which fall within Level 3 of the fair value hierarchy are determined and then reviewed within the Company’s accounting department, who reports to the Chief Financial Officer. The fair value measurements are compared to those of the prior reporting periods to ensure that changes are consistent with expectations of management based upon the sensitivity and nature of the inputs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Valuation</w:t>
            </w:r>
          </w:p>
        </w:tc>
        <w:tc>
          <w:tcPr>
            <w:tcW w:w="2960" w:type="dxa"/>
            <w:vAlign w:val="bottom"/>
            <w:gridSpan w:val="2"/>
          </w:tcPr>
          <w:p>
            <w:pPr>
              <w:ind w:left="900"/>
              <w:spacing w:after="0"/>
              <w:rPr>
                <w:sz w:val="20"/>
                <w:szCs w:val="20"/>
                <w:color w:val="auto"/>
              </w:rPr>
            </w:pPr>
            <w:r>
              <w:rPr>
                <w:rFonts w:ascii="Arial" w:cs="Arial" w:eastAsia="Arial" w:hAnsi="Arial"/>
                <w:sz w:val="18"/>
                <w:szCs w:val="18"/>
                <w:b w:val="1"/>
                <w:bCs w:val="1"/>
                <w:color w:val="auto"/>
              </w:rPr>
              <w:t>Unobservable</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00" w:type="dxa"/>
            <w:vAlign w:val="bottom"/>
            <w:gridSpan w:val="2"/>
          </w:tcPr>
          <w:p>
            <w:pPr>
              <w:ind w:left="1600"/>
              <w:spacing w:after="0"/>
              <w:rPr>
                <w:sz w:val="20"/>
                <w:szCs w:val="20"/>
                <w:color w:val="auto"/>
              </w:rPr>
            </w:pPr>
            <w:r>
              <w:rPr>
                <w:rFonts w:ascii="Arial" w:cs="Arial" w:eastAsia="Arial" w:hAnsi="Arial"/>
                <w:sz w:val="18"/>
                <w:szCs w:val="18"/>
                <w:b w:val="1"/>
                <w:bCs w:val="1"/>
                <w:color w:val="auto"/>
              </w:rPr>
              <w:t>Description</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Technique</w:t>
            </w:r>
          </w:p>
        </w:tc>
        <w:tc>
          <w:tcPr>
            <w:tcW w:w="2960" w:type="dxa"/>
            <w:vAlign w:val="bottom"/>
            <w:gridSpan w:val="2"/>
          </w:tcPr>
          <w:p>
            <w:pPr>
              <w:ind w:left="1180"/>
              <w:spacing w:after="0"/>
              <w:rPr>
                <w:sz w:val="20"/>
                <w:szCs w:val="20"/>
                <w:color w:val="auto"/>
              </w:rPr>
            </w:pPr>
            <w:r>
              <w:rPr>
                <w:rFonts w:ascii="Arial" w:cs="Arial" w:eastAsia="Arial" w:hAnsi="Arial"/>
                <w:sz w:val="18"/>
                <w:szCs w:val="18"/>
                <w:b w:val="1"/>
                <w:bCs w:val="1"/>
                <w:color w:val="auto"/>
              </w:rPr>
              <w:t>Inputs</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Range</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Volatility</w:t>
            </w:r>
          </w:p>
        </w:tc>
        <w:tc>
          <w:tcPr>
            <w:tcW w:w="18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78.23% - 84.45%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Special Bridge Warrants, Conversion Warrants and</w:t>
            </w:r>
          </w:p>
        </w:tc>
        <w:tc>
          <w:tcPr>
            <w:tcW w:w="2400" w:type="dxa"/>
            <w:vAlign w:val="bottom"/>
            <w:gridSpan w:val="2"/>
            <w:vMerge w:val="restart"/>
          </w:tcPr>
          <w:p>
            <w:pPr>
              <w:spacing w:after="0"/>
              <w:rPr>
                <w:sz w:val="20"/>
                <w:szCs w:val="20"/>
                <w:color w:val="auto"/>
              </w:rPr>
            </w:pPr>
            <w:r>
              <w:rPr>
                <w:rFonts w:ascii="Arial" w:cs="Arial" w:eastAsia="Arial" w:hAnsi="Arial"/>
                <w:sz w:val="18"/>
                <w:szCs w:val="18"/>
                <w:color w:val="auto"/>
                <w:w w:val="98"/>
              </w:rPr>
              <w:t>Black-Scholes-Merton and the</w:t>
            </w:r>
          </w:p>
        </w:tc>
        <w:tc>
          <w:tcPr>
            <w:tcW w:w="296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0.38%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- 0.77%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1"/>
              </w:rPr>
              <w:t>- 4.61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Preferential Reload Warrants</w:t>
            </w:r>
          </w:p>
        </w:tc>
        <w:tc>
          <w:tcPr>
            <w:tcW w:w="2400" w:type="dxa"/>
            <w:vAlign w:val="bottom"/>
            <w:gridSpan w:val="2"/>
          </w:tcPr>
          <w:p>
            <w:pPr>
              <w:spacing w:after="0"/>
              <w:rPr>
                <w:sz w:val="20"/>
                <w:szCs w:val="20"/>
                <w:color w:val="auto"/>
              </w:rPr>
            </w:pPr>
            <w:r>
              <w:rPr>
                <w:rFonts w:ascii="Arial" w:cs="Arial" w:eastAsia="Arial" w:hAnsi="Arial"/>
                <w:sz w:val="18"/>
                <w:szCs w:val="18"/>
                <w:color w:val="auto"/>
              </w:rPr>
              <w:t>Monte-Carlo models</w:t>
            </w:r>
          </w:p>
        </w:tc>
        <w:tc>
          <w:tcPr>
            <w:tcW w:w="29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Probability and timing of down-round</w:t>
            </w:r>
          </w:p>
        </w:tc>
        <w:tc>
          <w:tcPr>
            <w:tcW w:w="186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15% occurrence 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triggering event</w:t>
            </w:r>
          </w:p>
        </w:tc>
        <w:tc>
          <w:tcPr>
            <w:tcW w:w="18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December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inputs to estimate the fair value of the Company’s derivative warrant liability are the current market price of the Company’s common stock, the exercise price of the warrant, its remaining term, the volatility of the Company’s common stock market price, Company’s estimations regarding the probability and timing of a down-round protection triggering event and the risk-free interest rate. Significant changes in any of those inputs in the isolation can result in a significant change in the fair value measurement. Generally, a positive change in the market price of the Company’s common stock, and an increase in the volatility of the Company’s common stock, or an increase in the remaining term of the warrant, or an increase of a probability of a down-round triggering event would each result in a directionally similar change in the estimated fair value of the Company’s warrants and thus an increase in the associated liability and vice-versa. An increase in the risk-free interest rate or a decrease in the positive differential between the warrant’s exercise price and the market price of the Company’s common stock would result in a decrease in the estimated fair value measurement of the warrants and thus a decrease in the associated liability. The Company has not, nor plans to, declare dividends on its common stock, and thus, there is no change in the estimated fair value of the warrants due to the dividend assumption.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Accrued Severance Pay</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Israeli law, the subsidiary in Israel is required to make severance payments to dismissed employees, and employees leaving employment in certain other circumstances. All of the Israeli subsidiary’s employees signed agreements, limiting the subsidiary in Israel’s severance liability to actual deposits in the insurance policies, as per Section 14 of the Severance Payment Law of 1963.</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2012, the Company signed a separation agreement with its former CEO. According to the terms of the separation agreement and consistent with the employment agreement and amendment hereto, the former CEO will be entitled to receive salary and benefits during a ninety day notice period and a nine month severance period, until February 2013, and stock options granted to him will become exercisable over a certain period after his termination. As a result of the above mentioned termination, during the three month period ended March 31, 2012, the accrued severance provision was reclassified to a short-term liability, an additional severance expense in the total amount of $68 thousand and an additional share-based compensation expense of approximately $526 thousand were recorded.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no statutory or agreed-upon severance arrangements with U.S. employees, other than with the current CEO, should there be a merger subsequent to the Merger with I/P (as described in Note 1) and it is not accrued for, as it is not probable.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2012, the Company’s board of directors (the “Board”) approved a one year acceleration of option vesting for all option holders, except for the Company’s Chief Executive Officer (CEO) who will obtain 50% acceleration on all his unvested options, should the Company be subject to a change of control in a merger and/or acquisition transaction. In addition, in March 2012, the Board approved participation of all outstanding options, as of the consummation of the Merger with I/P, except for grants pursuant to separation arrangements, in future dividends, if any, as well as the acceleration of vesting of certain outstanding options, according to the following market conditions: should the target of a $5.00 price or $250 million market capitalization be reached for twenty of thirty consecutive trading days, a 50% acceleration of all granted would occur; should the target of a $10.00 price or $500 million market capitalization be reached for twenty of thirty consecutive trading days, a 75% acceleration of all granted would occur; should the target of a $20.00 price or $1,000 million market capitalization be reached for twenty of thirty consecutive trading days, a 100% acceleration of all granted would occur. In addition, upon a subsequent change of control, defined as a more than 50% change in shareholder ownership excluding the transaction with I/P, 75% of the then unvested options held by each grantee shall automatically vest. Moreover, all outstanding options granted to members of the Board shall fully vest if a Board member ceases to be a director at any time during the six-month period immediately following a change of control. For subsequent to the balance sheet date impact on the Company’s financial statements see Note 8.</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 periods ended June 30, 2012 and 2011, the Company recorded stock compensation expense of $333 thousand and $452 thousand, respectively. For the six month period ended June 30, 2012 and 2011 the Company recorded stock compensation expense of $1,197 and thousand $883 thousand, respectively. Cumulative from inception through June 30, 2012, the Company has recorded stock compensation expense of $5,659 thousand, in respect of stock options granted.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2012, there was approximately $2.5 million of total unrecognized share-based payment cost related to non-vested share-based compensation arrangements granted under the incentive stock option plan. That cost is expected to be recognized over an estimated 4 year period. As of June 30, 2012, there were approximately 9.1 million shares of common stock available for grant under the incentive stock option plan. For subsequent events see also Note 8.</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 period ended June 30, 2012 and 2011, 1 thousand and 120 thousand stock options were forfeited, 67 thousand and 29 thousand stock options expired and 337 thousand and 20 thousand stock options were exercised, respectively. During the six month period ended June 30, 2011, 234 thousand stock options were forfeited, 104 thousand stock options expired and 20 thousand stock options were exercised. The following table summarizes information about option activity for the six month period ended June 30,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Note 5—Stockholders' Equity—(cont'd)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Weighted average</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56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No. of 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 price</w:t>
            </w: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3"/>
              </w:rPr>
              <w:t>Exercise price range</w:t>
            </w:r>
          </w:p>
        </w:tc>
      </w:tr>
      <w:tr>
        <w:trPr>
          <w:trHeight w:val="210"/>
        </w:trPr>
        <w:tc>
          <w:tcPr>
            <w:tcW w:w="5560" w:type="dxa"/>
            <w:vAlign w:val="bottom"/>
            <w:tcBorders>
              <w:bottom w:val="single" w:sz="8" w:color="CCFFCC"/>
            </w:tcBorders>
          </w:tcPr>
          <w:p>
            <w:pPr>
              <w:spacing w:after="0"/>
              <w:rPr>
                <w:sz w:val="18"/>
                <w:szCs w:val="18"/>
                <w:color w:val="auto"/>
              </w:rPr>
            </w:pPr>
          </w:p>
        </w:tc>
        <w:tc>
          <w:tcPr>
            <w:tcW w:w="1320" w:type="dxa"/>
            <w:vAlign w:val="bottom"/>
            <w:tcBorders>
              <w:top w:val="single" w:sz="8" w:color="auto"/>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U.S.$</w:t>
            </w:r>
          </w:p>
        </w:tc>
        <w:tc>
          <w:tcPr>
            <w:tcW w:w="18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FFCC"/>
            </w:tcBorders>
          </w:tcPr>
          <w:p>
            <w:pPr>
              <w:spacing w:after="0"/>
              <w:rPr>
                <w:sz w:val="18"/>
                <w:szCs w:val="18"/>
                <w:color w:val="auto"/>
              </w:rPr>
            </w:pPr>
          </w:p>
        </w:tc>
      </w:tr>
      <w:tr>
        <w:trPr>
          <w:trHeight w:val="210"/>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2,228,400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ind w:left="400"/>
              <w:spacing w:after="0"/>
              <w:rPr>
                <w:sz w:val="20"/>
                <w:szCs w:val="20"/>
                <w:color w:val="auto"/>
              </w:rPr>
            </w:pPr>
            <w:r>
              <w:rPr>
                <w:rFonts w:ascii="Arial" w:cs="Arial" w:eastAsia="Arial" w:hAnsi="Arial"/>
                <w:sz w:val="18"/>
                <w:szCs w:val="18"/>
                <w:color w:val="auto"/>
                <w:w w:val="88"/>
              </w:rPr>
              <w:t>0.01 – 5.50</w:t>
            </w:r>
          </w:p>
        </w:tc>
        <w:tc>
          <w:tcPr>
            <w:tcW w:w="100" w:type="dxa"/>
            <w:vAlign w:val="bottom"/>
            <w:shd w:val="clear" w:color="auto" w:fill="CCFFC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2,576,800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w w:val="99"/>
              </w:rPr>
              <w:t>0.01 – 3.40</w:t>
            </w: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(363,943)</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w w:val="99"/>
              </w:rPr>
              <w:t>0.01 – 1.65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Expired</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(67,812)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w w:val="99"/>
              </w:rPr>
              <w:t>1.50 – 5.50</w:t>
            </w:r>
          </w:p>
        </w:tc>
      </w:tr>
      <w:tr>
        <w:trPr>
          <w:trHeight w:val="230"/>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(104,775)</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4.99</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w w:val="99"/>
              </w:rPr>
              <w:t>0.01 – 5.50</w:t>
            </w:r>
          </w:p>
        </w:tc>
      </w:tr>
      <w:tr>
        <w:trPr>
          <w:trHeight w:val="250"/>
        </w:trPr>
        <w:tc>
          <w:tcPr>
            <w:tcW w:w="55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Outstanding at June 30, 2012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4,268,670</w:t>
            </w:r>
          </w:p>
        </w:tc>
        <w:tc>
          <w:tcPr>
            <w:tcW w:w="120" w:type="dxa"/>
            <w:vAlign w:val="bottom"/>
            <w:tcBorders>
              <w:bottom w:val="single" w:sz="8" w:color="CCFFCC"/>
            </w:tcBorders>
          </w:tcPr>
          <w:p>
            <w:pPr>
              <w:spacing w:after="0"/>
              <w:rPr>
                <w:sz w:val="21"/>
                <w:szCs w:val="21"/>
                <w:color w:val="auto"/>
              </w:rPr>
            </w:pPr>
          </w:p>
        </w:tc>
        <w:tc>
          <w:tcPr>
            <w:tcW w:w="200" w:type="dxa"/>
            <w:vAlign w:val="bottom"/>
            <w:tcBorders>
              <w:bottom w:val="single" w:sz="8" w:color="CCFFCC"/>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FFCC"/>
            </w:tcBorders>
            <w:gridSpan w:val="2"/>
          </w:tcPr>
          <w:p>
            <w:pPr>
              <w:jc w:val="right"/>
              <w:ind w:right="180"/>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FFCC"/>
            </w:tcBorders>
            <w:gridSpan w:val="2"/>
          </w:tcPr>
          <w:p>
            <w:pPr>
              <w:ind w:left="400"/>
              <w:spacing w:after="0"/>
              <w:rPr>
                <w:sz w:val="20"/>
                <w:szCs w:val="20"/>
                <w:color w:val="auto"/>
              </w:rPr>
            </w:pPr>
            <w:r>
              <w:rPr>
                <w:rFonts w:ascii="Arial" w:cs="Arial" w:eastAsia="Arial" w:hAnsi="Arial"/>
                <w:sz w:val="18"/>
                <w:szCs w:val="18"/>
                <w:color w:val="auto"/>
                <w:w w:val="99"/>
              </w:rPr>
              <w:t>0.01 – 5.50</w:t>
            </w:r>
          </w:p>
        </w:tc>
      </w:tr>
      <w:tr>
        <w:trPr>
          <w:trHeight w:val="197"/>
        </w:trPr>
        <w:tc>
          <w:tcPr>
            <w:tcW w:w="556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Exercisable at June 30, 2012</w:t>
            </w:r>
          </w:p>
        </w:tc>
        <w:tc>
          <w:tcPr>
            <w:tcW w:w="13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1,322,756</w:t>
            </w:r>
          </w:p>
        </w:tc>
        <w:tc>
          <w:tcPr>
            <w:tcW w:w="1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34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option grants for the six month period ended June 30,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 of options to</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0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Employees, Management</w:t>
            </w:r>
          </w:p>
        </w:tc>
        <w:tc>
          <w:tcPr>
            <w:tcW w:w="14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No. of options to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 of</w:t>
            </w:r>
          </w:p>
        </w:tc>
      </w:tr>
      <w:tr>
        <w:trPr>
          <w:trHeight w:val="234"/>
        </w:trPr>
        <w:tc>
          <w:tcPr>
            <w:tcW w:w="50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and Directors</w:t>
            </w:r>
          </w:p>
        </w:tc>
        <w:tc>
          <w:tcPr>
            <w:tcW w:w="1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Consultants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price</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granted option</w:t>
            </w:r>
          </w:p>
        </w:tc>
      </w:tr>
      <w:tr>
        <w:trPr>
          <w:trHeight w:val="210"/>
        </w:trPr>
        <w:tc>
          <w:tcPr>
            <w:tcW w:w="5020" w:type="dxa"/>
            <w:vAlign w:val="bottom"/>
            <w:tcBorders>
              <w:bottom w:val="single" w:sz="8" w:color="CCFFCC"/>
            </w:tcBorders>
          </w:tcPr>
          <w:p>
            <w:pPr>
              <w:spacing w:after="0"/>
              <w:rPr>
                <w:sz w:val="18"/>
                <w:szCs w:val="18"/>
                <w:color w:val="auto"/>
              </w:rPr>
            </w:pPr>
          </w:p>
        </w:tc>
        <w:tc>
          <w:tcPr>
            <w:tcW w:w="1920" w:type="dxa"/>
            <w:vAlign w:val="bottom"/>
            <w:tcBorders>
              <w:top w:val="single" w:sz="8" w:color="auto"/>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Borders>
              <w:bottom w:val="single" w:sz="8" w:color="CCFFCC"/>
            </w:tcBorders>
          </w:tcPr>
          <w:p>
            <w:pPr>
              <w:spacing w:after="0"/>
              <w:rPr>
                <w:sz w:val="18"/>
                <w:szCs w:val="18"/>
                <w:color w:val="auto"/>
              </w:rPr>
            </w:pPr>
          </w:p>
        </w:tc>
      </w:tr>
      <w:tr>
        <w:trPr>
          <w:trHeight w:val="210"/>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January 2012</w:t>
            </w:r>
          </w:p>
        </w:tc>
        <w:tc>
          <w:tcPr>
            <w:tcW w:w="2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599,500</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FFC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January – February 2012</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61,300</w:t>
            </w:r>
          </w:p>
        </w:tc>
        <w:tc>
          <w:tcPr>
            <w:tcW w:w="10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0.95 – $1.2</w:t>
            </w:r>
          </w:p>
        </w:tc>
      </w:tr>
      <w:tr>
        <w:trPr>
          <w:trHeight w:val="216"/>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February 2012</w:t>
            </w:r>
          </w:p>
        </w:tc>
        <w:tc>
          <w:tcPr>
            <w:tcW w:w="2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0.68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March 2012</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1,600,000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r>
      <w:tr>
        <w:trPr>
          <w:trHeight w:val="230"/>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May – June 2012</w:t>
            </w:r>
          </w:p>
        </w:tc>
        <w:tc>
          <w:tcPr>
            <w:tcW w:w="2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16,000</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FFCC"/>
          </w:tcPr>
          <w:p>
            <w:pPr>
              <w:spacing w:after="0"/>
              <w:rPr>
                <w:sz w:val="19"/>
                <w:szCs w:val="19"/>
                <w:color w:val="auto"/>
              </w:rPr>
            </w:pPr>
          </w:p>
        </w:tc>
        <w:tc>
          <w:tcPr>
            <w:tcW w:w="28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3.33-$3.40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 – $2.27</w:t>
            </w: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Total as of June 30, 2012</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warrant activity for the six month period ended June 30, 2012:</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 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580" w:type="dxa"/>
            <w:vAlign w:val="bottom"/>
          </w:tcPr>
          <w:p>
            <w:pPr>
              <w:spacing w:after="0"/>
              <w:rPr>
                <w:sz w:val="20"/>
                <w:szCs w:val="20"/>
                <w:color w:val="auto"/>
              </w:rPr>
            </w:pPr>
          </w:p>
        </w:tc>
        <w:tc>
          <w:tcPr>
            <w:tcW w:w="26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No. of warrants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 range</w:t>
            </w:r>
          </w:p>
        </w:tc>
      </w:tr>
      <w:tr>
        <w:trPr>
          <w:trHeight w:val="210"/>
        </w:trPr>
        <w:tc>
          <w:tcPr>
            <w:tcW w:w="3580" w:type="dxa"/>
            <w:vAlign w:val="bottom"/>
            <w:tcBorders>
              <w:bottom w:val="single" w:sz="8" w:color="CCFFCC"/>
            </w:tcBorders>
          </w:tcPr>
          <w:p>
            <w:pPr>
              <w:spacing w:after="0"/>
              <w:rPr>
                <w:sz w:val="18"/>
                <w:szCs w:val="18"/>
                <w:color w:val="auto"/>
              </w:rPr>
            </w:pPr>
          </w:p>
        </w:tc>
        <w:tc>
          <w:tcPr>
            <w:tcW w:w="132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U.S.$</w:t>
            </w:r>
          </w:p>
        </w:tc>
        <w:tc>
          <w:tcPr>
            <w:tcW w:w="8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U.S.$</w:t>
            </w:r>
          </w:p>
        </w:tc>
        <w:tc>
          <w:tcPr>
            <w:tcW w:w="80" w:type="dxa"/>
            <w:vAlign w:val="bottom"/>
            <w:tcBorders>
              <w:bottom w:val="single" w:sz="8" w:color="CCFFCC"/>
            </w:tcBorders>
          </w:tcPr>
          <w:p>
            <w:pPr>
              <w:spacing w:after="0"/>
              <w:rPr>
                <w:sz w:val="18"/>
                <w:szCs w:val="18"/>
                <w:color w:val="auto"/>
              </w:rPr>
            </w:pPr>
          </w:p>
        </w:tc>
      </w:tr>
      <w:tr>
        <w:trPr>
          <w:trHeight w:val="210"/>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2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9,096,943</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0.94 – $5.06</w:t>
            </w:r>
          </w:p>
        </w:tc>
        <w:tc>
          <w:tcPr>
            <w:tcW w:w="80" w:type="dxa"/>
            <w:vAlign w:val="bottom"/>
            <w:shd w:val="clear" w:color="auto" w:fill="CCFFC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2,672,756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r>
      <w:tr>
        <w:trPr>
          <w:trHeight w:val="230"/>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26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(4,879,972)</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0.94 – $1.76</w:t>
            </w: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Outstanding at June 30, 2012</w:t>
            </w:r>
          </w:p>
        </w:tc>
        <w:tc>
          <w:tcPr>
            <w:tcW w:w="13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6,889,727</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0.94 – $5.06</w:t>
            </w:r>
          </w:p>
        </w:tc>
      </w:tr>
      <w:tr>
        <w:trPr>
          <w:trHeight w:val="20"/>
        </w:trPr>
        <w:tc>
          <w:tcPr>
            <w:tcW w:w="3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6—Commitments and Contingencies</w:t>
      </w:r>
    </w:p>
    <w:p>
      <w:pPr>
        <w:spacing w:after="0" w:line="229" w:lineRule="exact"/>
        <w:rPr>
          <w:sz w:val="20"/>
          <w:szCs w:val="20"/>
          <w:color w:val="auto"/>
        </w:rPr>
      </w:pPr>
    </w:p>
    <w:p>
      <w:pPr>
        <w:jc w:val="both"/>
        <w:ind w:right="20" w:firstLine="696"/>
        <w:spacing w:after="0" w:line="277" w:lineRule="auto"/>
        <w:rPr>
          <w:sz w:val="20"/>
          <w:szCs w:val="20"/>
          <w:color w:val="auto"/>
        </w:rPr>
      </w:pPr>
      <w:r>
        <w:rPr>
          <w:rFonts w:ascii="Arial" w:cs="Arial" w:eastAsia="Arial" w:hAnsi="Arial"/>
          <w:sz w:val="18"/>
          <w:szCs w:val="18"/>
          <w:color w:val="auto"/>
        </w:rPr>
        <w:t>Future minimum lease payments under non-cancelable operating leases for office space and cars, as of June 30, 2012, are as follows (see Note 8 for subsequent events):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spacing w:after="0"/>
              <w:rPr>
                <w:sz w:val="19"/>
                <w:szCs w:val="19"/>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U.S.$</w:t>
            </w:r>
          </w:p>
        </w:tc>
      </w:tr>
      <w:tr>
        <w:trPr>
          <w:trHeight w:val="234"/>
        </w:trPr>
        <w:tc>
          <w:tcPr>
            <w:tcW w:w="984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thousands</w:t>
            </w:r>
          </w:p>
        </w:tc>
      </w:tr>
      <w:tr>
        <w:trPr>
          <w:trHeight w:val="210"/>
        </w:trPr>
        <w:tc>
          <w:tcPr>
            <w:tcW w:w="98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Year ending December 31,</w:t>
            </w:r>
          </w:p>
        </w:tc>
        <w:tc>
          <w:tcPr>
            <w:tcW w:w="14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2012 (six months ending December 31, 2012)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r>
      <w:tr>
        <w:trPr>
          <w:trHeight w:val="230"/>
        </w:trPr>
        <w:tc>
          <w:tcPr>
            <w:tcW w:w="984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FFCC"/>
          </w:tcPr>
          <w:p>
            <w:pPr>
              <w:spacing w:after="0"/>
              <w:rPr>
                <w:sz w:val="19"/>
                <w:szCs w:val="19"/>
                <w:color w:val="auto"/>
              </w:rPr>
            </w:pPr>
          </w:p>
        </w:tc>
      </w:tr>
      <w:tr>
        <w:trPr>
          <w:trHeight w:val="223"/>
        </w:trPr>
        <w:tc>
          <w:tcPr>
            <w:tcW w:w="98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Rental expense for operating leases for both office space and cars for the six months ended June 30, 2012 and 2011 was $66 thousand and $55 thousand, respectively. Rental expense for operating leases for both office space and cars for the three months ended June 30, 2012 and 2011 was $32 thousand and $22 thousand,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7—Risks and Uncertainties</w:t>
      </w:r>
    </w:p>
    <w:p>
      <w:pPr>
        <w:spacing w:after="0" w:line="229" w:lineRule="exact"/>
        <w:rPr>
          <w:sz w:val="20"/>
          <w:szCs w:val="20"/>
          <w:color w:val="auto"/>
        </w:rPr>
      </w:pPr>
    </w:p>
    <w:p>
      <w:pPr>
        <w:jc w:val="both"/>
        <w:ind w:left="700" w:hanging="341"/>
        <w:spacing w:after="0" w:line="257" w:lineRule="auto"/>
        <w:tabs>
          <w:tab w:leader="none" w:pos="1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188" w:lineRule="exact"/>
        <w:rPr>
          <w:rFonts w:ascii="Arial" w:cs="Arial" w:eastAsia="Arial" w:hAnsi="Arial"/>
          <w:sz w:val="18"/>
          <w:szCs w:val="18"/>
          <w:color w:val="auto"/>
        </w:rPr>
      </w:pPr>
    </w:p>
    <w:p>
      <w:pPr>
        <w:ind w:left="700" w:right="20" w:hanging="341"/>
        <w:spacing w:after="0" w:line="342" w:lineRule="auto"/>
        <w:tabs>
          <w:tab w:leader="none" w:pos="134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23" w:lineRule="exact"/>
        <w:rPr>
          <w:rFonts w:ascii="Arial" w:cs="Arial" w:eastAsia="Arial" w:hAnsi="Arial"/>
          <w:sz w:val="16"/>
          <w:szCs w:val="16"/>
          <w:color w:val="auto"/>
        </w:rPr>
      </w:pPr>
    </w:p>
    <w:p>
      <w:pPr>
        <w:ind w:left="700" w:hanging="341"/>
        <w:spacing w:after="0" w:line="277" w:lineRule="auto"/>
        <w:tabs>
          <w:tab w:leader="none" w:pos="1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subscription based video ringtone products are subject to regulation in the markets in which the service operates. Regulatory changes can adversely affect the Company’s ability to generate revenue from its products in that market.</w:t>
      </w:r>
    </w:p>
    <w:p>
      <w:pPr>
        <w:spacing w:after="0" w:line="170" w:lineRule="exact"/>
        <w:rPr>
          <w:rFonts w:ascii="Arial" w:cs="Arial" w:eastAsia="Arial" w:hAnsi="Arial"/>
          <w:sz w:val="18"/>
          <w:szCs w:val="18"/>
          <w:color w:val="auto"/>
        </w:rPr>
      </w:pPr>
    </w:p>
    <w:p>
      <w:pPr>
        <w:jc w:val="both"/>
        <w:ind w:left="700" w:hanging="341"/>
        <w:spacing w:after="0" w:line="286" w:lineRule="auto"/>
        <w:tabs>
          <w:tab w:leader="none" w:pos="10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Facetones®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165" w:lineRule="exact"/>
        <w:rPr>
          <w:rFonts w:ascii="Arial" w:cs="Arial" w:eastAsia="Arial" w:hAnsi="Arial"/>
          <w:sz w:val="17"/>
          <w:szCs w:val="17"/>
          <w:color w:val="auto"/>
        </w:rPr>
      </w:pPr>
    </w:p>
    <w:p>
      <w:pPr>
        <w:jc w:val="both"/>
        <w:ind w:left="700" w:hanging="341"/>
        <w:spacing w:after="0" w:line="259" w:lineRule="auto"/>
        <w:tabs>
          <w:tab w:leader="none" w:pos="1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86" w:lineRule="exact"/>
        <w:rPr>
          <w:rFonts w:ascii="Arial" w:cs="Arial" w:eastAsia="Arial" w:hAnsi="Arial"/>
          <w:sz w:val="18"/>
          <w:szCs w:val="18"/>
          <w:color w:val="auto"/>
        </w:rPr>
      </w:pPr>
    </w:p>
    <w:p>
      <w:pPr>
        <w:ind w:left="700" w:right="20" w:hanging="341"/>
        <w:spacing w:after="0" w:line="277" w:lineRule="auto"/>
        <w:tabs>
          <w:tab w:leader="none" w:pos="1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229" w:lineRule="exact"/>
        <w:rPr>
          <w:sz w:val="20"/>
          <w:szCs w:val="20"/>
          <w:color w:val="auto"/>
        </w:rPr>
      </w:pPr>
    </w:p>
    <w:p>
      <w:pPr>
        <w:jc w:val="both"/>
        <w:ind w:left="700" w:hanging="341"/>
        <w:spacing w:after="0" w:line="284" w:lineRule="auto"/>
        <w:tabs>
          <w:tab w:leader="none" w:pos="1348"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July 19, 2012, the Company consummated the Merger with I/P, as also discussed in Note 1. The purpose of the Merger is to increase the Company's intellectual property portfolio, which it intends to monetize, together with additional intellectual property, acquired both internally and through acquisition, including a potential successful outcome of I/P's litigation against online search companies. The Merger is also intended to add expertise in technological innovation in order to increase revenue generation. Upon completion of the Merger (i) 6,169,661 shares common stock of I/P, par value $0.0001 per share were exchanged for 18,617,569, shares of the Company’s common stock, par value $0.01, per share and (ii) all outstanding shares of Series A Convertible Preferred Stock of I/P, par value $0.0001 per share were exchanged for 6,673 shares of the Company’s Series A Convertible Preferred Stock, which shares are convertible into 20,136,445 shares of common stock of the Company. In addition, the Company issued to the holders of I/P capital stock, an aggregate of 15,959,838 warrants to purchase an aggregate of 15,959,838 shares of the Company’s common stock with an exercise price of $1.76 per share. In addition, each outstanding and unexercised option to purchase I/P common stock, whether vested or unvested was converted into 41,178 options to purchase the Company’s common stock. Immediately following the completion of the Merger, the former stockholders of I/P own approximately 55.04% of the outstanding common stock of the combined company, and the Company’s stockholders prior to the Merger own approximately 44.96% of the outstanding common stock of the combined company. On a fully diluted basis, the former stockholders of I/P own approximately 67.61% of the outstanding common stock of the combined company, and the Company’s stockholders prior to the Merger own approximately 32.39% of the outstanding common stock of the combined company. For accounting purposes, I/P was identified as the accounting “Acquirer”, as it is defined in FASB Topic ASC 805. As a result, in the post-combination consolidated financial statements, I/P’s assets and liabilities will be presented at its pre-combination amounts, and the Company’s assets and liabilities will be recognized and measured in accordance with the guidance for business combinations in ASC 805. The Company is in the process of evaluating the accounting treatment of the Merger. In particular, the value of the consideration transferred is determined based on the outstanding equity interests in the Company as of transaction date, the value of which has not yet been determined. Such equity interests include approximately 15.2 million of the Company’s outstanding shares of common stock, approximately 5.6 million warrants, classified as equity, as well as approximately 3.3 million vested stock options granted to employees, management and consultants.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Events—(cont'd)</w:t>
      </w:r>
    </w:p>
    <w:p>
      <w:pPr>
        <w:spacing w:after="0" w:line="229" w:lineRule="exact"/>
        <w:rPr>
          <w:sz w:val="20"/>
          <w:szCs w:val="20"/>
          <w:color w:val="auto"/>
        </w:rPr>
      </w:pPr>
    </w:p>
    <w:p>
      <w:pPr>
        <w:jc w:val="both"/>
        <w:ind w:left="700" w:hanging="341"/>
        <w:spacing w:after="0" w:line="268" w:lineRule="auto"/>
        <w:tabs>
          <w:tab w:leader="none" w:pos="1348" w:val="left"/>
        </w:tabs>
        <w:numPr>
          <w:ilvl w:val="0"/>
          <w:numId w:val="6"/>
        </w:numPr>
        <w:rPr>
          <w:rFonts w:ascii="Arial" w:cs="Arial" w:eastAsia="Arial" w:hAnsi="Arial"/>
          <w:sz w:val="17"/>
          <w:szCs w:val="17"/>
          <w:color w:val="auto"/>
        </w:rPr>
      </w:pPr>
      <w:r>
        <w:rPr>
          <w:rFonts w:ascii="Arial" w:cs="Arial" w:eastAsia="Arial" w:hAnsi="Arial"/>
          <w:sz w:val="17"/>
          <w:szCs w:val="17"/>
          <w:color w:val="auto"/>
        </w:rPr>
        <w:t>Upon the consummation of the Merger, subsequent to the balance sheet date, the Company entered into an Amended and Restated Pledge and Security Agreement and an Amended and Restated Guaranty with each of its subsidiaries to guaranty the obligations of I/P under certain Amended and Restated Senior Secured Promissory Note (the “Secured Note”), dated July 19, 2012, by and between I/P and Hudson Bay, an investor in I/P. As of June 30, 2012, the outstanding balance under the Secured Note was $3.2 million. The Secured Note accrues interest at 0.46% per annum and matures on June 22, 2013. From and after the date upon which (i) the Company and its subsidiaries have more than $15 million in the aggregate of cash and cash equivalents, Hudson Bay may require the Company to redeem up to 50% of the outstanding principal amount of the Secured Note, (ii) the Company has more than $20 million in the aggregate of cash and cash equivalents, Hudson Bay may require the Company to redeem up to 100% of the outstanding principal of the Secured Note, and (iii) the Company receive proceeds in excess of $500 thousand in the aggregate from the issuance of any equity or indebtedness, Hudson Bay may require the Company to redeem the outstanding principal under the note in an amount equal to up to 20% of the proceeds of the issuance of any such equity or indebtedness. In addition, the Secured Note provides that in the event of a change of control, Hudson Bay may require the Company to redeem all or any portion of the Secured Note at a price in cash equal to 125% of the amount redeemed. I/P has granted Hudson Bay a security interest in all of its tangible and intangible personal property (including the Lycos’s patents) to secure its obligations under the Secured Note. In connection with the Merger, the Company assumed the Secured Note and guaranteed the obligations thereunder.</w:t>
      </w:r>
    </w:p>
    <w:p>
      <w:pPr>
        <w:spacing w:after="0" w:line="185" w:lineRule="exact"/>
        <w:rPr>
          <w:rFonts w:ascii="Arial" w:cs="Arial" w:eastAsia="Arial" w:hAnsi="Arial"/>
          <w:sz w:val="17"/>
          <w:szCs w:val="17"/>
          <w:color w:val="auto"/>
        </w:rPr>
      </w:pPr>
    </w:p>
    <w:p>
      <w:pPr>
        <w:jc w:val="both"/>
        <w:ind w:left="700" w:hanging="341"/>
        <w:spacing w:after="0" w:line="255" w:lineRule="auto"/>
        <w:tabs>
          <w:tab w:leader="none" w:pos="1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upon the consummation of the Merger and subsequent to the balance sheet date, Hudson Bay committed on June 1, 2012, that, at any time within 18 months following the closing of the Merger it shall provide, upon request, debt financing to the combined company, in the aggregate principal amount of up to $6 million. Hudson Bay’s commitment shall be reduced, on a dollar for dollar basis, by (i) any cash or capital raised by the Company, including, without limitation, through the issuance of any debt, equity and/or securities convertible, exercisable or exchangeable into equity of the Company or the incurrence of indebtedness of the Company and (ii) any cash received by the Company in connection with the exercise of any of its outstanding warrants. Following the fund raised in a registered direct offering, as it is described in Note 8(i) below, the commitment was rescinded, as per the agreement.</w:t>
      </w:r>
    </w:p>
    <w:p>
      <w:pPr>
        <w:spacing w:after="0" w:line="189" w:lineRule="exact"/>
        <w:rPr>
          <w:rFonts w:ascii="Arial" w:cs="Arial" w:eastAsia="Arial" w:hAnsi="Arial"/>
          <w:sz w:val="18"/>
          <w:szCs w:val="18"/>
          <w:color w:val="auto"/>
        </w:rPr>
      </w:pPr>
    </w:p>
    <w:p>
      <w:pPr>
        <w:jc w:val="both"/>
        <w:ind w:left="700" w:hanging="341"/>
        <w:spacing w:after="0" w:line="264" w:lineRule="auto"/>
        <w:tabs>
          <w:tab w:leader="none" w:pos="1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2012, the Company signed a rental agreement for its new headquarters in New York. According to the new agreement, the Company shall pay an annual fee of approximately $137 thousand (subject to certain adjustments). The term of the lease agreement is 3 years and 1 month.</w:t>
      </w:r>
    </w:p>
    <w:p>
      <w:pPr>
        <w:spacing w:after="0" w:line="181" w:lineRule="exact"/>
        <w:rPr>
          <w:rFonts w:ascii="Arial" w:cs="Arial" w:eastAsia="Arial" w:hAnsi="Arial"/>
          <w:sz w:val="18"/>
          <w:szCs w:val="18"/>
          <w:color w:val="auto"/>
        </w:rPr>
      </w:pPr>
    </w:p>
    <w:p>
      <w:pPr>
        <w:jc w:val="both"/>
        <w:ind w:left="700" w:hanging="341"/>
        <w:spacing w:after="0" w:line="276" w:lineRule="auto"/>
        <w:tabs>
          <w:tab w:leader="none" w:pos="134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estimates that the total additional compensation cost, which may also include costs to be absorbed due to option-related tax matters, to be recorded in connection with the impact of acceleration of vesting triggered by the Merger is approximately $1.9 million. The additional cost is to be recognized as a part of the value of consideration transferred in the Merger, as it is described in Note 8 (a). Currently, the Company does not expect to account for any dividend payouts. Moreover, the Company estimates that the effect of acceleration under the new market conditions terms to be immaterial, due to low probability of occurrence. Refer also to Note 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Events—(cont'd)</w:t>
      </w:r>
    </w:p>
    <w:p>
      <w:pPr>
        <w:spacing w:after="0" w:line="229" w:lineRule="exact"/>
        <w:rPr>
          <w:sz w:val="20"/>
          <w:szCs w:val="20"/>
          <w:color w:val="auto"/>
        </w:rPr>
      </w:pPr>
    </w:p>
    <w:p>
      <w:pPr>
        <w:jc w:val="both"/>
        <w:ind w:left="700" w:hanging="341"/>
        <w:spacing w:after="0" w:line="270" w:lineRule="auto"/>
        <w:tabs>
          <w:tab w:leader="none" w:pos="1348" w:val="left"/>
        </w:tabs>
        <w:numPr>
          <w:ilvl w:val="1"/>
          <w:numId w:val="7"/>
        </w:numPr>
        <w:rPr>
          <w:rFonts w:ascii="Arial" w:cs="Arial" w:eastAsia="Arial" w:hAnsi="Arial"/>
          <w:sz w:val="17"/>
          <w:szCs w:val="17"/>
          <w:color w:val="auto"/>
        </w:rPr>
      </w:pPr>
      <w:r>
        <w:rPr>
          <w:rFonts w:ascii="Arial" w:cs="Arial" w:eastAsia="Arial" w:hAnsi="Arial"/>
          <w:sz w:val="17"/>
          <w:szCs w:val="17"/>
          <w:color w:val="auto"/>
        </w:rPr>
        <w:t>On July 19, 2012, the Company’s stockholders approved the 2012 Employee, Director and Consultant Equity Incentive Plan (“2012 Plan”), replacing the existing 2006 Stock Option Plan, which was terminated with the remaining 9.1 million authorized shares thereunder cancelled. The 2012 Plan was replaced in order to ensure full compliance with legal and tax requirements under U.S. law. The number of shares subject to the 2012 Plan is the sum of: (i) 15.6 million shares of common stock, which constitutes 6.5 million new shares and 9.1 million previously authorized but unissued shares under the 2006 Stock Option Plan and (ii) any shares of common stock that are represented by awards granted under Vringo's 2006 Stock Option Plan that are forfeited, expire or are cancelled without delivery of shares of common stock or which result in the forfeiture of shares of common stock back to the Company, or the equivalent of such number of shares after the administrator, in its sole discretion, has interpreted the effect of any stock split, stock dividend, combination, recapitalization or similar transaction in accordance with the 2012 Plan; provided, however, that no more than 3.2 million shares shall be added to the 2012 Plan.</w:t>
      </w:r>
    </w:p>
    <w:p>
      <w:pPr>
        <w:spacing w:after="0" w:line="181" w:lineRule="exact"/>
        <w:rPr>
          <w:rFonts w:ascii="Arial" w:cs="Arial" w:eastAsia="Arial" w:hAnsi="Arial"/>
          <w:sz w:val="17"/>
          <w:szCs w:val="17"/>
          <w:color w:val="auto"/>
        </w:rPr>
      </w:pPr>
    </w:p>
    <w:p>
      <w:pPr>
        <w:jc w:val="both"/>
        <w:ind w:left="700" w:hanging="341"/>
        <w:spacing w:after="0" w:line="255" w:lineRule="auto"/>
        <w:tabs>
          <w:tab w:leader="none" w:pos="1348"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July 26, 2012, the Board approved a new grant of 5.5 million options, at an exercise price range of $3.72-$3.9, and 3.2 million restricted stock unit awards to the Company’s directors, management, employees and consultants to be granted under the recently adopted 2012 Plan (see Note 8 (f) above). These options and restricted stock unit awards will vest over a three to four year period (according to the applicable schedule of each recipient). In addition, the Board approved an acceleration of vesting, in respect of certain grants, upon future change of control. The full impact of these events on the Company’s financial statements has not yet been determined, however, the Company believes that such effect will be material.</w:t>
      </w:r>
    </w:p>
    <w:p>
      <w:pPr>
        <w:spacing w:after="0" w:line="193" w:lineRule="exact"/>
        <w:rPr>
          <w:rFonts w:ascii="Arial" w:cs="Arial" w:eastAsia="Arial" w:hAnsi="Arial"/>
          <w:sz w:val="18"/>
          <w:szCs w:val="18"/>
          <w:color w:val="auto"/>
        </w:rPr>
      </w:pPr>
    </w:p>
    <w:p>
      <w:pPr>
        <w:ind w:left="700" w:right="20" w:hanging="341"/>
        <w:spacing w:after="0" w:line="277" w:lineRule="auto"/>
        <w:tabs>
          <w:tab w:leader="none" w:pos="1348"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July 2012, following the consummation of the Merger, 3,592 of the Company’s Series A Preferred stock shares were converted into approximately 10.8 million of its shares of common stock.</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1308" w:val="left"/>
        </w:tabs>
        <w:numPr>
          <w:ilvl w:val="0"/>
          <w:numId w:val="8"/>
        </w:numPr>
        <w:rPr>
          <w:rFonts w:ascii="Arial" w:cs="Arial" w:eastAsia="Arial" w:hAnsi="Arial"/>
          <w:sz w:val="18"/>
          <w:szCs w:val="18"/>
          <w:color w:val="auto"/>
        </w:rPr>
      </w:pPr>
      <w:r>
        <w:rPr>
          <w:rFonts w:ascii="Arial" w:cs="Arial" w:eastAsia="Arial" w:hAnsi="Arial"/>
          <w:sz w:val="18"/>
          <w:szCs w:val="18"/>
          <w:color w:val="181818"/>
        </w:rPr>
        <w:t>On August 9, 2012, the C</w:t>
      </w:r>
      <w:r>
        <w:rPr>
          <w:rFonts w:ascii="Arial" w:cs="Arial" w:eastAsia="Arial" w:hAnsi="Arial"/>
          <w:sz w:val="18"/>
          <w:szCs w:val="18"/>
          <w:color w:val="000000"/>
        </w:rPr>
        <w:t>ompany entered into subscription agreements for the sale of 9.6 million shares of its common stock in a registered</w:t>
      </w:r>
      <w:r>
        <w:rPr>
          <w:rFonts w:ascii="Arial" w:cs="Arial" w:eastAsia="Arial" w:hAnsi="Arial"/>
          <w:sz w:val="18"/>
          <w:szCs w:val="18"/>
          <w:color w:val="181818"/>
        </w:rPr>
        <w:t xml:space="preserve"> </w:t>
      </w:r>
      <w:r>
        <w:rPr>
          <w:rFonts w:ascii="Arial" w:cs="Arial" w:eastAsia="Arial" w:hAnsi="Arial"/>
          <w:sz w:val="18"/>
          <w:szCs w:val="18"/>
          <w:color w:val="000000"/>
        </w:rPr>
        <w:t>direct offering at a price of $3.25 per share, for gross proceeds of approximately $31.2 million. The Company intends to use the proceeds of the offering to acquire a portfolio of intellectual property from Nokia Corporation, as further described in Note 8 (j) below, to repay all outstanding indebtedness and for its ongoing operational needs.</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1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August 9, 2012, the Company announced that it had entered into a patent purchase agreement with Nokia Corporation, pursuant to which Nokia agreed to sell it a portfolio consisting of various patents and patent applications worldwide. The purchase price for the portfolio is $22 million, plus to the extent that the gross revenue generated by such portfolio exceeds $22 million, a royalty of 35% of such excess. The portfolio encompasses a broad range of technologies relating to cellular infrastructure, including communication management, data and signal transmission, mobility management, radio resources management and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702"/>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30, 2012, our Quarterly Report on Form 10-Q filed on May 15, 2012 and other public reports we filed with the Securities and Exchange Commissions, or the SEC. The forward-looking statements set forth herein speak only as of the date of this report. Except as required by law, we undertake no obligation to update any forward-looking statements to reflect events or circumstances after the date of such statements. In this report, “Vringo,” the “Company,” “we,” “us,” and “our” refer to Vringo,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development stage company. From inception through June 30, 2012, we have raised approximately $35.9 million. These amounts have been used to finance our operations, as until now, we have not yet generated any significant revenues. From inception through June 30, 2012, we recorded losses of $48.4 million and net cash outflow from operations of $31.8 million. Our average monthly cash burn rate from operations for the six month period ended June 30, 2012 was approximately $0.4 million. For the six month period ended June 30, 2012, the operational cash burn also included amounts paid in connection with merger and acquisition activities, in the total amount of approximately $0.6 million.</w:t>
      </w:r>
    </w:p>
    <w:p>
      <w:pPr>
        <w:spacing w:after="0" w:line="173" w:lineRule="exact"/>
        <w:rPr>
          <w:sz w:val="20"/>
          <w:szCs w:val="20"/>
          <w:color w:val="auto"/>
        </w:rPr>
      </w:pPr>
    </w:p>
    <w:p>
      <w:pPr>
        <w:jc w:val="both"/>
        <w:ind w:firstLine="638"/>
        <w:spacing w:after="0" w:line="253" w:lineRule="auto"/>
        <w:rPr>
          <w:sz w:val="20"/>
          <w:szCs w:val="20"/>
          <w:color w:val="auto"/>
        </w:rPr>
      </w:pPr>
      <w:r>
        <w:rPr>
          <w:rFonts w:ascii="Arial" w:cs="Arial" w:eastAsia="Arial" w:hAnsi="Arial"/>
          <w:sz w:val="18"/>
          <w:szCs w:val="18"/>
          <w:color w:val="auto"/>
        </w:rPr>
        <w:t>As of June 30, 2012, we had approximately $3.4 million in cash and cash equivalents. Based on current operating plans, the current resources of the combined company and the $31.2 million received in a private registered direct offering, offset by $22 million paid for the acquisition of patent assets, as described below and in Note 8 to the accompanying financial statements, we expect to have sufficient funds for at least the next twelve months from the balance sheet date. In addition, we may need to raise additional funds in connection with possible acquisitions of patent portfolios or other intellectual property assets that we may pursue. Moreover, a significant portion of our issued and outstanding warrants are currently “in the money” and the shares of common stock underlying such warrants will become freely tradable upon exercise after registration, with the potential of up to $31 million of incoming funds for us. Provided that our stock price remains at or near its current level, we expect that the exercise of these instruments will generate substantial additional funds for our operations. There can be no assurance, however, that any such opportunities will materialize. All of our audited consolidated financial statements since inception have contained a “going concern” reference by our management, expressing substantial doubt about our ability to continue as a going concern.</w:t>
      </w:r>
    </w:p>
    <w:p>
      <w:pPr>
        <w:spacing w:after="0" w:line="195" w:lineRule="exact"/>
        <w:rPr>
          <w:sz w:val="20"/>
          <w:szCs w:val="20"/>
          <w:color w:val="auto"/>
        </w:rPr>
      </w:pPr>
    </w:p>
    <w:p>
      <w:pPr>
        <w:jc w:val="both"/>
        <w:ind w:firstLine="638"/>
        <w:spacing w:after="0" w:line="312"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we are not able to continue as a going concern.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On July 19, 2012 (the “Closing Date”), Innovate/Protect, Inc., a Delaware corporation and an intellectual property firm founded in 2011, whose wholly-owned subsidiary, I/P Engine, holds eight patents that were acquired from Lycos Inc. (“Innovate/Protect”), merged with and into VIP Merger Sub, Inc. (which survived the Merger and changed its name to Innovate/Protect, Inc.) (“Merger Sub”), a Delaware corporation and our wholly-owned subsidiary, pursuant to the terms and conditions of the previously announced Agreement and Plan of Merger, dated as of March 12, 2012 (the “Merger Agreement”), by and among us, Merger Sub and Innovate/Protect (the “Merger”). Innovate/Protect is a holding company, incorporated under the laws of Delaware on June 8, 2011, as Labrador Search Corporation, which holds two wholly-owned subsidiaries: I/P Engine Inc. (“I/P Engine”), formed under the laws of Virginia on June 14, 2011, as Smart Search Labs Inc., which operates for the purpose of realizing economic benefits, and I/P Labs (“I/P Labs”), incorporated in Delaware on June 8, 2011 as Scottish Terrier Capital Inc., which operates to acquire and develop other patented technologies or intellectual property. The combination of the two companies is to substantially increase the Company's intellectual property portfolio, add significant talent in technological innovation, and position it to enhance its opportunities for revenue generation through the monetization of the combined company's assets, including a potential successful outcome of Innovate/Protect 's litigation.</w:t>
      </w:r>
    </w:p>
    <w:p>
      <w:pPr>
        <w:spacing w:after="0" w:line="183"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In connection with the Merger, we issued, as of the Closing Date, our securities to Innovate/Protect’s stockholders in exchange for the capital stock owned by Innovate/Protect’s stockholders, as follows: (i) an aggregate of 18,617,569 shares of our common stock, par value $0.01 per share, (ii) an aggregate of 6,673 shares of our Series A Preferred Stock, par value $0.01 per share, convertible into an aggregate of 20,136,445 shares of our common stock, with such powers, designations, preferences and other rights as set forth in the Certificate of Designations, Preferences and Rights of Series A Convertible Preferred Stock we filed with the Secretary of State of the State of Delaware, (iii) an aggregate of 8,299,116 Series 1 warrants to purchase up to an aggregate 8,299,116 shares of our common stock, with an exercise price of $1.76 per share and expiring on July 19, 2017, and (iv) an aggregate of 7,660,722 Series 2 warrants to purchase up to an aggregate of 7,660,722 shares of our common stock, with an exercise price of $1.76 per share and expiring on July 19, 2017. In addition, we assumed an option to purchase an aggregate of 41,178 shares of our common stock, in accordance with the terms of the Innovate/Protect 2011 Equity Incentive Plan, at an exercise price of $0.994 per share, in exchange for the outstanding and unexercised stock option to purchase shares of Innovate/Protect’s common stock.</w:t>
      </w:r>
    </w:p>
    <w:p>
      <w:pPr>
        <w:spacing w:after="0" w:line="178" w:lineRule="exact"/>
        <w:rPr>
          <w:sz w:val="20"/>
          <w:szCs w:val="20"/>
          <w:color w:val="auto"/>
        </w:rPr>
      </w:pPr>
    </w:p>
    <w:p>
      <w:pPr>
        <w:jc w:val="both"/>
        <w:ind w:right="20" w:firstLine="638"/>
        <w:spacing w:after="0" w:line="279" w:lineRule="auto"/>
        <w:rPr>
          <w:sz w:val="20"/>
          <w:szCs w:val="20"/>
          <w:color w:val="auto"/>
        </w:rPr>
      </w:pPr>
      <w:r>
        <w:rPr>
          <w:rFonts w:ascii="Arial" w:cs="Arial" w:eastAsia="Arial" w:hAnsi="Arial"/>
          <w:sz w:val="17"/>
          <w:szCs w:val="17"/>
          <w:color w:val="auto"/>
        </w:rPr>
        <w:t>As a result of the consummation of the Merger, as of the closing date, the former stockholders of Innovate/Protect owned approximately 55.04% of the outstanding shares of our common stock (or 67.61% of the outstanding shares of our common stock calculated on a fully diluted basis) and our stockholders prior to the Merger owned approximately 44.96% of the outstanding shares of our common stock (or 32.39% of the outstanding shares of our common stock calculated on a fully diluted basis) and a change of control may be deemed to have occurred.</w:t>
      </w:r>
    </w:p>
    <w:p>
      <w:pPr>
        <w:spacing w:after="0" w:line="171"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For accounting purposes, Innovate/Protect was identified as the accounting “Acquirer”, as it is defined in FASB Topic ASC 805. As a result, in the post-combination consolidated financial statements, as of the third quarter 2012, Innovate/Protect’s assets and liabilities will be presented at its pre-combination amounts, and our assets and liabilities will be recognized and measured in accordance with the guidance for business combinations in ASC 805. The full accounting implications of the Merger have not yet been determined.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 of Debt</w:t>
      </w:r>
    </w:p>
    <w:p>
      <w:pPr>
        <w:spacing w:after="0" w:line="229" w:lineRule="exact"/>
        <w:rPr>
          <w:sz w:val="20"/>
          <w:szCs w:val="20"/>
          <w:color w:val="auto"/>
        </w:rPr>
      </w:pPr>
    </w:p>
    <w:p>
      <w:pPr>
        <w:jc w:val="both"/>
        <w:ind w:firstLine="638"/>
        <w:spacing w:after="0" w:line="268" w:lineRule="auto"/>
        <w:rPr>
          <w:sz w:val="20"/>
          <w:szCs w:val="20"/>
          <w:color w:val="auto"/>
        </w:rPr>
      </w:pPr>
      <w:r>
        <w:rPr>
          <w:rFonts w:ascii="Arial" w:cs="Arial" w:eastAsia="Arial" w:hAnsi="Arial"/>
          <w:sz w:val="17"/>
          <w:szCs w:val="17"/>
          <w:color w:val="auto"/>
        </w:rPr>
        <w:t>On July 19, 2012, in connection with the consummation of the Merger and in accordance with the Merger Agreement, we entered into an Amended and Restated Pledge and Security Agreement and an Amended and Restated Guaranty with each of our subsidiaries to guaranty the obligations of Innovate/Protect under that certain Amended and Restated Senior Secured Promissory Note (the “Secured Note”), dated July 19, 2012, by and between Innovate/Protect and its principal stockholder prior to the completion of the Merger, Hudson Bay Master Fund Ltd. (“Hudson Bay”). As of the Closing Date, the outstanding balance under the Secured Note is $3.2 million. The Secured Note accrues interest at 0.46% per annum and matures on June 22, 2013. From and after the date upon which (i) we and our subsidiaries have more than $15 million in the aggregate of cash and cash equivalents, Hudson Bay may require us to redeem up to 50% of the outstanding principal amount of the Secured Note, (ii) we and our subsidiaries have more than $20 million in the aggregate of cash and cash equivalents, Hudson Bay may require us to redeem up to 100% of the outstanding principal of the Secured Note, (iii) we and our subsidiaries receive proceeds in excess of $500 thousand in the aggregate from the issuance of any equity or indebtedness, Hudson Bay may require us to redeem the outstanding principal under the note in an amount equal to up to 20% of the proceeds of the issuance of any such equity or indebtedness. In addition, the Secured Note provides that in the event of a change of control, Hudson Bay may require us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we have assumed the Secured Note and guarantied the obligations thereunder.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jc w:val="both"/>
        <w:ind w:firstLine="638"/>
        <w:spacing w:after="0" w:line="271" w:lineRule="auto"/>
        <w:rPr>
          <w:sz w:val="20"/>
          <w:szCs w:val="20"/>
          <w:color w:val="auto"/>
        </w:rPr>
      </w:pPr>
      <w:r>
        <w:rPr>
          <w:rFonts w:ascii="Arial" w:cs="Arial" w:eastAsia="Arial" w:hAnsi="Arial"/>
          <w:sz w:val="17"/>
          <w:szCs w:val="17"/>
          <w:color w:val="auto"/>
        </w:rPr>
        <w:t>On June 1, 2012, Hudson Bay committed, subject to the terms and conditions of a commitment letter agreement (the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 million. Hudson Bay’s commitment shall be reduced, on a dollar for dollar basis, by (i) any cash or capital raised by us,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Following the fund raised in a registered direct offering, as it is described below and in Note 8(i), the commitment was rescinded, as per the terms of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Hudson Bay Letter Agreement</w:t>
      </w:r>
    </w:p>
    <w:p>
      <w:pPr>
        <w:spacing w:after="0" w:line="229"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Following the closing of the Merger, on July 19, 2012, we sent notice of termination to Hudson Bay to terminate that certain letter agreement, by and between us and Hudson Bay, dated as of March 12, 2012, which provided, among other things, restrictions on the number of shares of our common stock that Hudson Bay may sell and a right of Hudson Bay to participate in up to 25% of certain offerings conducted by us. Pursuant to the terms of such agreement, we must continue to comply with the provisions relating to Hudson Bay’s participation in up to 25% of certain offerings until 30 days following the termination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Registered Direct Offering</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10, 2012, we completed the sale of 9.6 million shares of our common stock in a registered direct offering, at a purchase price of $3.25 per share, to certain investors in a privately negotiated transaction in which no party acted as an underwriter or placement agent. The total proceeds to us from the sale of our shares was $31.2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Nokia Patent Purchase Agreement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181818"/>
        </w:rPr>
        <w:t>On August 9, 2012, we entered into a Patent Purchase Agreement with Nokia pursuant to which Nokia agreed to sell us a portfolio consisting of over 500 patents and patent applications worldwide, including 109 issued United States patents. We agreed to compensate Nokia with a cash payment and certain ongoing rights in revenues generated from the patent portfolio. The portfolio encompasses a broad range of technologies relating to cellular infrastructure, including communication management, data and signal transmission, mobility management, radio resources management and services. Thirty-one of the 124 patent families to be acquired have been declared essential by Nokia to wireless communications standards. Standards represented in the portfolio are commonly known as 2G, 2.5G, 3G and 4G and related technologies and include GSM, WCDMA, T63, T64, DECT, IETF, LTE, SAE, and OMA. The purchase price for the portfolio is $22 million, plus to the extent that the gross revenue (as defined in the purchase agreement) generated by such portfolio exceeds $22 million, a royalty of 35% of such excess. The $22 million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 Because all of the foregoing actions are within our sole control, we do not expect to be obligated to pay any such impairment payment.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Stock Options and RSUs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181818"/>
        </w:rPr>
        <w:t>On July 26, 2012, we granted to our directors, executive officers and certain of our employees options to purchase an aggregate of approximately 5.5 million shares of common stock and an aggregate of 3.2 million shares of common stock in the form of restricted stock units (RSUs) pursuant to our 2012 Employee, Director and Consultant Equity Incentive Plan (“2012 Plan”). Of such grants to our executive officers and directors, Andrew Perlman, our Chief Executive Officer and a director, received options to purchase 1,275 thousand shares and 675 thousand shares subject to RSUs; Andrew Kennedy Lang, our Chief Technology Officer, President and a director, received options to purchase 250 thousand shares and 125 thousand shares subject to RSUs; Alexander Berger, our Chief Operating Officer and a director, received options to purchase 1,275 thousand shares and 675 thousand shares subject to RSUs; and Ellen Cohl, our Chief Financial Officer, received options to purchase 200 thousand shares and 100 thousand shares subject to RSUs; Seth M. Siegel, our non-executive Chairman of the Board of Directors, received options to purchase 125 thousand shares and 300 thousand shares subject to RSUs; Donald E. Stout, a non-executive director, received options to purchase 125 thousand shares and 225 thousand shares subject to RSUs; H. Van Sinclair, a non-executive director, received options to purchase 125 thousand shares and 225 thousand shares subject to RSUs; and John Engelman, a non-executive director, received options to purchase 125 thousand shares and 225 thousand shares subject to RSUs. All of such options have an exercise price of $3.72 per share (the closing price of our common stock on July 26, 2012) and vest over a three year period, with 1/12 of the options vesting ratably over the three year period commencing on July 26, 2012. The RSUs granted to executive officers vest over a four year period, with 1/8 of the RSUs vesting on January 26, 2013 and 1/16 of the RSUs vesting ratably on a quarterly basis thereafter. The RSUs granted to our nonexecutive directors vest over a three year period, with 1/6 of the restricted stock units vesting on January 26, 2013 and 1/12 of the restricted stock units vesting ratably on a quarterly basis thereafter.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Following the Merger</w:t>
      </w:r>
    </w:p>
    <w:p>
      <w:pPr>
        <w:spacing w:after="0" w:line="229"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Following the Merger, we intend to attempt to maximize the economic benefits of its intellectual property portfolio, add significant talent in technological innovation, and potentially enhance its opportunities for revenue generation through the monetization of the combined company’s assets, including patents owned by Innovate/Protect and the outcome of the litigation against online search companies.</w:t>
      </w:r>
    </w:p>
    <w:p>
      <w:pPr>
        <w:spacing w:after="0" w:line="181"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We expect to undergo changes in connection with the Merger. Prior to the Merger, we were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we will have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w:t>
      </w:r>
    </w:p>
    <w:p>
      <w:pPr>
        <w:sectPr>
          <w:pgSz w:w="11900" w:h="16838" w:orient="portrait"/>
          <w:cols w:equalWidth="0" w:num="1">
            <w:col w:w="11420"/>
          </w:cols>
          <w:pgMar w:left="240" w:top="881" w:right="239" w:bottom="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We expect that the combined company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11"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Wey believe that its technology and business relationships will allow it to distribute new applications and services through:</w:t>
      </w:r>
    </w:p>
    <w:p>
      <w:pPr>
        <w:spacing w:after="0" w:line="170"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ind w:firstLine="638"/>
        <w:spacing w:after="0" w:line="264" w:lineRule="auto"/>
        <w:rPr>
          <w:sz w:val="20"/>
          <w:szCs w:val="20"/>
          <w:color w:val="auto"/>
        </w:rPr>
      </w:pPr>
      <w:r>
        <w:rPr>
          <w:rFonts w:ascii="Arial" w:cs="Arial" w:eastAsia="Arial" w:hAnsi="Arial"/>
          <w:sz w:val="18"/>
          <w:szCs w:val="18"/>
          <w:color w:val="auto"/>
        </w:rPr>
        <w:t>We intend to expand its intellectual property portfolio through both internal development and acquisition. We believe that the experience and liquidity of the combined company will enable it to expand its intellectual property portfolio as well as create additional intellectually property internally. We intend to monetize its intellectual property through:</w:t>
      </w:r>
    </w:p>
    <w:p>
      <w:pPr>
        <w:spacing w:after="0" w:line="181"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181818"/>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On August 9, 2012, we entered into a Patent Purchase Agreement with Nokia Corporation (“Nokia”) pursuant to which we have agreed to acquire a portfolio consisting of 124 patent families comprising over 500 patents and patent applications worldwide including 109 issued United States patents. Of the proceeds from this offering, $22 million will be used to make such acquisition. There is no assurance that we will succeed in acquiring any such additional portfolios, as to the terms of any such acquisition or that we will successfully monetize any portfolio that we acquire, including the patent portfolio that we acquire from Nokia.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Innovate/Protect’s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Innovate/Protect is a company focused on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Innovate/Protect’s management team and board of directors were comprised of accomplished inventors, experienced investors and persons it believes are leaders in the intellectual property enforcement industry. Innovate/Protect’s management team has access to leading patent attorneys, patent brokers, company liquidators and others who will assist Innovate/Protect in exploring, acquiring, developing and monetizing intellectual property assets. Innovate/Protect believes that the depth and experience of its management provides Innovate/Protect with important competitive strengths as it seeks to execute and expand its business model.</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Innovate/Protect’s present operations are limited to prosecuting its initial claims relating to the Lycos’s patents, its plan of operation over the next 12 months, in addition to continuing the prosecution of such claims, will be to expand its business through acquisitions of additional patent and other intellectual property assets that it will seek to monetize.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Innovate/Protect was incorporated under the laws of the State of Delaware on June 8, 2011. On September 6, 2011, it changed its name from Labrador Search Corporation to Innovate/Protect, Inc. Innovate/Protect has two wholly-owned subsidiaries, I/P Engine and I/P Labs. I/P Engine was incorporated in Virginia on June 14, 2011 under the name Smart Search Labs, Inc. and its name was changed from Smart Search Labs, Inc. to I/P Engine, Inc. in September 2011. I/P Labs was incorporated in Delaware on June 8, 2011 under the name Scottish Terrier Capital, Inc. and its name was changed from Scottish Terrier Capital, Inc. to I/P Labs, Inc. in September 2011.</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formation in June 2011, Innovate/Protect acquired its initial patent assets from Lycos through its wholly-owned subsidiary, I/P Engine. Such assets were comprised of eight patents (the “Lycos Patents”) relating to information filtering and search technologies. As described further below, Innovate/Protect is initially seeking to monetize the Lycos Patents through litigation.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mid-to-late 1990s, the amount of content (e.g., web pages) available on the Internet was relatively small compared to today. Users frequently accessed Internet web pages by visiting portal sites, which presented content categorized into directories through which the users could select links to available web pages. Lycos was one of the leading portal sites of this time, which initially launched its website in 1994. Lycos’ website included a directory-based portal and a query-based search engine, pursuant to which both systems provided access to its content catalog. By 1996, Lycos’ content catalog had grown substantially and it was one of the largest websites of its kind. Other large portal search sites at the time also maintained large content catalogs. As the volume of available Internet content continued to grow, manual categorization processes presented efficiency and resource challenges in terms of the amount of material to be categorized and the accuracy of such categorization.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ind w:firstLine="648"/>
        <w:spacing w:after="0" w:line="271" w:lineRule="auto"/>
        <w:rPr>
          <w:sz w:val="20"/>
          <w:szCs w:val="20"/>
          <w:color w:val="auto"/>
        </w:rPr>
      </w:pPr>
      <w:r>
        <w:rPr>
          <w:rFonts w:ascii="Arial" w:cs="Arial" w:eastAsia="Arial" w:hAnsi="Arial"/>
          <w:sz w:val="17"/>
          <w:szCs w:val="17"/>
          <w:color w:val="auto"/>
        </w:rPr>
        <w:t>Lycos engaged WiseWire Corporation, which was formed by Mr. Lang (after the Merger, the President and Chief Technology Officer at Vringo) in 1995 and also employed Mr. Kosak, to develop filtering techniques to more efficiently, and automatically, categorize content for Lycos’ directories. Messrs. Lang and Kosak adapted their filtering techniques to apply to search systems and invented filtering systems and methods that filter items such as web pages and advertisements for content relevancy to a search query (known as a wire). Messrs. Lang and Kosak’s inventions incorporate feedback information from prior users, and in filtering the items, combine the provided feedback information with the content relevancy information to determine whether (or where) an item should be included, or ranked, in a search results response to the query or the wire. After working together on several projects for Lycos’ website, Lycos acquired WiseWire for $39.75 million. Messrs. Lang and Kosak then joined Lycos, with Mr. Lang as Chief Technology Officer and Mr. Kosak as Senior Director of Engineering. Mr. Kosak later became Lycos’ Chief Technology Officer.</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through the Merger we will create a company with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("AOL"), Google, Inc. ("Google"), IAC Search &amp; Media, Inc. ("IAC"), Gannett Company, Inc. ("Gannett"), and Target Corporation ("Target")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jc w:val="both"/>
        <w:ind w:firstLine="731"/>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491" w:gutter="0" w:footer="0" w:header="0"/>
        </w:sectPr>
      </w:pPr>
    </w:p>
    <w:bookmarkStart w:id="26" w:name="page27"/>
    <w:bookmarkEnd w:id="26"/>
    <w:p>
      <w:pPr>
        <w:jc w:val="both"/>
        <w:ind w:firstLine="648"/>
        <w:spacing w:after="0" w:line="272"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was filed by Vringo with the Securities and Exchange Commission.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25, 2012, the parties exchanged expert reports. By August 29, 2012, the parties will exchange expert disclosures intended to respond to, contract or rebut evidence on the same subject matter disclosed by the other party. Innovate/Protect expects that defendants will make several attempts to avoid trial.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30, 2012, I/P Engine and AOL Inc. entered into a partial settlement agreement, which resulted in I/P Engine granting a partial release of AOL as to certain claims raised in the lawsuit in exchange for $100 thousand. AOL remains a defendant in the proceeding.</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2, 2012, I/P Engine and defendants Google and IAC agreed to dismiss the patent infringement claims as to Google Search and IAC's Ask Sponsored Listings. For the avoidance of doubt, the patent infringement claims being dismissed explicitly excluded, and I/P Engine explicitly reserved and retained all rights and remedies with respect to, any and all other claims asserted in the present litigation including, without limitation, the patent infringement claims as to Google AdWords, Google AdSense for Search, Google AdSense for Mobile Search and AOL’s Search Marketplace.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case remains scheduled for trial on October 16,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Business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video ringtone platform was our primary product of focus from inception through the launch of our Facetones product in the third quarter of 2011. We continue to develop business for this product.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Furthermore, our solution,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VringForward™ video ringtone technology allows users to enjoy a rich social experience by sharing video ringtones from our library or which they created.</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Until the end of 2009, our video ringtone service was offered to consumers for free. At that point, we moved to a paid service model together with mobile carriers and other partners around the world. The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three of which have been issued in the United States and we have received one notice of allowance in Europe to date, and we continue to create new intellectual property.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August 14, 2012, we have commercial video ringtone services with the following eight carriers and partners.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Celcom AxiataBerhad, or Celcom, a mobile carrier in Malaysia, with 11.0 million subscribers. Celcom is one of the largest mobile telecommunications operators in Malaysia with the widest national 2G and 3G coverage in the country, with 26 thousand subscribers to our paid service. Celcom is a Vodafone partner and is part of the Axiata Group of Companies, one of the world’s largest telecommunications companies with more than 160 million customers across 10 Asian markets (launched in October 2011);</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105 thousand subscribers to our paid service and an additional 7 thousand subscribers on a free trial basis (launched in September 2009);</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and which has more than 94.0 million subscribers worldwide, where we have launched our products and services and have 23 thousand subscribers to our paid service, (launched in January 2010);</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Everything Everywhere Limited (EEL), a mobile carrier with almost 30.0 million subscribers in the United Kingdom. Our video ringtone platform launched was with Orange UK, a large mobile communications company and subsidiary of EEL, with 16.0 million subscribers and we have 38 thousand subscribers to our paid service (launched in February 2011);</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Starhub, a mobile carrier with 2.0 million subscribers in Singapore (initially launched in February 2011 and re-launched in the first quarter 2012);</w:t>
      </w:r>
    </w:p>
    <w:p>
      <w:pPr>
        <w:spacing w:after="0" w:line="24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RTL in Belgium, part of the Bertelsman RTL Television network, has offered together with us, a subscription service on all three Belgian mobile operators (with a combined subscriber base of 1 million) that includes RTL content (launched in June 2010 with limited subscribers due to regulatory limitations introduced on mobile services);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Hungama, a content and mobile services aggregator in India. The service with Hungama is being offered to customers of 15 different mobile carriers in India. Our paid service was on temporary hold as a result of regional legalities in India, however we re-launched the service in March 2012 in partnership with Hungama and Tata DOCOMO and we have 9 thousand subscribers to our paid service.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Emirates Integrated Telecommunications Company (du Networks), a mobile carrier with 5.0 million subscribers in the United Arab Emirates, where</w:t>
      </w:r>
    </w:p>
    <w:p>
      <w:pPr>
        <w:sectPr>
          <w:pgSz w:w="11900" w:h="16838" w:orient="portrait"/>
          <w:cols w:equalWidth="0" w:num="1">
            <w:col w:w="11420"/>
          </w:cols>
          <w:pgMar w:left="240" w:top="881" w:right="239" w:bottom="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we have launched our products and services in February 2012.</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 with a focus on Android-based apps as the cornerstone for future subscriber services. As of August 14, 2012, our partners have an aggregate of approximately 700 million subscribers, of which 227 thousand are paid subscribers to our service, and another 9 thousand subscribers have enrolled on a free-trial basis.</w:t>
      </w:r>
    </w:p>
    <w:p>
      <w:pPr>
        <w:spacing w:after="0" w:line="187" w:lineRule="exact"/>
        <w:rPr>
          <w:sz w:val="20"/>
          <w:szCs w:val="20"/>
          <w:color w:val="auto"/>
        </w:rPr>
      </w:pPr>
    </w:p>
    <w:p>
      <w:pPr>
        <w:jc w:val="both"/>
        <w:ind w:firstLine="544"/>
        <w:spacing w:after="0" w:line="257" w:lineRule="auto"/>
        <w:rPr>
          <w:sz w:val="20"/>
          <w:szCs w:val="20"/>
          <w:color w:val="auto"/>
        </w:rPr>
      </w:pPr>
      <w:r>
        <w:rPr>
          <w:rFonts w:ascii="Arial" w:cs="Arial" w:eastAsia="Arial" w:hAnsi="Arial"/>
          <w:sz w:val="18"/>
          <w:szCs w:val="18"/>
          <w:color w:val="auto"/>
        </w:rPr>
        <w:t>Our new Facetones®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 visually displayed. The Facetones® product is available for devices running Android, iOS, and Nokia’s Symbian S3. We are currently working together with mobile handset makers to develop this application for other operating systems.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Facetones® is experiencing growth both in consumer downloads and in the number of commercial deals with major partners already announced. The product is being made available to consumers in several different configurations and with a variety of distribution and monetization methods. As of May 5, 2012, the Facetones® free ad-supported version had more than a million downloads and is generating more than 3.8 million requests in mobile ad inventory on a weekly basis.</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Facetones® is offered directly to consumers via leading mobile application stores and download sites where both for purchase versions (at prices ranging from $1 to $5), as well as ad-supported free versions are available. Facetones is available in application stores integrated into popular handsets such as the Google Android Market and Apple App Store. We have announced placement deals for the app with GetJar, the world’s largest independent app store, Mobango and AppBrain. In August 2011, we launched Facetones® in Japan for Android users through the DOCOMO market, a mobile internet portal operated by NTT DOCOMO, INC., the largest mobile phone operator in Japan, with more than 50 million users. In October 2011, Verizon, the largest mobile operator in the United States, announced the launch of Facetones® as a subscription service for Verizon subscribers for $0.99 a month.</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continue to pursue business for Facetones® together with handset manufacturers. In May 2011, we entered into our first formal development agreement with Nokia for Facetones and in December 2011, we launched Facetones® for Symbian (specifically the S3 family of devices) in cooperation with Nokia. In January 2012, we launched Facetones® for iPhone which generates, as of the end of February 2012, close to a thousand daily downloads without any promotion. In March 2012, we shifted from providing an ad-based free-of-charge app for iPhone to a one-time fee ads-free app, and we are continually monitoring and adjusting the model based on our business needs. In June 2012, we entered into an agreement with Nokia to develop a unique version of Facetones® for its latest series of handsets, the Series 40 Full Touch devices which are part of the Asha feature-phone family. This project is due for completion in the fourth quarter of 2012 and will target emerging markets such as India, Africa, and South America.</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our direct to consumer and carrier marketed versions of the Facetones® application, we believe that licensing our software to handset makers will provide a growing and significant revenue stream during 2012 and beyond. In November 2011, we announced an agreement with ZTE Corporation, the largest handset maker in China and fourth-largest globally, to preload the Facetones® application on Android handsets manufactured by ZTE. ZTE will pay us a royalty for each device that our software is pre-loaded on. These ZTE handsets will be sold via mobile phone operators and through various OEM contracts to brand name handset manufacturers. The initial launch of the Facetones® preload has been announced with the release of ZTE’s GrandX devices in the United Kingdom scheduled for August 2012 and will include thousands of devices under the ZTE brand being distributed via commercial channels as well as OEM devices being sold through to mobile phone service providers.</w:t>
      </w:r>
    </w:p>
    <w:p>
      <w:pPr>
        <w:spacing w:after="0" w:line="178" w:lineRule="exact"/>
        <w:rPr>
          <w:sz w:val="20"/>
          <w:szCs w:val="20"/>
          <w:color w:val="auto"/>
        </w:rPr>
      </w:pPr>
    </w:p>
    <w:p>
      <w:pPr>
        <w:jc w:val="both"/>
        <w:ind w:firstLine="734"/>
        <w:spacing w:after="0" w:line="272" w:lineRule="auto"/>
        <w:rPr>
          <w:sz w:val="20"/>
          <w:szCs w:val="20"/>
          <w:color w:val="auto"/>
        </w:rPr>
      </w:pPr>
      <w:r>
        <w:rPr>
          <w:rFonts w:ascii="Arial" w:cs="Arial" w:eastAsia="Arial" w:hAnsi="Arial"/>
          <w:sz w:val="17"/>
          <w:szCs w:val="17"/>
          <w:color w:val="auto"/>
        </w:rPr>
        <w:t>Our Fan Loyalty platform was launched in mid-2011 by co-branding our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featured exclusive content and fully integrated live voting capabilities for the blockbuster "Star Academy" reality music show, which reached over 300 million viewers and was available in over 10 countries in the region. In the first quarter of 2012, we entered into an agreement with Endemol, a producer of entertainment and reality TV programming, to collaborate on additional sponsored versions of this application.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Fan Loyalty application for Star Academy was made available exclusively for download on the Ovi Store, and had more than 200 thousand downloads during the season. We continue to attempt to develop opportunities with Endemol, as well as with several other entertainment groups regarding potential deals for this Fan Loyalty platform.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2012, we had 26 full time employees and 2 part-time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expressly set forth in this Quarterly Report on Form 10-Q, the information presented in this report does not give effect to the Merger.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recognize revenue from monthly subscription from carriers, development projects and content sales when all the conditions for revenue recognition are met: (i) persuasive evidence of an arrangement exists, (ii) collection of the fee is probable, (iii) the sales price is fixed and determinable and</w:t>
      </w:r>
    </w:p>
    <w:p>
      <w:pPr>
        <w:jc w:val="both"/>
        <w:ind w:firstLine="8"/>
        <w:spacing w:after="0" w:line="290" w:lineRule="auto"/>
        <w:tabs>
          <w:tab w:leader="none" w:pos="3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delivery has occurred or services have been rendered. Our subscription service arrangements are evidenced by a written document signed by both parties. Our revenues from monthly subscription fees, content purchases and advertisement revenues are recognized when we have received confirmation that the amount is due to us, which provides proof that the services have been rendered, and making collection probable. We recognize revenue from non-refundable up-front fees relating to set-up and billing integration across the period of the contract for the subscription service as these fees are part of hosting solution that we provide to the carrier. The hosting is provided on our servers for the entire period of the arrangement with this carrier, and the revenues relating to the monthly subscription, set-up fees and billing integration have been recognized over the period in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primarily of third party expenses directly related to providing our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 and marketing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706"/>
        <w:spacing w:after="0" w:line="264"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labor cost incurred in connection with customer integration, server and support functions for our development environment.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Marketing expenses include the salary of all business development and marketing personnel, travel expenses relating to business development activity and trade shows, as well as public relations, advertising, ongoing customer relations and customer acquisition expenses. As we increase our sales, certain commissions to agents will affect marketing expenses.</w:t>
      </w:r>
    </w:p>
    <w:p>
      <w:pPr>
        <w:sectPr>
          <w:pgSz w:w="11900" w:h="16838" w:orient="portrait"/>
          <w:cols w:equalWidth="0" w:num="1">
            <w:col w:w="11420"/>
          </w:cols>
          <w:pgMar w:left="240" w:top="881"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primarily include the salary of our finance and administrative personnel, rental costs, legal and accounting fees, insurance, telephone and other office expenses including depreciation and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and the Conversion Warrants, which are highly influenced by our stock price at the period end (revaluation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in Israel. At June 30, 2012, our deferred tax assets generated from our U.S. activities were entirely offset by a valuation allowance because realization depends on generating future taxable income, which, in our estimation, is not more likely than not to be generated. The deferred tax assets and liabilities generated from our subsidiary in Israel's operations are not offset by an allowance, as in our estimation, they are more likely than not to be realized.</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subsidiary in Israel generates net taxable income from services it provides to us. The subsidiary in Israel charges us for research, development, certain management and other services provided to us, plus a profit margin on such costs, which is currently 8%. On December 5, 2011, the Knesset (Israel’s Parliament) approved the Law to Change the Tax Burden (Legislative Amendments) - 2011. According to the new law, the corporate tax rate will be 25% starting in 2012. However, the subsidiary in Israel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in Israel elected to receive the zero percent tax benefits for the fiscal years of 2007-2008. In January 2011, new legislation amending the Investment Law was enacted. According to the amendment, the uniform tax rate applicable to a “Beneficiary Enterprise” in the zone where the production facilities of the subsidiary in Israel are located would be 15% in 2011 and 2012, 12.5% in 2013 and 2014, and 12% in 2015 and thereafter. Under the transitory provisions of the newly legislated amendment, the subsidiary in Israel irrevocably implemented the new law while waiving benefits provided under the current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and Six Months ended June 30, 2012 and 2011 and the development stage period (cumulative from inception through June 30, 2012)</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analysis compares the results of our operations for the three and six month period ended June 30, 2012, to the results of operations for the three and six month period ended June 30, 2011 and the results of our operations from inception through June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72" w:lineRule="exact"/>
        <w:rPr>
          <w:sz w:val="20"/>
          <w:szCs w:val="20"/>
          <w:color w:val="auto"/>
        </w:rPr>
      </w:pPr>
    </w:p>
    <w:tbl>
      <w:tblPr>
        <w:tblLayout w:type="fixed"/>
        <w:tblInd w:w="6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Cumulative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from inception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Three months Ended 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color w:val="auto"/>
                <w:w w:val="91"/>
              </w:rPr>
              <w:t>Six months Ended June 30,</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56"/>
        </w:trPr>
        <w:tc>
          <w:tcPr>
            <w:tcW w:w="2260" w:type="dxa"/>
            <w:vAlign w:val="bottom"/>
            <w:gridSpan w:val="2"/>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ind w:left="40"/>
              <w:spacing w:after="0" w:line="155" w:lineRule="exact"/>
              <w:rPr>
                <w:sz w:val="20"/>
                <w:szCs w:val="20"/>
                <w:color w:val="auto"/>
              </w:rPr>
            </w:pPr>
            <w:r>
              <w:rPr>
                <w:rFonts w:ascii="Arial" w:cs="Arial" w:eastAsia="Arial" w:hAnsi="Arial"/>
                <w:sz w:val="14"/>
                <w:szCs w:val="14"/>
                <w:color w:val="auto"/>
              </w:rPr>
              <w:t>Change</w:t>
            </w:r>
          </w:p>
        </w:tc>
        <w:tc>
          <w:tcPr>
            <w:tcW w:w="180" w:type="dxa"/>
            <w:vAlign w:val="bottom"/>
          </w:tcPr>
          <w:p>
            <w:pPr>
              <w:spacing w:after="0"/>
              <w:rPr>
                <w:sz w:val="13"/>
                <w:szCs w:val="13"/>
                <w:color w:val="auto"/>
              </w:rPr>
            </w:pPr>
          </w:p>
        </w:tc>
        <w:tc>
          <w:tcPr>
            <w:tcW w:w="92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3"/>
                <w:szCs w:val="13"/>
                <w:color w:val="auto"/>
              </w:rPr>
            </w:pPr>
          </w:p>
        </w:tc>
        <w:tc>
          <w:tcPr>
            <w:tcW w:w="1100" w:type="dxa"/>
            <w:vAlign w:val="bottom"/>
            <w:gridSpan w:val="2"/>
          </w:tcPr>
          <w:p>
            <w:pPr>
              <w:jc w:val="center"/>
              <w:ind w:left="28"/>
              <w:spacing w:after="0" w:line="155" w:lineRule="exact"/>
              <w:rPr>
                <w:sz w:val="20"/>
                <w:szCs w:val="20"/>
                <w:color w:val="auto"/>
              </w:rPr>
            </w:pPr>
            <w:r>
              <w:rPr>
                <w:rFonts w:ascii="Arial" w:cs="Arial" w:eastAsia="Arial" w:hAnsi="Arial"/>
                <w:sz w:val="14"/>
                <w:szCs w:val="14"/>
                <w:color w:val="auto"/>
                <w:w w:val="89"/>
              </w:rPr>
              <w:t>2011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Arial" w:cs="Arial" w:eastAsia="Arial" w:hAnsi="Arial"/>
                <w:sz w:val="14"/>
                <w:szCs w:val="14"/>
                <w:color w:val="auto"/>
              </w:rPr>
              <w:t>Change</w:t>
            </w:r>
          </w:p>
        </w:tc>
        <w:tc>
          <w:tcPr>
            <w:tcW w:w="18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 in thousands)</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 in thousands)</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FFCC"/>
          </w:tcPr>
          <w:p>
            <w:pPr>
              <w:jc w:val="right"/>
              <w:ind w:right="2348"/>
              <w:spacing w:after="0" w:line="149" w:lineRule="exact"/>
              <w:rPr>
                <w:sz w:val="20"/>
                <w:szCs w:val="20"/>
                <w:color w:val="auto"/>
              </w:rPr>
            </w:pPr>
            <w:r>
              <w:rPr>
                <w:rFonts w:ascii="Arial" w:cs="Arial" w:eastAsia="Arial" w:hAnsi="Arial"/>
                <w:sz w:val="14"/>
                <w:szCs w:val="14"/>
                <w:color w:val="auto"/>
                <w:w w:val="82"/>
              </w:rPr>
              <w:t>Revenue</w:t>
            </w:r>
          </w:p>
        </w:tc>
        <w:tc>
          <w:tcPr>
            <w:tcW w:w="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227</w:t>
            </w:r>
          </w:p>
        </w:tc>
        <w:tc>
          <w:tcPr>
            <w:tcW w:w="18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10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206</w:t>
            </w:r>
          </w:p>
        </w:tc>
        <w:tc>
          <w:tcPr>
            <w:tcW w:w="130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374</w:t>
            </w: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12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Compared to Three Months Ended June 30, 2011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 period ended June 30, 2012, we recorded revenues of $100 thousand, which represents a decrease of $127 thousand (or -56%) from revenues recorded for the three month period ended June 30, 2011. The decrease was primarily due to: (i) a decrease in subscription revenue ($31 thousand), mainly due to a decrease in revenue in Malaysia ($36 thousand); (ii) a decrease in revenue from development projects for Facetones® ($50 thousand decrease compared to the second quarter of 2011); and (iii) a decrease in development of Fan Loyalty application ($45 thousand decrease compared to the second quarter of 2011).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w:t>
      </w:r>
    </w:p>
    <w:p>
      <w:pPr>
        <w:spacing w:after="0" w:line="225" w:lineRule="exact"/>
        <w:rPr>
          <w:sz w:val="20"/>
          <w:szCs w:val="20"/>
          <w:color w:val="auto"/>
        </w:rPr>
      </w:pPr>
    </w:p>
    <w:p>
      <w:pPr>
        <w:jc w:val="both"/>
        <w:ind w:firstLine="696"/>
        <w:spacing w:after="0" w:line="254" w:lineRule="auto"/>
        <w:rPr>
          <w:sz w:val="20"/>
          <w:szCs w:val="20"/>
          <w:color w:val="auto"/>
        </w:rPr>
      </w:pPr>
      <w:r>
        <w:rPr>
          <w:rFonts w:ascii="Arial" w:cs="Arial" w:eastAsia="Arial" w:hAnsi="Arial"/>
          <w:sz w:val="18"/>
          <w:szCs w:val="18"/>
          <w:color w:val="auto"/>
        </w:rPr>
        <w:t>During the six month period ended June 30, 2012, we recorded revenues of $206 thousand, which represents a decrease of $168 thousand (or -45%) from revenues recorded for the six month period ended June 30, 2011. The decrease was primarily due to: (i) a decrease in subscription revenue ($50 thousand decrease compared to the first half of 2011), mainly due to decrease in revenue in Malaysia ($58 thousand decrease compared to the first half of 2011) and Turkey ($11 thousand decrease compared to the first half of 2011), prepaid set up fees in Armenia ($18 thousand decrease compared to the first half of 2011) and Singapore ($18 thousand decrease compared to the first half of 2011), offset by an increase in revenue in the UK ($41 thousand increase compared to the first half of 2011) and the UAE ($14 thousand increase compared to the first half of 2011); (ii) a decrease in revenue from development projects for Facetones® ($50 thousand decrease compared to the first half of 2011); and (iii) a decrease in development of Fan Loyalty application ($45 thousand decrease compared to the first half of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From Inception Through June 30, 2012</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inception through June 30, 2012, we recorded revenues of $1,155 thousand, which includes $819 thousand from revenue share subscription services, $118 thousand from one-time setup fees, $94 thousand from Facetones®, $80 thousand from Fan Loyalty application formats, $30 thousand from Video ReMix platform and $14 thousand from applications sold.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continue to generate a portion of our future revenues from: (i) Facetones® preloads through the agreement with ZTE, as well as the development of additional business from handset makers, (ii) Facetones® app, and Fan Loyalty application platforms, (iii) revenue-sharing agreements in India, Malaysia, Singapore, United Arab Emirates and UK, (iv) new revenue-sharing agreements for subscription-based services in new territories, (v) one-time service fees for customized production and development of the Facetones® and Fan Loyalty application platforms, and (vi) monetization of our intellectual property.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completion of the Merger on July 19, 2012, we expect to continue prosecution of the litigation against AOL, Inc., Google, Inc., IAC Search &amp; Media, Inc., Gannett Company, Inc., and Target Corporation for infringement of the Lycos Patents, with a goal of achieving a positive verdict or settlement (including, potentially, a licensing arrangement on terms beneficial to us); and to the extent that time and resources allow, seek strategic opportunities and seek to acquire or internally develop additional intellectual property assets that we will then seek to monetize. For events subsequent to the balance sheet date see Note 8 to the accompanying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1"/>
              </w:rPr>
              <w:t>Three months Ended June 30,</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Borders>
              <w:bottom w:val="single" w:sz="8" w:color="auto"/>
            </w:tcBorders>
            <w:gridSpan w:val="5"/>
          </w:tcPr>
          <w:p>
            <w:pPr>
              <w:jc w:val="center"/>
              <w:ind w:left="768"/>
              <w:spacing w:after="0"/>
              <w:rPr>
                <w:sz w:val="20"/>
                <w:szCs w:val="20"/>
                <w:color w:val="auto"/>
              </w:rPr>
            </w:pPr>
            <w:r>
              <w:rPr>
                <w:rFonts w:ascii="Arial" w:cs="Arial" w:eastAsia="Arial" w:hAnsi="Arial"/>
                <w:sz w:val="14"/>
                <w:szCs w:val="14"/>
                <w:color w:val="auto"/>
                <w:w w:val="92"/>
              </w:rPr>
              <w:t>Six months Ended June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56"/>
        </w:trPr>
        <w:tc>
          <w:tcPr>
            <w:tcW w:w="2760" w:type="dxa"/>
            <w:vAlign w:val="bottom"/>
            <w:gridSpan w:val="2"/>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FFCC"/>
          </w:tcPr>
          <w:p>
            <w:pPr>
              <w:jc w:val="right"/>
              <w:ind w:right="2548"/>
              <w:spacing w:after="0" w:line="149" w:lineRule="exact"/>
              <w:rPr>
                <w:sz w:val="20"/>
                <w:szCs w:val="20"/>
                <w:color w:val="auto"/>
              </w:rPr>
            </w:pPr>
            <w:r>
              <w:rPr>
                <w:rFonts w:ascii="Arial" w:cs="Arial" w:eastAsia="Arial" w:hAnsi="Arial"/>
                <w:sz w:val="14"/>
                <w:szCs w:val="14"/>
                <w:color w:val="auto"/>
                <w:w w:val="88"/>
              </w:rPr>
              <w:t>Cost of revenue</w:t>
            </w:r>
          </w:p>
        </w:tc>
        <w:tc>
          <w:tcPr>
            <w:tcW w:w="2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w:t>
            </w: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Compared to Three Months Ended June 30, 2011</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 month period ended June 30, 2012, our cost of revenue was $31 thousand, which represents a decrease of $14 thousand (or -31%) compared to our cost of revenue for the three month period ended June 30, 2011. The change in cost of revenue, compared to the second quarter of 2011, was mainly related to changes in content amortization expenses and integration cost related to various development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 period ended June 30, 2012, our cost of revenue was $62 thousand, which represents a decrease of $8 thousand (or -11%) compared to our cost of revenue for the six month period ended June 30, 2011. The change in cost of revenue, compared to the first half of 2011, was mainly related to changes in content amortization expenses and integration cost related to various development projects.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cost of revenue is mainly comprised of cost of services related to the provision of content to end-users and cost of hosted servers needed to support our service in markets where we have launched our product. We expect that cost of revenue will increase over time, as we diversify the portfolio of our products. As some of these costs are fixed irrespective of our revenues, we expect our gross margin to increase, as our revenues grow. In addition, following the completion of the Merger, we expect to incur significant operating legal costs, which may be classified as cost of revenue, as we continue to prosecute the litigation for infringement of patents. We expect that future operational legal costs will increase as we continue to expand our business through potential acquisitions of additional patent and other intellectual property assets.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color w:val="auto"/>
                <w:w w:val="91"/>
              </w:rPr>
              <w:t>Three months Ended June 30,</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Borders>
              <w:bottom w:val="single" w:sz="8" w:color="auto"/>
            </w:tcBorders>
            <w:gridSpan w:val="5"/>
          </w:tcPr>
          <w:p>
            <w:pPr>
              <w:jc w:val="center"/>
              <w:ind w:left="768"/>
              <w:spacing w:after="0"/>
              <w:rPr>
                <w:sz w:val="20"/>
                <w:szCs w:val="20"/>
                <w:color w:val="auto"/>
              </w:rPr>
            </w:pPr>
            <w:r>
              <w:rPr>
                <w:rFonts w:ascii="Arial" w:cs="Arial" w:eastAsia="Arial" w:hAnsi="Arial"/>
                <w:sz w:val="14"/>
                <w:szCs w:val="14"/>
                <w:color w:val="auto"/>
                <w:w w:val="92"/>
              </w:rPr>
              <w:t>Six months Ended June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56"/>
        </w:trPr>
        <w:tc>
          <w:tcPr>
            <w:tcW w:w="2760" w:type="dxa"/>
            <w:vAlign w:val="bottom"/>
            <w:gridSpan w:val="2"/>
          </w:tcPr>
          <w:p>
            <w:pPr>
              <w:spacing w:after="0"/>
              <w:rPr>
                <w:sz w:val="13"/>
                <w:szCs w:val="13"/>
                <w:color w:val="auto"/>
              </w:rPr>
            </w:pPr>
          </w:p>
        </w:tc>
        <w:tc>
          <w:tcPr>
            <w:tcW w:w="7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gridSpan w:val="2"/>
            <w:shd w:val="clear" w:color="auto" w:fill="CCFFCC"/>
          </w:tcPr>
          <w:p>
            <w:pPr>
              <w:jc w:val="right"/>
              <w:ind w:right="1868"/>
              <w:spacing w:after="0" w:line="149" w:lineRule="exact"/>
              <w:rPr>
                <w:sz w:val="20"/>
                <w:szCs w:val="20"/>
                <w:color w:val="auto"/>
              </w:rPr>
            </w:pPr>
            <w:r>
              <w:rPr>
                <w:rFonts w:ascii="Arial" w:cs="Arial" w:eastAsia="Arial" w:hAnsi="Arial"/>
                <w:sz w:val="14"/>
                <w:szCs w:val="14"/>
                <w:color w:val="auto"/>
                <w:w w:val="88"/>
              </w:rPr>
              <w:t>Research and development</w:t>
            </w:r>
          </w:p>
        </w:tc>
        <w:tc>
          <w:tcPr>
            <w:tcW w:w="3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418</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460</w:t>
            </w: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930</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979</w:t>
            </w:r>
          </w:p>
        </w:tc>
        <w:tc>
          <w:tcPr>
            <w:tcW w:w="1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14,301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2012, Compared to Three Months Ended June 30, 2011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decreased from $460 thousand to $418 thousand (or -9%) during the three month period ended June 30, 2012, compared to the three month period ended June 30, 2011. The decrease was mainly due to lower salary and share-based compensation expenses (a decrease of $109 thousand compared to the second quarter of 2011), partially due to an increase of 11% in the USD/NIS exchange rate and partially in connection with a separation agreement signed with one of our officers in the second half of 2011.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Research and development expenses decreased from $979 thousand to $930 thousand (or -5%) during the six month period ended June 30, 2012, compared to the six month period ended June 30, 2011. The decrease is due (i) to lower salary and compensation expenses (a decrease of $62 thousand compared to the first half of 2011) partially due to increase of 7% in the USD/NIS exchange rate, as well as, due to a separation agreement signed with one of our officers in the second half of 2011; (ii) decrease in consulting expenses, mainly related to various development projects recognized in 2011.</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inception through June 30, 2012, research and development expenses amounted to approximately $14.3 million. Of this amount, approximately $1.2 million was attributed to salaries and related expenses, $0.6 million to share based payments, $2.2 million was attributed to sub-contracting and consulting services, $0.9 million was attributed to operating expenses, $0.3 million was attributed to overhead and $0.9 million was attributed to patent expenses.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that our research and development costs will remain constant until after the integration with Innovate/Protect. Afterwards, research and development costs may increase, should we seek to develop additional technology and intellectual property to diversify and enhance our original core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0"/>
              </w:rPr>
              <w:t>Three months Ended June 30,</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Borders>
              <w:bottom w:val="single" w:sz="8" w:color="auto"/>
            </w:tcBorders>
            <w:gridSpan w:val="5"/>
          </w:tcPr>
          <w:p>
            <w:pPr>
              <w:jc w:val="center"/>
              <w:ind w:left="648"/>
              <w:spacing w:after="0"/>
              <w:rPr>
                <w:sz w:val="20"/>
                <w:szCs w:val="20"/>
                <w:color w:val="auto"/>
              </w:rPr>
            </w:pPr>
            <w:r>
              <w:rPr>
                <w:rFonts w:ascii="Arial" w:cs="Arial" w:eastAsia="Arial" w:hAnsi="Arial"/>
                <w:sz w:val="14"/>
                <w:szCs w:val="14"/>
                <w:color w:val="auto"/>
                <w:w w:val="91"/>
              </w:rPr>
              <w:t>Six months Ended June 30,</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56"/>
        </w:trPr>
        <w:tc>
          <w:tcPr>
            <w:tcW w:w="2420" w:type="dxa"/>
            <w:vAlign w:val="bottom"/>
            <w:gridSpan w:val="2"/>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2012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8"/>
              <w:spacing w:after="0" w:line="155" w:lineRule="exact"/>
              <w:rPr>
                <w:sz w:val="20"/>
                <w:szCs w:val="20"/>
                <w:color w:val="auto"/>
              </w:rPr>
            </w:pPr>
            <w:r>
              <w:rPr>
                <w:rFonts w:ascii="Arial" w:cs="Arial" w:eastAsia="Arial" w:hAnsi="Arial"/>
                <w:sz w:val="14"/>
                <w:szCs w:val="14"/>
                <w:color w:val="auto"/>
                <w:w w:val="89"/>
              </w:rPr>
              <w:t>2011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20"/>
              <w:spacing w:after="0" w:line="155" w:lineRule="exact"/>
              <w:rPr>
                <w:sz w:val="20"/>
                <w:szCs w:val="20"/>
                <w:color w:val="auto"/>
              </w:rPr>
            </w:pPr>
            <w:r>
              <w:rPr>
                <w:rFonts w:ascii="Arial" w:cs="Arial" w:eastAsia="Arial" w:hAnsi="Arial"/>
                <w:sz w:val="14"/>
                <w:szCs w:val="14"/>
                <w:color w:val="auto"/>
              </w:rPr>
              <w:t>Change</w:t>
            </w:r>
          </w:p>
        </w:tc>
        <w:tc>
          <w:tcPr>
            <w:tcW w:w="200" w:type="dxa"/>
            <w:vAlign w:val="bottom"/>
          </w:tcPr>
          <w:p>
            <w:pPr>
              <w:spacing w:after="0"/>
              <w:rPr>
                <w:sz w:val="13"/>
                <w:szCs w:val="13"/>
                <w:color w:val="auto"/>
              </w:rPr>
            </w:pPr>
          </w:p>
        </w:tc>
        <w:tc>
          <w:tcPr>
            <w:tcW w:w="90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Arial" w:cs="Arial" w:eastAsia="Arial" w:hAnsi="Arial"/>
                <w:sz w:val="14"/>
                <w:szCs w:val="14"/>
                <w:color w:val="auto"/>
              </w:rPr>
              <w:t>Change</w:t>
            </w:r>
          </w:p>
        </w:tc>
        <w:tc>
          <w:tcPr>
            <w:tcW w:w="18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 in thousands)</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 in thousands)</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 -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gridSpan w:val="2"/>
            <w:shd w:val="clear" w:color="auto" w:fill="CCFFCC"/>
          </w:tcPr>
          <w:p>
            <w:pPr>
              <w:jc w:val="right"/>
              <w:ind w:right="2388"/>
              <w:spacing w:after="0" w:line="149" w:lineRule="exact"/>
              <w:rPr>
                <w:sz w:val="20"/>
                <w:szCs w:val="20"/>
                <w:color w:val="auto"/>
              </w:rPr>
            </w:pPr>
            <w:r>
              <w:rPr>
                <w:rFonts w:ascii="Arial" w:cs="Arial" w:eastAsia="Arial" w:hAnsi="Arial"/>
                <w:sz w:val="14"/>
                <w:szCs w:val="14"/>
                <w:color w:val="auto"/>
                <w:w w:val="91"/>
              </w:rPr>
              <w:t>Marketing</w:t>
            </w:r>
          </w:p>
        </w:tc>
        <w:tc>
          <w:tcPr>
            <w:tcW w:w="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340</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685</w:t>
            </w:r>
          </w:p>
        </w:tc>
        <w:tc>
          <w:tcPr>
            <w:tcW w:w="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(345)</w:t>
            </w:r>
          </w:p>
        </w:tc>
        <w:tc>
          <w:tcPr>
            <w:tcW w:w="10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1,099</w:t>
            </w:r>
          </w:p>
        </w:tc>
        <w:tc>
          <w:tcPr>
            <w:tcW w:w="12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1,306</w:t>
            </w: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(207)</w:t>
            </w: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12,310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2012, Compared to Three Months Ended June 30, 2011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Marketing expenses decreased from $685 thousand to $340 thousand (or -50%) during the three month period ended June 30, 2012, compared to the three month period ended June 30, 2011. The decrease was in part due to lower salary and share based compensation expenses ($266 thousand decrease compared to the second quarter of 2011), partially due to increase of 11% in the USD/NIS exchange rate, as well as, due to reorganization and workforce reduction in 2011 and 2012, and partially due to lower advertising costs in the second quarter of 2012 ($50 thousand decrease compared to the second quarter of 2011).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Marketing expenses decreased from $1,306 thousand to $1,099 thousand (or -16%) during the six month period ended June 30, 2012, compared to the six month period ended June 30, 2011. The decrease was in part due to lower salary expenses ($257 thousand decrease compared to the first half of 2011), partially due to increase of 7% in the USD/NIS exchange rate, as well as, partially due to reorganization and workforce reduction. The decrease in salary costs was offset by an increase in share based compensation expense, mainly due to acceleration of vesting as per the separation agreement signed with our co-founder and former CEO.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2012</w:t>
      </w:r>
    </w:p>
    <w:p>
      <w:pPr>
        <w:spacing w:after="0" w:line="225" w:lineRule="exact"/>
        <w:rPr>
          <w:sz w:val="20"/>
          <w:szCs w:val="20"/>
          <w:color w:val="auto"/>
        </w:rPr>
      </w:pPr>
    </w:p>
    <w:p>
      <w:pPr>
        <w:jc w:val="both"/>
        <w:ind w:firstLine="703"/>
        <w:spacing w:after="0" w:line="259" w:lineRule="auto"/>
        <w:rPr>
          <w:sz w:val="20"/>
          <w:szCs w:val="20"/>
          <w:color w:val="auto"/>
        </w:rPr>
      </w:pPr>
      <w:r>
        <w:rPr>
          <w:rFonts w:ascii="Arial" w:cs="Arial" w:eastAsia="Arial" w:hAnsi="Arial"/>
          <w:sz w:val="18"/>
          <w:szCs w:val="18"/>
          <w:color w:val="auto"/>
        </w:rPr>
        <w:t>From inception through June 30, 2012, marketing expenses amounted to approximately $12.3 million. Of this amount, approximately $5.3 million was attributed to salaries, $1.5 million was attributed to share based payments and related expenses, $2.2 million was attributed to travel and trade shows, $1.6 million was attributed to sub-contracting and consulting services, $1.5 million was attributed to public relations services and customer acquisition expenses and $0.2 million was attributed to overhead expenses.</w:t>
      </w:r>
    </w:p>
    <w:p>
      <w:pPr>
        <w:spacing w:after="0" w:line="187" w:lineRule="exact"/>
        <w:rPr>
          <w:sz w:val="20"/>
          <w:szCs w:val="20"/>
          <w:color w:val="auto"/>
        </w:rPr>
      </w:pPr>
    </w:p>
    <w:p>
      <w:pPr>
        <w:jc w:val="both"/>
        <w:ind w:firstLine="709"/>
        <w:spacing w:after="0" w:line="255" w:lineRule="auto"/>
        <w:rPr>
          <w:sz w:val="20"/>
          <w:szCs w:val="20"/>
          <w:color w:val="auto"/>
        </w:rPr>
      </w:pPr>
      <w:r>
        <w:rPr>
          <w:rFonts w:ascii="Arial" w:cs="Arial" w:eastAsia="Arial" w:hAnsi="Arial"/>
          <w:sz w:val="18"/>
          <w:szCs w:val="18"/>
          <w:color w:val="auto"/>
        </w:rPr>
        <w:t>A significant portion of our marketing activity relates to the launching of services with our global partners and building a pipeline for further agreements. In addition, we conduct direct-to-consumer marketing activities in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left="68"/>
              <w:spacing w:after="0"/>
              <w:rPr>
                <w:sz w:val="20"/>
                <w:szCs w:val="20"/>
                <w:color w:val="auto"/>
              </w:rPr>
            </w:pPr>
            <w:r>
              <w:rPr>
                <w:rFonts w:ascii="Arial" w:cs="Arial" w:eastAsia="Arial" w:hAnsi="Arial"/>
                <w:sz w:val="14"/>
                <w:szCs w:val="14"/>
                <w:color w:val="auto"/>
                <w:w w:val="91"/>
              </w:rPr>
              <w:t>Three months Ended June 30,</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Borders>
              <w:bottom w:val="single" w:sz="8" w:color="auto"/>
            </w:tcBorders>
            <w:gridSpan w:val="5"/>
          </w:tcPr>
          <w:p>
            <w:pPr>
              <w:jc w:val="center"/>
              <w:ind w:left="768"/>
              <w:spacing w:after="0"/>
              <w:rPr>
                <w:sz w:val="20"/>
                <w:szCs w:val="20"/>
                <w:color w:val="auto"/>
              </w:rPr>
            </w:pPr>
            <w:r>
              <w:rPr>
                <w:rFonts w:ascii="Arial" w:cs="Arial" w:eastAsia="Arial" w:hAnsi="Arial"/>
                <w:sz w:val="14"/>
                <w:szCs w:val="14"/>
                <w:color w:val="auto"/>
                <w:w w:val="92"/>
              </w:rPr>
              <w:t>Six months Ended June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56"/>
        </w:trPr>
        <w:tc>
          <w:tcPr>
            <w:tcW w:w="2760" w:type="dxa"/>
            <w:vAlign w:val="bottom"/>
            <w:gridSpan w:val="2"/>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FFCC"/>
          </w:tcPr>
          <w:p>
            <w:pPr>
              <w:jc w:val="right"/>
              <w:ind w:right="1828"/>
              <w:spacing w:after="0" w:line="149" w:lineRule="exact"/>
              <w:rPr>
                <w:sz w:val="20"/>
                <w:szCs w:val="20"/>
                <w:color w:val="auto"/>
              </w:rPr>
            </w:pPr>
            <w:r>
              <w:rPr>
                <w:rFonts w:ascii="Arial" w:cs="Arial" w:eastAsia="Arial" w:hAnsi="Arial"/>
                <w:sz w:val="14"/>
                <w:szCs w:val="14"/>
                <w:color w:val="auto"/>
                <w:w w:val="90"/>
              </w:rPr>
              <w:t>General and administrative</w:t>
            </w:r>
          </w:p>
        </w:tc>
        <w:tc>
          <w:tcPr>
            <w:tcW w:w="5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1"/>
              </w:rPr>
              <w:t>1,282</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690</w:t>
            </w: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592</w:t>
            </w:r>
          </w:p>
        </w:tc>
        <w:tc>
          <w:tcPr>
            <w:tcW w:w="26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2,742</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1,355</w:t>
            </w:r>
          </w:p>
        </w:tc>
        <w:tc>
          <w:tcPr>
            <w:tcW w:w="1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1,387</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2012, Compared to Three Months Ended June 30, 2011</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During the three month period ended June 30, 2012, general and administrative expenses increased by $592 thousand (or 86%), to $1,282 thousand, from $690 thousand during the three month period ended June 30, 2011. General and administrative expenses increased mostly due to the increase in various professional fees in connection with increased merger and acquisition activity ($0.6 million increase compared to the second quarter of 2011).</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six month period ended June 30, 2012, general and administrative expenses increased $1,387 thousand (or 102%), to $2,742 thousand, from $1,355 thousand in the three month period ended June 30, 2011. General and administrative expenses increased mostly due to the increase in various professional fees in connection with increased merger and acquisition activity (an increase of approximately $1.1 million, compared to the first half of 2011) and an additional increase in share based compensation costs in connection with new option grant in March 2012 and separation from our former CEO ($0.3 million increase compared to the first half of 2011).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2012</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inception through June 30, 2012, general and administrative expenses totaled approximately $11.0 million. Of this amount, approximately $2.4 million was attributed to salaries and related expenses, $2.3 million was attributed to share based payments, $1.8 million was attributed to various office expenses, $3.5 million was attributed to professional fees and $0.6 million was attributed to depreciation and amortization.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our general and administrative expenses will increase, as we expect to incur significant costs in connection with the Merger, as well as with possible additional merger acquisition and financing activities. These costs will be reflected in increased compensation, administration, accounting, legal and insurance costs.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left="68"/>
              <w:spacing w:after="0"/>
              <w:rPr>
                <w:sz w:val="20"/>
                <w:szCs w:val="20"/>
                <w:color w:val="auto"/>
              </w:rPr>
            </w:pPr>
            <w:r>
              <w:rPr>
                <w:rFonts w:ascii="Arial" w:cs="Arial" w:eastAsia="Arial" w:hAnsi="Arial"/>
                <w:sz w:val="14"/>
                <w:szCs w:val="14"/>
                <w:color w:val="auto"/>
                <w:w w:val="91"/>
              </w:rPr>
              <w:t>Three months Ended June 30,</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Borders>
              <w:bottom w:val="single" w:sz="8" w:color="auto"/>
            </w:tcBorders>
            <w:gridSpan w:val="5"/>
          </w:tcPr>
          <w:p>
            <w:pPr>
              <w:jc w:val="center"/>
              <w:ind w:left="768"/>
              <w:spacing w:after="0"/>
              <w:rPr>
                <w:sz w:val="20"/>
                <w:szCs w:val="20"/>
                <w:color w:val="auto"/>
              </w:rPr>
            </w:pPr>
            <w:r>
              <w:rPr>
                <w:rFonts w:ascii="Arial" w:cs="Arial" w:eastAsia="Arial" w:hAnsi="Arial"/>
                <w:sz w:val="14"/>
                <w:szCs w:val="14"/>
                <w:color w:val="auto"/>
                <w:w w:val="92"/>
              </w:rPr>
              <w:t>Six months Ended June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56"/>
        </w:trPr>
        <w:tc>
          <w:tcPr>
            <w:tcW w:w="2760" w:type="dxa"/>
            <w:vAlign w:val="bottom"/>
            <w:gridSpan w:val="2"/>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FFCC"/>
          </w:tcPr>
          <w:p>
            <w:pPr>
              <w:jc w:val="right"/>
              <w:ind w:right="1228"/>
              <w:spacing w:after="0" w:line="149" w:lineRule="exact"/>
              <w:rPr>
                <w:sz w:val="20"/>
                <w:szCs w:val="20"/>
                <w:color w:val="auto"/>
              </w:rPr>
            </w:pPr>
            <w:r>
              <w:rPr>
                <w:rFonts w:ascii="Arial" w:cs="Arial" w:eastAsia="Arial" w:hAnsi="Arial"/>
                <w:sz w:val="14"/>
                <w:szCs w:val="14"/>
                <w:color w:val="auto"/>
                <w:w w:val="91"/>
              </w:rPr>
              <w:t>Non-operating expense (income), net</w:t>
            </w: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1"/>
              </w:rPr>
              <w:t>3,115</w:t>
            </w:r>
          </w:p>
        </w:tc>
        <w:tc>
          <w:tcPr>
            <w:tcW w:w="24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(175)</w:t>
            </w:r>
          </w:p>
        </w:tc>
        <w:tc>
          <w:tcPr>
            <w:tcW w:w="2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3,290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6,083</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(767)</w:t>
            </w:r>
          </w:p>
        </w:tc>
        <w:tc>
          <w:tcPr>
            <w:tcW w:w="1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6,850</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11,242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2012, Compared to Three Months Ended June 30, 2011</w:t>
      </w:r>
    </w:p>
    <w:p>
      <w:pPr>
        <w:spacing w:after="0" w:line="225" w:lineRule="exact"/>
        <w:rPr>
          <w:sz w:val="20"/>
          <w:szCs w:val="20"/>
          <w:color w:val="auto"/>
        </w:rPr>
      </w:pPr>
    </w:p>
    <w:p>
      <w:pPr>
        <w:jc w:val="both"/>
        <w:ind w:firstLine="693"/>
        <w:spacing w:after="0" w:line="254" w:lineRule="auto"/>
        <w:rPr>
          <w:sz w:val="20"/>
          <w:szCs w:val="20"/>
          <w:color w:val="auto"/>
        </w:rPr>
      </w:pPr>
      <w:r>
        <w:rPr>
          <w:rFonts w:ascii="Arial" w:cs="Arial" w:eastAsia="Arial" w:hAnsi="Arial"/>
          <w:sz w:val="18"/>
          <w:szCs w:val="18"/>
          <w:color w:val="auto"/>
        </w:rPr>
        <w:t>During the three month period ended June 30, 2012, we recorded non-operating expense in the amount of $3.1 million, compared to non-operating income in the amount of $0.2 million recorded in the three month period ended June 30, 2011. During the three month period ended June 30, 2012, we recorded approximately a $3.1 million expense related to increase in fair value of our derivative warrant liability. The increase was mainly due to an increase in our share price, compared to March 31, 2012 and due to issuance of the Preferential Reload Warrants in February 2012. During the three month period ended June 30, 2011, we recorded income of $1.0 million in connection with the venture loan settlement agreement signed in June 2011. This income was offset by non-operating expenses related to the valuation of the Special Bridge Warrants and the Conversion Warrants, in the amount of $0.7 million. In addition, we recorded a non-operating expense in the total amount of approximately $0.1 million in connection with interest and discount amortization on venture loan.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 and 2010</w:t>
      </w:r>
    </w:p>
    <w:p>
      <w:pPr>
        <w:spacing w:after="0" w:line="225" w:lineRule="exact"/>
        <w:rPr>
          <w:sz w:val="20"/>
          <w:szCs w:val="20"/>
          <w:color w:val="auto"/>
        </w:rPr>
      </w:pPr>
    </w:p>
    <w:p>
      <w:pPr>
        <w:jc w:val="both"/>
        <w:ind w:firstLine="696"/>
        <w:spacing w:after="0" w:line="255" w:lineRule="auto"/>
        <w:rPr>
          <w:sz w:val="20"/>
          <w:szCs w:val="20"/>
          <w:color w:val="auto"/>
        </w:rPr>
      </w:pPr>
      <w:r>
        <w:rPr>
          <w:rFonts w:ascii="Arial" w:cs="Arial" w:eastAsia="Arial" w:hAnsi="Arial"/>
          <w:sz w:val="18"/>
          <w:szCs w:val="18"/>
          <w:color w:val="auto"/>
        </w:rPr>
        <w:t>During the six month period ended June 30, 2012, we recorded a non-operating expense in the amount of $6.1 million, compared to a non-operating income, in the total amount of $0.8 million, recorded in the six month period ended June 30, 2011. During the six month period ended June 30, 2012, we recorded approximately a $3.5 million expense related to increase in fair value of our derivative warrant liability. The increase was mainly due to an increase in our share price and due to issuance of the Preferential Reload Warrants in February 2012. We also recorded approximately a $1.5 million expense in connection with issuance of the Preferential Reload Warrants, as well as an additional $1.1 million expense related to the issuance of non- Preferential Reload Warrants.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2012</w:t>
      </w:r>
    </w:p>
    <w:p>
      <w:pPr>
        <w:spacing w:after="0" w:line="225" w:lineRule="exact"/>
        <w:rPr>
          <w:sz w:val="20"/>
          <w:szCs w:val="20"/>
          <w:color w:val="auto"/>
        </w:rPr>
      </w:pPr>
    </w:p>
    <w:p>
      <w:pPr>
        <w:jc w:val="both"/>
        <w:ind w:firstLine="694"/>
        <w:spacing w:after="0" w:line="270" w:lineRule="auto"/>
        <w:rPr>
          <w:sz w:val="20"/>
          <w:szCs w:val="20"/>
          <w:color w:val="auto"/>
        </w:rPr>
      </w:pPr>
      <w:r>
        <w:rPr>
          <w:rFonts w:ascii="Arial" w:cs="Arial" w:eastAsia="Arial" w:hAnsi="Arial"/>
          <w:sz w:val="17"/>
          <w:szCs w:val="17"/>
          <w:color w:val="auto"/>
        </w:rPr>
        <w:t>From inception through June 30, 2012, non-operating expense was approximately $11.2 million. This amount mainly included: income from interest on deposits of $0.2 million, interest expense on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$1.3 million expense recorded in connection with amortization of discount on convertible notes, and non-operating expense of $2.9 million for the adjustment of the fair value of the Preferential Reload, Special Bridge and the Conversion Warrants. Finally, additional non-operating expense of approximately $2.6 million was recorded due to issuance of the Reload Warrants, accounted for as an inducement to convert convertible debt.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1"/>
              </w:rPr>
              <w:t>Three months Ended June 30,</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Borders>
              <w:bottom w:val="single" w:sz="8" w:color="auto"/>
            </w:tcBorders>
            <w:gridSpan w:val="5"/>
          </w:tcPr>
          <w:p>
            <w:pPr>
              <w:jc w:val="center"/>
              <w:ind w:left="768"/>
              <w:spacing w:after="0"/>
              <w:rPr>
                <w:sz w:val="20"/>
                <w:szCs w:val="20"/>
                <w:color w:val="auto"/>
              </w:rPr>
            </w:pPr>
            <w:r>
              <w:rPr>
                <w:rFonts w:ascii="Arial" w:cs="Arial" w:eastAsia="Arial" w:hAnsi="Arial"/>
                <w:sz w:val="14"/>
                <w:szCs w:val="14"/>
                <w:color w:val="auto"/>
                <w:w w:val="92"/>
              </w:rPr>
              <w:t>Six months Ended June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56"/>
        </w:trPr>
        <w:tc>
          <w:tcPr>
            <w:tcW w:w="2760" w:type="dxa"/>
            <w:vAlign w:val="bottom"/>
            <w:gridSpan w:val="2"/>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 -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FFCC"/>
          </w:tcPr>
          <w:p>
            <w:pPr>
              <w:jc w:val="right"/>
              <w:ind w:right="2308"/>
              <w:spacing w:after="0" w:line="149" w:lineRule="exact"/>
              <w:rPr>
                <w:sz w:val="20"/>
                <w:szCs w:val="20"/>
                <w:color w:val="auto"/>
              </w:rPr>
            </w:pPr>
            <w:r>
              <w:rPr>
                <w:rFonts w:ascii="Arial" w:cs="Arial" w:eastAsia="Arial" w:hAnsi="Arial"/>
                <w:sz w:val="14"/>
                <w:szCs w:val="14"/>
                <w:color w:val="auto"/>
                <w:w w:val="89"/>
              </w:rPr>
              <w:t>Income tax expense</w:t>
            </w:r>
          </w:p>
        </w:tc>
        <w:tc>
          <w:tcPr>
            <w:tcW w:w="2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83</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w:t>
            </w: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57</w:t>
            </w:r>
          </w:p>
        </w:tc>
        <w:tc>
          <w:tcPr>
            <w:tcW w:w="26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During the three month period ended June 30, 2012, we recorded an income tax expense in the total amount of $83 thousand, which reflects an increase of $57 thousand compared to tax expense of $26 thousand recorded in the three month period ended June 30, 2011. During the six month period ended June 30, 2012, we recorded an income tax expense in the total amount of $103 thousand, which reflects an increase of $59 thousand compared to tax expense of $44 thousand recorded in the six month period ended June 30, 2011. In general, taxes on income are mainly due to taxable profits generated by our subsidiary in Israel, as a result of the intercompany cost plus agreement between us and the subsidiary in Israel, whereby the subsidiary in Israel performs development and other services for us and is reimbursed for its expenses plus 8%. For financial statements purposes, these profits are eliminated upon consolidation. The profits of the subsidiary in Israel benefitted from a tax holiday in the 2007-2008 tax years and a taxable loss in 2009, 2010 and 2011. We expect a taxable income in our subsidiary in Israel, in 2012, under the terms of the intercompany agreement. In addition, during the three month period ended June 30, 2012 and 2011, we recorded income tax expense of $4 thousand and $8 thousand, respectively, in connection with tax withheld at source by our partner in Malaysia, which we do not expect to be reclaimed. During the six month period ended June 30, 2012 and 2011, we recorded income tax expense of $11 thousand and $20 thousand, respectively, in connection with tax withheld at source by our partner in Malaysia, which we do not expect to be reclaimed.</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inception through June 30, 2012, income tax expense totaled $222 thousand. We expect tax expense to increase as our business grows and as our subsidiary in Israel continues to generate taxable income under the intercompany cost plus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June 30, 2012, we had a cash balance of $3.4 million and $2.1 million in net working capital. The increase of $2.2 million in our cash balance from December 31, 2011 was mainly due to $4.7 million received from exercise warrants and options, offset by net cash used by us in our business operations ($2.5 million including funds used in connection with the Merger, in the total amount of approximately $0.6 million). As of June 30, 2012, our total deficit in stockholders' equity was $1.4 million, mainly affected by the continued operating deficits from inception to date, expenditures related to merger and acquisition activity, whether or not consummated, and offset by the exercise of the above-mentioned warrants.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August 10, 2012, we completed the sale of 9.6 million shares of our common stock in a registered direct offering, at a purchase price of $3.25 per share, to certain investors in a privately negotiated transaction in which no party acted as an underwriter or placement agent. The total proceeds to us from the issuance of our shares of common stock was $31.2 million. </w:t>
      </w:r>
      <w:r>
        <w:rPr>
          <w:rFonts w:ascii="Arial" w:cs="Arial" w:eastAsia="Arial" w:hAnsi="Arial"/>
          <w:sz w:val="18"/>
          <w:szCs w:val="18"/>
          <w:color w:val="181818"/>
        </w:rPr>
        <w:t>We used the proceeds of this offering to acquire a portfolio of intellectual property from Nokia</w:t>
      </w:r>
      <w:r>
        <w:rPr>
          <w:rFonts w:ascii="Arial" w:cs="Arial" w:eastAsia="Arial" w:hAnsi="Arial"/>
          <w:sz w:val="18"/>
          <w:szCs w:val="18"/>
          <w:color w:val="auto"/>
        </w:rPr>
        <w:t xml:space="preserve"> </w:t>
      </w:r>
      <w:r>
        <w:rPr>
          <w:rFonts w:ascii="Arial" w:cs="Arial" w:eastAsia="Arial" w:hAnsi="Arial"/>
          <w:sz w:val="18"/>
          <w:szCs w:val="18"/>
          <w:color w:val="181818"/>
        </w:rPr>
        <w:t>Corporation, as further described in Note 8 (j) to the accompanying financial statements, in addition, we intent to repay all outstanding indebtedness and use the funds remaining for our ongoing operating needs.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181818"/>
        </w:rPr>
        <w:t>On August 9, 2012, we entered into a patent purchase agreement with Nokia Corporation, pursuant to which Nokia agreed to sell its a portfolio consisting of over 500 patents and patent applications worldwide, including 109 issued United States patents. The purchase price for the portfolio is $22 million, which was paid in cash on August 10, 2012, plus to the extent that the gross revenue (as defined in the purchase agreement) generated by such portfolio exceeds $22 million, a royalty of 35% of such excess. The portfolio encompasses a broad range of technologies relating to cellular infrastructure, including communication management, data and signal transmission, mobility management, radio resources management and services.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648"/>
        <w:spacing w:after="0" w:line="287" w:lineRule="auto"/>
        <w:rPr>
          <w:sz w:val="20"/>
          <w:szCs w:val="20"/>
          <w:color w:val="auto"/>
        </w:rPr>
      </w:pPr>
      <w:r>
        <w:rPr>
          <w:rFonts w:ascii="Arial" w:cs="Arial" w:eastAsia="Arial" w:hAnsi="Arial"/>
          <w:sz w:val="16"/>
          <w:szCs w:val="16"/>
          <w:color w:val="auto"/>
        </w:rPr>
        <w:t>Upon the consummation of the Merger, subsequent to the balance sheet date, we entered into an Amended and Restated Pledge and Security Agreement and an Amended and Restated Guaranty with each of our subsidiaries to guaranty the obligations of I/P under certain Amended and Restated Senior Secured Promissory Note (the “Secured Note”), dated July 19, 2012, by and between I/P and Hudson Bay, an investor in I/P. As of June 30, 2012, the outstanding balance under the Secured Note was $3.2 million. The Secured Note accrues interest at 0.46% per annum and matures on June 22, 2013. From and after the date upon which (i) we and our subsidiaries have more than $15 million in the aggregate of cash and cash equivalents, Hudson Bay may require us to redeem up to 50% of the outstanding principal amount of the Secured Note, (ii) we have more than $20 million in the aggregate of cash and cash equivalents, Hudson Bay may require us to redeem up to 100% of the outstanding principal of the Secured Note, and (iii) we receive proceeds in excess of $500 thousand in the aggregate from the issuance of any equity or indebtedness, Hudson Bay may require us to redeem the outstanding principal under the note in an amount equal to up to 20% of the proceeds of the issuance of any such equity or indebtedness. In addition, the Secured Note provides that in the event of a change of control, Hudson Bay may require us to redeem all or any portion of the Secured Note at a price in cash equal to 125% of the amount redeemed. I/P has granted Hudson Bay a security interest in all of its tangible and intangible personal property (including the Lycos’s patents) to secure its obligations under the Secured Note. In connection with the Merger, we assumed the Secured Note and guarantied the obligations thereunder.</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Based on current operating plans, the current resources of the combined company, after taking into account the $31.2 million received in the registered direct offering, offset by $22 million paid for the acquisition of patent assets, as described in Note 8 to the accompanying financial statements, are expected to be sufficient for at least the next twelve months from the balance sheet date. We may need to raise additional funds in connection with any acquisition of patent portfolios or other intellectual property assets that we may pursue. Moreover, a significant portion of our issued and outstanding warrants are currently “in the money” and the shares of common stock underlying such warrants will become freely tradable upon exercise after registration, with the potential of up to $31 million of incoming funds for us. Provided that our stock price remains at or near its current level, we expect that the exercise of these instruments will generate substantial additional funds for our operations. There can be no assurance, however, that any such opportunities will materialize. All of our audited consolidated financial statements since inception have contained a “going concern” reference by our management, expressing substantial doubt about our ability to continue as a going concern.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34"/>
        </w:trPr>
        <w:tc>
          <w:tcPr>
            <w:tcW w:w="6460" w:type="dxa"/>
            <w:vAlign w:val="bottom"/>
          </w:tcPr>
          <w:p>
            <w:pPr>
              <w:spacing w:after="0"/>
              <w:rPr>
                <w:sz w:val="20"/>
                <w:szCs w:val="20"/>
                <w:color w:val="auto"/>
              </w:rPr>
            </w:pPr>
          </w:p>
        </w:tc>
        <w:tc>
          <w:tcPr>
            <w:tcW w:w="36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Six month period ended June 30,</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 inception</w:t>
            </w:r>
          </w:p>
        </w:tc>
      </w:tr>
      <w:tr>
        <w:trPr>
          <w:trHeight w:val="178"/>
        </w:trPr>
        <w:tc>
          <w:tcPr>
            <w:tcW w:w="64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60"/>
              <w:spacing w:after="0" w:line="178" w:lineRule="exact"/>
              <w:rPr>
                <w:sz w:val="20"/>
                <w:szCs w:val="20"/>
                <w:color w:val="auto"/>
              </w:rPr>
            </w:pPr>
            <w:r>
              <w:rPr>
                <w:rFonts w:ascii="Arial" w:cs="Arial" w:eastAsia="Arial" w:hAnsi="Arial"/>
                <w:sz w:val="18"/>
                <w:szCs w:val="18"/>
                <w:b w:val="1"/>
                <w:bCs w:val="1"/>
                <w:color w:val="auto"/>
                <w:w w:val="89"/>
              </w:rPr>
              <w:t>to June 30,</w:t>
            </w:r>
          </w:p>
        </w:tc>
      </w:tr>
      <w:tr>
        <w:trPr>
          <w:trHeight w:val="234"/>
        </w:trPr>
        <w:tc>
          <w:tcPr>
            <w:tcW w:w="64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center"/>
              <w:ind w:right="270"/>
              <w:spacing w:after="0"/>
              <w:rPr>
                <w:sz w:val="20"/>
                <w:szCs w:val="20"/>
                <w:color w:val="auto"/>
              </w:rPr>
            </w:pPr>
            <w:r>
              <w:rPr>
                <w:rFonts w:ascii="Arial" w:cs="Arial" w:eastAsia="Arial" w:hAnsi="Arial"/>
                <w:sz w:val="18"/>
                <w:szCs w:val="18"/>
                <w:b w:val="1"/>
                <w:bCs w:val="1"/>
                <w:color w:val="auto"/>
                <w:w w:val="84"/>
              </w:rPr>
              <w:t>2011</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6460" w:type="dxa"/>
            <w:vAlign w:val="bottom"/>
          </w:tcPr>
          <w:p>
            <w:pPr>
              <w:spacing w:after="0"/>
              <w:rPr>
                <w:sz w:val="18"/>
                <w:szCs w:val="18"/>
                <w:color w:val="auto"/>
              </w:rPr>
            </w:pPr>
          </w:p>
        </w:tc>
        <w:tc>
          <w:tcPr>
            <w:tcW w:w="2520" w:type="dxa"/>
            <w:vAlign w:val="bottom"/>
            <w:tcBorders>
              <w:top w:val="single" w:sz="8" w:color="auto"/>
            </w:tcBorders>
            <w:gridSpan w:val="2"/>
          </w:tcPr>
          <w:p>
            <w:pPr>
              <w:jc w:val="center"/>
              <w:ind w:left="810"/>
              <w:spacing w:after="0"/>
              <w:rPr>
                <w:sz w:val="20"/>
                <w:szCs w:val="20"/>
                <w:color w:val="auto"/>
              </w:rPr>
            </w:pPr>
            <w:r>
              <w:rPr>
                <w:rFonts w:ascii="Arial" w:cs="Arial" w:eastAsia="Arial" w:hAnsi="Arial"/>
                <w:sz w:val="18"/>
                <w:szCs w:val="18"/>
                <w:b w:val="1"/>
                <w:bCs w:val="1"/>
                <w:color w:val="auto"/>
                <w:w w:val="89"/>
              </w:rPr>
              <w:t>($ - in thousands)</w:t>
            </w: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(2,531)</w:t>
            </w:r>
          </w:p>
        </w:tc>
        <w:tc>
          <w:tcPr>
            <w:tcW w:w="12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(2,916)</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385</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(31,834)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(1,059)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r>
      <w:tr>
        <w:trPr>
          <w:trHeight w:val="216"/>
        </w:trPr>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(used in) financing activities</w:t>
            </w:r>
          </w:p>
        </w:tc>
        <w:tc>
          <w:tcPr>
            <w:tcW w:w="13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4,728</w:t>
            </w:r>
          </w:p>
        </w:tc>
        <w:tc>
          <w:tcPr>
            <w:tcW w:w="12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(1,031)</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5,759</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35,888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 period ended June 30, 2012, net cash used in operating activities totaled $2.5 million. During the six month period ended June 30, 2011, net cash used in operating activities totaled $2.9 million. The decrease of $0.4 million in cash used in operating activities was mainly due to increased collection of receivables ($0.3 million increase compared to the first half of 2011. The operating activities included merger and acquisition related payments (increase of $0.6 million compared to the first half of 2011).</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our net cash used in operating activities to increase due to costs related to the Merger, as well as due to costs incurred in connection with the future development of our business (mainly through development of our products and enhancement of our intellectual property). As we move towards greater revenue generation, we expect that these amounts will be offset over time by collection of funds generated by these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six month period ended June 30, 2012, net cash used in investing activities totaled $8 thousand. During the six month period ended June 30, 2011, net cash used in investing activities totaled $1,059 thousand. The change of $1,051 thousand in cash used in investing activities was primarily due to the release of funds from a short term deposit, which was offset by the purchase of fixed assets in the first half of 2011. Fixed asset purchases in the six month period ended June 30, 2012, amounted to $8 thousand compared to $28 thousand for the six month period ended June 30, 2011.</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upgrade our computers and software in 2012. Moreover, as our service continues to grow, we will need to increase our server capacity to meet the needs of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 period ended June 30, 2012, net cash provided by financing activities totaled $4.7 million, which relates to proceeds from the exercise of warrants and options by holders in the period. During the six month period ended June 30, 2011, net cash used in financing activities totaled $1.0 million, which was due to repayment of venture loan in the second quarter of 2011.</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significant portion of the Company’s issued and outstanding warrants are currently “in the money” and the shares of common stock underlying such warrants will become freely tradable upon exercise after registration, with the potential of up to $31 million of incoming funds. We may need to raise additional funds in connection with any acquisition of patent portfolios or other intellectual property assets that we may pursue. There can be no assurance, however, that any such opportunity will materialize, moreover, any such financing would likely be dilutive to our current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19, 2012, we consummated a Merger Agreement with Innovate/Protect. We believe that through the Merger we will create a company with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 Together with the executive team from Innovate/Protect we anticipate the creation of additional products and services that will be distributed through our existing operator and handset relationships. We may need to raise additional funds in connection with any acquisition of patent portfolios or other intellectual property assets that it may pursue. There can be no assurance, however, that any such opportunities will materialize, moreover, any such financing would likely be dilutive to our stockholders.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August 10, 2012, we completed the sale of 9,600,000 shares of our common stock (the “Shares”) in a registered direct offering (the “Offering”), at a purchase price of $3.25 per share, to certain investors in a privately negotiated transaction in which no party acted as an underwriter or placement agent. The net proceeds to the us from the sale of the Shares, after deducting Offering expenses, was approximately $30.5 million. </w:t>
      </w:r>
      <w:r>
        <w:rPr>
          <w:rFonts w:ascii="Arial" w:cs="Arial" w:eastAsia="Arial" w:hAnsi="Arial"/>
          <w:sz w:val="18"/>
          <w:szCs w:val="18"/>
          <w:color w:val="181818"/>
        </w:rPr>
        <w:t>We used the proceeds of the</w:t>
      </w:r>
      <w:r>
        <w:rPr>
          <w:rFonts w:ascii="Arial" w:cs="Arial" w:eastAsia="Arial" w:hAnsi="Arial"/>
          <w:sz w:val="18"/>
          <w:szCs w:val="18"/>
          <w:color w:val="auto"/>
        </w:rPr>
        <w:t xml:space="preserve"> </w:t>
      </w:r>
      <w:r>
        <w:rPr>
          <w:rFonts w:ascii="Arial" w:cs="Arial" w:eastAsia="Arial" w:hAnsi="Arial"/>
          <w:sz w:val="18"/>
          <w:szCs w:val="18"/>
          <w:color w:val="181818"/>
        </w:rPr>
        <w:t>offering to acquire a portfolio of intellectual property from Nokia Corporation, as further described in Note 8 (j) to the accompanying financial statements, to repay all outstanding indebtedness and for our ongoing operating needs.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181818"/>
        </w:rPr>
        <w:t>On August 9, 2012, we entered into a patent purchase agreement with Nokia Corporation, pursuant to which Nokia agreed to sell its a portfolio consisting of over 500 patents and patent applications worldwide, including 109 issued United States patents. The purchase price for the portfolio is $22 million, which we paid on August 10, 2012, plus to the extent that the gross revenue (as defined in the purchase agreement) generated by such portfolio exceeds $22 million, a royalty of 35% of such excess. The portfolio encompasses a broad range of technologies relating to cellular infrastructure, including communication management, data and signal transmission, mobility management, radio resources management and services.</w:t>
      </w:r>
    </w:p>
    <w:p>
      <w:pPr>
        <w:spacing w:after="0" w:line="173" w:lineRule="exact"/>
        <w:rPr>
          <w:sz w:val="20"/>
          <w:szCs w:val="20"/>
          <w:color w:val="auto"/>
        </w:rPr>
      </w:pPr>
    </w:p>
    <w:p>
      <w:pPr>
        <w:jc w:val="both"/>
        <w:ind w:firstLine="696"/>
        <w:spacing w:after="0" w:line="259" w:lineRule="auto"/>
        <w:rPr>
          <w:sz w:val="20"/>
          <w:szCs w:val="20"/>
          <w:color w:val="auto"/>
        </w:rPr>
      </w:pPr>
      <w:r>
        <w:rPr>
          <w:rFonts w:ascii="Arial" w:cs="Arial" w:eastAsia="Arial" w:hAnsi="Arial"/>
          <w:sz w:val="18"/>
          <w:szCs w:val="18"/>
          <w:color w:val="auto"/>
        </w:rPr>
        <w:t>We are currently in discussions with several potential strategic partners and mobile carriers and we will be pursuing additional agreements over the next 12 to 24 months. In addition, we are continuing to explore further opportunities for strategic business alliances, as well as, potential acquisition of patent portfolios or other intellectual property assets. However, there can be no assurance that any such opportunities may arise, or that any such opportunities will be consummated.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years ended December 31, 2011, we believe the following accounting policies to be the most critical in understanding the judgments and estimates we use in preparing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8"/>
          <w:szCs w:val="18"/>
          <w:i w:val="1"/>
          <w:iCs w:val="1"/>
          <w:color w:val="auto"/>
        </w:rPr>
        <w:t>Equity-Based Payments to Non</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is applied. Under this pronouncement, the measurement date of the option occurs on the earlier of counterparty performance or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determine the fair value of stock options granted to employees, directors and consultants using the Black-Scholes-Merton, the Lattice (for out-of-money option grants)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based on historical stock volatility from comparable companies.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2012, our board of directors approved an acceleration of option vesting for all option holders, should we will be subject to a change of control in a merger and/or acquisition transaction. In addition, in March 2012, the board of director approved participation of all outstanding options, except for those grants pursuant to separation arrangements, in future dividends, if any, as well as the acceleration of vesting of certain outstanding options, according certain market conditions. In addition, upon a subsequent change of control, defined as a more than 50% change in shareholder ownership excluding the transaction Innovate/Protect, 75% of the then unvested options held by each grantee shall automatically vest. Moreover, all outstanding options granted to members of the board of directors shall fully vest if a member of the board of directors ceases to be a director at any time during the six-month period immediately following a change of control. As of June 30, 2012, we expect to account for no dividends payouts, acceleration of vesting triggered by the Merger with Innovate/Protect will be accounted for upon the consummation of the proposed Merger; moreover, we assume that the estimated effect of acceleration pursuant to meeting the abovementioned market conditions will be immaterial, due to low probability of occurrence, please refer to Notes 5 and 8 to the accompanying financial statements.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option pricing models utilize various inputs and assumptions, which are highly subjective. Had we used different assumptions, our results may have been significantly different. For further information on judgments and assessments used, please refer to Note 11 in our consolidated financial statements for the year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December 29, 2009, we consummated a bridge financing pursuant to which we issued 5% subordinated convertible promissory notes, ("Bridge Notes"), in the aggregate amount of $2.98 million in a private placement, as well as warrants to purchase 795,200 shares of common stock (the "Special Bridge Warrants", and collectively with the Bridge Notes, the "Bridge Financing"). Proceeds from the Bridge Financing were first allocated to the Special Bridge Warrants, which were classified as a derivative liability and recorded at fair value, with the residual amount allocated to the Bridge Notes.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1, 2011, we entered into financing agreements which triggered anti-dilution provisions in certain of our outstanding warrants. As a result, the exercise price was reduced to $0.94 and the number of Special Bridge Warrants outstanding was adjusted to 2,528,615. Between February 6 and February 14, 2012, we entered into agreements with holders of the Special Bridge Warrants, pursuant to which such holders exercised 2,274,235 Special Bridge Warrants (see also to Notes 3 and 5 to the accompanying financial statements). In the second quarter of 2012, additional 105,990 such warrants were exercised. As of June 30, 2012,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June 30, 2012, we estimated 15% probability of such protection being activated in December 2012. We have estimated the value of the down-round protection using a Monte-Carlo simulation. The following assumptions were used: 84.45% expected volatility, a risk-free interest rate of 0.38%, estimated life of 2.50 years and no dividend yield.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both"/>
        <w:ind w:firstLine="648"/>
        <w:spacing w:after="0" w:line="287" w:lineRule="auto"/>
        <w:rPr>
          <w:sz w:val="20"/>
          <w:szCs w:val="20"/>
          <w:color w:val="auto"/>
        </w:rPr>
      </w:pPr>
      <w:r>
        <w:rPr>
          <w:rFonts w:ascii="Arial" w:cs="Arial" w:eastAsia="Arial" w:hAnsi="Arial"/>
          <w:sz w:val="16"/>
          <w:szCs w:val="16"/>
          <w:color w:val="auto"/>
        </w:rPr>
        <w:t>Upon the consummation of the IPO, the Bridge Notes automatically converted into 864,332 shares of common stock and 1,728,664 warrants (the "Conversion Warrants"). The Conversion Warrants have down-round protection clauses, i.e. in a new issuance of common shares at a lower price than the current exercise price, the current exercise price will be adjusted to the new issuance price. On December 1, 2011, we entered into financing agreements which triggered anti-dilution provisions in certain of our outstanding warrants. As a result, the exercise price was reduced to $0.94. Between February 6 and February 14, 2012, we entered into agreements with holders of the Special Bridge Warrants and Conversion Warrants, pursuant to which such holders exercised 1,554,758 Conversion Warrants (see also to Notes 3 and 5 to the accompanying financial statements). In the second quarter of 2012, additional 72,460 such warrants were exercised. As of June 30, 2012, the Conversion Warrants were revalued using the Black-Scholes-Merton and the Monte-Carlo models. As the terms of these warrants include a down-round protection clause, i.e. in a new issuance of common stock at a lower price than the current exercise price, the current exercise price will be lowered to the new issuance price. As of June 30, 2012, we estimated 15% probability of such protection being activated in December 2012. We have estimated the value of the down-round protection using a Monte-Carlo simulation. The following assumptions were used: 81.96% expected volatility, a risk-free interest rate of 0.45%, estimated life of 2.98 years and no dividend yield.</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Between February 6 and February 14, 2012, we entered into agreements with holders of the Special Bridge Warrants and Conversion Warrants, pursuant to which such holders exercised 2,274,235 Special Bridge Warrants and 1,554,758 Conversion Warrants to purchase an aggregate of 3,828,993 shares of our common stock for aggregate proceeds of approximately $3.6 million. In addition, we issued Reload Warrants to purchase an aggregate of 2,660,922 shares of common stock at an exercise price of $1.76 per share in consideration for the immediate exercise of the warrants. 1,392,972 of the Reload Warrants bear down-round protection clauses through December 31, 2014; as a result, they will be classified as a long term derivative liability and recorded at fair value (“Preferential Reload Warrants”). At the issuance date fair value, in the total amount of $1,476 thousand was calculated using the Black-Scholes-Merton and the Monte-Carlo models (see also to Notes 3 and 5 to the accompanying financial statements), using the following assumptions: 72.89% expected volatility, a risk-free interest rate of 0.79%, estimated life of 5 years and no dividend yield. The fair value of the common stock was $1.76. We estimated there is a 30% probability that down-round protection will be activated in September 2012. As of June 30, 2012 fair value of the Preferential Reload Warrants was calculated using the Black-Scholes-Merton and the Monte-Carlo models, using the following assumptions: 78.23% expected volatility, a risk-free interest rate of 0.77%, estimated life of 4.61 years and no dividend yield. We estimate there is a 15% probability that down-round protection will be activated in December 2012. In addition, in June 2012, 816,864 Reload Warrants were exercised, of this amount 430,488 were Preferential Reload Warrants.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June 30, 2012,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 Also, refer to Note 14 of our consolidated financial statements for the year ended December 31, 2011.</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did not have an impact on our financial position, results of operations, or cash flows.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did not have an impact on our financial position, because we do not have other comprehensive income items.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We do not expect the adoption of ASU 2011-11 in the first quarter of 2013 to have an impact on our financial position, results of operations, or cash flows.</w:t>
      </w:r>
    </w:p>
    <w:p>
      <w:pPr>
        <w:spacing w:after="0" w:line="1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10-Q.</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our Chief Financial Officer (principal financial officer), evaluated the effectiveness of our disclosure controls and procedures as of June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2012, our Chief Executive Officer and Chief Financial Officer concluded that, as of such date, our disclosure controls and procedures were ineffective for the reasons set forth below.</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past, our management has identified a material weakness in our disclosure controls and procedures relating to insufficient controls in connection with recognition, valuation and accounting for equity, debt and derivative instruments. We have been enhancing our proficiency of the professional literature on these subjects. In addition, we are in the process of remediating this material weakness by broadening the role of external qualified valuation and accounting experts, to allow for our stronger oversight in this area.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 period ended June 30, 2012, there were no changes in our internal control over financial reporting identified in connection with the evaluation required by paragraph (d) of Rule 13a-15 or Rule 15d-15 that has materially affected, or is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 period ended June 30, 2012, we were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risk factors set forth below update the risk factors in Part I, “Item 1A. Risk Factors” in our Annual Report on Form 10-K for the year ended December 31, 2011 as updated in our Quarterly Report on Form 10-Q for the period ended March 31, 2012. In addition to the risk factors below,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success of the Merger will depend, in large part, on the ability of the combined company to realize the anticipated benefits from combining the businesses of Vringo and Innovate/Protect. The failure to integrate successfully and to manage successfully the challenges presented by the integration process may result in the combined company’s failure to achieve some or all of the anticipated benefits of the Merger.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225" w:lineRule="exact"/>
        <w:rPr>
          <w:sz w:val="20"/>
          <w:szCs w:val="20"/>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225" w:lineRule="exact"/>
        <w:rPr>
          <w:rFonts w:ascii="Arial" w:cs="Arial" w:eastAsia="Arial" w:hAnsi="Arial"/>
          <w:sz w:val="18"/>
          <w:szCs w:val="18"/>
          <w:color w:val="auto"/>
        </w:rPr>
      </w:pPr>
    </w:p>
    <w:p>
      <w:pPr>
        <w:ind w:left="1100" w:hanging="322"/>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potential value and benefits created by the Merger.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187" w:lineRule="exact"/>
        <w:rPr>
          <w:sz w:val="20"/>
          <w:szCs w:val="20"/>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lost sales and customers if any customer of Vringo decides not to do business with us after the Merger;</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225" w:lineRule="exact"/>
        <w:rPr>
          <w:rFonts w:ascii="Arial" w:cs="Arial" w:eastAsia="Arial" w:hAnsi="Arial"/>
          <w:sz w:val="18"/>
          <w:szCs w:val="18"/>
          <w:color w:val="auto"/>
        </w:rPr>
      </w:pPr>
    </w:p>
    <w:p>
      <w:pPr>
        <w:ind w:left="1100" w:hanging="322"/>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accomplish the integration of Vringo’s and Innovate/Protect’s businesses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management from other strategic opportunities and operational matters during the integration process.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ind w:right="320"/>
        <w:spacing w:after="0" w:line="282" w:lineRule="auto"/>
        <w:rPr>
          <w:sz w:val="20"/>
          <w:szCs w:val="20"/>
          <w:color w:val="auto"/>
        </w:rPr>
      </w:pPr>
      <w:r>
        <w:rPr>
          <w:rFonts w:ascii="Arial" w:cs="Arial" w:eastAsia="Arial" w:hAnsi="Arial"/>
          <w:sz w:val="18"/>
          <w:szCs w:val="18"/>
          <w:b w:val="1"/>
          <w:bCs w:val="1"/>
          <w:color w:val="auto"/>
        </w:rPr>
        <w:t>We will be dependent on certain key personnel, and the loss of these key personnel could have a material adverse effect on our business, financial condition and results of operations.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success and future prospects largely depend on the skills, experience and efforts of our key personnel, including Andrew D. Perlman, our Chief Executive Officer, and Andrew Kennedy Lang, our Chief Technology Officer and President. The loss of Messrs. Perlman or Lang or other executives of our company, or our failure to retain other key personnel, would jeopardize our ability to execute our strategic plan and materially harm our business.</w:t>
      </w:r>
    </w:p>
    <w:p>
      <w:pPr>
        <w:spacing w:after="0" w:line="14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Merger resulted in changes to our board of directors and we may pursue different strategies than either Vringo or Innovate/Protect may have pursued independently.</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composition of our board of directors has changed in accordance with the Merger Agreement. Following the completion of the Merger, our board of directors now consists of seven members, including Seth M. Siegel, as Chairman, Andrew D. Perlman, John Engelman, Andrew Kennedy Lang, Alexander R. Berger, Donald E. Stout and H. Van Sinclair. Currently, it is anticipated that we will maximize the economic benefits of our intellectual property portfolio, add significant talent in technological innovation and potentially enhance our opportunities for revenue generation through the monetization of our company’s assets. However, because the composition of our board of directors will consist of directors from both Vringo and Innovate/Protect, we may determine to pursue certain business strategies that neither Vringo nor Innovate/Protect would have pursued independently.</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Ownership of our common stock may be highly concentrated, and it may prevent you and other stockholders from influencing significant corporate decisions and may result in conflicts of interest that could cause our stock price to decline.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Merger, our executive officers and directors beneficially owned or controlled approximately 38.4% of the combined company.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our company,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89" w:lineRule="exact"/>
        <w:rPr>
          <w:sz w:val="20"/>
          <w:szCs w:val="20"/>
          <w:color w:val="auto"/>
        </w:rPr>
      </w:pPr>
    </w:p>
    <w:p>
      <w:pPr>
        <w:jc w:val="both"/>
        <w:ind w:right="680"/>
        <w:spacing w:after="0" w:line="266" w:lineRule="auto"/>
        <w:rPr>
          <w:sz w:val="20"/>
          <w:szCs w:val="20"/>
          <w:color w:val="auto"/>
        </w:rPr>
      </w:pPr>
      <w:r>
        <w:rPr>
          <w:rFonts w:ascii="Arial" w:cs="Arial" w:eastAsia="Arial" w:hAnsi="Arial"/>
          <w:sz w:val="18"/>
          <w:szCs w:val="18"/>
          <w:b w:val="1"/>
          <w:b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will be dependent on our ability to maintain and renew the business relationships of both Vringo and Innovate/Protect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3" w:lineRule="exact"/>
        <w:rPr>
          <w:sz w:val="20"/>
          <w:szCs w:val="20"/>
          <w:color w:val="auto"/>
        </w:rPr>
      </w:pPr>
    </w:p>
    <w:p>
      <w:pPr>
        <w:ind w:right="620"/>
        <w:spacing w:after="0" w:line="313" w:lineRule="auto"/>
        <w:rPr>
          <w:sz w:val="20"/>
          <w:szCs w:val="20"/>
          <w:color w:val="auto"/>
        </w:rPr>
      </w:pPr>
      <w:r>
        <w:rPr>
          <w:rFonts w:ascii="Arial" w:cs="Arial" w:eastAsia="Arial" w:hAnsi="Arial"/>
          <w:sz w:val="17"/>
          <w:szCs w:val="17"/>
          <w:b w:val="1"/>
          <w:bCs w:val="1"/>
          <w:color w:val="auto"/>
        </w:rPr>
        <w:t>Our future results may differ materially from the unaudited pro forma financial statements presented in connection with the Merger and the financial forecasts prepared by Vringo and Innovate/Protect in connection with discussions concerning the Merger.</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future results may be materially different from those shown in the unaudited pro forma combined financial statements prepared in connection with the Merger, which show only a combination of the historical results of Vringo and Innovate/Protect prepared by Vringo and Innovate/Protect in connection with discussions concerning the Merger. We expect to incur significant costs associated with the completion of the Merger and combining the operations of the two companies. The exact magnitude of these costs are not yet known, but are estimated to be approximately $0.9 million. Furthermore, these costs may decrease the capital that we could use for continued development of our business in the future or may cause us to seek to raise new capital sooner than expected.</w:t>
      </w:r>
    </w:p>
    <w:p>
      <w:pPr>
        <w:spacing w:after="0" w:line="18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will require additional capital to support our present business plan and our anticipated business growth, and such capital may not be available on acceptable terms, or at all, which would adversely affect our ability to operate.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our current operating plans, the current resources of the combined company, often taking into account the $31.2 million received in a private registered direct offering, offset by $22 million paid for the acquisition of patent assets (see Note 8 to the accompanying financial statements), we expect to have sufficient funds to fund our planned operations for at least the next twelve months from the balance sheet date. We may need to raise additional funds in connection with any acquisitions of patent portfolios or other intellectual property assets that we may pursue. Any such financing that we undertake will likely be dilutive to our current stockholders.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both"/>
        <w:ind w:firstLine="648"/>
        <w:spacing w:after="0" w:line="255" w:lineRule="auto"/>
        <w:rPr>
          <w:sz w:val="20"/>
          <w:szCs w:val="20"/>
          <w:color w:val="auto"/>
        </w:rPr>
      </w:pPr>
      <w:r>
        <w:rPr>
          <w:rFonts w:ascii="Arial" w:cs="Arial" w:eastAsia="Arial" w:hAnsi="Arial"/>
          <w:sz w:val="18"/>
          <w:szCs w:val="18"/>
          <w:color w:val="auto"/>
        </w:rPr>
        <w:t>We intend to continue to make investments to support our business growth, including patent or other intellectual property asset creation. In addition, we may also need additional funds to respond to business opportunities and challenges, including our ongoing operating expenses, protecting our assets, satisfying debt payment obligations, developing new lines of business and enhancing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financial condition could be constrained by the debt incurred in connection with the Merger.</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July 19, 2012, in connection with the consummation of the Merger and in accordance with the Merger Agreement, Vringo entered into an Amended and Restated Pledge and Security Agreement and an Amended and Restated Guaranty with each of its subsidiaries to guaranty the obligations of Innovate/Protect under that certain Amended and Restated Senior Secured Promissory Note (the “Secured Note”), dated July 19, 2012, by and between Innovate/Protect and Hudson Bay. As of the Closing Date, the outstanding balance under the Secured Note was $3.2 million. The Secured Note accrues interest at 0.46% per annum and matures on June 22, 2013. From and after the date upon which (i) Vringo and its subsidiaries have more than $15 million in the aggregate of cash and cash equivalents, Hudson Bay may require Vringo to redeem up to 50% of the outstanding principal amount of the Secured Note,</w:t>
      </w:r>
    </w:p>
    <w:p>
      <w:pPr>
        <w:spacing w:after="0" w:line="5" w:lineRule="exact"/>
        <w:rPr>
          <w:sz w:val="20"/>
          <w:szCs w:val="20"/>
          <w:color w:val="auto"/>
        </w:rPr>
      </w:pPr>
    </w:p>
    <w:p>
      <w:pPr>
        <w:jc w:val="both"/>
        <w:ind w:firstLine="8"/>
        <w:spacing w:after="0" w:line="288" w:lineRule="auto"/>
        <w:tabs>
          <w:tab w:leader="none" w:pos="2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Vringo and its subsidiaries have more than $20 million in the aggregate of cash and cash equivalents, Hudson Bay may require Vringo to redeem up to 100% of the outstanding principal of the Secured Note, and (iii) Vringo and its subsidiaries receive proceeds in excess of $500 thousand in the aggregate from the issuance of any equity or indebtedness, Hudson Bay may require Vringo to redeem the outstanding principal under the note in an amount equal to up to 20% of the proceeds of the issuance of any such equity or indebtedness. In addition, the Secured Note provides that in the event of a change of control, Hudson Bay may require Vringo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Vringo assumed the Secured Note and guarantied the obligations thereunder.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both"/>
        <w:ind w:firstLine="648"/>
        <w:spacing w:after="0" w:line="264" w:lineRule="auto"/>
        <w:rPr>
          <w:sz w:val="20"/>
          <w:szCs w:val="20"/>
          <w:color w:val="auto"/>
        </w:rPr>
      </w:pPr>
      <w:r>
        <w:rPr>
          <w:rFonts w:ascii="Arial" w:cs="Arial" w:eastAsia="Arial" w:hAnsi="Arial"/>
          <w:sz w:val="18"/>
          <w:szCs w:val="18"/>
          <w:color w:val="auto"/>
        </w:rPr>
        <w:t>In connection with the Merger, Vringo guaranteed the senior secured note and any financing drawn down under new facility. This could have a material adverse effect on our financial condition following the Merger, including limiting our ability to incur additional indebtedness, limiting our available funds for future operations and making us vulnerable to economic or industry downturns.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price of our common stock following the Merger may be affected by factors different from those previously affecting the shares of Vringo.</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completion of the Merger, holders of Innovate/Protect capital stock became holders of Vringo common stock and preferred stock. The business of Vringo differs from the business of Innovate/Protect and, accordingly, our results of operations and the trading price of our common stock following the completion of the Merger may be significantly affected by factors different from those previously affecting the independent results of operations of Vringo because the combined company will be conducting activities not undertaken by Vringo prior to the completion of the Merger.</w:t>
      </w:r>
    </w:p>
    <w:p>
      <w:pPr>
        <w:spacing w:after="0" w:line="16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Material weaknesses may exist when we report on the effectiveness of our internal control over financial reporting for purposes of our reporting requirements.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Prior to the Merger, Innovate/Protect was not subject to most provisions of Sarbanes-Oxley Act of 2002 (“Sarbanes-Oxley”).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Innovate/Protect’s financial activity will be included in the combined company’s management’s report on internal control over financial reporting, in our Annual Report on Form 10-K for the year ending December 31, 2012, as required by Section 404 of Sarbanes-Oxley. Material weaknesses may exist when we report on the effectiveness of our internal control over financial reporting for purposes of our reporting requirements under the Exchange Act or Section 404 of Sarbanes-Oxley. The existence of one or more material weaknesses would preclude a conclusion that we maintain effective internal control over financial reporting. Such a conclusion would be required to be disclosed in our future Annual Reports on Form 10-K and could impact the accuracy and timing of our financial reporting and the reliability of our internal control over financial reporting, which could harm our reputation and cause the market price of our common stock to drop.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pay cash dividends on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anticipate that the combined company will retain its earnings, if any, for future growth and therefore do not anticipate paying cash dividends on our common stock in the future. Investors seeking cash dividends should not invest in our common stock for that purpose.</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Anti-takeover provisions in our charter and bylaws may prevent or frustrate attempts by stockholders to change the board of directors or current management and could make a third-party acquisition of our company difficult.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 Related to the Acquisition of Nokia’s patents</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have acquired from Nokia and thus we may fail to realize all of the anticipated benefits of such acquisition.</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is no assurance that we will be able to successfully monetize the patent portfolio that we have acquired from Nokia. The acquisition of Nokia patents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acquisition of the patent portfolio is subject to a number of risks, including, but not limited to the following:</w:t>
      </w:r>
    </w:p>
    <w:p>
      <w:pPr>
        <w:spacing w:after="0" w:line="225" w:lineRule="exact"/>
        <w:rPr>
          <w:sz w:val="20"/>
          <w:szCs w:val="20"/>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integration of a patent portfolio will be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Therefore, there is no assurance that we will realize enough revenues from the monetization of such patent portfolio we have acquired from Nokia in order to recoup 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ectPr>
          <w:pgSz w:w="11900" w:h="16838" w:orient="portrait"/>
          <w:cols w:equalWidth="0" w:num="1">
            <w:col w:w="11420"/>
          </w:cols>
          <w:pgMar w:left="240" w:top="877" w:right="239" w:bottom="7"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8"/>
          <w:szCs w:val="18"/>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Members of our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our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1100" w:right="20" w:hanging="322"/>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70"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225" w:lineRule="exact"/>
        <w:rPr>
          <w:rFonts w:ascii="Arial" w:cs="Arial" w:eastAsia="Arial" w:hAnsi="Arial"/>
          <w:sz w:val="18"/>
          <w:szCs w:val="18"/>
          <w:color w:val="auto"/>
        </w:rPr>
      </w:pPr>
    </w:p>
    <w:p>
      <w:pPr>
        <w:ind w:left="1100" w:hanging="322"/>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spacing w:after="0" w:line="170"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legislation, regulations or court rulings related to enforcing patents could harm Innovate/Protect’s business and operating results.</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jc w:val="both"/>
        <w:ind w:right="2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7"/>
          <w:szCs w:val="17"/>
          <w:color w:val="auto"/>
        </w:rPr>
        <w:t>Despite Innovate/Protect’s efforts to protect its intellectual property rights, any of the following or similar occurrences may reduce the value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Innovate/Protect’s intellectual property:</w:t>
      </w:r>
    </w:p>
    <w:p>
      <w:pPr>
        <w:spacing w:after="0" w:line="211" w:lineRule="exact"/>
        <w:rPr>
          <w:sz w:val="20"/>
          <w:szCs w:val="20"/>
          <w:color w:val="auto"/>
        </w:rPr>
      </w:pPr>
    </w:p>
    <w:p>
      <w:pPr>
        <w:ind w:left="1100" w:hanging="322"/>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248" w:lineRule="exact"/>
        <w:rPr>
          <w:rFonts w:ascii="Arial" w:cs="Arial" w:eastAsia="Arial" w:hAnsi="Arial"/>
          <w:sz w:val="16"/>
          <w:szCs w:val="16"/>
          <w:color w:val="auto"/>
        </w:rPr>
      </w:pPr>
    </w:p>
    <w:p>
      <w:pPr>
        <w:ind w:left="1100" w:hanging="322"/>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spacing w:after="0" w:line="170" w:lineRule="exact"/>
        <w:rPr>
          <w:rFonts w:ascii="Arial" w:cs="Arial" w:eastAsia="Arial" w:hAnsi="Arial"/>
          <w:sz w:val="18"/>
          <w:szCs w:val="18"/>
          <w:color w:val="auto"/>
        </w:rPr>
      </w:pPr>
    </w:p>
    <w:p>
      <w:pPr>
        <w:ind w:left="1100" w:hanging="322"/>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spacing w:after="0" w:line="170" w:lineRule="exact"/>
        <w:rPr>
          <w:rFonts w:ascii="Arial" w:cs="Arial" w:eastAsia="Arial" w:hAnsi="Arial"/>
          <w:sz w:val="18"/>
          <w:szCs w:val="18"/>
          <w:color w:val="auto"/>
        </w:rPr>
      </w:pPr>
    </w:p>
    <w:p>
      <w:pPr>
        <w:ind w:left="1100" w:right="20" w:hanging="322"/>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Vringo’s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Historically, Vringo’s business has generated only losses, which are expected to continue for the foreseeable future.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2012, Vringo had a cash balance of $3.4 million and $2.1 million of net working capital. For the three and six month period ended June 30, 2012 and 2011 and for the cumulative period from inception until June 30, 2012, Vringo incurred net losses of $5.2 million, $1.5 million, $10.8 million, $2.6 million and $48.4 million, respectively. As of June 30, 2012, Vringo’s deficit in stockholders' equity was $1.4 million.</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Vringo expects its net losses to continue in the foreseeable future, as Vringo continues to grow its user base through carrier partnerships, continue to ensure Vringo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Vringo is a development stage company with no historically substantial income and there is a significant doubt about Vringo’s ability to continue its activities as a going concern.</w:t>
      </w:r>
    </w:p>
    <w:p>
      <w:pPr>
        <w:spacing w:after="0" w:line="16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substantial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Vringo believes that current cash levels, after taking into account the $31.2 million received in a private registered direct offering, offset by $22 million paid for the acquisition of patent assets (see Note 8 to the accompanying financial statements), will be sufficient to support activities for at least the coming twelve months. Vringo may need to raise additional funds in connection with any acquisitions of patent portfolios or other intellectual property assets that we may pursue. Any such financing that Vringo undertakes will likely be dilutive to Vringo’s current stockholders.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16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After giving effect to the Merger on July 19, 2012, should Vringo’s outstanding warrants be executed (including the warrants issued in connection with the Merger), there would be an additional 22,695,411 shares of common stock eligible for trading in the public market. In addition, Vringo currently has incentive equity instruments outstanding to purchase 13,346,863 shares of its common stock granted to its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 million; (ii) 75% acceleration if either the price of the Vringo common stock is at least $10 or Vringo’s market capitalization is $500 million or more; and (iii) 100% acceleration if either the price of the Vringo common stock is at least $20 or Vringo’s market capitalization is at least $1,000 million.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July 20, 2012, is $2.26 per share.</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166"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8"/>
          <w:szCs w:val="18"/>
          <w:color w:val="auto"/>
        </w:rPr>
        <w:t>As of August 14, 2012, Vringo has 58,245,125 shares of common stock issued and outstanding and 2,000 shares of Vringo preferred stock, initially convertible into 6,035,200 of Vringo shares of common stock,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the 2,672,756 of the new warrants issued in February 2012, the 4,623,863 of the options currently outstanding under Vringo’s 2006 Stock Option Plan, the 15,641,178 of options underlying Vringo’s 2012 Stock Option Plan (including 9,100,000 shares rolled over from the 2006 Stock Option Plan), and 15,959,838 of the warrants underlying the Series 1 and Series 2 warrants.</w:t>
      </w:r>
    </w:p>
    <w:p>
      <w:pPr>
        <w:spacing w:after="0" w:line="18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If Vringo is unable to adequately protect its intellectual property, Vringo may not be able to compete effectively. In addition, the possibility of extensive delays in the patent issuance process could effectively reduce the term during which a marketed product is protected by patents.</w:t>
      </w:r>
    </w:p>
    <w:p>
      <w:pPr>
        <w:spacing w:after="0" w:line="142" w:lineRule="exact"/>
        <w:rPr>
          <w:sz w:val="20"/>
          <w:szCs w:val="20"/>
          <w:color w:val="auto"/>
        </w:rPr>
      </w:pPr>
    </w:p>
    <w:p>
      <w:pPr>
        <w:jc w:val="both"/>
        <w:ind w:firstLine="666"/>
        <w:spacing w:after="0" w:line="255" w:lineRule="auto"/>
        <w:rPr>
          <w:sz w:val="20"/>
          <w:szCs w:val="20"/>
          <w:color w:val="auto"/>
        </w:rPr>
      </w:pPr>
      <w:r>
        <w:rPr>
          <w:rFonts w:ascii="Arial" w:cs="Arial" w:eastAsia="Arial" w:hAnsi="Arial"/>
          <w:sz w:val="18"/>
          <w:szCs w:val="18"/>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9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Vringo’s ability to compete depends in part upon the strength of its proprietary rights in our technologies, brands and content. Vringo relies on a combination of U.S. and foreign patents, copyrights, trademark, trade secret laws and license agreements to establish and protect Vringo’s intellectual property and proprietary rights. The efforts Vringo has taken to protect our intellectual property and proprietary rights may not be sufficient or effective at stopping unauthorized use of Vringo’s intellectual property and proprietary rights. In addition, effective trademark, patent, copyright and trade secret protection may not be available or cost-effective in every country in which Vringo’s services are made available through the Internet. There may be instances where Vringo is not able to fully protect or utilize its intellectual property in a manner that maximizes competitive advantage. If Vringo is unable to protect our intellectual property and proprietary rights from unauthorized use, the value of its products may be reduced, which could negatively impact Vringo’s business. Vringo’s inability to obtain appropriate protections for our intellectual property may also allow competitors to enter our markets and produce or sell the same or similar products. In addition, protecting Vringo’s intellectual property and other proprietary rights is expensive and diverts critical managerial resources. If any of the foregoing were to occur, or if Vringo is otherwise unable to protect our intellectual property and proprietary rights, Vringo’s business and financial results could be adversely affected.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both"/>
        <w:ind w:firstLine="486"/>
        <w:spacing w:after="0" w:line="255" w:lineRule="auto"/>
        <w:rPr>
          <w:sz w:val="20"/>
          <w:szCs w:val="20"/>
          <w:color w:val="auto"/>
        </w:rPr>
      </w:pPr>
      <w:r>
        <w:rPr>
          <w:rFonts w:ascii="Arial" w:cs="Arial" w:eastAsia="Arial" w:hAnsi="Arial"/>
          <w:sz w:val="18"/>
          <w:szCs w:val="18"/>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1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jc w:val="both"/>
        <w:spacing w:after="0" w:line="347" w:lineRule="auto"/>
        <w:rPr>
          <w:sz w:val="20"/>
          <w:szCs w:val="20"/>
          <w:color w:val="auto"/>
        </w:rPr>
      </w:pPr>
      <w:r>
        <w:rPr>
          <w:rFonts w:ascii="Arial" w:cs="Arial" w:eastAsia="Arial" w:hAnsi="Arial"/>
          <w:sz w:val="16"/>
          <w:szCs w:val="16"/>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12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Vringo is unsuccessful in entering into and maintaining content license agreements, its revenues will be negatively affected.</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us.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may not be able to continue to maintain its application on all of the operating systems that it currently supports.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 subscribers to Vringo’s video ringtone platform. Vringo’s Facetones TM platform, which represents less than 5% of Vringo’s revenue for the three months ended June 30, 2012, is heavily reliant upon Vringo’s Android devices users. Currently, over 96% of Vringo’s Facetones TM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22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18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16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Vringo’s Facetones TM application depends upon Vringo’s continued access to Facebook® photos.</w:t>
      </w:r>
    </w:p>
    <w:p>
      <w:pPr>
        <w:spacing w:after="0" w:line="22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Vringo’s Facetones® application creates automated video slideshow using friends’ photos from social media web sites, primarily from Facebook®, the world’s leading social media site. Facetones® represented less than 5% of Vringo’s revenue for the three months ended June 30,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 the Facetones® mark and domain name.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order for Vringo to raise capital privately through equity or equity-linked transactions, stockholder approval is required to enable Vringo to issue more than 19.99% of Vringo’s outstanding shares of common stock pursuant to the rules and regulations of the NYSE MKT (formerly, NYSE Amex). Should stockholders not approve such issuances, Vringo’s sole means to raise capital would be through debt, which could have a material adverse effect on Vringo’s balance sheet and overall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Vringo’s common stock and warrants are listed on the NYSE MKT, a national securities exchange, which imposes continued listing requirements with respect to listed shares. On April 26, 2012, the NYSE MKT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NYSE MKT delists Vringo’s securities from trading, Vringo could face significant consequences, including:</w:t>
      </w:r>
    </w:p>
    <w:p>
      <w:pPr>
        <w:spacing w:after="0" w:line="225" w:lineRule="exact"/>
        <w:rPr>
          <w:sz w:val="20"/>
          <w:szCs w:val="20"/>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225" w:lineRule="exact"/>
        <w:rPr>
          <w:rFonts w:ascii="Arial" w:cs="Arial" w:eastAsia="Arial" w:hAnsi="Arial"/>
          <w:sz w:val="18"/>
          <w:szCs w:val="18"/>
          <w:color w:val="auto"/>
        </w:rPr>
      </w:pPr>
    </w:p>
    <w:p>
      <w:pPr>
        <w:ind w:left="1100" w:right="20" w:hanging="322"/>
        <w:spacing w:after="0" w:line="308"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spacing w:after="0" w:line="146" w:lineRule="exact"/>
        <w:rPr>
          <w:rFonts w:ascii="Arial" w:cs="Arial" w:eastAsia="Arial" w:hAnsi="Arial"/>
          <w:sz w:val="17"/>
          <w:szCs w:val="17"/>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Vringo would no longer be subject to the NYSE MKT rules, including rules requiring Vringo to have a certain number of independent directors and to meet other corporate governance standards.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Vringo may not be able to enforce covenants not-to-compete under current Israeli law, which may result in added competition.</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14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6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34"/>
        </w:trPr>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Agreement and Plan of Merger by and among Vringo, Inc., VIP Merger Sub, Inc. and Innovate/Protect, Inc., dated as of March 12, 2012</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from Exhibit 2.1 to our Current Report on Form 8-K filed on March 14, 2012)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Commitment Letter Agreement by and between Hudson Bay Master Fund, Ltd. and Innovate/Protect, Inc., dated June 1, 2012 (incorporated</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from Exhibit 10.5 to our Current Report on Form 8-K filed on July 20, 2012)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Principal Executive Officer Pursuant to Rule 13-14(a) of the Securities Exchange Act of 1934, pursuant to Section 302 of the</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Principal Financial Officer Pursuant to Rule 13-14(a) of the Securities Exchange Act of 1934, pursuant to Section 302 of the</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Principal Executive Officer Pursuant to 18 U.S.C. Section 1350, pursuant to Section 906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of Principal Financial Officer Pursuant to 18 U.S.C. Section 1350, pursuant to Section 906 of the Sarbanes-Oxley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The following information from Vringo’s Quarterly Report on Form 10-Q for the quarter ended June 30, 2012 formatted in XBRL: (i)</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Unaudited Consolidated Statements of Operations for the three and six months ended June 30, 2012 and 2011; (ii) Consolidated Balance</w:t>
            </w:r>
          </w:p>
        </w:tc>
      </w:tr>
    </w:tbl>
    <w:p>
      <w:pPr>
        <w:jc w:val="both"/>
        <w:ind w:left="1160"/>
        <w:spacing w:after="0" w:line="255" w:lineRule="auto"/>
        <w:rPr>
          <w:sz w:val="20"/>
          <w:szCs w:val="20"/>
          <w:color w:val="auto"/>
        </w:rPr>
      </w:pPr>
      <w:r>
        <w:rPr>
          <w:rFonts w:ascii="Arial" w:cs="Arial" w:eastAsia="Arial" w:hAnsi="Arial"/>
          <w:sz w:val="18"/>
          <w:szCs w:val="18"/>
          <w:color w:val="auto"/>
        </w:rPr>
        <w:t>Sheets as of June 30, 2012 (Unaudited) and December 31, 2011; (iii) Unaudited Consolidated Statements of Stockholders’ Equity as of June 30, 2012; (iv) Unaudited Consolidated Statements of Cash Flows for the six months ended June 30, 2012 and 2011; and (v) Notes to Unaudited Consolidated Financial Statements tagged as blocks of text.*</w:t>
      </w:r>
    </w:p>
    <w:p>
      <w:pPr>
        <w:spacing w:after="0" w:line="190" w:lineRule="exact"/>
        <w:rPr>
          <w:sz w:val="20"/>
          <w:szCs w:val="20"/>
          <w:color w:val="auto"/>
        </w:rPr>
      </w:pPr>
    </w:p>
    <w:p>
      <w:pPr>
        <w:jc w:val="both"/>
        <w:ind w:left="1160" w:hanging="1152"/>
        <w:spacing w:after="0" w:line="286"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14th day of August,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8280" w:type="dxa"/>
            <w:vAlign w:val="bottom"/>
          </w:tcPr>
          <w:p>
            <w:pPr>
              <w:spacing w:after="0"/>
              <w:rPr>
                <w:sz w:val="20"/>
                <w:szCs w:val="20"/>
                <w:color w:val="auto"/>
              </w:rPr>
            </w:pPr>
          </w:p>
        </w:tc>
      </w:tr>
      <w:tr>
        <w:trPr>
          <w:trHeight w:val="459"/>
        </w:trPr>
        <w:tc>
          <w:tcPr>
            <w:tcW w:w="3140" w:type="dxa"/>
            <w:vAlign w:val="bottom"/>
            <w:gridSpan w:val="2"/>
          </w:tcPr>
          <w:p>
            <w:pPr>
              <w:spacing w:after="0"/>
              <w:rPr>
                <w:sz w:val="20"/>
                <w:szCs w:val="20"/>
                <w:color w:val="auto"/>
              </w:rPr>
            </w:pPr>
            <w:r>
              <w:rPr>
                <w:rFonts w:ascii="Arial" w:cs="Arial" w:eastAsia="Arial" w:hAnsi="Arial"/>
                <w:sz w:val="18"/>
                <w:szCs w:val="18"/>
                <w:color w:val="auto"/>
              </w:rPr>
              <w:t>By:</w:t>
            </w:r>
          </w:p>
        </w:tc>
        <w:tc>
          <w:tcPr>
            <w:tcW w:w="8280" w:type="dxa"/>
            <w:vAlign w:val="bottom"/>
          </w:tcPr>
          <w:p>
            <w:pPr>
              <w:jc w:val="right"/>
              <w:ind w:right="473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tc>
      </w:tr>
      <w:tr>
        <w:trPr>
          <w:trHeight w:val="205"/>
        </w:trPr>
        <w:tc>
          <w:tcPr>
            <w:tcW w:w="92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8280" w:type="dxa"/>
            <w:vAlign w:val="bottom"/>
            <w:tcBorders>
              <w:top w:val="single" w:sz="8" w:color="auto"/>
            </w:tcBorders>
          </w:tcPr>
          <w:p>
            <w:pPr>
              <w:jc w:val="center"/>
              <w:ind w:right="2130"/>
              <w:spacing w:after="0" w:line="205" w:lineRule="exact"/>
              <w:rPr>
                <w:sz w:val="20"/>
                <w:szCs w:val="20"/>
                <w:color w:val="auto"/>
              </w:rPr>
            </w:pPr>
            <w:r>
              <w:rPr>
                <w:rFonts w:ascii="Arial" w:cs="Arial" w:eastAsia="Arial" w:hAnsi="Arial"/>
                <w:sz w:val="18"/>
                <w:szCs w:val="18"/>
                <w:b w:val="1"/>
                <w:bCs w:val="1"/>
                <w:color w:val="auto"/>
                <w:w w:val="93"/>
              </w:rPr>
              <w:t>Ellen Cohl</w:t>
            </w:r>
          </w:p>
        </w:tc>
      </w:tr>
      <w:tr>
        <w:trPr>
          <w:trHeight w:val="234"/>
        </w:trPr>
        <w:tc>
          <w:tcPr>
            <w:tcW w:w="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2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43"/>
        </w:trPr>
        <w:tc>
          <w:tcPr>
            <w:tcW w:w="9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2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675"/>
        </w:trPr>
        <w:tc>
          <w:tcPr>
            <w:tcW w:w="9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87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Perlman,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sz w:val="20"/>
          <w:szCs w:val="20"/>
          <w:color w:val="auto"/>
        </w:rPr>
      </w:pPr>
    </w:p>
    <w:p>
      <w:pPr>
        <w:jc w:val="both"/>
        <w:ind w:firstLine="8"/>
        <w:spacing w:after="0" w:line="264" w:lineRule="auto"/>
        <w:tabs>
          <w:tab w:leader="none" w:pos="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227"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2012</w:t>
      </w:r>
    </w:p>
    <w:p>
      <w:pPr>
        <w:spacing w:after="0" w:line="225" w:lineRule="exact"/>
        <w:rPr>
          <w:sz w:val="20"/>
          <w:szCs w:val="20"/>
          <w:color w:val="auto"/>
        </w:rPr>
      </w:pPr>
    </w:p>
    <w:p>
      <w:pPr>
        <w:ind w:left="4500"/>
        <w:spacing w:after="0"/>
        <w:tabs>
          <w:tab w:leader="none" w:pos="4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sz w:val="20"/>
          <w:szCs w:val="20"/>
          <w:color w:val="auto"/>
        </w:rPr>
      </w:pPr>
    </w:p>
    <w:p>
      <w:pPr>
        <w:jc w:val="both"/>
        <w:ind w:firstLine="8"/>
        <w:spacing w:after="0" w:line="264" w:lineRule="auto"/>
        <w:tabs>
          <w:tab w:leader="none" w:pos="1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2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2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2012</w:t>
      </w:r>
    </w:p>
    <w:p>
      <w:pPr>
        <w:spacing w:after="0" w:line="225"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June 30, 2012 as filed with the Securities and Exchange Commission on the date hereof (the "Report") I, Andrew Perlman, Chief Executive Officer of the Company, certify, pursuant to § 906 of the Sarbanes-Oxley Act of 2002,18 U.S.C. § 1350, that to my knowledge:</w:t>
      </w:r>
    </w:p>
    <w:p>
      <w:pPr>
        <w:spacing w:after="0" w:line="181"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 (d)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14, 2012</w:t>
      </w:r>
    </w:p>
    <w:p>
      <w:pPr>
        <w:ind w:left="4500"/>
        <w:spacing w:after="0"/>
        <w:tabs>
          <w:tab w:leader="none" w:pos="4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PERLMAN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June 30, 2012 as filed with the Securities and Exchange Commission on the date hereof (the "Report") I, Ellen Cohl,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14, 2012</w:t>
      </w:r>
    </w:p>
    <w:p>
      <w:pPr>
        <w:ind w:left="4920"/>
        <w:spacing w:after="0"/>
        <w:tabs>
          <w:tab w:leader="none" w:pos="5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S"/>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2"/>
    </w:lvl>
  </w:abstractNum>
  <w:abstractNum w:abstractNumId="6">
    <w:nsid w:val="62BBD95A"/>
    <w:multiLevelType w:val="hybridMultilevel"/>
    <w:lvl w:ilvl="0">
      <w:lvlJc w:val="left"/>
      <w:lvlText w:val="%1"/>
      <w:numFmt w:val="lowerLetter"/>
      <w:start w:val="1"/>
    </w:lvl>
    <w:lvl w:ilvl="1">
      <w:lvlJc w:val="left"/>
      <w:lvlText w:val="(%2)"/>
      <w:numFmt w:val="lowerLetter"/>
      <w:start w:val="6"/>
    </w:lvl>
  </w:abstractNum>
  <w:abstractNum w:abstractNumId="7">
    <w:nsid w:val="436C6125"/>
    <w:multiLevelType w:val="hybridMultilevel"/>
    <w:lvl w:ilvl="0">
      <w:lvlJc w:val="left"/>
      <w:lvlText w:val="(%1)"/>
      <w:numFmt w:val="lowerLetter"/>
      <w:start w:val="9"/>
    </w:lvl>
    <w:lvl w:ilvl="1">
      <w:lvlJc w:val="left"/>
      <w:lvlText w:val="%2"/>
      <w:numFmt w:val="lowerLetter"/>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lowerRoman"/>
      <w:start w:val="4"/>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lowerRoman"/>
      <w:start w:val="2"/>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2019-12-09T18:58:18Z</dcterms:created>
  <dcterms:modified xsi:type="dcterms:W3CDTF">2019-12-09T18:58:18Z</dcterms:modified>
</cp:coreProperties>
</file>